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6870E5" w14:textId="77777777" w:rsidR="00F820B1" w:rsidRDefault="00F820B1" w:rsidP="00F820B1">
      <w:pPr>
        <w:pStyle w:val="Title"/>
      </w:pPr>
      <w:r>
        <w:t xml:space="preserve">The </w:t>
      </w:r>
      <w:r w:rsidR="00980EC8">
        <w:t xml:space="preserve">long-term </w:t>
      </w:r>
      <w:r>
        <w:t>effects of regional trading hubs and reshoring on environmental pressure in light of Covid-19</w:t>
      </w:r>
    </w:p>
    <w:p w14:paraId="1BBFB3EC" w14:textId="77777777" w:rsidR="00F820B1" w:rsidRDefault="00F820B1" w:rsidP="00F820B1">
      <w:pPr>
        <w:pStyle w:val="Title3"/>
        <w:jc w:val="center"/>
      </w:pPr>
      <w:r>
        <w:t>Rob Dellink, OECD Environment Directorate</w:t>
      </w:r>
    </w:p>
    <w:p w14:paraId="24661717" w14:textId="77777777" w:rsidR="003F0294" w:rsidRDefault="003F0294" w:rsidP="003F0294">
      <w:pPr>
        <w:pStyle w:val="Para0"/>
      </w:pPr>
    </w:p>
    <w:p w14:paraId="7B90833A" w14:textId="443555CE" w:rsidR="003F0294" w:rsidRPr="003F0294" w:rsidRDefault="003F0294" w:rsidP="003F0294">
      <w:pPr>
        <w:pStyle w:val="Para0"/>
        <w:pBdr>
          <w:top w:val="single" w:sz="4" w:space="1" w:color="auto"/>
          <w:left w:val="single" w:sz="4" w:space="4" w:color="auto"/>
          <w:bottom w:val="single" w:sz="4" w:space="1" w:color="auto"/>
          <w:right w:val="single" w:sz="4" w:space="4" w:color="auto"/>
        </w:pBdr>
      </w:pPr>
      <w:r>
        <w:t>N.B. All results in this draft are preliminary and will be updated. DO NOT CITE OR QUOTE.</w:t>
      </w:r>
    </w:p>
    <w:p w14:paraId="720738E9" w14:textId="5C1870FE" w:rsidR="00F820B1" w:rsidRDefault="00E4289C" w:rsidP="00E4289C">
      <w:pPr>
        <w:pStyle w:val="Heading1"/>
        <w:numPr>
          <w:ilvl w:val="0"/>
          <w:numId w:val="0"/>
        </w:numPr>
      </w:pPr>
      <w:r>
        <w:t>Abstract</w:t>
      </w:r>
    </w:p>
    <w:p w14:paraId="5A56005A" w14:textId="7BF7AC84" w:rsidR="00A20A38" w:rsidRDefault="00A20A38" w:rsidP="00A20A38">
      <w:pPr>
        <w:pStyle w:val="Para0"/>
      </w:pPr>
      <w:r w:rsidRPr="00F820B1">
        <w:t xml:space="preserve">Recent events, including the Covid-19 pandemic and increased interest in more circular economies, imply an increased pressure to </w:t>
      </w:r>
      <w:r>
        <w:t xml:space="preserve">reduce global </w:t>
      </w:r>
      <w:r w:rsidRPr="00F820B1">
        <w:t xml:space="preserve">value chains. </w:t>
      </w:r>
      <w:r w:rsidRPr="006945C4">
        <w:t xml:space="preserve">In this paper, </w:t>
      </w:r>
      <w:r w:rsidR="009A6BE6">
        <w:t xml:space="preserve">a </w:t>
      </w:r>
      <w:r>
        <w:t xml:space="preserve">global dynamic CGE </w:t>
      </w:r>
      <w:r w:rsidRPr="006945C4">
        <w:t>model is</w:t>
      </w:r>
      <w:r>
        <w:t xml:space="preserve"> used to assess</w:t>
      </w:r>
      <w:r w:rsidRPr="006945C4">
        <w:t xml:space="preserve"> the consequences of </w:t>
      </w:r>
      <w:r>
        <w:t>reduced</w:t>
      </w:r>
      <w:r w:rsidRPr="006945C4">
        <w:t xml:space="preserve"> global trade</w:t>
      </w:r>
      <w:r>
        <w:t xml:space="preserve"> and</w:t>
      </w:r>
      <w:r w:rsidRPr="006945C4">
        <w:t xml:space="preserve"> </w:t>
      </w:r>
      <w:r>
        <w:t xml:space="preserve">reshoring, in combination with a detailed assessment of </w:t>
      </w:r>
      <w:r w:rsidR="009A6BE6">
        <w:t>the im</w:t>
      </w:r>
      <w:r>
        <w:t>plicati</w:t>
      </w:r>
      <w:r w:rsidR="009A6BE6">
        <w:t>o</w:t>
      </w:r>
      <w:r>
        <w:t>ns of the Covid-19 pandemic and recovery.</w:t>
      </w:r>
      <w:r w:rsidR="009A6BE6">
        <w:t xml:space="preserve"> The consequences of the Covid response measures and of regional trading shifts on s</w:t>
      </w:r>
      <w:r w:rsidRPr="006945C4">
        <w:t>ectoral and regional economic activity</w:t>
      </w:r>
      <w:r w:rsidR="009A6BE6">
        <w:t xml:space="preserve"> are linked to</w:t>
      </w:r>
      <w:r w:rsidRPr="006945C4">
        <w:t xml:space="preserve"> the consequences on regional and global emissions of greenhouse gases, air pollutants</w:t>
      </w:r>
      <w:r>
        <w:t>,</w:t>
      </w:r>
      <w:r w:rsidRPr="006945C4">
        <w:t xml:space="preserve"> the use of raw materials</w:t>
      </w:r>
      <w:r>
        <w:t xml:space="preserve"> and plastics consumption and waste</w:t>
      </w:r>
      <w:r w:rsidR="009A6BE6">
        <w:t xml:space="preserve"> until 2035</w:t>
      </w:r>
      <w:r w:rsidRPr="006945C4">
        <w:t xml:space="preserve">. </w:t>
      </w:r>
    </w:p>
    <w:p w14:paraId="122F7258" w14:textId="34F97E74" w:rsidR="00A20A38" w:rsidRDefault="00A20A38" w:rsidP="00A20A38">
      <w:pPr>
        <w:pStyle w:val="Para0"/>
      </w:pPr>
      <w:r>
        <w:t xml:space="preserve">The scenario analysis clearly shows a short-term reduction in all environmental pressures considered in this paper as a result of the Covid-19 pandemic. But while the strength of this reduction fades over time, there are persistent effects on environmental pressure, primarily driven by changes in savings and investment behaviour, which has long-run consequences for economic activity and environmental pressure. </w:t>
      </w:r>
    </w:p>
    <w:p w14:paraId="41425AB5" w14:textId="2ACD09E5" w:rsidR="00A20A38" w:rsidRDefault="00A20A38" w:rsidP="00A20A38">
      <w:pPr>
        <w:pStyle w:val="Para0"/>
      </w:pPr>
      <w:r>
        <w:t>The results also indicate that the “localization” of international trade has negative consequences for economic activity in all countries</w:t>
      </w:r>
      <w:r w:rsidR="009A6BE6">
        <w:t xml:space="preserve"> that gradually increase over time</w:t>
      </w:r>
      <w:r>
        <w:t xml:space="preserve">. This especially hurts export-oriented sectors. Nonetheless, some domestic sectors are better off from being better shielded from international competitors. </w:t>
      </w:r>
    </w:p>
    <w:p w14:paraId="299EA932" w14:textId="77777777" w:rsidR="00A20A38" w:rsidRPr="006945C4" w:rsidRDefault="00A20A38" w:rsidP="00A20A38">
      <w:pPr>
        <w:pStyle w:val="Para0"/>
      </w:pPr>
      <w:r>
        <w:t>The implications for environmental pressure are ambiguous: the reduced economic activity ceteris paribus leads to lower levels of emissions and resource use and waste, but there are significant differences across regions. Most of the improvements come in the export-intensive emerging economies, but at a cost of economic development in these regions.</w:t>
      </w:r>
    </w:p>
    <w:p w14:paraId="30B3AD38" w14:textId="321D4F9E" w:rsidR="00E4289C" w:rsidRDefault="00E4289C" w:rsidP="00F820B1">
      <w:pPr>
        <w:pStyle w:val="Para0"/>
      </w:pPr>
    </w:p>
    <w:p w14:paraId="298436F1" w14:textId="7E0CB4A7" w:rsidR="00D10D1F" w:rsidRPr="00445042" w:rsidRDefault="00D10D1F" w:rsidP="00F820B1">
      <w:pPr>
        <w:pStyle w:val="Para0"/>
      </w:pPr>
      <w:r w:rsidRPr="00445042">
        <w:t>Keywords:</w:t>
      </w:r>
      <w:r w:rsidR="00445042" w:rsidRPr="00445042">
        <w:t xml:space="preserve"> globalization, Covid-19, computable general equilibrium, economic growth, environmental pressure</w:t>
      </w:r>
    </w:p>
    <w:p w14:paraId="51A798B4" w14:textId="00C539D6" w:rsidR="00D10D1F" w:rsidRPr="00D10D1F" w:rsidRDefault="00D10D1F" w:rsidP="00F820B1">
      <w:pPr>
        <w:pStyle w:val="Para0"/>
        <w:rPr>
          <w:lang w:val="fr-FR"/>
        </w:rPr>
      </w:pPr>
      <w:r w:rsidRPr="00D10D1F">
        <w:rPr>
          <w:lang w:val="fr-FR"/>
        </w:rPr>
        <w:t xml:space="preserve">JEL codes: D58, </w:t>
      </w:r>
      <w:r>
        <w:rPr>
          <w:lang w:val="fr-FR"/>
        </w:rPr>
        <w:t>F15, F64</w:t>
      </w:r>
      <w:r w:rsidRPr="00D10D1F">
        <w:rPr>
          <w:lang w:val="fr-FR"/>
        </w:rPr>
        <w:t xml:space="preserve">, </w:t>
      </w:r>
      <w:r w:rsidR="00445042">
        <w:rPr>
          <w:lang w:val="fr-FR"/>
        </w:rPr>
        <w:t>O41, Q53, Q54</w:t>
      </w:r>
    </w:p>
    <w:p w14:paraId="23E44F8D" w14:textId="77777777" w:rsidR="00D10D1F" w:rsidRPr="00D10D1F" w:rsidRDefault="00D10D1F">
      <w:pPr>
        <w:jc w:val="left"/>
        <w:rPr>
          <w:rFonts w:cstheme="majorBidi"/>
          <w:b/>
          <w:bCs/>
          <w:color w:val="4E81BD"/>
          <w:kern w:val="28"/>
          <w:sz w:val="24"/>
          <w:lang w:val="fr-FR"/>
        </w:rPr>
      </w:pPr>
      <w:r w:rsidRPr="00D10D1F">
        <w:rPr>
          <w:lang w:val="fr-FR"/>
        </w:rPr>
        <w:br w:type="page"/>
      </w:r>
    </w:p>
    <w:p w14:paraId="1A1F31C4" w14:textId="1816205D" w:rsidR="00F820B1" w:rsidRPr="00F820B1" w:rsidRDefault="00F820B1" w:rsidP="00F820B1">
      <w:pPr>
        <w:pStyle w:val="Heading1"/>
      </w:pPr>
      <w:r>
        <w:lastRenderedPageBreak/>
        <w:t>Introduction</w:t>
      </w:r>
    </w:p>
    <w:p w14:paraId="1C4FC7D1" w14:textId="77777777" w:rsidR="00351B72" w:rsidRPr="00F820B1" w:rsidRDefault="00351B72" w:rsidP="00351B72">
      <w:pPr>
        <w:pStyle w:val="Para0"/>
      </w:pPr>
      <w:r w:rsidRPr="00F820B1">
        <w:t>Recent events, including the Covid-19 pandemic and increased interest in more circular economies, imply an increased pressure to shorten value chains and make them less global. In fact, since the financial crisis of 2007-2008, global value chains – which had seen massive growth in the decades before – have already started to slowly become shorter, at leas</w:t>
      </w:r>
      <w:r>
        <w:t xml:space="preserve">t partially driven by </w:t>
      </w:r>
      <w:r w:rsidRPr="00F820B1">
        <w:t>considerations</w:t>
      </w:r>
      <w:r>
        <w:t xml:space="preserve"> of the resilience of trade patterns against sudden shocks and by a resistance against globalization</w:t>
      </w:r>
      <w:r w:rsidRPr="00F820B1">
        <w:t>.</w:t>
      </w:r>
      <w:r>
        <w:t xml:space="preserve"> The Covid-19 pandemic has added an urgent driver to this trend.</w:t>
      </w:r>
    </w:p>
    <w:p w14:paraId="3BB14B9B" w14:textId="60776664" w:rsidR="00351B72" w:rsidRDefault="00351B72" w:rsidP="00351B72">
      <w:pPr>
        <w:pStyle w:val="Para0"/>
      </w:pPr>
      <w:r w:rsidRPr="006945C4">
        <w:t>In this paper, the ENV-Linkages model is</w:t>
      </w:r>
      <w:r>
        <w:t xml:space="preserve"> used to numerically investigate</w:t>
      </w:r>
      <w:r w:rsidRPr="006945C4">
        <w:t xml:space="preserve"> what the consequences would be of a re-alignment of trade patterns towards a stronger preference within specific trading blocks, at the expense of global trade, as well as a stronger preference for domestic suppliers (reshoring). </w:t>
      </w:r>
      <w:r>
        <w:t>This paper also contributes to the emerging literature on the effects of the Covid-19 pandemic and recovery on environmental pressure by using a state-of-the art large-scale modelling tool to identify sectoral and regional shocks to the economy from the pande</w:t>
      </w:r>
      <w:r w:rsidR="00E33C61">
        <w:t>mic and the associated lockdown and</w:t>
      </w:r>
      <w:r>
        <w:t xml:space="preserve"> stimulus packages.</w:t>
      </w:r>
    </w:p>
    <w:p w14:paraId="1BAE595F" w14:textId="2B9C4E96" w:rsidR="00351B72" w:rsidRPr="00D47C1C" w:rsidRDefault="00351B72" w:rsidP="00D47C1C">
      <w:pPr>
        <w:pStyle w:val="Para0"/>
      </w:pPr>
      <w:r w:rsidRPr="00D47C1C">
        <w:t xml:space="preserve">The </w:t>
      </w:r>
      <w:r w:rsidR="00D47C1C" w:rsidRPr="00D47C1C">
        <w:t xml:space="preserve">first part of the </w:t>
      </w:r>
      <w:r w:rsidRPr="00D47C1C">
        <w:t>analysis focuses on the consequences of the Covid pandemic</w:t>
      </w:r>
      <w:r w:rsidR="00D47C1C" w:rsidRPr="00D47C1C">
        <w:t xml:space="preserve"> and</w:t>
      </w:r>
      <w:r w:rsidRPr="00D47C1C">
        <w:t xml:space="preserve"> recovery measures</w:t>
      </w:r>
      <w:r w:rsidR="00D47C1C" w:rsidRPr="00D47C1C">
        <w:t xml:space="preserve"> on economic activity and environmental pressures. Then, the paper looks at</w:t>
      </w:r>
      <w:r w:rsidRPr="00D47C1C">
        <w:t xml:space="preserve"> a more permanent re-alignment of trade patterns</w:t>
      </w:r>
      <w:r w:rsidR="00D47C1C" w:rsidRPr="00D47C1C">
        <w:t xml:space="preserve"> and at hypothetical scenarios regarding the emergence of regional “trading hubs”</w:t>
      </w:r>
      <w:r w:rsidRPr="00D47C1C">
        <w:t xml:space="preserve">. </w:t>
      </w:r>
      <w:r w:rsidR="00D47C1C" w:rsidRPr="00D47C1C">
        <w:t>Finally, a scenario reflecting increased preference for producers and consumers to “buy local” is investigated. In all scenarios, detailed projections of the effects on economic activity are linked to</w:t>
      </w:r>
      <w:r w:rsidRPr="00D47C1C">
        <w:t xml:space="preserve"> the consequences on regional and global emissions of greenhouse gases, emissions of air pollutants, the use of raw materials and </w:t>
      </w:r>
      <w:r w:rsidR="00E33C61">
        <w:t>land use change</w:t>
      </w:r>
      <w:r w:rsidRPr="00D47C1C">
        <w:t xml:space="preserve">. </w:t>
      </w:r>
    </w:p>
    <w:p w14:paraId="082D0D81" w14:textId="15E49678" w:rsidR="00F820B1" w:rsidRPr="00D47C1C" w:rsidRDefault="00E33C61" w:rsidP="00D47C1C">
      <w:pPr>
        <w:pStyle w:val="Para0"/>
      </w:pPr>
      <w:r>
        <w:t>How international trade will be affected by the Covid-19 pandemic, recovery packages, changes in emphasis on economic resilience and changes in preferences for regional origin of commodities</w:t>
      </w:r>
      <w:r w:rsidR="00F820B1" w:rsidRPr="00D47C1C">
        <w:t xml:space="preserve">, </w:t>
      </w:r>
      <w:r>
        <w:t xml:space="preserve">remains highly uncertain. Therefore, </w:t>
      </w:r>
      <w:r w:rsidR="00F820B1" w:rsidRPr="00D47C1C">
        <w:t xml:space="preserve">the </w:t>
      </w:r>
      <w:r>
        <w:t>reshoring and trading hubs</w:t>
      </w:r>
      <w:r w:rsidR="00F820B1" w:rsidRPr="00D47C1C">
        <w:t xml:space="preserve"> scenarios </w:t>
      </w:r>
      <w:r>
        <w:t>are</w:t>
      </w:r>
      <w:r w:rsidR="00F820B1" w:rsidRPr="00D47C1C">
        <w:t xml:space="preserve"> highly stylised, reflecting potential directions that could emerge, rather than predicting the </w:t>
      </w:r>
      <w:r w:rsidR="00D47C1C" w:rsidRPr="00D47C1C">
        <w:t>future</w:t>
      </w:r>
      <w:r w:rsidR="00F820B1" w:rsidRPr="00D47C1C">
        <w:t xml:space="preserve">. </w:t>
      </w:r>
      <w:r w:rsidR="00D47C1C" w:rsidRPr="00D47C1C">
        <w:t>The idea of these scenarios is</w:t>
      </w:r>
      <w:r w:rsidR="00F820B1" w:rsidRPr="00D47C1C">
        <w:t xml:space="preserve"> not to identify specific trade relations that are better or worse from an environmental perspective, but rather to show mechanisms through which changes in trade preferences affect regional and global environmental pressures directly and (especially) indirectly</w:t>
      </w:r>
      <w:r w:rsidR="00D47C1C" w:rsidRPr="00D47C1C">
        <w:t>, in light of the changed circumstances due to the Covid-19 pandemic</w:t>
      </w:r>
      <w:r w:rsidR="00F820B1" w:rsidRPr="00D47C1C">
        <w:t>.</w:t>
      </w:r>
    </w:p>
    <w:p w14:paraId="562577AA" w14:textId="77777777" w:rsidR="00F820B1" w:rsidRDefault="00F820B1" w:rsidP="00F820B1">
      <w:pPr>
        <w:pStyle w:val="Heading1"/>
      </w:pPr>
      <w:r>
        <w:t>Methodology</w:t>
      </w:r>
    </w:p>
    <w:p w14:paraId="766C88D3" w14:textId="77777777" w:rsidR="00B85666" w:rsidRDefault="00B85666" w:rsidP="00B85666">
      <w:pPr>
        <w:pStyle w:val="Heading2"/>
      </w:pPr>
      <w:r>
        <w:t>Modelling economic activity</w:t>
      </w:r>
    </w:p>
    <w:p w14:paraId="3CC9FF36" w14:textId="778BFDC8" w:rsidR="00925E8F" w:rsidRDefault="00925E8F" w:rsidP="00925E8F">
      <w:pPr>
        <w:pStyle w:val="Para0"/>
      </w:pPr>
      <w:r>
        <w:t xml:space="preserve">The </w:t>
      </w:r>
      <w:r w:rsidRPr="00A022B4">
        <w:t>OECD ENV-Linkages model</w:t>
      </w:r>
      <w:r>
        <w:t xml:space="preserve"> is a computable general equilibrium (CGE) model based on the GTAP national accounting database </w:t>
      </w:r>
      <w:sdt>
        <w:sdtPr>
          <w:id w:val="433564423"/>
          <w:citation/>
        </w:sdtPr>
        <w:sdtEndPr/>
        <w:sdtContent>
          <w:r>
            <w:fldChar w:fldCharType="begin"/>
          </w:r>
          <w:r>
            <w:instrText xml:space="preserve">CITATION Kappa_g27a24cf \l 2057 </w:instrText>
          </w:r>
          <w:r>
            <w:fldChar w:fldCharType="separate"/>
          </w:r>
          <w:r w:rsidR="0020320D" w:rsidRPr="0020320D">
            <w:rPr>
              <w:noProof/>
            </w:rPr>
            <w:t>(Chateau, Dellink and Lanzi, 2014</w:t>
          </w:r>
          <w:r w:rsidR="0020320D" w:rsidRPr="0020320D">
            <w:rPr>
              <w:noProof/>
              <w:vertAlign w:val="subscript"/>
            </w:rPr>
            <w:t>[1]</w:t>
          </w:r>
          <w:r w:rsidR="0020320D" w:rsidRPr="0020320D">
            <w:rPr>
              <w:noProof/>
            </w:rPr>
            <w:t>)</w:t>
          </w:r>
          <w:r>
            <w:fldChar w:fldCharType="end"/>
          </w:r>
        </w:sdtContent>
      </w:sdt>
      <w:r>
        <w:t>. It describes economic activities in different sectors and regions and how they interact. It is also a global economic model featuring all the main regions and countries of the world. The model relies on a consistent set of data describing the behaviour of production sectors and consumers in the different regions, with a focus on energy and international trade.</w:t>
      </w:r>
    </w:p>
    <w:p w14:paraId="2C509E80" w14:textId="2B1B4396" w:rsidR="00925E8F" w:rsidRDefault="00925E8F" w:rsidP="00925E8F">
      <w:pPr>
        <w:pStyle w:val="Para0"/>
      </w:pPr>
      <w:r>
        <w:t xml:space="preserve">One of the main strengths of the model is to link economic activity to environmental pressures, such as greenhouse gas (GHG) emissions </w:t>
      </w:r>
      <w:sdt>
        <w:sdtPr>
          <w:id w:val="-1964574852"/>
          <w:citation/>
        </w:sdtPr>
        <w:sdtEndPr/>
        <w:sdtContent>
          <w:r w:rsidRPr="00A537A8">
            <w:fldChar w:fldCharType="begin"/>
          </w:r>
          <w:r>
            <w:instrText xml:space="preserve">CITATION Kappa_g2g558e1 \l 2057 </w:instrText>
          </w:r>
          <w:r w:rsidRPr="00A537A8">
            <w:fldChar w:fldCharType="separate"/>
          </w:r>
          <w:bookmarkStart w:id="0" w:name="Kappa_g2g558e1_10"/>
          <w:bookmarkStart w:id="1" w:name="Kappa_g2g558e1_12"/>
          <w:bookmarkStart w:id="2" w:name="Kappa_g2g558e1_13"/>
          <w:r w:rsidR="0020320D" w:rsidRPr="0020320D">
            <w:rPr>
              <w:noProof/>
            </w:rPr>
            <w:t>(OECD, 2015</w:t>
          </w:r>
          <w:r w:rsidR="0020320D" w:rsidRPr="0020320D">
            <w:rPr>
              <w:noProof/>
              <w:vertAlign w:val="subscript"/>
            </w:rPr>
            <w:t>[2]</w:t>
          </w:r>
          <w:r w:rsidR="0020320D" w:rsidRPr="0020320D">
            <w:rPr>
              <w:noProof/>
            </w:rPr>
            <w:t>)</w:t>
          </w:r>
          <w:bookmarkEnd w:id="0"/>
          <w:bookmarkEnd w:id="1"/>
          <w:bookmarkEnd w:id="2"/>
          <w:r w:rsidRPr="00A537A8">
            <w:fldChar w:fldCharType="end"/>
          </w:r>
        </w:sdtContent>
      </w:sdt>
      <w:r>
        <w:t xml:space="preserve">, air pollutant emissions </w:t>
      </w:r>
      <w:sdt>
        <w:sdtPr>
          <w:id w:val="-1191840389"/>
          <w:citation/>
        </w:sdtPr>
        <w:sdtEndPr/>
        <w:sdtContent>
          <w:r w:rsidRPr="009A4A8F">
            <w:fldChar w:fldCharType="begin"/>
          </w:r>
          <w:r w:rsidRPr="009A4A8F">
            <w:instrText xml:space="preserve"> CITATION Kappa_g2g68583 \l 2057 </w:instrText>
          </w:r>
          <w:r w:rsidRPr="009A4A8F">
            <w:fldChar w:fldCharType="separate"/>
          </w:r>
          <w:r w:rsidR="0020320D" w:rsidRPr="0020320D">
            <w:rPr>
              <w:noProof/>
            </w:rPr>
            <w:t>(OECD, 2016</w:t>
          </w:r>
          <w:r w:rsidR="0020320D" w:rsidRPr="0020320D">
            <w:rPr>
              <w:noProof/>
              <w:vertAlign w:val="subscript"/>
            </w:rPr>
            <w:t>[3]</w:t>
          </w:r>
          <w:r w:rsidR="0020320D" w:rsidRPr="0020320D">
            <w:rPr>
              <w:noProof/>
            </w:rPr>
            <w:t>)</w:t>
          </w:r>
          <w:r w:rsidRPr="009A4A8F">
            <w:fldChar w:fldCharType="end"/>
          </w:r>
        </w:sdtContent>
      </w:sdt>
      <w:r>
        <w:t xml:space="preserve">, and the environmental impacts linked to materials use </w:t>
      </w:r>
      <w:sdt>
        <w:sdtPr>
          <w:id w:val="129064842"/>
          <w:citation/>
        </w:sdtPr>
        <w:sdtEndPr/>
        <w:sdtContent>
          <w:r>
            <w:fldChar w:fldCharType="begin"/>
          </w:r>
          <w:r>
            <w:instrText xml:space="preserve"> CITATION Kappa_g2g98d7d \l 2057 </w:instrText>
          </w:r>
          <w:r>
            <w:fldChar w:fldCharType="separate"/>
          </w:r>
          <w:r w:rsidR="0020320D" w:rsidRPr="0020320D">
            <w:rPr>
              <w:noProof/>
            </w:rPr>
            <w:t>(OECD, 2019</w:t>
          </w:r>
          <w:r w:rsidR="0020320D" w:rsidRPr="0020320D">
            <w:rPr>
              <w:noProof/>
              <w:vertAlign w:val="subscript"/>
            </w:rPr>
            <w:t>[4]</w:t>
          </w:r>
          <w:r w:rsidR="0020320D" w:rsidRPr="0020320D">
            <w:rPr>
              <w:noProof/>
            </w:rPr>
            <w:t>)</w:t>
          </w:r>
          <w:r>
            <w:fldChar w:fldCharType="end"/>
          </w:r>
        </w:sdtContent>
      </w:sdt>
      <w:r>
        <w:t xml:space="preserve">. The most recent model enhancement is a detailed calculation of the production, consumption and waste of plastics, differentiated by polymer and application. The ENV-Linkages model can also shed light on the medium- and long-term impact of environmental policies, such as resource efficiency and circular </w:t>
      </w:r>
      <w:r>
        <w:lastRenderedPageBreak/>
        <w:t>economy policies</w:t>
      </w:r>
      <w:sdt>
        <w:sdtPr>
          <w:id w:val="255566719"/>
          <w:citation/>
        </w:sdtPr>
        <w:sdtEndPr/>
        <w:sdtContent>
          <w:r w:rsidR="0020320D">
            <w:fldChar w:fldCharType="begin"/>
          </w:r>
          <w:r w:rsidR="0020320D">
            <w:rPr>
              <w:noProof/>
            </w:rPr>
            <w:instrText xml:space="preserve"> CITATION Eleng \m Delng \l 2057 \m Kappa_c1f3c8d0 </w:instrText>
          </w:r>
          <w:r w:rsidR="0020320D">
            <w:fldChar w:fldCharType="separate"/>
          </w:r>
          <w:r w:rsidR="0020320D">
            <w:rPr>
              <w:noProof/>
            </w:rPr>
            <w:t xml:space="preserve"> </w:t>
          </w:r>
          <w:r w:rsidR="0020320D" w:rsidRPr="0020320D">
            <w:rPr>
              <w:noProof/>
            </w:rPr>
            <w:t>(Chateau and Mavroeidi, 2020</w:t>
          </w:r>
          <w:r w:rsidR="0020320D" w:rsidRPr="0020320D">
            <w:rPr>
              <w:noProof/>
              <w:vertAlign w:val="subscript"/>
            </w:rPr>
            <w:t>[5]</w:t>
          </w:r>
          <w:r w:rsidR="0020320D" w:rsidRPr="0020320D">
            <w:rPr>
              <w:noProof/>
            </w:rPr>
            <w:t>; Dellink, 2020</w:t>
          </w:r>
          <w:r w:rsidR="0020320D" w:rsidRPr="0020320D">
            <w:rPr>
              <w:noProof/>
              <w:vertAlign w:val="subscript"/>
            </w:rPr>
            <w:t>[6]</w:t>
          </w:r>
          <w:r w:rsidR="0020320D" w:rsidRPr="0020320D">
            <w:rPr>
              <w:noProof/>
            </w:rPr>
            <w:t>; Bibas, Chateau and Lanzi, 2021</w:t>
          </w:r>
          <w:r w:rsidR="0020320D" w:rsidRPr="0020320D">
            <w:rPr>
              <w:noProof/>
              <w:vertAlign w:val="subscript"/>
            </w:rPr>
            <w:t>[7]</w:t>
          </w:r>
          <w:r w:rsidR="0020320D" w:rsidRPr="0020320D">
            <w:rPr>
              <w:noProof/>
            </w:rPr>
            <w:t>)</w:t>
          </w:r>
          <w:r w:rsidR="0020320D">
            <w:fldChar w:fldCharType="end"/>
          </w:r>
        </w:sdtContent>
      </w:sdt>
      <w:r>
        <w:t>.</w:t>
      </w:r>
    </w:p>
    <w:p w14:paraId="2BDD4CD9" w14:textId="128C558E" w:rsidR="00925E8F" w:rsidRDefault="00925E8F" w:rsidP="00925E8F">
      <w:pPr>
        <w:pStyle w:val="Para0"/>
      </w:pPr>
      <w:r>
        <w:t xml:space="preserve">ENV-Linkages is a carefully calibrated dynamic CGE model, thus ideal to better understand the drivers of environmental pressures. Its sectoral and regional details can be exploited to assess the benefits of policy action, considering policy-induced changes in sectoral production and trade. Production is assumed to operate under cost minimization with perfect markets and constant return to scale technology. </w:t>
      </w:r>
    </w:p>
    <w:p w14:paraId="63D9EB16" w14:textId="77777777" w:rsidR="00925E8F" w:rsidRDefault="00925E8F" w:rsidP="00925E8F">
      <w:pPr>
        <w:pStyle w:val="Para0"/>
      </w:pPr>
      <w:r>
        <w:t>The model adopts a putty/semi-putty technology specification, where substitution possibilities among factors are assumed to be higher with new vintage capital than with old vintage capital. In the short run, this ensures inertia in the economic system, with limited possibilities to substitute away from more expensive inputs, but in the longer run, this implies relatively smooth adjustment of quantities to price changes. Capital accumulation is modelled as in the traditional Solow-Swan neo-classical growth model.</w:t>
      </w:r>
    </w:p>
    <w:p w14:paraId="3A1C850F" w14:textId="77777777" w:rsidR="00B85666" w:rsidRPr="001670FE" w:rsidRDefault="00B85666" w:rsidP="00B85666">
      <w:pPr>
        <w:pStyle w:val="Para0"/>
      </w:pPr>
      <w:r w:rsidRPr="001670FE">
        <w:t xml:space="preserve">The energy bundle is of particular interest for analysis of </w:t>
      </w:r>
      <w:r>
        <w:t>environmental</w:t>
      </w:r>
      <w:r w:rsidRPr="001670FE">
        <w:t xml:space="preserve"> issues. Energy is a composite of fossil fuels and electricity. In turn, fossil fuel is a composite of coal and a bundle of the “other fossil fuels”. At the lowest nest, the composite “other fossil fuels” commodity consists of crude oil, refined oil products and natural gas. The value of the substitution elasticities are chosen as to imply a higher degree of substitution among the other fuels than with electricity and coal.</w:t>
      </w:r>
    </w:p>
    <w:p w14:paraId="732950A9" w14:textId="77777777" w:rsidR="00B85666" w:rsidRPr="001670FE" w:rsidRDefault="00B85666" w:rsidP="00B85666">
      <w:pPr>
        <w:pStyle w:val="Para0"/>
      </w:pPr>
      <w:r w:rsidRPr="001670FE">
        <w:t>Household consumption demand is the result of static maximization behaviour which is formally implemented as an “Extended Linear Expenditure System”. A representative consumer in each region– who takes prices as given– optimally allocates disposal income among the full set of consumption commodities and savings. Saving is considered as a standard good in the utility function and does not rely on forward</w:t>
      </w:r>
      <w:r w:rsidRPr="001670FE">
        <w:noBreakHyphen/>
        <w:t>looking behaviour by the consumer. The government in each region collects various kinds of taxes in order to finance government expenditures. Assuming fixed public savings (or deficits), the government budget is balanced through the adjustment of the income tax on consumer income. In each period, investment net-of-economic depreciation is equal to the sum of government savings, consumer savings and net capital flows from abroad.</w:t>
      </w:r>
    </w:p>
    <w:p w14:paraId="130856CA" w14:textId="77777777" w:rsidR="00925E8F" w:rsidRDefault="00925E8F" w:rsidP="00925E8F">
      <w:pPr>
        <w:pStyle w:val="Para0"/>
      </w:pPr>
      <w:r>
        <w:t>International trade is based on a set of regional bilateral flows. The model adopts the Armington specification, assuming that domestic and imported products are not perfectly substitutable. Moreover, total imports are also imperfectly substitutable between regions of origin. Market goods equilibria imply that, on the one side, the total production of any good or service is equal to the demand addressed to domestic producers plus exports; and, on the other side, the total demand is allocated between the demands (both final and intermediary) addressed to domestic producers and the import demand.</w:t>
      </w:r>
    </w:p>
    <w:p w14:paraId="1C10F9B4" w14:textId="77777777" w:rsidR="00B85666" w:rsidRPr="001670FE" w:rsidRDefault="00B85666" w:rsidP="00B85666">
      <w:pPr>
        <w:pStyle w:val="Para0"/>
      </w:pPr>
      <w:bookmarkStart w:id="3" w:name="_GoBack"/>
      <w:bookmarkEnd w:id="3"/>
      <w:r w:rsidRPr="001670FE">
        <w:t>ENV</w:t>
      </w:r>
      <w:r w:rsidRPr="001670FE">
        <w:noBreakHyphen/>
        <w:t xml:space="preserve">Linkages is fully homogeneous in prices and only relative prices matter. All prices are expressed relative to the </w:t>
      </w:r>
      <w:r w:rsidRPr="008C3EB0">
        <w:t>numéraire</w:t>
      </w:r>
      <w:r w:rsidRPr="001670FE">
        <w:t xml:space="preserve"> of the price system that is arbitrarily chosen as the index of OECD manufacturing exports prices. Each region runs a current account balance, which is fixed in terms of the </w:t>
      </w:r>
      <w:r w:rsidRPr="008C3EB0">
        <w:t>numéraire</w:t>
      </w:r>
      <w:r w:rsidRPr="001670FE">
        <w:t xml:space="preserve">. One important implication from this assumption in the context of this </w:t>
      </w:r>
      <w:r>
        <w:t>paper</w:t>
      </w:r>
      <w:r w:rsidRPr="001670FE">
        <w:t xml:space="preserve"> is that real exchange rates immediately adjust to restore current account balance when countries start exporting/importing emission permits.</w:t>
      </w:r>
    </w:p>
    <w:p w14:paraId="524822EA" w14:textId="77777777" w:rsidR="00B85666" w:rsidRPr="001670FE" w:rsidRDefault="00B85666" w:rsidP="00B85666">
      <w:pPr>
        <w:pStyle w:val="Para0"/>
      </w:pPr>
      <w:r w:rsidRPr="001670FE">
        <w:t xml:space="preserve">As ENV-Linkages is recursive-dynamic and does not incorporate forward-looking behaviour, price-induced changes in innovation patterns are not represented in the model. The model does, however, entail technological progress through an annual adjustment of the various productivity parameters in the model, including e.g. autonomous energy efficiency and labour productivity improvements. Furthermore, as production with new capital has a relatively large degree of flexibility in choice of inputs, existing technologies can diffuse to other firms. Thus, within the CGE framework, firms choose the least-cost combination of inputs, given the existing state of </w:t>
      </w:r>
      <w:r w:rsidRPr="001670FE">
        <w:lastRenderedPageBreak/>
        <w:t>technology. The capital vintage structure also ensures that such flexibilities are large in the long-run than in the short run.</w:t>
      </w:r>
    </w:p>
    <w:p w14:paraId="34705183" w14:textId="77777777" w:rsidR="00B85666" w:rsidRDefault="00B85666" w:rsidP="00B85666">
      <w:pPr>
        <w:pStyle w:val="Heading2"/>
      </w:pPr>
      <w:r>
        <w:t>Linking economic activity to environmental pressure</w:t>
      </w:r>
    </w:p>
    <w:p w14:paraId="53F3D4A6" w14:textId="5B6F7C5F" w:rsidR="00B85666" w:rsidRPr="001670FE" w:rsidRDefault="00B85666" w:rsidP="00B85666">
      <w:pPr>
        <w:pStyle w:val="Para0"/>
      </w:pPr>
      <w:r w:rsidRPr="004E1934">
        <w:rPr>
          <w:lang w:eastAsia="ja-JP"/>
        </w:rPr>
        <w:t xml:space="preserve">The regional and sectoral structure of the </w:t>
      </w:r>
      <w:r>
        <w:rPr>
          <w:lang w:eastAsia="ja-JP"/>
        </w:rPr>
        <w:t xml:space="preserve">ENV-Linkages </w:t>
      </w:r>
      <w:r w:rsidRPr="004E1934">
        <w:rPr>
          <w:lang w:eastAsia="ja-JP"/>
        </w:rPr>
        <w:t>model</w:t>
      </w:r>
      <w:r>
        <w:rPr>
          <w:lang w:eastAsia="ja-JP"/>
        </w:rPr>
        <w:t>, the use of full production functions</w:t>
      </w:r>
      <w:r w:rsidRPr="004E1934">
        <w:rPr>
          <w:lang w:eastAsia="ja-JP"/>
        </w:rPr>
        <w:t xml:space="preserve">, as well as the </w:t>
      </w:r>
      <w:r>
        <w:rPr>
          <w:lang w:eastAsia="ja-JP"/>
        </w:rPr>
        <w:t xml:space="preserve">detailed representation of the </w:t>
      </w:r>
      <w:r w:rsidRPr="004E1934">
        <w:rPr>
          <w:lang w:eastAsia="ja-JP"/>
        </w:rPr>
        <w:t xml:space="preserve">energy </w:t>
      </w:r>
      <w:r>
        <w:rPr>
          <w:lang w:eastAsia="ja-JP"/>
        </w:rPr>
        <w:t>system</w:t>
      </w:r>
      <w:r w:rsidRPr="004E1934">
        <w:rPr>
          <w:lang w:eastAsia="ja-JP"/>
        </w:rPr>
        <w:t>, can be exploited to produc</w:t>
      </w:r>
      <w:r>
        <w:rPr>
          <w:lang w:eastAsia="ja-JP"/>
        </w:rPr>
        <w:t>e projections of environmental pressure: e</w:t>
      </w:r>
      <w:r w:rsidR="00925E8F">
        <w:t>nvironmental pressures are linked to specific elements of economic activity</w:t>
      </w:r>
      <w:r w:rsidR="00B608D5">
        <w:t>.</w:t>
      </w:r>
      <w:r w:rsidR="00925E8F">
        <w:t xml:space="preserve"> </w:t>
      </w:r>
      <w:r w:rsidRPr="001670FE">
        <w:t>CO</w:t>
      </w:r>
      <w:r w:rsidRPr="00B23A1D">
        <w:rPr>
          <w:vertAlign w:val="subscript"/>
        </w:rPr>
        <w:t>2</w:t>
      </w:r>
      <w:r w:rsidRPr="008C3EB0">
        <w:t xml:space="preserve"> </w:t>
      </w:r>
      <w:r w:rsidRPr="001670FE">
        <w:t xml:space="preserve">emissions from combustion of energy are directly linked to the use of different fuels in </w:t>
      </w:r>
      <w:r w:rsidRPr="00222982">
        <w:t>production. Other GHG emissions are linked to output in a way similar to</w:t>
      </w:r>
      <w:r>
        <w:t xml:space="preserve"> </w:t>
      </w:r>
      <w:r w:rsidRPr="00123D34">
        <w:rPr>
          <w:noProof/>
        </w:rPr>
        <w:t>Hyman et al.</w:t>
      </w:r>
      <w:r w:rsidRPr="00222982">
        <w:t xml:space="preserve"> </w:t>
      </w:r>
      <w:sdt>
        <w:sdtPr>
          <w:id w:val="1529140830"/>
          <w:citation/>
        </w:sdtPr>
        <w:sdtEndPr/>
        <w:sdtContent>
          <w:r w:rsidRPr="00222982">
            <w:fldChar w:fldCharType="begin"/>
          </w:r>
          <w:r>
            <w:instrText xml:space="preserve">CITATION Mendeley_yYYdjEx30DWQSvili4bR2A \n  \l 2057 </w:instrText>
          </w:r>
          <w:r w:rsidRPr="00222982">
            <w:fldChar w:fldCharType="separate"/>
          </w:r>
          <w:r w:rsidR="0020320D" w:rsidRPr="0020320D">
            <w:rPr>
              <w:noProof/>
            </w:rPr>
            <w:t>(2003</w:t>
          </w:r>
          <w:r w:rsidR="0020320D" w:rsidRPr="0020320D">
            <w:rPr>
              <w:noProof/>
              <w:vertAlign w:val="subscript"/>
            </w:rPr>
            <w:t>[8]</w:t>
          </w:r>
          <w:r w:rsidR="0020320D" w:rsidRPr="0020320D">
            <w:rPr>
              <w:noProof/>
            </w:rPr>
            <w:t>)</w:t>
          </w:r>
          <w:r w:rsidRPr="00222982">
            <w:fldChar w:fldCharType="end"/>
          </w:r>
        </w:sdtContent>
      </w:sdt>
      <w:r w:rsidRPr="00222982">
        <w:t>. The following</w:t>
      </w:r>
      <w:r w:rsidRPr="001670FE">
        <w:t xml:space="preserve"> non-CO</w:t>
      </w:r>
      <w:r w:rsidRPr="00B23A1D">
        <w:rPr>
          <w:vertAlign w:val="subscript"/>
        </w:rPr>
        <w:t>2</w:t>
      </w:r>
      <w:r w:rsidRPr="001670FE">
        <w:t xml:space="preserve"> emission sources are considered: i) methane from rice cultivation, livestock production (enteric fermentation and manure management), fugitive methane emissions from coal mining, crude oil extraction, natural gas and services (landfills and water sewage); ii) nitrous oxide from crops (nitrogenous fertilizers), livestock (manure management), chemicals (non-combustion industrial processes) and services (landfills); iii) industrial gases (SF</w:t>
      </w:r>
      <w:r w:rsidRPr="00B23A1D">
        <w:rPr>
          <w:vertAlign w:val="subscript"/>
        </w:rPr>
        <w:t>6</w:t>
      </w:r>
      <w:r w:rsidRPr="001670FE">
        <w:t>, PFCs and HFCs) from chemicals industry (foams, adipic acid, solvents), aluminium, magnesium and semi-conductors production.</w:t>
      </w:r>
      <w:r w:rsidRPr="008C3EB0">
        <w:t xml:space="preserve"> Over time, there is, however, some relative decoupling of emissions from the underlying economic activity through autonomous technical progress, implying that emissions grow less</w:t>
      </w:r>
      <w:r w:rsidR="00B608D5">
        <w:t xml:space="preserve"> rapidly than economic activity</w:t>
      </w:r>
      <w:sdt>
        <w:sdtPr>
          <w:id w:val="2070453897"/>
          <w:citation/>
        </w:sdtPr>
        <w:sdtEndPr/>
        <w:sdtContent>
          <w:r w:rsidR="00B608D5">
            <w:fldChar w:fldCharType="begin"/>
          </w:r>
          <w:r w:rsidR="00B608D5">
            <w:instrText xml:space="preserve"> CITATION Kappa_g2g558e1 \l 2057 </w:instrText>
          </w:r>
          <w:r w:rsidR="00B608D5">
            <w:fldChar w:fldCharType="separate"/>
          </w:r>
          <w:r w:rsidR="0020320D">
            <w:rPr>
              <w:noProof/>
            </w:rPr>
            <w:t xml:space="preserve"> </w:t>
          </w:r>
          <w:r w:rsidR="0020320D" w:rsidRPr="0020320D">
            <w:rPr>
              <w:noProof/>
            </w:rPr>
            <w:t>(OECD, 2015</w:t>
          </w:r>
          <w:r w:rsidR="0020320D" w:rsidRPr="0020320D">
            <w:rPr>
              <w:noProof/>
              <w:vertAlign w:val="subscript"/>
            </w:rPr>
            <w:t>[2]</w:t>
          </w:r>
          <w:r w:rsidR="0020320D" w:rsidRPr="0020320D">
            <w:rPr>
              <w:noProof/>
            </w:rPr>
            <w:t>)</w:t>
          </w:r>
          <w:r w:rsidR="00B608D5">
            <w:fldChar w:fldCharType="end"/>
          </w:r>
        </w:sdtContent>
      </w:sdt>
      <w:r w:rsidR="00B608D5">
        <w:t>.</w:t>
      </w:r>
    </w:p>
    <w:p w14:paraId="4C31B7C6" w14:textId="2C2FCBED" w:rsidR="00B85666" w:rsidRDefault="00B85666" w:rsidP="00B85666">
      <w:pPr>
        <w:pStyle w:val="Para0"/>
      </w:pPr>
      <w:r w:rsidRPr="004E1934">
        <w:t>Emissions of air pollutants have been included in ENV-Linkages</w:t>
      </w:r>
      <w:r>
        <w:t xml:space="preserve"> by</w:t>
      </w:r>
      <w:r w:rsidRPr="004E1934">
        <w:t xml:space="preserve"> linking them to production activities in different key sectors</w:t>
      </w:r>
      <w:r w:rsidR="00B608D5">
        <w:t>.</w:t>
      </w:r>
      <w:r w:rsidRPr="004E1934">
        <w:t xml:space="preserve"> The main emission sources are </w:t>
      </w:r>
      <w:r>
        <w:t xml:space="preserve">similar to those of GHGs emissions: </w:t>
      </w:r>
      <w:r w:rsidRPr="004E1934">
        <w:t xml:space="preserve">power generation and industrial energy use, due to the combustion of fossil fuels; agricultural production, due to the use of fertilisers; transport, especially due to fossil fuel use in road transport, and emissions from the residential and commercial sectors. </w:t>
      </w:r>
      <w:r>
        <w:t>The a</w:t>
      </w:r>
      <w:r w:rsidRPr="004E1934">
        <w:t xml:space="preserve">ir pollutants </w:t>
      </w:r>
      <w:r>
        <w:t>tracked</w:t>
      </w:r>
      <w:r w:rsidRPr="004E1934">
        <w:t xml:space="preserve"> </w:t>
      </w:r>
      <w:r>
        <w:t>in the model are the following</w:t>
      </w:r>
      <w:r w:rsidRPr="004E1934">
        <w:t>: sulphur dioxide (SO</w:t>
      </w:r>
      <w:r w:rsidRPr="004E1934">
        <w:rPr>
          <w:vertAlign w:val="subscript"/>
        </w:rPr>
        <w:t>2</w:t>
      </w:r>
      <w:r w:rsidRPr="004E1934">
        <w:t>), nitrogen oxides (NO</w:t>
      </w:r>
      <w:r w:rsidRPr="004E1934">
        <w:rPr>
          <w:vertAlign w:val="subscript"/>
        </w:rPr>
        <w:t>x</w:t>
      </w:r>
      <w:r w:rsidRPr="004E1934">
        <w:t>), black carbon (BC), organic carbon (OC), carbon monoxide (CO), volatile organic compounds (VOCs) and ammonia (NH</w:t>
      </w:r>
      <w:r w:rsidRPr="004E1934">
        <w:rPr>
          <w:vertAlign w:val="subscript"/>
        </w:rPr>
        <w:t>3</w:t>
      </w:r>
      <w:r w:rsidRPr="004E1934">
        <w:t>). Even if this list does not cover all air pollutants, it includes the main precursors of P</w:t>
      </w:r>
      <w:r>
        <w:t xml:space="preserve">articulate </w:t>
      </w:r>
      <w:r w:rsidRPr="004E1934">
        <w:t>M</w:t>
      </w:r>
      <w:r>
        <w:t>atter (PM)</w:t>
      </w:r>
      <w:r w:rsidRPr="004E1934">
        <w:t xml:space="preserve"> and ground level ozone</w:t>
      </w:r>
      <w:r>
        <w:t xml:space="preserve"> </w:t>
      </w:r>
      <w:r w:rsidRPr="004E1934">
        <w:t>(O</w:t>
      </w:r>
      <w:r w:rsidRPr="004E1934">
        <w:rPr>
          <w:vertAlign w:val="subscript"/>
        </w:rPr>
        <w:t>3</w:t>
      </w:r>
      <w:r w:rsidRPr="004E1934">
        <w:t xml:space="preserve">), </w:t>
      </w:r>
      <w:r>
        <w:t xml:space="preserve">the concentration levels of </w:t>
      </w:r>
      <w:r w:rsidRPr="004E1934">
        <w:t xml:space="preserve">which are the main causes of impact on </w:t>
      </w:r>
      <w:r>
        <w:t xml:space="preserve">human </w:t>
      </w:r>
      <w:r w:rsidRPr="004E1934">
        <w:t xml:space="preserve">health and on crop yields. The data on air pollutants used for this report is the output of the GAINS (Greenhouse Gas </w:t>
      </w:r>
      <w:r w:rsidRPr="008170EB">
        <w:t xml:space="preserve">and Air Pollution Interactions and Synergies) </w:t>
      </w:r>
      <w:r>
        <w:t xml:space="preserve">model </w:t>
      </w:r>
      <w:sdt>
        <w:sdtPr>
          <w:id w:val="-1248721584"/>
          <w:citation/>
        </w:sdtPr>
        <w:sdtEndPr/>
        <w:sdtContent>
          <w:r w:rsidRPr="008170EB">
            <w:fldChar w:fldCharType="begin"/>
          </w:r>
          <w:r w:rsidRPr="008170EB">
            <w:instrText xml:space="preserve"> CITATION Mendeley_ctQTNY4yaDWRMGrKPTARUw \l 2057 </w:instrText>
          </w:r>
          <w:r>
            <w:instrText xml:space="preserve"> \m Mendeley_mfxT5pvquzy4B82K__Yeg1Q</w:instrText>
          </w:r>
          <w:r w:rsidRPr="008170EB">
            <w:fldChar w:fldCharType="separate"/>
          </w:r>
          <w:bookmarkStart w:id="4" w:name="Mendeley_mfxT5pvquzy4B82K__Yeg1Q_10"/>
          <w:bookmarkStart w:id="5" w:name="Mendeley_mfxT5pvquzy4B82K__Yeg1Q_20"/>
          <w:bookmarkStart w:id="6" w:name="Mendeley_mfxT5pvquzy4B82K__Yeg1Q_26"/>
          <w:bookmarkStart w:id="7" w:name="Mendeley_mfxT5pvquzy4B82K__Yeg1Q_27"/>
          <w:bookmarkStart w:id="8" w:name="Mendeley_mfxT5pvquzy4B82K__Yeg1Q_35"/>
          <w:bookmarkStart w:id="9" w:name="Mendeley_mfxT5pvquzy4B82K__Yeg1Q_36"/>
          <w:bookmarkEnd w:id="4"/>
          <w:bookmarkEnd w:id="5"/>
          <w:bookmarkEnd w:id="6"/>
          <w:bookmarkEnd w:id="7"/>
          <w:r w:rsidR="0020320D" w:rsidRPr="0020320D">
            <w:rPr>
              <w:noProof/>
            </w:rPr>
            <w:t>(Amann, Klimont and Wagner, 2013</w:t>
          </w:r>
          <w:r w:rsidR="0020320D" w:rsidRPr="0020320D">
            <w:rPr>
              <w:noProof/>
              <w:vertAlign w:val="subscript"/>
            </w:rPr>
            <w:t>[9]</w:t>
          </w:r>
          <w:r w:rsidR="0020320D" w:rsidRPr="0020320D">
            <w:rPr>
              <w:noProof/>
            </w:rPr>
            <w:t>; Wagner, Amann and Schoepp, 2007</w:t>
          </w:r>
          <w:r w:rsidR="0020320D" w:rsidRPr="0020320D">
            <w:rPr>
              <w:noProof/>
              <w:vertAlign w:val="subscript"/>
            </w:rPr>
            <w:t>[10]</w:t>
          </w:r>
          <w:r w:rsidR="0020320D" w:rsidRPr="0020320D">
            <w:rPr>
              <w:noProof/>
            </w:rPr>
            <w:t>)</w:t>
          </w:r>
          <w:bookmarkEnd w:id="8"/>
          <w:bookmarkEnd w:id="9"/>
          <w:r w:rsidRPr="008170EB">
            <w:fldChar w:fldCharType="end"/>
          </w:r>
        </w:sdtContent>
      </w:sdt>
      <w:r w:rsidRPr="008170EB">
        <w:t>. The emissions per unit of the related economic activity (i.e. the emission coefficients) are time-, sector- and region-specific</w:t>
      </w:r>
      <w:r w:rsidRPr="004E1934">
        <w:t xml:space="preserve"> to reflect the different implementation rates of respective technologies required to comply with the existing emission legislation in each sector and region</w:t>
      </w:r>
      <w:sdt>
        <w:sdtPr>
          <w:id w:val="-1047531101"/>
          <w:citation/>
        </w:sdtPr>
        <w:sdtEndPr/>
        <w:sdtContent>
          <w:r w:rsidR="00B608D5">
            <w:fldChar w:fldCharType="begin"/>
          </w:r>
          <w:r w:rsidR="00B608D5">
            <w:instrText xml:space="preserve"> CITATION Kappa_g2g68583 \l 2057 </w:instrText>
          </w:r>
          <w:r w:rsidR="00B608D5">
            <w:fldChar w:fldCharType="separate"/>
          </w:r>
          <w:r w:rsidR="0020320D">
            <w:rPr>
              <w:noProof/>
            </w:rPr>
            <w:t xml:space="preserve"> </w:t>
          </w:r>
          <w:r w:rsidR="0020320D" w:rsidRPr="0020320D">
            <w:rPr>
              <w:noProof/>
            </w:rPr>
            <w:t>(OECD, 2016</w:t>
          </w:r>
          <w:r w:rsidR="0020320D" w:rsidRPr="0020320D">
            <w:rPr>
              <w:noProof/>
              <w:vertAlign w:val="subscript"/>
            </w:rPr>
            <w:t>[3]</w:t>
          </w:r>
          <w:r w:rsidR="0020320D" w:rsidRPr="0020320D">
            <w:rPr>
              <w:noProof/>
            </w:rPr>
            <w:t>)</w:t>
          </w:r>
          <w:r w:rsidR="00B608D5">
            <w:fldChar w:fldCharType="end"/>
          </w:r>
        </w:sdtContent>
      </w:sdt>
      <w:r w:rsidR="00B608D5" w:rsidRPr="004E1934">
        <w:t>.</w:t>
      </w:r>
    </w:p>
    <w:p w14:paraId="71BBFFD3" w14:textId="336CE8B2" w:rsidR="000D759D" w:rsidRDefault="000D759D" w:rsidP="0013698F">
      <w:pPr>
        <w:pStyle w:val="Para0"/>
      </w:pPr>
      <w:r>
        <w:t>Material flows, covering 60 different materials including bio</w:t>
      </w:r>
      <w:r w:rsidR="00121740">
        <w:t>tic resources</w:t>
      </w:r>
      <w:r>
        <w:t>, fossil fuels, metals and non-metallic minerals, are linked to the economic flows at the detailed sectoral level</w:t>
      </w:r>
      <w:r w:rsidR="0013698F">
        <w:t xml:space="preserve"> (see </w:t>
      </w:r>
      <w:r w:rsidR="0013698F">
        <w:fldChar w:fldCharType="begin"/>
      </w:r>
      <w:r w:rsidR="0013698F">
        <w:instrText xml:space="preserve"> REF _Ref8054537 \h </w:instrText>
      </w:r>
      <w:r w:rsidR="0013698F">
        <w:fldChar w:fldCharType="separate"/>
      </w:r>
      <w:r w:rsidR="00222812" w:rsidRPr="00961F86">
        <w:t>Table</w:t>
      </w:r>
      <w:r w:rsidR="00222812">
        <w:t> </w:t>
      </w:r>
      <w:r w:rsidR="00222812">
        <w:rPr>
          <w:noProof/>
        </w:rPr>
        <w:t>1</w:t>
      </w:r>
      <w:r w:rsidR="0013698F">
        <w:fldChar w:fldCharType="end"/>
      </w:r>
      <w:r w:rsidR="0013698F">
        <w:t xml:space="preserve"> for details)</w:t>
      </w:r>
      <w:r>
        <w:t>. The dataset on physical material flows from the International Resource Panel (UNEP, 2018) is used as the basis for the projection of primary material extraction. The basic principle for linking is that physical flows (materials use in tonnes) for each material is attached to the corresponding economic flow (materials demand in USD). A coefficient of physical use per USD of demand is calculated and used to project materials use in the coming decades, i.e. efficiency improvements are assumed to affect both the physical and monetary material flows, and leave the physical use coefficient unchanged</w:t>
      </w:r>
      <w:r w:rsidR="0020320D">
        <w:t xml:space="preserve"> </w:t>
      </w:r>
      <w:sdt>
        <w:sdtPr>
          <w:id w:val="732591024"/>
          <w:citation/>
        </w:sdtPr>
        <w:sdtEndPr/>
        <w:sdtContent>
          <w:r w:rsidR="0020320D">
            <w:fldChar w:fldCharType="begin"/>
          </w:r>
          <w:r w:rsidR="0020320D">
            <w:instrText xml:space="preserve">CITATION Kappa_g2g98d7d \l 2057 </w:instrText>
          </w:r>
          <w:r w:rsidR="0020320D">
            <w:fldChar w:fldCharType="separate"/>
          </w:r>
          <w:r w:rsidR="0020320D" w:rsidRPr="0020320D">
            <w:rPr>
              <w:noProof/>
            </w:rPr>
            <w:t>(OECD, 2019</w:t>
          </w:r>
          <w:r w:rsidR="0020320D" w:rsidRPr="0020320D">
            <w:rPr>
              <w:noProof/>
              <w:vertAlign w:val="subscript"/>
            </w:rPr>
            <w:t>[4]</w:t>
          </w:r>
          <w:r w:rsidR="0020320D" w:rsidRPr="0020320D">
            <w:rPr>
              <w:noProof/>
            </w:rPr>
            <w:t>)</w:t>
          </w:r>
          <w:r w:rsidR="0020320D">
            <w:fldChar w:fldCharType="end"/>
          </w:r>
        </w:sdtContent>
      </w:sdt>
      <w:r w:rsidR="0020320D">
        <w:t>.</w:t>
      </w:r>
    </w:p>
    <w:p w14:paraId="2E64D672" w14:textId="77777777" w:rsidR="00A30313" w:rsidRDefault="00A30313" w:rsidP="0013698F">
      <w:pPr>
        <w:pStyle w:val="Para0"/>
      </w:pPr>
    </w:p>
    <w:p w14:paraId="29E767B7" w14:textId="5FB0B3AC" w:rsidR="00121740" w:rsidRPr="00961F86" w:rsidRDefault="00121740" w:rsidP="00121740">
      <w:pPr>
        <w:pStyle w:val="Caption"/>
      </w:pPr>
      <w:bookmarkStart w:id="10" w:name="_Ref8054537"/>
      <w:bookmarkStart w:id="11" w:name="_Toc37018452"/>
      <w:r w:rsidRPr="00961F86">
        <w:lastRenderedPageBreak/>
        <w:t>Table</w:t>
      </w:r>
      <w:r>
        <w:t> </w:t>
      </w:r>
      <w:r w:rsidRPr="00A87D9A">
        <w:fldChar w:fldCharType="begin"/>
      </w:r>
      <w:r w:rsidRPr="00961F86">
        <w:instrText xml:space="preserve"> SEQ Table \* ARABIC </w:instrText>
      </w:r>
      <w:r w:rsidRPr="00A87D9A">
        <w:fldChar w:fldCharType="separate"/>
      </w:r>
      <w:r w:rsidR="00222812">
        <w:rPr>
          <w:noProof/>
        </w:rPr>
        <w:t>1</w:t>
      </w:r>
      <w:r w:rsidRPr="00A87D9A">
        <w:rPr>
          <w:noProof/>
        </w:rPr>
        <w:fldChar w:fldCharType="end"/>
      </w:r>
      <w:bookmarkEnd w:id="10"/>
      <w:r w:rsidRPr="00961F86">
        <w:t xml:space="preserve">. </w:t>
      </w:r>
      <w:r>
        <w:t xml:space="preserve">Overview of materials included in the </w:t>
      </w:r>
      <w:bookmarkEnd w:id="11"/>
      <w:r w:rsidR="007D77CA">
        <w:t>model</w:t>
      </w:r>
    </w:p>
    <w:tbl>
      <w:tblPr>
        <w:tblStyle w:val="OECD"/>
        <w:tblW w:w="0" w:type="auto"/>
        <w:tblLook w:val="04A0" w:firstRow="1" w:lastRow="0" w:firstColumn="1" w:lastColumn="0" w:noHBand="0" w:noVBand="1"/>
      </w:tblPr>
      <w:tblGrid>
        <w:gridCol w:w="1208"/>
        <w:gridCol w:w="4607"/>
        <w:gridCol w:w="2423"/>
      </w:tblGrid>
      <w:tr w:rsidR="00121740" w14:paraId="0F01D66D" w14:textId="77777777" w:rsidTr="007517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D82A70E" w14:textId="77777777" w:rsidR="00121740" w:rsidRPr="00FC78FC" w:rsidRDefault="00121740" w:rsidP="0075179D">
            <w:pPr>
              <w:pStyle w:val="TableColumn"/>
              <w:rPr>
                <w:b/>
                <w:sz w:val="16"/>
              </w:rPr>
            </w:pPr>
            <w:r w:rsidRPr="00FC78FC">
              <w:rPr>
                <w:b/>
                <w:lang w:eastAsia="ko-KR"/>
              </w:rPr>
              <w:t>Category</w:t>
            </w:r>
          </w:p>
        </w:tc>
        <w:tc>
          <w:tcPr>
            <w:tcW w:w="4607" w:type="dxa"/>
          </w:tcPr>
          <w:p w14:paraId="084F9A2F" w14:textId="77777777" w:rsidR="00121740" w:rsidRPr="00FC78FC" w:rsidRDefault="00121740" w:rsidP="0075179D">
            <w:pPr>
              <w:pStyle w:val="TableColumn"/>
              <w:cnfStyle w:val="100000000000" w:firstRow="1" w:lastRow="0" w:firstColumn="0" w:lastColumn="0" w:oddVBand="0" w:evenVBand="0" w:oddHBand="0" w:evenHBand="0" w:firstRowFirstColumn="0" w:firstRowLastColumn="0" w:lastRowFirstColumn="0" w:lastRowLastColumn="0"/>
              <w:rPr>
                <w:b/>
                <w:bCs w:val="0"/>
                <w:lang w:eastAsia="ko-KR"/>
              </w:rPr>
            </w:pPr>
            <w:r w:rsidRPr="00FC78FC">
              <w:rPr>
                <w:b/>
                <w:lang w:eastAsia="ko-KR"/>
              </w:rPr>
              <w:t>Materials</w:t>
            </w:r>
          </w:p>
        </w:tc>
        <w:tc>
          <w:tcPr>
            <w:tcW w:w="2423" w:type="dxa"/>
            <w:hideMark/>
          </w:tcPr>
          <w:p w14:paraId="70DAA53C" w14:textId="77777777" w:rsidR="00121740" w:rsidRPr="00FC78FC" w:rsidRDefault="00121740" w:rsidP="0075179D">
            <w:pPr>
              <w:pStyle w:val="TableColumn"/>
              <w:cnfStyle w:val="100000000000" w:firstRow="1" w:lastRow="0" w:firstColumn="0" w:lastColumn="0" w:oddVBand="0" w:evenVBand="0" w:oddHBand="0" w:evenHBand="0" w:firstRowFirstColumn="0" w:firstRowLastColumn="0" w:lastRowFirstColumn="0" w:lastRowLastColumn="0"/>
              <w:rPr>
                <w:b/>
              </w:rPr>
            </w:pPr>
            <w:r w:rsidRPr="00FC78FC">
              <w:rPr>
                <w:b/>
                <w:lang w:eastAsia="ko-KR"/>
              </w:rPr>
              <w:t>Corresponding economic flow</w:t>
            </w:r>
          </w:p>
        </w:tc>
      </w:tr>
      <w:tr w:rsidR="00121740" w14:paraId="38CF2590" w14:textId="77777777" w:rsidTr="007517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D59C803" w14:textId="6031EBF0" w:rsidR="00121740" w:rsidRDefault="00121740" w:rsidP="0075179D">
            <w:pPr>
              <w:pStyle w:val="TableRow"/>
              <w:rPr>
                <w:lang w:eastAsia="ko-KR"/>
              </w:rPr>
            </w:pPr>
            <w:r>
              <w:rPr>
                <w:lang w:eastAsia="ko-KR"/>
              </w:rPr>
              <w:t>Biotic resources</w:t>
            </w:r>
          </w:p>
        </w:tc>
        <w:tc>
          <w:tcPr>
            <w:tcW w:w="4607" w:type="dxa"/>
          </w:tcPr>
          <w:p w14:paraId="085AE8B8" w14:textId="227EB3CB" w:rsidR="00121740" w:rsidRDefault="0075179D" w:rsidP="00EF5BCE">
            <w:pPr>
              <w:pStyle w:val="TableCell"/>
              <w:jc w:val="left"/>
              <w:cnfStyle w:val="000000100000" w:firstRow="0" w:lastRow="0" w:firstColumn="0" w:lastColumn="0" w:oddVBand="0" w:evenVBand="0" w:oddHBand="1" w:evenHBand="0" w:firstRowFirstColumn="0" w:firstRowLastColumn="0" w:lastRowFirstColumn="0" w:lastRowLastColumn="0"/>
              <w:rPr>
                <w:lang w:eastAsia="ko-KR"/>
              </w:rPr>
            </w:pPr>
            <w:r>
              <w:rPr>
                <w:lang w:eastAsia="ko-KR"/>
              </w:rPr>
              <w:t>Grazed biomass</w:t>
            </w:r>
            <w:r w:rsidR="00EF5BCE">
              <w:rPr>
                <w:lang w:eastAsia="ko-KR"/>
              </w:rPr>
              <w:t xml:space="preserve">, </w:t>
            </w:r>
            <w:r>
              <w:rPr>
                <w:lang w:eastAsia="ko-KR"/>
              </w:rPr>
              <w:t>Other crop residues (sugar and fodder beet leaves etc.)</w:t>
            </w:r>
            <w:r w:rsidR="00EF5BCE">
              <w:rPr>
                <w:lang w:eastAsia="ko-KR"/>
              </w:rPr>
              <w:t xml:space="preserve">, </w:t>
            </w:r>
            <w:r>
              <w:rPr>
                <w:lang w:eastAsia="ko-KR"/>
              </w:rPr>
              <w:t>Straw</w:t>
            </w:r>
            <w:r w:rsidR="00EF5BCE">
              <w:rPr>
                <w:lang w:eastAsia="ko-KR"/>
              </w:rPr>
              <w:t xml:space="preserve">, </w:t>
            </w:r>
            <w:r>
              <w:rPr>
                <w:lang w:eastAsia="ko-KR"/>
              </w:rPr>
              <w:t>Sugar crops</w:t>
            </w:r>
            <w:r w:rsidR="00EF5BCE">
              <w:rPr>
                <w:lang w:eastAsia="ko-KR"/>
              </w:rPr>
              <w:t xml:space="preserve">, </w:t>
            </w:r>
            <w:r>
              <w:rPr>
                <w:lang w:eastAsia="ko-KR"/>
              </w:rPr>
              <w:t>Timber (Industrial round wood)</w:t>
            </w:r>
            <w:r w:rsidR="00EF5BCE">
              <w:rPr>
                <w:lang w:eastAsia="ko-KR"/>
              </w:rPr>
              <w:t xml:space="preserve">, </w:t>
            </w:r>
            <w:r>
              <w:rPr>
                <w:lang w:eastAsia="ko-KR"/>
              </w:rPr>
              <w:t>Wood fuel and other extraction</w:t>
            </w:r>
            <w:r w:rsidR="00EF5BCE">
              <w:rPr>
                <w:lang w:eastAsia="ko-KR"/>
              </w:rPr>
              <w:t xml:space="preserve">, </w:t>
            </w:r>
            <w:r>
              <w:rPr>
                <w:lang w:eastAsia="ko-KR"/>
              </w:rPr>
              <w:t>All other aquatic animals</w:t>
            </w:r>
            <w:r w:rsidR="00EF5BCE">
              <w:rPr>
                <w:lang w:eastAsia="ko-KR"/>
              </w:rPr>
              <w:t xml:space="preserve">, </w:t>
            </w:r>
            <w:r>
              <w:rPr>
                <w:lang w:eastAsia="ko-KR"/>
              </w:rPr>
              <w:t>Aquatic plants</w:t>
            </w:r>
            <w:r w:rsidR="00EF5BCE">
              <w:rPr>
                <w:lang w:eastAsia="ko-KR"/>
              </w:rPr>
              <w:t xml:space="preserve">, </w:t>
            </w:r>
            <w:r>
              <w:rPr>
                <w:lang w:eastAsia="ko-KR"/>
              </w:rPr>
              <w:t>Wild fish catch</w:t>
            </w:r>
            <w:r w:rsidR="00EF5BCE">
              <w:rPr>
                <w:lang w:eastAsia="ko-KR"/>
              </w:rPr>
              <w:t xml:space="preserve">, </w:t>
            </w:r>
            <w:r>
              <w:rPr>
                <w:lang w:eastAsia="ko-KR"/>
              </w:rPr>
              <w:t>Fruits</w:t>
            </w:r>
            <w:r w:rsidR="00EF5BCE">
              <w:rPr>
                <w:lang w:eastAsia="ko-KR"/>
              </w:rPr>
              <w:t xml:space="preserve">, </w:t>
            </w:r>
            <w:r>
              <w:rPr>
                <w:lang w:eastAsia="ko-KR"/>
              </w:rPr>
              <w:t>Nuts</w:t>
            </w:r>
            <w:r w:rsidR="00EF5BCE">
              <w:rPr>
                <w:lang w:eastAsia="ko-KR"/>
              </w:rPr>
              <w:t xml:space="preserve">, </w:t>
            </w:r>
            <w:r>
              <w:rPr>
                <w:lang w:eastAsia="ko-KR"/>
              </w:rPr>
              <w:t>Vegetables</w:t>
            </w:r>
            <w:r w:rsidR="00EF5BCE">
              <w:rPr>
                <w:lang w:eastAsia="ko-KR"/>
              </w:rPr>
              <w:t xml:space="preserve">, </w:t>
            </w:r>
            <w:r>
              <w:rPr>
                <w:lang w:eastAsia="ko-KR"/>
              </w:rPr>
              <w:t>Oil bearing crops</w:t>
            </w:r>
            <w:r w:rsidR="00EF5BCE">
              <w:rPr>
                <w:lang w:eastAsia="ko-KR"/>
              </w:rPr>
              <w:t xml:space="preserve">, </w:t>
            </w:r>
            <w:r>
              <w:rPr>
                <w:lang w:eastAsia="ko-KR"/>
              </w:rPr>
              <w:t>Fibres</w:t>
            </w:r>
            <w:r w:rsidR="00EF5BCE">
              <w:rPr>
                <w:lang w:eastAsia="ko-KR"/>
              </w:rPr>
              <w:t xml:space="preserve">, </w:t>
            </w:r>
            <w:r>
              <w:rPr>
                <w:lang w:eastAsia="ko-KR"/>
              </w:rPr>
              <w:t>Wheat</w:t>
            </w:r>
            <w:r w:rsidR="00EF5BCE">
              <w:rPr>
                <w:lang w:eastAsia="ko-KR"/>
              </w:rPr>
              <w:t xml:space="preserve">, </w:t>
            </w:r>
            <w:r>
              <w:rPr>
                <w:lang w:eastAsia="ko-KR"/>
              </w:rPr>
              <w:t>Rice</w:t>
            </w:r>
            <w:r w:rsidR="00EF5BCE">
              <w:rPr>
                <w:lang w:eastAsia="ko-KR"/>
              </w:rPr>
              <w:t xml:space="preserve">, </w:t>
            </w:r>
            <w:r>
              <w:rPr>
                <w:lang w:eastAsia="ko-KR"/>
              </w:rPr>
              <w:t>Cereals n.e.c.</w:t>
            </w:r>
            <w:r w:rsidR="00EF5BCE">
              <w:rPr>
                <w:lang w:eastAsia="ko-KR"/>
              </w:rPr>
              <w:t xml:space="preserve">, </w:t>
            </w:r>
            <w:r>
              <w:rPr>
                <w:lang w:eastAsia="ko-KR"/>
              </w:rPr>
              <w:t>Other crops n.e.c.</w:t>
            </w:r>
            <w:r w:rsidR="00EF5BCE">
              <w:rPr>
                <w:lang w:eastAsia="ko-KR"/>
              </w:rPr>
              <w:t xml:space="preserve">, </w:t>
            </w:r>
            <w:r>
              <w:rPr>
                <w:lang w:eastAsia="ko-KR"/>
              </w:rPr>
              <w:t>Pulses</w:t>
            </w:r>
            <w:r w:rsidR="00EF5BCE">
              <w:rPr>
                <w:lang w:eastAsia="ko-KR"/>
              </w:rPr>
              <w:t xml:space="preserve">, </w:t>
            </w:r>
            <w:r>
              <w:rPr>
                <w:lang w:eastAsia="ko-KR"/>
              </w:rPr>
              <w:t>Roots and tubers</w:t>
            </w:r>
            <w:r w:rsidR="00EF5BCE">
              <w:rPr>
                <w:lang w:eastAsia="ko-KR"/>
              </w:rPr>
              <w:t xml:space="preserve">, </w:t>
            </w:r>
            <w:r>
              <w:rPr>
                <w:lang w:eastAsia="ko-KR"/>
              </w:rPr>
              <w:t>Spice - beverage - pharmaceutical crops</w:t>
            </w:r>
            <w:r w:rsidR="00EF5BCE">
              <w:rPr>
                <w:lang w:eastAsia="ko-KR"/>
              </w:rPr>
              <w:t xml:space="preserve">, </w:t>
            </w:r>
            <w:r>
              <w:rPr>
                <w:lang w:eastAsia="ko-KR"/>
              </w:rPr>
              <w:t>Tobacco</w:t>
            </w:r>
          </w:p>
        </w:tc>
        <w:tc>
          <w:tcPr>
            <w:tcW w:w="2423" w:type="dxa"/>
          </w:tcPr>
          <w:p w14:paraId="229E9537" w14:textId="38835657" w:rsidR="00121740" w:rsidRDefault="00EF5BCE" w:rsidP="0075179D">
            <w:pPr>
              <w:pStyle w:val="TableCell"/>
              <w:jc w:val="left"/>
              <w:cnfStyle w:val="000000100000" w:firstRow="0" w:lastRow="0" w:firstColumn="0" w:lastColumn="0" w:oddVBand="0" w:evenVBand="0" w:oddHBand="1" w:evenHBand="0" w:firstRowFirstColumn="0" w:firstRowLastColumn="0" w:lastRowFirstColumn="0" w:lastRowLastColumn="0"/>
              <w:rPr>
                <w:lang w:eastAsia="ko-KR"/>
              </w:rPr>
            </w:pPr>
            <w:r>
              <w:rPr>
                <w:lang w:eastAsia="ko-KR"/>
              </w:rPr>
              <w:t>Production of the corresponding agricultural sector</w:t>
            </w:r>
          </w:p>
        </w:tc>
      </w:tr>
      <w:tr w:rsidR="00121740" w14:paraId="2BFA1A2F" w14:textId="77777777" w:rsidTr="007517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1D50FF2" w14:textId="054E0D4A" w:rsidR="00121740" w:rsidRDefault="00121740" w:rsidP="0075179D">
            <w:pPr>
              <w:pStyle w:val="TableRow"/>
              <w:rPr>
                <w:lang w:eastAsia="ko-KR"/>
              </w:rPr>
            </w:pPr>
            <w:r>
              <w:rPr>
                <w:lang w:eastAsia="ko-KR"/>
              </w:rPr>
              <w:t>Fossil fuels</w:t>
            </w:r>
          </w:p>
        </w:tc>
        <w:tc>
          <w:tcPr>
            <w:tcW w:w="4607" w:type="dxa"/>
          </w:tcPr>
          <w:p w14:paraId="25D18285" w14:textId="5AB539E0" w:rsidR="00121740" w:rsidRDefault="0075179D" w:rsidP="0075179D">
            <w:pPr>
              <w:pStyle w:val="TableCell"/>
              <w:jc w:val="left"/>
              <w:cnfStyle w:val="000000010000" w:firstRow="0" w:lastRow="0" w:firstColumn="0" w:lastColumn="0" w:oddVBand="0" w:evenVBand="0" w:oddHBand="0" w:evenHBand="1" w:firstRowFirstColumn="0" w:firstRowLastColumn="0" w:lastRowFirstColumn="0" w:lastRowLastColumn="0"/>
              <w:rPr>
                <w:lang w:eastAsia="ko-KR"/>
              </w:rPr>
            </w:pPr>
            <w:r>
              <w:rPr>
                <w:lang w:eastAsia="ko-KR"/>
              </w:rPr>
              <w:t>Anthracite, Other Bituminous Coal, Peat, Natural gas, Natural gas liquids, Crude oil, Oil shale and tar sands</w:t>
            </w:r>
          </w:p>
        </w:tc>
        <w:tc>
          <w:tcPr>
            <w:tcW w:w="2423" w:type="dxa"/>
          </w:tcPr>
          <w:p w14:paraId="7188E65B" w14:textId="49D40B5B" w:rsidR="00121740" w:rsidRDefault="0075179D" w:rsidP="0075179D">
            <w:pPr>
              <w:pStyle w:val="TableCell"/>
              <w:jc w:val="left"/>
              <w:cnfStyle w:val="000000010000" w:firstRow="0" w:lastRow="0" w:firstColumn="0" w:lastColumn="0" w:oddVBand="0" w:evenVBand="0" w:oddHBand="0" w:evenHBand="1" w:firstRowFirstColumn="0" w:firstRowLastColumn="0" w:lastRowFirstColumn="0" w:lastRowLastColumn="0"/>
              <w:rPr>
                <w:lang w:eastAsia="ko-KR"/>
              </w:rPr>
            </w:pPr>
            <w:r>
              <w:rPr>
                <w:lang w:eastAsia="ko-KR"/>
              </w:rPr>
              <w:t>Extraction of coal, gas and oil, respectively</w:t>
            </w:r>
          </w:p>
        </w:tc>
      </w:tr>
      <w:tr w:rsidR="00121740" w14:paraId="6345560F" w14:textId="77777777" w:rsidTr="007517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548BCF2A" w14:textId="77777777" w:rsidR="00121740" w:rsidRDefault="00121740" w:rsidP="0075179D">
            <w:pPr>
              <w:pStyle w:val="TableRow"/>
              <w:rPr>
                <w:rFonts w:ascii="Arial" w:hAnsi="Arial"/>
                <w:sz w:val="16"/>
              </w:rPr>
            </w:pPr>
            <w:r>
              <w:rPr>
                <w:lang w:eastAsia="ko-KR"/>
              </w:rPr>
              <w:t>Non-metallic</w:t>
            </w:r>
          </w:p>
          <w:p w14:paraId="1297679C" w14:textId="77777777" w:rsidR="00121740" w:rsidRDefault="00121740" w:rsidP="0075179D">
            <w:pPr>
              <w:pStyle w:val="TableRow"/>
            </w:pPr>
            <w:r>
              <w:rPr>
                <w:lang w:eastAsia="ko-KR"/>
              </w:rPr>
              <w:t>minerals</w:t>
            </w:r>
          </w:p>
        </w:tc>
        <w:tc>
          <w:tcPr>
            <w:tcW w:w="4607" w:type="dxa"/>
          </w:tcPr>
          <w:p w14:paraId="556E8DFC" w14:textId="77777777" w:rsidR="00121740" w:rsidRDefault="00121740" w:rsidP="0075179D">
            <w:pPr>
              <w:pStyle w:val="TableCell"/>
              <w:jc w:val="left"/>
              <w:cnfStyle w:val="000000100000" w:firstRow="0" w:lastRow="0" w:firstColumn="0" w:lastColumn="0" w:oddVBand="0" w:evenVBand="0" w:oddHBand="1" w:evenHBand="0" w:firstRowFirstColumn="0" w:firstRowLastColumn="0" w:lastRowFirstColumn="0" w:lastRowLastColumn="0"/>
              <w:rPr>
                <w:lang w:eastAsia="ko-KR"/>
              </w:rPr>
            </w:pPr>
            <w:r>
              <w:rPr>
                <w:lang w:eastAsia="ko-KR"/>
              </w:rPr>
              <w:t>Gypsum, Limestone, Sand gravel and crushed rock, Structural clays</w:t>
            </w:r>
          </w:p>
        </w:tc>
        <w:tc>
          <w:tcPr>
            <w:tcW w:w="2423" w:type="dxa"/>
            <w:hideMark/>
          </w:tcPr>
          <w:p w14:paraId="0D49CCE0" w14:textId="77777777" w:rsidR="00121740" w:rsidRDefault="00121740" w:rsidP="0075179D">
            <w:pPr>
              <w:pStyle w:val="TableCell"/>
              <w:jc w:val="left"/>
              <w:cnfStyle w:val="000000100000" w:firstRow="0" w:lastRow="0" w:firstColumn="0" w:lastColumn="0" w:oddVBand="0" w:evenVBand="0" w:oddHBand="1" w:evenHBand="0" w:firstRowFirstColumn="0" w:firstRowLastColumn="0" w:lastRowFirstColumn="0" w:lastRowLastColumn="0"/>
            </w:pPr>
            <w:r>
              <w:rPr>
                <w:lang w:eastAsia="ko-KR"/>
              </w:rPr>
              <w:t>Non-metallic minerals used in construction*</w:t>
            </w:r>
          </w:p>
        </w:tc>
      </w:tr>
      <w:tr w:rsidR="00121740" w14:paraId="53B9D17C" w14:textId="77777777" w:rsidTr="007517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76036F7D" w14:textId="77777777" w:rsidR="00121740" w:rsidRDefault="00121740" w:rsidP="0075179D">
            <w:pPr>
              <w:pStyle w:val="TableRow"/>
              <w:rPr>
                <w:rFonts w:ascii="Arial" w:hAnsi="Arial"/>
                <w:b/>
                <w:sz w:val="16"/>
              </w:rPr>
            </w:pPr>
          </w:p>
        </w:tc>
        <w:tc>
          <w:tcPr>
            <w:tcW w:w="4607" w:type="dxa"/>
          </w:tcPr>
          <w:p w14:paraId="7CD8F9C7" w14:textId="77777777" w:rsidR="00121740" w:rsidRDefault="00121740" w:rsidP="0075179D">
            <w:pPr>
              <w:pStyle w:val="TableCell"/>
              <w:jc w:val="left"/>
              <w:cnfStyle w:val="000000010000" w:firstRow="0" w:lastRow="0" w:firstColumn="0" w:lastColumn="0" w:oddVBand="0" w:evenVBand="0" w:oddHBand="0" w:evenHBand="1" w:firstRowFirstColumn="0" w:firstRowLastColumn="0" w:lastRowFirstColumn="0" w:lastRowLastColumn="0"/>
              <w:rPr>
                <w:lang w:eastAsia="ko-KR"/>
              </w:rPr>
            </w:pPr>
            <w:r>
              <w:rPr>
                <w:lang w:eastAsia="ko-KR"/>
              </w:rPr>
              <w:t>Ornamental or building stone</w:t>
            </w:r>
          </w:p>
        </w:tc>
        <w:tc>
          <w:tcPr>
            <w:tcW w:w="2423" w:type="dxa"/>
            <w:hideMark/>
          </w:tcPr>
          <w:p w14:paraId="2AF352BC" w14:textId="77777777" w:rsidR="00121740" w:rsidRDefault="00121740" w:rsidP="0075179D">
            <w:pPr>
              <w:pStyle w:val="TableCell"/>
              <w:jc w:val="left"/>
              <w:cnfStyle w:val="000000010000" w:firstRow="0" w:lastRow="0" w:firstColumn="0" w:lastColumn="0" w:oddVBand="0" w:evenVBand="0" w:oddHBand="0" w:evenHBand="1" w:firstRowFirstColumn="0" w:firstRowLastColumn="0" w:lastRowFirstColumn="0" w:lastRowLastColumn="0"/>
            </w:pPr>
            <w:r>
              <w:rPr>
                <w:lang w:eastAsia="ko-KR"/>
              </w:rPr>
              <w:t>Mining inputs used in construction</w:t>
            </w:r>
          </w:p>
        </w:tc>
      </w:tr>
      <w:tr w:rsidR="00121740" w14:paraId="12F47511" w14:textId="77777777" w:rsidTr="007517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1AA65E10" w14:textId="77777777" w:rsidR="00121740" w:rsidRDefault="00121740" w:rsidP="0075179D">
            <w:pPr>
              <w:pStyle w:val="TableRow"/>
              <w:rPr>
                <w:rFonts w:ascii="Arial" w:hAnsi="Arial"/>
                <w:b/>
                <w:sz w:val="16"/>
              </w:rPr>
            </w:pPr>
          </w:p>
        </w:tc>
        <w:tc>
          <w:tcPr>
            <w:tcW w:w="4607" w:type="dxa"/>
          </w:tcPr>
          <w:p w14:paraId="7B734162" w14:textId="77777777" w:rsidR="00121740" w:rsidRDefault="00121740" w:rsidP="0075179D">
            <w:pPr>
              <w:pStyle w:val="TableCell"/>
              <w:jc w:val="left"/>
              <w:cnfStyle w:val="000000100000" w:firstRow="0" w:lastRow="0" w:firstColumn="0" w:lastColumn="0" w:oddVBand="0" w:evenVBand="0" w:oddHBand="1" w:evenHBand="0" w:firstRowFirstColumn="0" w:firstRowLastColumn="0" w:lastRowFirstColumn="0" w:lastRowLastColumn="0"/>
              <w:rPr>
                <w:lang w:eastAsia="ko-KR"/>
              </w:rPr>
            </w:pPr>
            <w:r>
              <w:rPr>
                <w:lang w:eastAsia="ko-KR"/>
              </w:rPr>
              <w:t>Chemical minerals n.e.c., Fertiliser minerals n.e.c., Salt</w:t>
            </w:r>
          </w:p>
        </w:tc>
        <w:tc>
          <w:tcPr>
            <w:tcW w:w="2423" w:type="dxa"/>
            <w:hideMark/>
          </w:tcPr>
          <w:p w14:paraId="0FA047F0" w14:textId="77777777" w:rsidR="00121740" w:rsidRDefault="00121740" w:rsidP="0075179D">
            <w:pPr>
              <w:pStyle w:val="TableCell"/>
              <w:jc w:val="left"/>
              <w:cnfStyle w:val="000000100000" w:firstRow="0" w:lastRow="0" w:firstColumn="0" w:lastColumn="0" w:oddVBand="0" w:evenVBand="0" w:oddHBand="1" w:evenHBand="0" w:firstRowFirstColumn="0" w:firstRowLastColumn="0" w:lastRowFirstColumn="0" w:lastRowLastColumn="0"/>
            </w:pPr>
            <w:r>
              <w:rPr>
                <w:lang w:eastAsia="ko-KR"/>
              </w:rPr>
              <w:t>Mining inputs used in chemicals, rubber, plastics production</w:t>
            </w:r>
          </w:p>
        </w:tc>
      </w:tr>
      <w:tr w:rsidR="00121740" w14:paraId="3A790989" w14:textId="77777777" w:rsidTr="007517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473BCD77" w14:textId="77777777" w:rsidR="00121740" w:rsidRDefault="00121740" w:rsidP="0075179D">
            <w:pPr>
              <w:pStyle w:val="TableRow"/>
              <w:rPr>
                <w:rFonts w:ascii="Arial" w:hAnsi="Arial"/>
                <w:b/>
                <w:sz w:val="16"/>
              </w:rPr>
            </w:pPr>
          </w:p>
        </w:tc>
        <w:tc>
          <w:tcPr>
            <w:tcW w:w="4607" w:type="dxa"/>
          </w:tcPr>
          <w:p w14:paraId="5C462239" w14:textId="77777777" w:rsidR="00121740" w:rsidRDefault="00121740" w:rsidP="0075179D">
            <w:pPr>
              <w:pStyle w:val="TableCell"/>
              <w:jc w:val="left"/>
              <w:cnfStyle w:val="000000010000" w:firstRow="0" w:lastRow="0" w:firstColumn="0" w:lastColumn="0" w:oddVBand="0" w:evenVBand="0" w:oddHBand="0" w:evenHBand="1" w:firstRowFirstColumn="0" w:firstRowLastColumn="0" w:lastRowFirstColumn="0" w:lastRowLastColumn="0"/>
              <w:rPr>
                <w:lang w:eastAsia="ko-KR"/>
              </w:rPr>
            </w:pPr>
            <w:r>
              <w:rPr>
                <w:lang w:eastAsia="ko-KR"/>
              </w:rPr>
              <w:t>Chalk, Dolomite, Industrial minerals n.e.c., Industrial sand and gravel, Other non-metallic minerals n.e.c., Specialty clays</w:t>
            </w:r>
          </w:p>
        </w:tc>
        <w:tc>
          <w:tcPr>
            <w:tcW w:w="2423" w:type="dxa"/>
            <w:hideMark/>
          </w:tcPr>
          <w:p w14:paraId="099BD64D" w14:textId="77777777" w:rsidR="00121740" w:rsidRDefault="00121740" w:rsidP="0075179D">
            <w:pPr>
              <w:pStyle w:val="TableCell"/>
              <w:jc w:val="left"/>
              <w:cnfStyle w:val="000000010000" w:firstRow="0" w:lastRow="0" w:firstColumn="0" w:lastColumn="0" w:oddVBand="0" w:evenVBand="0" w:oddHBand="0" w:evenHBand="1" w:firstRowFirstColumn="0" w:firstRowLastColumn="0" w:lastRowFirstColumn="0" w:lastRowLastColumn="0"/>
            </w:pPr>
            <w:r>
              <w:rPr>
                <w:lang w:eastAsia="ko-KR"/>
              </w:rPr>
              <w:t>Mining inputs used in non-metallic minerals production</w:t>
            </w:r>
          </w:p>
        </w:tc>
      </w:tr>
      <w:tr w:rsidR="00121740" w14:paraId="584305F4" w14:textId="77777777" w:rsidTr="007517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06FA423" w14:textId="77777777" w:rsidR="00121740" w:rsidRDefault="00121740" w:rsidP="0075179D">
            <w:pPr>
              <w:pStyle w:val="TableRow"/>
              <w:rPr>
                <w:rFonts w:ascii="Arial" w:hAnsi="Arial"/>
                <w:sz w:val="16"/>
              </w:rPr>
            </w:pPr>
            <w:r>
              <w:rPr>
                <w:lang w:eastAsia="ko-KR"/>
              </w:rPr>
              <w:t>Primary metals</w:t>
            </w:r>
          </w:p>
        </w:tc>
        <w:tc>
          <w:tcPr>
            <w:tcW w:w="4607" w:type="dxa"/>
          </w:tcPr>
          <w:p w14:paraId="65F8A49C" w14:textId="77777777" w:rsidR="00121740" w:rsidRDefault="00121740" w:rsidP="0075179D">
            <w:pPr>
              <w:pStyle w:val="TableCell"/>
              <w:jc w:val="left"/>
              <w:cnfStyle w:val="000000100000" w:firstRow="0" w:lastRow="0" w:firstColumn="0" w:lastColumn="0" w:oddVBand="0" w:evenVBand="0" w:oddHBand="1" w:evenHBand="0" w:firstRowFirstColumn="0" w:firstRowLastColumn="0" w:lastRowFirstColumn="0" w:lastRowLastColumn="0"/>
              <w:rPr>
                <w:lang w:eastAsia="ko-KR"/>
              </w:rPr>
            </w:pPr>
            <w:r>
              <w:rPr>
                <w:lang w:eastAsia="ko-KR"/>
              </w:rPr>
              <w:t>Iron ores</w:t>
            </w:r>
          </w:p>
        </w:tc>
        <w:tc>
          <w:tcPr>
            <w:tcW w:w="2423" w:type="dxa"/>
            <w:hideMark/>
          </w:tcPr>
          <w:p w14:paraId="0ECFE2F8" w14:textId="77777777" w:rsidR="00121740" w:rsidRDefault="00121740" w:rsidP="0075179D">
            <w:pPr>
              <w:pStyle w:val="TableCell"/>
              <w:jc w:val="left"/>
              <w:cnfStyle w:val="000000100000" w:firstRow="0" w:lastRow="0" w:firstColumn="0" w:lastColumn="0" w:oddVBand="0" w:evenVBand="0" w:oddHBand="1" w:evenHBand="0" w:firstRowFirstColumn="0" w:firstRowLastColumn="0" w:lastRowFirstColumn="0" w:lastRowLastColumn="0"/>
            </w:pPr>
            <w:r>
              <w:rPr>
                <w:lang w:eastAsia="ko-KR"/>
              </w:rPr>
              <w:t>Mining inputs used in iron and steel production</w:t>
            </w:r>
          </w:p>
        </w:tc>
      </w:tr>
      <w:tr w:rsidR="00121740" w14:paraId="047DB1BF" w14:textId="77777777" w:rsidTr="007517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E4854E2" w14:textId="77777777" w:rsidR="00121740" w:rsidRDefault="00121740" w:rsidP="0075179D">
            <w:pPr>
              <w:pStyle w:val="TableRow"/>
              <w:rPr>
                <w:lang w:eastAsia="ko-KR"/>
              </w:rPr>
            </w:pPr>
          </w:p>
        </w:tc>
        <w:tc>
          <w:tcPr>
            <w:tcW w:w="4607" w:type="dxa"/>
          </w:tcPr>
          <w:p w14:paraId="57ED2383" w14:textId="77777777" w:rsidR="00121740" w:rsidRDefault="00121740" w:rsidP="0075179D">
            <w:pPr>
              <w:pStyle w:val="TableCell"/>
              <w:jc w:val="left"/>
              <w:cnfStyle w:val="000000010000" w:firstRow="0" w:lastRow="0" w:firstColumn="0" w:lastColumn="0" w:oddVBand="0" w:evenVBand="0" w:oddHBand="0" w:evenHBand="1" w:firstRowFirstColumn="0" w:firstRowLastColumn="0" w:lastRowFirstColumn="0" w:lastRowLastColumn="0"/>
              <w:rPr>
                <w:lang w:eastAsia="ko-KR"/>
              </w:rPr>
            </w:pPr>
            <w:r>
              <w:rPr>
                <w:lang w:eastAsia="ko-KR"/>
              </w:rPr>
              <w:t>Bauxite and other aluminium ores</w:t>
            </w:r>
          </w:p>
        </w:tc>
        <w:tc>
          <w:tcPr>
            <w:tcW w:w="2423" w:type="dxa"/>
          </w:tcPr>
          <w:p w14:paraId="3F784862" w14:textId="77777777" w:rsidR="00121740" w:rsidRDefault="00121740" w:rsidP="0075179D">
            <w:pPr>
              <w:pStyle w:val="TableCell"/>
              <w:jc w:val="left"/>
              <w:cnfStyle w:val="000000010000" w:firstRow="0" w:lastRow="0" w:firstColumn="0" w:lastColumn="0" w:oddVBand="0" w:evenVBand="0" w:oddHBand="0" w:evenHBand="1" w:firstRowFirstColumn="0" w:firstRowLastColumn="0" w:lastRowFirstColumn="0" w:lastRowLastColumn="0"/>
              <w:rPr>
                <w:lang w:eastAsia="ko-KR"/>
              </w:rPr>
            </w:pPr>
            <w:r>
              <w:rPr>
                <w:lang w:eastAsia="ko-KR"/>
              </w:rPr>
              <w:t>Mining inputs used in aluminium production</w:t>
            </w:r>
          </w:p>
        </w:tc>
      </w:tr>
      <w:tr w:rsidR="00121740" w14:paraId="767A006D" w14:textId="77777777" w:rsidTr="007517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5188D34" w14:textId="77777777" w:rsidR="00121740" w:rsidRDefault="00121740" w:rsidP="0075179D">
            <w:pPr>
              <w:pStyle w:val="TableRow"/>
              <w:rPr>
                <w:lang w:eastAsia="ko-KR"/>
              </w:rPr>
            </w:pPr>
          </w:p>
        </w:tc>
        <w:tc>
          <w:tcPr>
            <w:tcW w:w="4607" w:type="dxa"/>
          </w:tcPr>
          <w:p w14:paraId="79EDF328" w14:textId="77777777" w:rsidR="00121740" w:rsidRDefault="00121740" w:rsidP="0075179D">
            <w:pPr>
              <w:pStyle w:val="TableCell"/>
              <w:jc w:val="left"/>
              <w:cnfStyle w:val="000000100000" w:firstRow="0" w:lastRow="0" w:firstColumn="0" w:lastColumn="0" w:oddVBand="0" w:evenVBand="0" w:oddHBand="1" w:evenHBand="0" w:firstRowFirstColumn="0" w:firstRowLastColumn="0" w:lastRowFirstColumn="0" w:lastRowLastColumn="0"/>
              <w:rPr>
                <w:lang w:eastAsia="ko-KR"/>
              </w:rPr>
            </w:pPr>
            <w:r>
              <w:rPr>
                <w:lang w:eastAsia="ko-KR"/>
              </w:rPr>
              <w:t>Copper ores</w:t>
            </w:r>
          </w:p>
        </w:tc>
        <w:tc>
          <w:tcPr>
            <w:tcW w:w="2423" w:type="dxa"/>
          </w:tcPr>
          <w:p w14:paraId="38963B9E" w14:textId="77777777" w:rsidR="00121740" w:rsidRDefault="00121740" w:rsidP="0075179D">
            <w:pPr>
              <w:pStyle w:val="TableCell"/>
              <w:jc w:val="left"/>
              <w:cnfStyle w:val="000000100000" w:firstRow="0" w:lastRow="0" w:firstColumn="0" w:lastColumn="0" w:oddVBand="0" w:evenVBand="0" w:oddHBand="1" w:evenHBand="0" w:firstRowFirstColumn="0" w:firstRowLastColumn="0" w:lastRowFirstColumn="0" w:lastRowLastColumn="0"/>
              <w:rPr>
                <w:lang w:eastAsia="ko-KR"/>
              </w:rPr>
            </w:pPr>
            <w:r>
              <w:rPr>
                <w:lang w:eastAsia="ko-KR"/>
              </w:rPr>
              <w:t>Mining inputs used in copper production</w:t>
            </w:r>
          </w:p>
        </w:tc>
      </w:tr>
      <w:tr w:rsidR="00121740" w14:paraId="6C181F76" w14:textId="77777777" w:rsidTr="007517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16F423E" w14:textId="77777777" w:rsidR="00121740" w:rsidRDefault="00121740" w:rsidP="0075179D">
            <w:pPr>
              <w:jc w:val="left"/>
              <w:rPr>
                <w:rFonts w:ascii="Arial" w:eastAsia="SimSun" w:hAnsi="Arial" w:cs="Arial"/>
                <w:b/>
                <w:sz w:val="16"/>
                <w:szCs w:val="18"/>
              </w:rPr>
            </w:pPr>
          </w:p>
        </w:tc>
        <w:tc>
          <w:tcPr>
            <w:tcW w:w="4607" w:type="dxa"/>
          </w:tcPr>
          <w:p w14:paraId="644D2D0C" w14:textId="77777777" w:rsidR="00121740" w:rsidRDefault="00121740" w:rsidP="0075179D">
            <w:pPr>
              <w:pStyle w:val="TableCell"/>
              <w:jc w:val="left"/>
              <w:cnfStyle w:val="000000010000" w:firstRow="0" w:lastRow="0" w:firstColumn="0" w:lastColumn="0" w:oddVBand="0" w:evenVBand="0" w:oddHBand="0" w:evenHBand="1" w:firstRowFirstColumn="0" w:firstRowLastColumn="0" w:lastRowFirstColumn="0" w:lastRowLastColumn="0"/>
              <w:rPr>
                <w:lang w:eastAsia="ko-KR"/>
              </w:rPr>
            </w:pPr>
            <w:r>
              <w:rPr>
                <w:lang w:eastAsia="ko-KR"/>
              </w:rPr>
              <w:t>Chromium ores, Gold ores, Lead ores, Manganese ores, Nickel ores, Other metal ores, Platinum group metal ores, Silver ores, Tin ores, Titanium ores, Zinc ores</w:t>
            </w:r>
          </w:p>
        </w:tc>
        <w:tc>
          <w:tcPr>
            <w:tcW w:w="2423" w:type="dxa"/>
            <w:hideMark/>
          </w:tcPr>
          <w:p w14:paraId="7FC60E1B" w14:textId="77777777" w:rsidR="00121740" w:rsidRDefault="00121740" w:rsidP="0075179D">
            <w:pPr>
              <w:pStyle w:val="TableCell"/>
              <w:jc w:val="left"/>
              <w:cnfStyle w:val="000000010000" w:firstRow="0" w:lastRow="0" w:firstColumn="0" w:lastColumn="0" w:oddVBand="0" w:evenVBand="0" w:oddHBand="0" w:evenHBand="1" w:firstRowFirstColumn="0" w:firstRowLastColumn="0" w:lastRowFirstColumn="0" w:lastRowLastColumn="0"/>
            </w:pPr>
            <w:r>
              <w:rPr>
                <w:lang w:eastAsia="ko-KR"/>
              </w:rPr>
              <w:t>Mining inputs used in other non-ferrous metals production</w:t>
            </w:r>
          </w:p>
        </w:tc>
      </w:tr>
    </w:tbl>
    <w:p w14:paraId="6456546C" w14:textId="77777777" w:rsidR="00121740" w:rsidRDefault="00121740" w:rsidP="00121740">
      <w:pPr>
        <w:pStyle w:val="Sourcenotes"/>
      </w:pPr>
      <w:r w:rsidRPr="0000349C">
        <w:rPr>
          <w:i/>
        </w:rPr>
        <w:t>Note</w:t>
      </w:r>
      <w:r w:rsidRPr="00961F86">
        <w:t xml:space="preserve">: </w:t>
      </w:r>
      <w:r>
        <w:t>*</w:t>
      </w:r>
      <w:r w:rsidRPr="00AE1A50" w:rsidDel="006018A2">
        <w:t xml:space="preserve"> </w:t>
      </w:r>
      <w:r>
        <w:t>The non-metallic minerals sector is not an extraction sector, but the assumption is made here that</w:t>
      </w:r>
      <w:r>
        <w:rPr>
          <w:rFonts w:eastAsia="Malgun Gothic"/>
          <w:lang w:eastAsia="ko-KR"/>
        </w:rPr>
        <w:t xml:space="preserve"> </w:t>
      </w:r>
      <w:r>
        <w:t>construction materials that need to be processed (e.g. cement) follow the economic flow of the non-metallic minerals processing sector into construction rather than the mining sector into non-metallic minerals.</w:t>
      </w:r>
    </w:p>
    <w:p w14:paraId="5EF1AFC3" w14:textId="42B107E7" w:rsidR="00121740" w:rsidRDefault="00121740" w:rsidP="00121740">
      <w:pPr>
        <w:pStyle w:val="Sourcenotes"/>
      </w:pPr>
      <w:r w:rsidRPr="0000349C">
        <w:rPr>
          <w:i/>
        </w:rPr>
        <w:t>Source</w:t>
      </w:r>
      <w:r>
        <w:t xml:space="preserve">: OECD </w:t>
      </w:r>
      <w:sdt>
        <w:sdtPr>
          <w:id w:val="1122652957"/>
          <w:citation/>
        </w:sdtPr>
        <w:sdtEndPr/>
        <w:sdtContent>
          <w:r>
            <w:fldChar w:fldCharType="begin"/>
          </w:r>
          <w:r>
            <w:instrText xml:space="preserve">CITATION Kappa_g2g98d7d \n  \l 2057 </w:instrText>
          </w:r>
          <w:r>
            <w:fldChar w:fldCharType="separate"/>
          </w:r>
          <w:r w:rsidR="0020320D" w:rsidRPr="0020320D">
            <w:rPr>
              <w:noProof/>
            </w:rPr>
            <w:t>(</w:t>
          </w:r>
          <w:bookmarkStart w:id="12" w:name="Kappa_g2g98d7d_4"/>
          <w:r w:rsidR="0020320D" w:rsidRPr="0020320D">
            <w:rPr>
              <w:noProof/>
            </w:rPr>
            <w:t>2019</w:t>
          </w:r>
          <w:r w:rsidR="0020320D" w:rsidRPr="0020320D">
            <w:rPr>
              <w:noProof/>
              <w:vertAlign w:val="subscript"/>
            </w:rPr>
            <w:t>[4]</w:t>
          </w:r>
          <w:r w:rsidR="0020320D" w:rsidRPr="0020320D">
            <w:rPr>
              <w:noProof/>
            </w:rPr>
            <w:t>)</w:t>
          </w:r>
          <w:bookmarkEnd w:id="12"/>
          <w:r>
            <w:fldChar w:fldCharType="end"/>
          </w:r>
        </w:sdtContent>
      </w:sdt>
      <w:r>
        <w:t>.</w:t>
      </w:r>
    </w:p>
    <w:p w14:paraId="5E7798F4" w14:textId="056915E2" w:rsidR="00A30313" w:rsidRDefault="00A30313" w:rsidP="00A30313">
      <w:pPr>
        <w:pStyle w:val="Para0"/>
      </w:pPr>
      <w:r>
        <w:t xml:space="preserve">Land use change is proxied through harvested cropland area and output of the forestry sector. These are two key determinant of land use change </w:t>
      </w:r>
      <w:sdt>
        <w:sdtPr>
          <w:id w:val="-1222597037"/>
          <w:citation/>
        </w:sdtPr>
        <w:sdtEndPr/>
        <w:sdtContent>
          <w:r>
            <w:fldChar w:fldCharType="begin"/>
          </w:r>
          <w:r>
            <w:instrText xml:space="preserve"> CITATION Kappa_g2g7e2af \l 2057 </w:instrText>
          </w:r>
          <w:r>
            <w:fldChar w:fldCharType="separate"/>
          </w:r>
          <w:r w:rsidR="0020320D" w:rsidRPr="0020320D">
            <w:rPr>
              <w:noProof/>
            </w:rPr>
            <w:t>(OECD, 2017</w:t>
          </w:r>
          <w:r w:rsidR="0020320D" w:rsidRPr="0020320D">
            <w:rPr>
              <w:noProof/>
              <w:vertAlign w:val="subscript"/>
            </w:rPr>
            <w:t>[11]</w:t>
          </w:r>
          <w:r w:rsidR="0020320D" w:rsidRPr="0020320D">
            <w:rPr>
              <w:noProof/>
            </w:rPr>
            <w:t>)</w:t>
          </w:r>
          <w:r>
            <w:fldChar w:fldCharType="end"/>
          </w:r>
        </w:sdtContent>
      </w:sdt>
      <w:r>
        <w:t>, and the ones that are most likely to be affected by the Covid-19 pandemic and response measures.</w:t>
      </w:r>
      <w:r w:rsidRPr="00A30313">
        <w:t xml:space="preserve"> </w:t>
      </w:r>
      <w:r>
        <w:t xml:space="preserve">Land use change is captured through two key indicators: harvested area and output of the forestry. Land use change is governed by a multi-level substitution tree that differentiates between the types of land use, i.e. it is easier to switch between crops than from grassland to cropland, and easier to switch from grassland to cropland than to cultivate currently unmanaged land </w:t>
      </w:r>
      <w:sdt>
        <w:sdtPr>
          <w:id w:val="-1506817900"/>
          <w:citation/>
        </w:sdtPr>
        <w:sdtEndPr/>
        <w:sdtContent>
          <w:r>
            <w:fldChar w:fldCharType="begin"/>
          </w:r>
          <w:r>
            <w:instrText xml:space="preserve"> CITATION Kappa_g2g7e2af \l 2057 </w:instrText>
          </w:r>
          <w:r>
            <w:fldChar w:fldCharType="separate"/>
          </w:r>
          <w:r w:rsidR="0020320D" w:rsidRPr="0020320D">
            <w:rPr>
              <w:noProof/>
            </w:rPr>
            <w:t>(OECD, 2017</w:t>
          </w:r>
          <w:r w:rsidR="0020320D" w:rsidRPr="0020320D">
            <w:rPr>
              <w:noProof/>
              <w:vertAlign w:val="subscript"/>
            </w:rPr>
            <w:t>[11]</w:t>
          </w:r>
          <w:r w:rsidR="0020320D" w:rsidRPr="0020320D">
            <w:rPr>
              <w:noProof/>
            </w:rPr>
            <w:t>)</w:t>
          </w:r>
          <w:r>
            <w:fldChar w:fldCharType="end"/>
          </w:r>
        </w:sdtContent>
      </w:sdt>
      <w:r>
        <w:t xml:space="preserve">, The harvested area is directly linked to the land use by the crop sectors, using value to area coefficient calibrated to the IMPACT model </w:t>
      </w:r>
      <w:sdt>
        <w:sdtPr>
          <w:id w:val="-1110422421"/>
          <w:citation/>
        </w:sdtPr>
        <w:sdtEndPr/>
        <w:sdtContent>
          <w:r>
            <w:fldChar w:fldCharType="begin"/>
          </w:r>
          <w:r>
            <w:instrText xml:space="preserve"> CITATION Mendeley_ctJ5w_L4LDKXrn_HHUDRcg \l 2057 </w:instrText>
          </w:r>
          <w:r>
            <w:fldChar w:fldCharType="separate"/>
          </w:r>
          <w:r w:rsidR="0020320D" w:rsidRPr="0020320D">
            <w:rPr>
              <w:noProof/>
            </w:rPr>
            <w:t>(Robinson et al., 2015</w:t>
          </w:r>
          <w:r w:rsidR="0020320D" w:rsidRPr="0020320D">
            <w:rPr>
              <w:noProof/>
              <w:vertAlign w:val="subscript"/>
            </w:rPr>
            <w:t>[12]</w:t>
          </w:r>
          <w:r w:rsidR="0020320D" w:rsidRPr="0020320D">
            <w:rPr>
              <w:noProof/>
            </w:rPr>
            <w:t>)</w:t>
          </w:r>
          <w:r>
            <w:fldChar w:fldCharType="end"/>
          </w:r>
        </w:sdtContent>
      </w:sdt>
      <w:r>
        <w:t>. Output of the forestry sector is measured in value terms.</w:t>
      </w:r>
    </w:p>
    <w:p w14:paraId="722FCAE3" w14:textId="4B19C14B" w:rsidR="00CD6098" w:rsidRPr="007C6A80" w:rsidRDefault="00CD6098" w:rsidP="00A30313">
      <w:pPr>
        <w:pStyle w:val="Para0"/>
      </w:pPr>
      <w:r>
        <w:t>[</w:t>
      </w:r>
      <w:r w:rsidRPr="00CD6098">
        <w:rPr>
          <w:i/>
        </w:rPr>
        <w:t>Note</w:t>
      </w:r>
      <w:r>
        <w:t xml:space="preserve">: after the publication of the </w:t>
      </w:r>
      <w:r w:rsidR="0020320D">
        <w:t xml:space="preserve">OECD </w:t>
      </w:r>
      <w:r>
        <w:t>Global Plastics Outlook, projections for plastics consumption and waste will be added to the analysis.]</w:t>
      </w:r>
    </w:p>
    <w:p w14:paraId="5B7E0038" w14:textId="042E9F10" w:rsidR="00CA1E61" w:rsidRDefault="00CA1E61" w:rsidP="00CA1E61">
      <w:pPr>
        <w:pStyle w:val="Heading1"/>
      </w:pPr>
      <w:r>
        <w:t>Scenarios</w:t>
      </w:r>
    </w:p>
    <w:p w14:paraId="0BDB3917" w14:textId="1B95AFD0" w:rsidR="00B85666" w:rsidRDefault="004B33A7" w:rsidP="008E2F63">
      <w:pPr>
        <w:pStyle w:val="Heading2"/>
      </w:pPr>
      <w:r>
        <w:t>Pre</w:t>
      </w:r>
      <w:r w:rsidR="00CD6098">
        <w:t>-Covid b</w:t>
      </w:r>
      <w:r w:rsidR="00B85666">
        <w:t>aseline</w:t>
      </w:r>
    </w:p>
    <w:p w14:paraId="71F81AF4" w14:textId="0D52D8D1" w:rsidR="00433CFA" w:rsidRDefault="00433CFA" w:rsidP="00B85666">
      <w:pPr>
        <w:pStyle w:val="Para0"/>
      </w:pPr>
      <w:r>
        <w:t xml:space="preserve">The reference point for the scenario analysis is a counterfactual projection of how the economy might have evolved in absence of the Covid-19 pandemic. </w:t>
      </w:r>
      <w:r w:rsidR="003212E5">
        <w:t>In this</w:t>
      </w:r>
      <w:r w:rsidR="003212E5" w:rsidRPr="007C6A80">
        <w:t xml:space="preserve"> </w:t>
      </w:r>
      <w:r w:rsidR="003212E5">
        <w:t>“pre-Covid baseline” scenario the economic projections</w:t>
      </w:r>
      <w:r w:rsidR="003212E5" w:rsidRPr="007C6A80">
        <w:t xml:space="preserve"> follow </w:t>
      </w:r>
      <w:r w:rsidR="003212E5">
        <w:t>the projected</w:t>
      </w:r>
      <w:r w:rsidR="003212E5" w:rsidRPr="007C6A80">
        <w:t xml:space="preserve"> trends</w:t>
      </w:r>
      <w:r w:rsidR="003212E5">
        <w:t xml:space="preserve"> that were specified before the Covid-19 pandemic started affecting the economy</w:t>
      </w:r>
      <w:r w:rsidR="003212E5" w:rsidRPr="007C6A80">
        <w:t xml:space="preserve">. </w:t>
      </w:r>
      <w:r w:rsidR="003212E5">
        <w:t xml:space="preserve">Specifically, this hypothetical scenario reflects </w:t>
      </w:r>
      <w:r w:rsidR="003212E5" w:rsidRPr="007C6A80">
        <w:t xml:space="preserve">the </w:t>
      </w:r>
      <w:r w:rsidR="003212E5" w:rsidRPr="007C6A80">
        <w:lastRenderedPageBreak/>
        <w:t xml:space="preserve">projections of future economic activity and environmental pressure </w:t>
      </w:r>
      <w:r w:rsidR="003212E5">
        <w:t>outlined in the 2019 Global Material Resources Outlook, as described in</w:t>
      </w:r>
      <w:r w:rsidR="003212E5" w:rsidRPr="007C6A80">
        <w:t xml:space="preserve"> </w:t>
      </w:r>
      <w:sdt>
        <w:sdtPr>
          <w:id w:val="-298463674"/>
          <w:citation/>
        </w:sdtPr>
        <w:sdtEndPr/>
        <w:sdtContent>
          <w:r w:rsidR="003212E5" w:rsidRPr="007C6A80">
            <w:fldChar w:fldCharType="begin"/>
          </w:r>
          <w:r w:rsidR="003212E5" w:rsidRPr="007C6A80">
            <w:instrText xml:space="preserve"> CITATION Kappa_g2g98d7d \l 2057 </w:instrText>
          </w:r>
          <w:r w:rsidR="003212E5" w:rsidRPr="007C6A80">
            <w:fldChar w:fldCharType="separate"/>
          </w:r>
          <w:r w:rsidR="0020320D" w:rsidRPr="0020320D">
            <w:rPr>
              <w:noProof/>
            </w:rPr>
            <w:t>(OECD, 2019</w:t>
          </w:r>
          <w:r w:rsidR="0020320D" w:rsidRPr="0020320D">
            <w:rPr>
              <w:noProof/>
              <w:vertAlign w:val="subscript"/>
            </w:rPr>
            <w:t>[4]</w:t>
          </w:r>
          <w:r w:rsidR="0020320D" w:rsidRPr="0020320D">
            <w:rPr>
              <w:noProof/>
            </w:rPr>
            <w:t>)</w:t>
          </w:r>
          <w:r w:rsidR="003212E5" w:rsidRPr="007C6A80">
            <w:fldChar w:fldCharType="end"/>
          </w:r>
        </w:sdtContent>
      </w:sdt>
      <w:r w:rsidR="003212E5" w:rsidRPr="007C6A80">
        <w:t>.</w:t>
      </w:r>
    </w:p>
    <w:p w14:paraId="7429EB8A" w14:textId="2895228C" w:rsidR="00B85666" w:rsidRPr="004E1934" w:rsidRDefault="00B85666" w:rsidP="00B85666">
      <w:pPr>
        <w:pStyle w:val="Para0"/>
      </w:pPr>
      <w:r w:rsidRPr="004E1934">
        <w:t>Demographic trends play a key role in determining economic growth. Population projections by age, together with projections of participation and unemployment rates, determine future employment levels. Human capital projections, based on education level projections by cohort, drive labour productivity</w:t>
      </w:r>
      <w:r>
        <w:t>.</w:t>
      </w:r>
      <w:r w:rsidRPr="004E1934">
        <w:t xml:space="preserve"> These megatrends are country-specific. For example, the age structure of China’s population is quite different from that of India: aging will become a major force in China in the coming decades, while India has a much younger population. </w:t>
      </w:r>
    </w:p>
    <w:p w14:paraId="2CAF689D" w14:textId="78540695" w:rsidR="002A4E9D" w:rsidRDefault="00B85666" w:rsidP="00B85666">
      <w:pPr>
        <w:pStyle w:val="Para0"/>
      </w:pPr>
      <w:r>
        <w:t>Macro</w:t>
      </w:r>
      <w:r w:rsidR="00433CFA">
        <w:t xml:space="preserve">economic growth projections </w:t>
      </w:r>
      <w:r>
        <w:t>us</w:t>
      </w:r>
      <w:r w:rsidR="00433CFA">
        <w:t>e</w:t>
      </w:r>
      <w:r>
        <w:t xml:space="preserve"> the same methodology as </w:t>
      </w:r>
      <w:sdt>
        <w:sdtPr>
          <w:id w:val="442269816"/>
          <w:citation/>
        </w:sdtPr>
        <w:sdtEndPr/>
        <w:sdtContent>
          <w:r>
            <w:fldChar w:fldCharType="begin"/>
          </w:r>
          <w:r>
            <w:instrText xml:space="preserve">CITATION Mendeley_k9uEIb0rtjCnRAhvRt899Q \l 2057 </w:instrText>
          </w:r>
          <w:r>
            <w:fldChar w:fldCharType="separate"/>
          </w:r>
          <w:r w:rsidR="0020320D" w:rsidRPr="0020320D">
            <w:rPr>
              <w:noProof/>
            </w:rPr>
            <w:t>(</w:t>
          </w:r>
          <w:bookmarkStart w:id="13" w:name="Mendeley_k9uEIb0rtjCnRAhvRt899Q_13"/>
          <w:r w:rsidR="0020320D" w:rsidRPr="0020320D">
            <w:rPr>
              <w:noProof/>
            </w:rPr>
            <w:t>Dellink et al., 2017</w:t>
          </w:r>
          <w:r w:rsidR="0020320D" w:rsidRPr="0020320D">
            <w:rPr>
              <w:noProof/>
              <w:vertAlign w:val="subscript"/>
            </w:rPr>
            <w:t>[13]</w:t>
          </w:r>
          <w:r w:rsidR="0020320D" w:rsidRPr="0020320D">
            <w:rPr>
              <w:noProof/>
            </w:rPr>
            <w:t>)</w:t>
          </w:r>
          <w:bookmarkEnd w:id="13"/>
          <w:r>
            <w:fldChar w:fldCharType="end"/>
          </w:r>
        </w:sdtContent>
      </w:sdt>
      <w:r>
        <w:t xml:space="preserve">, but the calibration differs somewhat from SSP2 to reflect more recent data. </w:t>
      </w:r>
      <w:r w:rsidR="002A4E9D">
        <w:t>Short-term m</w:t>
      </w:r>
      <w:r w:rsidR="002A4E9D" w:rsidRPr="004E1934">
        <w:t xml:space="preserve">acroeconomic projections for OECD countries are </w:t>
      </w:r>
      <w:r w:rsidR="002A4E9D" w:rsidRPr="006937D8">
        <w:t xml:space="preserve">aligned with </w:t>
      </w:r>
      <w:r w:rsidR="002A4E9D">
        <w:t xml:space="preserve">the </w:t>
      </w:r>
      <w:r w:rsidR="002A4E9D" w:rsidRPr="00203394">
        <w:t xml:space="preserve">OECD Economic Outlook </w:t>
      </w:r>
      <w:r w:rsidR="002A4E9D">
        <w:t xml:space="preserve">no. </w:t>
      </w:r>
      <w:r w:rsidR="002A4E9D" w:rsidRPr="0046015B">
        <w:t>10</w:t>
      </w:r>
      <w:r w:rsidR="002A4E9D">
        <w:t>3</w:t>
      </w:r>
      <w:r w:rsidR="002A4E9D" w:rsidRPr="00490CC8">
        <w:t xml:space="preserve"> (</w:t>
      </w:r>
      <w:r w:rsidR="002A4E9D">
        <w:t>May</w:t>
      </w:r>
      <w:r w:rsidR="002A4E9D" w:rsidRPr="00490CC8">
        <w:t xml:space="preserve"> 2018</w:t>
      </w:r>
      <w:r w:rsidR="002A4E9D">
        <w:t>) and the IMF forecasts of 2018.</w:t>
      </w:r>
      <w:r w:rsidR="002A4E9D" w:rsidRPr="006937D8">
        <w:t xml:space="preserve"> </w:t>
      </w:r>
      <w:r w:rsidR="002A4E9D">
        <w:t xml:space="preserve">The long-term macroeconomic projections for OECD and G20 countries match the long-term macroeconomic projections of the OECD Economics Department </w:t>
      </w:r>
      <w:sdt>
        <w:sdtPr>
          <w:id w:val="1569450861"/>
          <w:citation/>
        </w:sdtPr>
        <w:sdtEndPr/>
        <w:sdtContent>
          <w:r w:rsidR="002A4E9D">
            <w:fldChar w:fldCharType="begin"/>
          </w:r>
          <w:r w:rsidR="002A4E9D">
            <w:instrText xml:space="preserve"> CITATION Kappa_f3352d87 \l 2057 </w:instrText>
          </w:r>
          <w:r w:rsidR="002A4E9D">
            <w:fldChar w:fldCharType="separate"/>
          </w:r>
          <w:r w:rsidR="0020320D" w:rsidRPr="0020320D">
            <w:rPr>
              <w:noProof/>
            </w:rPr>
            <w:t>(Guillemette and Turner, 2018</w:t>
          </w:r>
          <w:r w:rsidR="0020320D" w:rsidRPr="0020320D">
            <w:rPr>
              <w:noProof/>
              <w:vertAlign w:val="subscript"/>
            </w:rPr>
            <w:t>[14]</w:t>
          </w:r>
          <w:r w:rsidR="0020320D" w:rsidRPr="0020320D">
            <w:rPr>
              <w:noProof/>
            </w:rPr>
            <w:t>)</w:t>
          </w:r>
          <w:r w:rsidR="002A4E9D">
            <w:fldChar w:fldCharType="end"/>
          </w:r>
        </w:sdtContent>
      </w:sdt>
      <w:r w:rsidR="002A4E9D">
        <w:t>.</w:t>
      </w:r>
    </w:p>
    <w:p w14:paraId="58A534C4" w14:textId="77777777" w:rsidR="002A4E9D" w:rsidRDefault="002A4E9D" w:rsidP="002A4E9D">
      <w:pPr>
        <w:pStyle w:val="Para0"/>
      </w:pPr>
      <w:r>
        <w:t>Projections of</w:t>
      </w:r>
      <w:r w:rsidRPr="006937D8">
        <w:t xml:space="preserve"> the structure of the economy, and especially</w:t>
      </w:r>
      <w:r>
        <w:t xml:space="preserve"> of</w:t>
      </w:r>
      <w:r w:rsidRPr="004E1934">
        <w:t xml:space="preserve"> future sectoral developments, </w:t>
      </w:r>
      <w:r>
        <w:t xml:space="preserve">start from a full accounting matrix of economic activity by country, based on the GTAP database (version 10). </w:t>
      </w:r>
      <w:r w:rsidRPr="004E1934">
        <w:t>The sectoral assumptions are particularly important as different emission sources are linked to different sectoral economic activities. For instance, final energy demand and power generation affect emissions of a range of pollutants from combustion processes, and in agriculture emissions, especially of NH</w:t>
      </w:r>
      <w:r w:rsidRPr="008956C4">
        <w:rPr>
          <w:vertAlign w:val="subscript"/>
        </w:rPr>
        <w:t>3</w:t>
      </w:r>
      <w:r w:rsidRPr="004E1934">
        <w:t>, are linked to the production processes of agricultural goods.</w:t>
      </w:r>
      <w:r>
        <w:t xml:space="preserve"> </w:t>
      </w:r>
    </w:p>
    <w:p w14:paraId="54E62655" w14:textId="0FC1C4F2" w:rsidR="002A4E9D" w:rsidRDefault="002A4E9D" w:rsidP="002A4E9D">
      <w:pPr>
        <w:pStyle w:val="Para0"/>
      </w:pPr>
      <w:r>
        <w:t>Projections of sectoral energy intensities are in line with the IEA’s World Energy Outlook “Current Policy Scenario” (CPS)</w:t>
      </w:r>
      <w:r w:rsidR="003C5A74">
        <w:t xml:space="preserve"> </w:t>
      </w:r>
      <w:sdt>
        <w:sdtPr>
          <w:id w:val="1199129372"/>
          <w:citation/>
        </w:sdtPr>
        <w:sdtEndPr/>
        <w:sdtContent>
          <w:r w:rsidR="003C5A74">
            <w:fldChar w:fldCharType="begin"/>
          </w:r>
          <w:r w:rsidR="003C5A74">
            <w:instrText xml:space="preserve"> CITATION Mendeley_VcTi2COTCz2j8ZQa3A7Spw \l 2057 </w:instrText>
          </w:r>
          <w:r w:rsidR="003C5A74">
            <w:fldChar w:fldCharType="separate"/>
          </w:r>
          <w:r w:rsidR="0020320D" w:rsidRPr="0020320D">
            <w:rPr>
              <w:noProof/>
            </w:rPr>
            <w:t>(IEA, 2017</w:t>
          </w:r>
          <w:r w:rsidR="0020320D" w:rsidRPr="0020320D">
            <w:rPr>
              <w:noProof/>
              <w:vertAlign w:val="subscript"/>
            </w:rPr>
            <w:t>[15]</w:t>
          </w:r>
          <w:r w:rsidR="0020320D" w:rsidRPr="0020320D">
            <w:rPr>
              <w:noProof/>
            </w:rPr>
            <w:t>)</w:t>
          </w:r>
          <w:r w:rsidR="003C5A74">
            <w:fldChar w:fldCharType="end"/>
          </w:r>
        </w:sdtContent>
      </w:sdt>
      <w:r>
        <w:t xml:space="preserve">. In fast-growing economies such as China, India and Indonesia, the IEA projects coal use to increase in the coming decades. In OECD regions, however, there will be a switch towards gas, not least in the USA, and this especially in the power generation sector. Further, in OECD economies, energy efficiency improvements are strong enough to imply a relative decoupling of energy use and economic growth, while for emerging economies the decoupling will only be effective in the coming decades. The increase in final energy demand is driven by electricity and by transport; in particular in emerging economies. In line with the trends of the IEA’s CPS scenario, electrification of transport modes is assumed to be limited globally. </w:t>
      </w:r>
    </w:p>
    <w:p w14:paraId="3F0DAEC5" w14:textId="40F69777" w:rsidR="00B85666" w:rsidRDefault="00B85666" w:rsidP="00B85666">
      <w:pPr>
        <w:pStyle w:val="Para0"/>
      </w:pPr>
      <w:r>
        <w:t xml:space="preserve">The projections on agricultural yield developments (physical production of crops per hectare) as well as main changes in demands for crops as represented in the ENV-Linkages baseline are derived from dedicated runs with the International Food Policy Research Institute (IFPRI)’s IMPACT model </w:t>
      </w:r>
      <w:sdt>
        <w:sdtPr>
          <w:id w:val="-1770837379"/>
          <w:citation/>
        </w:sdtPr>
        <w:sdtEndPr/>
        <w:sdtContent>
          <w:r w:rsidR="00433CFA">
            <w:fldChar w:fldCharType="begin"/>
          </w:r>
          <w:r w:rsidR="00433CFA">
            <w:instrText xml:space="preserve"> CITATION Mendeley_ctJ5w_L4LDKXrn_HHUDRcg \l 2057 </w:instrText>
          </w:r>
          <w:r w:rsidR="00433CFA">
            <w:fldChar w:fldCharType="separate"/>
          </w:r>
          <w:r w:rsidR="0020320D" w:rsidRPr="0020320D">
            <w:rPr>
              <w:noProof/>
            </w:rPr>
            <w:t>(</w:t>
          </w:r>
          <w:bookmarkStart w:id="14" w:name="Mendeley_ctJ5w_L4LDKXrn_HHUDRcg_12"/>
          <w:r w:rsidR="0020320D" w:rsidRPr="0020320D">
            <w:rPr>
              <w:noProof/>
            </w:rPr>
            <w:t>Robinson et al., 2015</w:t>
          </w:r>
          <w:r w:rsidR="0020320D" w:rsidRPr="0020320D">
            <w:rPr>
              <w:noProof/>
              <w:vertAlign w:val="subscript"/>
            </w:rPr>
            <w:t>[12]</w:t>
          </w:r>
          <w:r w:rsidR="0020320D" w:rsidRPr="0020320D">
            <w:rPr>
              <w:noProof/>
            </w:rPr>
            <w:t>)</w:t>
          </w:r>
          <w:bookmarkEnd w:id="14"/>
          <w:r w:rsidR="00433CFA">
            <w:fldChar w:fldCharType="end"/>
          </w:r>
        </w:sdtContent>
      </w:sdt>
      <w:r>
        <w:t xml:space="preserve"> using the socioeconomic baseline projections from ENV-Linkages and excluding feedbacks from climate change on agricultural yields. The underlying crop model used for the IMPACT model’s projections is the DSSAT model (Jones et al., 2003[43]). Agricultural production as measured in real value added generated in the agricultural sectors will more than double by 2060, partially reflecting a shift in diets towards higher-value commodities (e.g. fruits and vegetables). The large increase in agricultural production is characterised by a growing share of production in African countries. On the contrary, the market share of OECD countries is projected to decrease.</w:t>
      </w:r>
    </w:p>
    <w:p w14:paraId="0AF6908A" w14:textId="70717C7D" w:rsidR="00B85666" w:rsidRPr="00B85666" w:rsidRDefault="00433CFA" w:rsidP="00B85666">
      <w:pPr>
        <w:pStyle w:val="Para0"/>
      </w:pPr>
      <w:r>
        <w:fldChar w:fldCharType="begin"/>
      </w:r>
      <w:r>
        <w:instrText xml:space="preserve"> REF _Ref68183850 \n \h </w:instrText>
      </w:r>
      <w:r>
        <w:fldChar w:fldCharType="separate"/>
      </w:r>
      <w:r>
        <w:t>Annex B</w:t>
      </w:r>
      <w:r>
        <w:fldChar w:fldCharType="end"/>
      </w:r>
      <w:r>
        <w:t xml:space="preserve"> </w:t>
      </w:r>
      <w:r w:rsidR="008E0227">
        <w:t>reproduce</w:t>
      </w:r>
      <w:r w:rsidR="008619DC">
        <w:t xml:space="preserve">s the </w:t>
      </w:r>
      <w:r>
        <w:t xml:space="preserve">main </w:t>
      </w:r>
      <w:r w:rsidR="008619DC">
        <w:t>baseline projections that serve as a reference point for evaluating the impacts of the other scenarios.</w:t>
      </w:r>
    </w:p>
    <w:p w14:paraId="3013B0DC" w14:textId="1B9D34FA" w:rsidR="008E2F63" w:rsidRPr="008E2F63" w:rsidRDefault="00386A4E" w:rsidP="008E2F63">
      <w:pPr>
        <w:pStyle w:val="Heading2"/>
      </w:pPr>
      <w:r>
        <w:t xml:space="preserve">Covid </w:t>
      </w:r>
      <w:r w:rsidR="008E2F63">
        <w:t>scenario</w:t>
      </w:r>
    </w:p>
    <w:p w14:paraId="650E838F" w14:textId="77777777" w:rsidR="00CD6098" w:rsidRDefault="00CD6098" w:rsidP="00CD6098">
      <w:pPr>
        <w:pStyle w:val="Para0"/>
      </w:pPr>
      <w:r>
        <w:t>The implications of the Covid-19 pandemic and recovery are based on the following modelling assumptions:</w:t>
      </w:r>
    </w:p>
    <w:p w14:paraId="78DA036D" w14:textId="5CEE0A0C" w:rsidR="00CD6098" w:rsidRPr="00E23AB7" w:rsidRDefault="00CD6098" w:rsidP="00CD6098">
      <w:pPr>
        <w:pStyle w:val="BulletedList"/>
        <w:numPr>
          <w:ilvl w:val="0"/>
          <w:numId w:val="24"/>
        </w:numPr>
        <w:tabs>
          <w:tab w:val="clear" w:pos="340"/>
          <w:tab w:val="num" w:pos="426"/>
        </w:tabs>
        <w:ind w:left="426"/>
      </w:pPr>
      <w:r w:rsidRPr="00E23AB7">
        <w:lastRenderedPageBreak/>
        <w:t>Increases in regional unemployment levels in 2020 are based on the OEC</w:t>
      </w:r>
      <w:r>
        <w:t xml:space="preserve">D Economic Outlook 108 </w:t>
      </w:r>
      <w:sdt>
        <w:sdtPr>
          <w:id w:val="-28490275"/>
          <w:citation/>
        </w:sdtPr>
        <w:sdtEndPr/>
        <w:sdtContent>
          <w:r>
            <w:fldChar w:fldCharType="begin"/>
          </w:r>
          <w:r>
            <w:rPr>
              <w:noProof/>
              <w:vertAlign w:val="subscript"/>
            </w:rPr>
            <w:instrText xml:space="preserve">CITATION Kappa_39a88ab1 \l 2057 </w:instrText>
          </w:r>
          <w:r>
            <w:fldChar w:fldCharType="separate"/>
          </w:r>
          <w:r w:rsidR="0020320D" w:rsidRPr="0020320D">
            <w:rPr>
              <w:noProof/>
            </w:rPr>
            <w:t>(</w:t>
          </w:r>
          <w:bookmarkStart w:id="15" w:name="Kappa_39a88ab1_16"/>
          <w:r w:rsidR="0020320D" w:rsidRPr="0020320D">
            <w:rPr>
              <w:noProof/>
            </w:rPr>
            <w:t>OECD, 2020</w:t>
          </w:r>
          <w:r w:rsidR="0020320D" w:rsidRPr="0020320D">
            <w:rPr>
              <w:noProof/>
              <w:vertAlign w:val="subscript"/>
            </w:rPr>
            <w:t>[16]</w:t>
          </w:r>
          <w:r w:rsidR="0020320D" w:rsidRPr="0020320D">
            <w:rPr>
              <w:noProof/>
            </w:rPr>
            <w:t>)</w:t>
          </w:r>
          <w:bookmarkEnd w:id="15"/>
          <w:r>
            <w:fldChar w:fldCharType="end"/>
          </w:r>
        </w:sdtContent>
      </w:sdt>
      <w:r w:rsidRPr="00E23AB7">
        <w:t xml:space="preserve"> and </w:t>
      </w:r>
      <w:r>
        <w:t>on the</w:t>
      </w:r>
      <w:r w:rsidRPr="00E23AB7">
        <w:t xml:space="preserve"> IMF </w:t>
      </w:r>
      <w:r>
        <w:t xml:space="preserve">Economic Outlook </w:t>
      </w:r>
      <w:r w:rsidRPr="00E23AB7">
        <w:t xml:space="preserve">for the countries that are not covered by the OECD forecasts </w:t>
      </w:r>
      <w:sdt>
        <w:sdtPr>
          <w:id w:val="2102147811"/>
          <w:citation/>
        </w:sdtPr>
        <w:sdtEndPr/>
        <w:sdtContent>
          <w:r>
            <w:fldChar w:fldCharType="begin"/>
          </w:r>
          <w:r>
            <w:instrText xml:space="preserve">CITATION Mendeley_T_NlaTSuhjaNcmIItzAZEA \l 2057 </w:instrText>
          </w:r>
          <w:r>
            <w:fldChar w:fldCharType="separate"/>
          </w:r>
          <w:r w:rsidR="0020320D" w:rsidRPr="0020320D">
            <w:rPr>
              <w:noProof/>
            </w:rPr>
            <w:t>(IMF, 2020</w:t>
          </w:r>
          <w:r w:rsidR="0020320D" w:rsidRPr="0020320D">
            <w:rPr>
              <w:noProof/>
              <w:vertAlign w:val="subscript"/>
            </w:rPr>
            <w:t>[17]</w:t>
          </w:r>
          <w:r w:rsidR="0020320D" w:rsidRPr="0020320D">
            <w:rPr>
              <w:noProof/>
            </w:rPr>
            <w:t>)</w:t>
          </w:r>
          <w:r>
            <w:fldChar w:fldCharType="end"/>
          </w:r>
        </w:sdtContent>
      </w:sdt>
      <w:r>
        <w:t>.</w:t>
      </w:r>
      <w:r w:rsidRPr="00E23AB7">
        <w:t xml:space="preserve"> </w:t>
      </w:r>
      <w:r>
        <w:t>F</w:t>
      </w:r>
      <w:r w:rsidRPr="00E23AB7">
        <w:t>or the few countries missing in both databases</w:t>
      </w:r>
      <w:r>
        <w:t>,</w:t>
      </w:r>
      <w:r w:rsidRPr="00E23AB7">
        <w:t xml:space="preserve"> ad-hoc assumptions are made based on effects in similar countries.</w:t>
      </w:r>
    </w:p>
    <w:p w14:paraId="5EC25DD0" w14:textId="28C78010" w:rsidR="00CD6098" w:rsidRPr="00E23AB7" w:rsidRDefault="00CD6098" w:rsidP="00CD6098">
      <w:pPr>
        <w:pStyle w:val="BulletedList"/>
        <w:numPr>
          <w:ilvl w:val="0"/>
          <w:numId w:val="24"/>
        </w:numPr>
        <w:tabs>
          <w:tab w:val="clear" w:pos="340"/>
          <w:tab w:val="num" w:pos="426"/>
        </w:tabs>
        <w:ind w:left="426"/>
      </w:pPr>
      <w:r w:rsidRPr="00E23AB7">
        <w:t xml:space="preserve">Sectoral demand shocks are implemented for 2020 following </w:t>
      </w:r>
      <w:r>
        <w:t xml:space="preserve">Arriola </w:t>
      </w:r>
      <w:r w:rsidR="00AA1AC9">
        <w:t xml:space="preserve">et al. </w:t>
      </w:r>
      <w:sdt>
        <w:sdtPr>
          <w:id w:val="1513945030"/>
          <w:citation/>
        </w:sdtPr>
        <w:sdtEndPr/>
        <w:sdtContent>
          <w:r>
            <w:fldChar w:fldCharType="begin"/>
          </w:r>
          <w:r>
            <w:instrText xml:space="preserve">CITATION Placeholder1 \n  \l 2057 </w:instrText>
          </w:r>
          <w:r>
            <w:fldChar w:fldCharType="separate"/>
          </w:r>
          <w:r w:rsidR="0020320D" w:rsidRPr="0020320D">
            <w:rPr>
              <w:noProof/>
            </w:rPr>
            <w:t>(forthcoming</w:t>
          </w:r>
          <w:r w:rsidR="0020320D" w:rsidRPr="0020320D">
            <w:rPr>
              <w:noProof/>
              <w:vertAlign w:val="subscript"/>
            </w:rPr>
            <w:t>[18]</w:t>
          </w:r>
          <w:r w:rsidR="0020320D" w:rsidRPr="0020320D">
            <w:rPr>
              <w:noProof/>
            </w:rPr>
            <w:t>)</w:t>
          </w:r>
          <w:r>
            <w:fldChar w:fldCharType="end"/>
          </w:r>
        </w:sdtContent>
      </w:sdt>
      <w:r w:rsidRPr="00E23AB7">
        <w:t>.</w:t>
      </w:r>
      <w:r>
        <w:t xml:space="preserve"> For energy sectors, the shocks are based on</w:t>
      </w:r>
      <w:sdt>
        <w:sdtPr>
          <w:id w:val="537244128"/>
          <w:citation/>
        </w:sdtPr>
        <w:sdtEndPr/>
        <w:sdtContent>
          <w:r>
            <w:fldChar w:fldCharType="begin"/>
          </w:r>
          <w:r>
            <w:instrText xml:space="preserve"> CITATION Kappa_557a761b \l 2057 </w:instrText>
          </w:r>
          <w:r>
            <w:fldChar w:fldCharType="separate"/>
          </w:r>
          <w:bookmarkStart w:id="16" w:name="Kappa_557a761b_16"/>
          <w:r w:rsidR="0020320D">
            <w:rPr>
              <w:noProof/>
            </w:rPr>
            <w:t xml:space="preserve"> </w:t>
          </w:r>
          <w:r w:rsidR="0020320D" w:rsidRPr="0020320D">
            <w:rPr>
              <w:noProof/>
            </w:rPr>
            <w:t>(IEA, 2020</w:t>
          </w:r>
          <w:r w:rsidR="0020320D" w:rsidRPr="0020320D">
            <w:rPr>
              <w:noProof/>
              <w:vertAlign w:val="subscript"/>
            </w:rPr>
            <w:t>[19]</w:t>
          </w:r>
          <w:r w:rsidR="0020320D" w:rsidRPr="0020320D">
            <w:rPr>
              <w:noProof/>
            </w:rPr>
            <w:t>)</w:t>
          </w:r>
          <w:bookmarkEnd w:id="16"/>
          <w:r>
            <w:fldChar w:fldCharType="end"/>
          </w:r>
        </w:sdtContent>
      </w:sdt>
      <w:r>
        <w:t>.</w:t>
      </w:r>
    </w:p>
    <w:p w14:paraId="6195E015" w14:textId="03D06915" w:rsidR="00CD6098" w:rsidRPr="00E23AB7" w:rsidRDefault="00CD6098" w:rsidP="00CD6098">
      <w:pPr>
        <w:pStyle w:val="BulletedList"/>
        <w:numPr>
          <w:ilvl w:val="0"/>
          <w:numId w:val="24"/>
        </w:numPr>
        <w:tabs>
          <w:tab w:val="clear" w:pos="340"/>
          <w:tab w:val="num" w:pos="426"/>
        </w:tabs>
        <w:ind w:left="426"/>
      </w:pPr>
      <w:r w:rsidRPr="00E23AB7">
        <w:t xml:space="preserve">Government stimulus packages are implemented as a reduction in capital and labour taxes for firms, and as a reduction in income taxes for households. These are based on </w:t>
      </w:r>
      <w:r w:rsidR="00AA1AC9">
        <w:t xml:space="preserve">Arriola et al. </w:t>
      </w:r>
      <w:sdt>
        <w:sdtPr>
          <w:id w:val="1125586282"/>
          <w:citation/>
        </w:sdtPr>
        <w:sdtEndPr/>
        <w:sdtContent>
          <w:r w:rsidR="00AA1AC9">
            <w:fldChar w:fldCharType="begin"/>
          </w:r>
          <w:r w:rsidR="00AA1AC9">
            <w:instrText xml:space="preserve">CITATION Placeholder1 \n  \l 2057 </w:instrText>
          </w:r>
          <w:r w:rsidR="00AA1AC9">
            <w:fldChar w:fldCharType="separate"/>
          </w:r>
          <w:r w:rsidR="0020320D" w:rsidRPr="0020320D">
            <w:rPr>
              <w:noProof/>
            </w:rPr>
            <w:t>(forthcoming</w:t>
          </w:r>
          <w:r w:rsidR="0020320D" w:rsidRPr="0020320D">
            <w:rPr>
              <w:noProof/>
              <w:vertAlign w:val="subscript"/>
            </w:rPr>
            <w:t>[18]</w:t>
          </w:r>
          <w:r w:rsidR="0020320D" w:rsidRPr="0020320D">
            <w:rPr>
              <w:noProof/>
            </w:rPr>
            <w:t>)</w:t>
          </w:r>
          <w:r w:rsidR="00AA1AC9">
            <w:fldChar w:fldCharType="end"/>
          </w:r>
        </w:sdtContent>
      </w:sdt>
      <w:r w:rsidRPr="00E23AB7">
        <w:t>.</w:t>
      </w:r>
    </w:p>
    <w:p w14:paraId="4DC27892" w14:textId="4EC9A5FC" w:rsidR="00CD6098" w:rsidRPr="00E23AB7" w:rsidRDefault="00CD6098" w:rsidP="00CD6098">
      <w:pPr>
        <w:pStyle w:val="BulletedList"/>
        <w:numPr>
          <w:ilvl w:val="0"/>
          <w:numId w:val="24"/>
        </w:numPr>
        <w:tabs>
          <w:tab w:val="clear" w:pos="340"/>
          <w:tab w:val="num" w:pos="426"/>
        </w:tabs>
        <w:ind w:left="426"/>
      </w:pPr>
      <w:r w:rsidRPr="00E23AB7">
        <w:t xml:space="preserve">Trade shocks are implemented as an increase in the costs of international trade (“iceberg costs”), with a differentiation between services sectors and agriculture and manufacturing. This </w:t>
      </w:r>
      <w:r>
        <w:t>mimics the</w:t>
      </w:r>
      <w:r w:rsidRPr="00E23AB7">
        <w:t xml:space="preserve"> trade shocks </w:t>
      </w:r>
      <w:r>
        <w:t>in</w:t>
      </w:r>
      <w:r w:rsidRPr="00E23AB7">
        <w:t xml:space="preserve"> </w:t>
      </w:r>
      <w:r w:rsidR="00AA1AC9">
        <w:t xml:space="preserve">Arriola et al. </w:t>
      </w:r>
      <w:sdt>
        <w:sdtPr>
          <w:id w:val="1594824779"/>
          <w:citation/>
        </w:sdtPr>
        <w:sdtEndPr/>
        <w:sdtContent>
          <w:r w:rsidR="00AA1AC9">
            <w:fldChar w:fldCharType="begin"/>
          </w:r>
          <w:r w:rsidR="00AA1AC9">
            <w:instrText xml:space="preserve">CITATION Placeholder1 \n  \l 2057 </w:instrText>
          </w:r>
          <w:r w:rsidR="00AA1AC9">
            <w:fldChar w:fldCharType="separate"/>
          </w:r>
          <w:r w:rsidR="0020320D" w:rsidRPr="0020320D">
            <w:rPr>
              <w:noProof/>
            </w:rPr>
            <w:t>(</w:t>
          </w:r>
          <w:bookmarkStart w:id="17" w:name="Placeholder1_18"/>
          <w:r w:rsidR="0020320D" w:rsidRPr="0020320D">
            <w:rPr>
              <w:noProof/>
            </w:rPr>
            <w:t>forthcoming</w:t>
          </w:r>
          <w:r w:rsidR="0020320D" w:rsidRPr="0020320D">
            <w:rPr>
              <w:noProof/>
              <w:vertAlign w:val="subscript"/>
            </w:rPr>
            <w:t>[18]</w:t>
          </w:r>
          <w:r w:rsidR="0020320D" w:rsidRPr="0020320D">
            <w:rPr>
              <w:noProof/>
            </w:rPr>
            <w:t>)</w:t>
          </w:r>
          <w:bookmarkEnd w:id="17"/>
          <w:r w:rsidR="00AA1AC9">
            <w:fldChar w:fldCharType="end"/>
          </w:r>
        </w:sdtContent>
      </w:sdt>
      <w:r w:rsidRPr="00E23AB7">
        <w:t>.</w:t>
      </w:r>
    </w:p>
    <w:p w14:paraId="389844F1" w14:textId="655C1463" w:rsidR="00CD6098" w:rsidRPr="00E23AB7" w:rsidRDefault="00CD6098" w:rsidP="00CD6098">
      <w:pPr>
        <w:pStyle w:val="BulletedList"/>
        <w:numPr>
          <w:ilvl w:val="0"/>
          <w:numId w:val="24"/>
        </w:numPr>
        <w:tabs>
          <w:tab w:val="clear" w:pos="340"/>
          <w:tab w:val="num" w:pos="426"/>
        </w:tabs>
        <w:ind w:left="426"/>
      </w:pPr>
      <w:r w:rsidRPr="00E23AB7">
        <w:t>Reductions in regional labour productivity reflect productivity losses during lockdown (incl. effects of teleworking) and is included crudely as a uniform decline in productiv</w:t>
      </w:r>
      <w:r>
        <w:t xml:space="preserve">ity in all sectors and regions, </w:t>
      </w:r>
      <w:r w:rsidRPr="00E23AB7">
        <w:t xml:space="preserve">based on </w:t>
      </w:r>
      <w:r w:rsidR="00AA1AC9">
        <w:t xml:space="preserve">Arriola et al. </w:t>
      </w:r>
      <w:sdt>
        <w:sdtPr>
          <w:id w:val="-1822958261"/>
          <w:citation/>
        </w:sdtPr>
        <w:sdtEndPr/>
        <w:sdtContent>
          <w:r w:rsidR="00AA1AC9">
            <w:fldChar w:fldCharType="begin"/>
          </w:r>
          <w:r w:rsidR="00AA1AC9">
            <w:instrText xml:space="preserve">CITATION Placeholder1 \n  \l 2057 </w:instrText>
          </w:r>
          <w:r w:rsidR="00AA1AC9">
            <w:fldChar w:fldCharType="separate"/>
          </w:r>
          <w:r w:rsidR="0020320D" w:rsidRPr="0020320D">
            <w:rPr>
              <w:noProof/>
            </w:rPr>
            <w:t>(forthcoming</w:t>
          </w:r>
          <w:r w:rsidR="0020320D" w:rsidRPr="0020320D">
            <w:rPr>
              <w:noProof/>
              <w:vertAlign w:val="subscript"/>
            </w:rPr>
            <w:t>[18]</w:t>
          </w:r>
          <w:r w:rsidR="0020320D" w:rsidRPr="0020320D">
            <w:rPr>
              <w:noProof/>
            </w:rPr>
            <w:t>)</w:t>
          </w:r>
          <w:r w:rsidR="00AA1AC9">
            <w:fldChar w:fldCharType="end"/>
          </w:r>
        </w:sdtContent>
      </w:sdt>
      <w:r w:rsidRPr="00E23AB7">
        <w:t xml:space="preserve">. </w:t>
      </w:r>
    </w:p>
    <w:p w14:paraId="4499AB77" w14:textId="00E0EB9C" w:rsidR="00CD6098" w:rsidRPr="00E23AB7" w:rsidRDefault="00CD6098" w:rsidP="00CD6098">
      <w:pPr>
        <w:pStyle w:val="BulletedList"/>
        <w:numPr>
          <w:ilvl w:val="0"/>
          <w:numId w:val="24"/>
        </w:numPr>
        <w:tabs>
          <w:tab w:val="clear" w:pos="340"/>
          <w:tab w:val="num" w:pos="426"/>
        </w:tabs>
        <w:ind w:left="426"/>
      </w:pPr>
      <w:r w:rsidRPr="00E23AB7">
        <w:t xml:space="preserve">Finally, regional total factor productivity shocks reflecting the combined effects of all elements not captured explicitly above are added based on the macroeconomic decline in GDP </w:t>
      </w:r>
      <w:sdt>
        <w:sdtPr>
          <w:id w:val="822162388"/>
          <w:citation/>
        </w:sdtPr>
        <w:sdtEndPr/>
        <w:sdtContent>
          <w:r>
            <w:fldChar w:fldCharType="begin"/>
          </w:r>
          <w:r>
            <w:rPr>
              <w:noProof/>
              <w:vertAlign w:val="subscript"/>
            </w:rPr>
            <w:instrText xml:space="preserve">CITATION Kappa_39a88ab1 \l 2057 </w:instrText>
          </w:r>
          <w:r>
            <w:fldChar w:fldCharType="separate"/>
          </w:r>
          <w:r w:rsidR="0020320D" w:rsidRPr="0020320D">
            <w:rPr>
              <w:noProof/>
            </w:rPr>
            <w:t>(OECD, 2020</w:t>
          </w:r>
          <w:r w:rsidR="0020320D" w:rsidRPr="0020320D">
            <w:rPr>
              <w:noProof/>
              <w:vertAlign w:val="subscript"/>
            </w:rPr>
            <w:t>[16]</w:t>
          </w:r>
          <w:r w:rsidR="0020320D" w:rsidRPr="0020320D">
            <w:rPr>
              <w:noProof/>
            </w:rPr>
            <w:t>)</w:t>
          </w:r>
          <w:r>
            <w:fldChar w:fldCharType="end"/>
          </w:r>
        </w:sdtContent>
      </w:sdt>
      <w:r w:rsidRPr="00E23AB7">
        <w:t xml:space="preserve">. This approach ensures that the immediate effects of the pandemic on the macro economy are scaled to reach the GDP growth rates for 2020 as forecast by </w:t>
      </w:r>
      <w:sdt>
        <w:sdtPr>
          <w:id w:val="1062595203"/>
          <w:citation/>
        </w:sdtPr>
        <w:sdtEndPr/>
        <w:sdtContent>
          <w:r>
            <w:fldChar w:fldCharType="begin"/>
          </w:r>
          <w:r>
            <w:rPr>
              <w:noProof/>
              <w:vertAlign w:val="subscript"/>
            </w:rPr>
            <w:instrText xml:space="preserve">CITATION Kappa_39a88ab1 \l 2057 </w:instrText>
          </w:r>
          <w:r>
            <w:fldChar w:fldCharType="separate"/>
          </w:r>
          <w:bookmarkStart w:id="18" w:name="Kappa_39a88ab1_6"/>
          <w:r w:rsidR="0020320D" w:rsidRPr="0020320D">
            <w:rPr>
              <w:noProof/>
            </w:rPr>
            <w:t>(OECD, 2020</w:t>
          </w:r>
          <w:r w:rsidR="0020320D" w:rsidRPr="0020320D">
            <w:rPr>
              <w:noProof/>
              <w:vertAlign w:val="subscript"/>
            </w:rPr>
            <w:t>[16]</w:t>
          </w:r>
          <w:r w:rsidR="0020320D" w:rsidRPr="0020320D">
            <w:rPr>
              <w:noProof/>
            </w:rPr>
            <w:t>)</w:t>
          </w:r>
          <w:bookmarkEnd w:id="18"/>
          <w:r>
            <w:fldChar w:fldCharType="end"/>
          </w:r>
        </w:sdtContent>
      </w:sdt>
      <w:r w:rsidRPr="00E23AB7">
        <w:t xml:space="preserve"> and by the IMF for the countries that are not covered by the OECD forecasts</w:t>
      </w:r>
      <w:r>
        <w:t xml:space="preserve"> </w:t>
      </w:r>
      <w:sdt>
        <w:sdtPr>
          <w:id w:val="867571353"/>
          <w:citation/>
        </w:sdtPr>
        <w:sdtEndPr/>
        <w:sdtContent>
          <w:r>
            <w:fldChar w:fldCharType="begin"/>
          </w:r>
          <w:r>
            <w:instrText xml:space="preserve">CITATION Mendeley_T_NlaTSuhjaNcmIItzAZEA \l 2057 </w:instrText>
          </w:r>
          <w:r>
            <w:fldChar w:fldCharType="separate"/>
          </w:r>
          <w:r w:rsidR="0020320D" w:rsidRPr="0020320D">
            <w:rPr>
              <w:noProof/>
            </w:rPr>
            <w:t>(IMF, 2020</w:t>
          </w:r>
          <w:r w:rsidR="0020320D" w:rsidRPr="0020320D">
            <w:rPr>
              <w:noProof/>
              <w:vertAlign w:val="subscript"/>
            </w:rPr>
            <w:t>[17]</w:t>
          </w:r>
          <w:r w:rsidR="0020320D" w:rsidRPr="0020320D">
            <w:rPr>
              <w:noProof/>
            </w:rPr>
            <w:t>)</w:t>
          </w:r>
          <w:r>
            <w:fldChar w:fldCharType="end"/>
          </w:r>
        </w:sdtContent>
      </w:sdt>
      <w:r w:rsidRPr="00E23AB7">
        <w:t xml:space="preserve">. </w:t>
      </w:r>
      <w:r>
        <w:t>In addition, a rebound effect on total factor productivity is included for 2021 and 2022 for those countries where the short-term forecasts are more optimistic than can be explained by the recovery rates calibrated in the model.</w:t>
      </w:r>
    </w:p>
    <w:p w14:paraId="5653CCDF" w14:textId="77777777" w:rsidR="00CD6098" w:rsidRDefault="00CD6098" w:rsidP="00CD6098">
      <w:pPr>
        <w:pStyle w:val="Para0"/>
      </w:pPr>
      <w:r>
        <w:t xml:space="preserve">All shocks are assumed to gradually fade over time after 2020, each year becoming less strong than the year before. These recovery rates are region-specific and based on the GDP forecasts until 2025 made by IMF. However, long-term economic activity levels – and the associated environmental pressures – do not necessarily return to the levels as projected in the baseline excluding the Covid shocks; the main reason is that the shocks alter savings and investment behaviour and thus long-term economic growth and environmental pressure. </w:t>
      </w:r>
    </w:p>
    <w:p w14:paraId="67E75C47" w14:textId="77777777" w:rsidR="00CD6098" w:rsidRDefault="00CD6098" w:rsidP="00CD6098">
      <w:pPr>
        <w:pStyle w:val="Para0"/>
      </w:pPr>
      <w:r>
        <w:t>The analysis focuses on economic drivers and environmental consequences, and does not include e.g. excess mortality or changes in life expectancy. Estimates of demographic impacts and resulting changes in education and human capital are to the knowledge of the author not available and are thus not included in the analysis.</w:t>
      </w:r>
    </w:p>
    <w:p w14:paraId="3ACBACFB" w14:textId="77777777" w:rsidR="00386A4E" w:rsidRDefault="00386A4E" w:rsidP="00386A4E">
      <w:pPr>
        <w:pStyle w:val="Heading2"/>
      </w:pPr>
      <w:r>
        <w:t>Regional trading and reshoring scenario</w:t>
      </w:r>
    </w:p>
    <w:p w14:paraId="48F345D1" w14:textId="4A3D092C" w:rsidR="000D7FFC" w:rsidRDefault="00386A4E" w:rsidP="00386A4E">
      <w:pPr>
        <w:pStyle w:val="Para0"/>
      </w:pPr>
      <w:r>
        <w:t>T</w:t>
      </w:r>
      <w:r w:rsidR="00B263B2">
        <w:t>he “Regional trading and reshoring” scenario includes a set of policies that together reflect a partial withdrawal from the multilateral trading system. These policies are based on the assumptions in</w:t>
      </w:r>
      <w:sdt>
        <w:sdtPr>
          <w:id w:val="152730573"/>
          <w:citation/>
        </w:sdtPr>
        <w:sdtEndPr/>
        <w:sdtContent>
          <w:r w:rsidR="00D351F0">
            <w:fldChar w:fldCharType="begin"/>
          </w:r>
          <w:r w:rsidR="00D351F0">
            <w:instrText xml:space="preserve"> CITATION Kappa_3e4b7ecf \l 2057 </w:instrText>
          </w:r>
          <w:r w:rsidR="00D351F0">
            <w:fldChar w:fldCharType="separate"/>
          </w:r>
          <w:r w:rsidR="00D351F0">
            <w:rPr>
              <w:noProof/>
            </w:rPr>
            <w:t xml:space="preserve"> </w:t>
          </w:r>
          <w:r w:rsidR="00D351F0" w:rsidRPr="00331DD0">
            <w:rPr>
              <w:noProof/>
            </w:rPr>
            <w:t>(</w:t>
          </w:r>
          <w:bookmarkStart w:id="19" w:name="Kappa_3e4b7ecf_22"/>
          <w:r w:rsidR="00D351F0" w:rsidRPr="00331DD0">
            <w:rPr>
              <w:noProof/>
            </w:rPr>
            <w:t>Arriola et al., 2020</w:t>
          </w:r>
          <w:r w:rsidR="00D351F0" w:rsidRPr="00331DD0">
            <w:rPr>
              <w:noProof/>
              <w:vertAlign w:val="subscript"/>
            </w:rPr>
            <w:t>[22]</w:t>
          </w:r>
          <w:r w:rsidR="00D351F0" w:rsidRPr="00331DD0">
            <w:rPr>
              <w:noProof/>
            </w:rPr>
            <w:t>)</w:t>
          </w:r>
          <w:bookmarkEnd w:id="19"/>
          <w:r w:rsidR="00D351F0">
            <w:fldChar w:fldCharType="end"/>
          </w:r>
        </w:sdtContent>
      </w:sdt>
      <w:r w:rsidR="000D7FFC">
        <w:t>.</w:t>
      </w:r>
    </w:p>
    <w:p w14:paraId="6206ED5D" w14:textId="47E52D65" w:rsidR="00B263B2" w:rsidRDefault="00B263B2" w:rsidP="00386A4E">
      <w:pPr>
        <w:pStyle w:val="Para0"/>
      </w:pPr>
      <w:r>
        <w:t>Specifically, it includes:</w:t>
      </w:r>
    </w:p>
    <w:p w14:paraId="2DB07A4D" w14:textId="2A98913A" w:rsidR="00CD6098" w:rsidRDefault="00CD6098" w:rsidP="00B263B2">
      <w:pPr>
        <w:pStyle w:val="BulletedList"/>
        <w:numPr>
          <w:ilvl w:val="0"/>
          <w:numId w:val="24"/>
        </w:numPr>
        <w:tabs>
          <w:tab w:val="clear" w:pos="340"/>
          <w:tab w:val="num" w:pos="426"/>
        </w:tabs>
        <w:ind w:left="426" w:hanging="426"/>
      </w:pPr>
      <w:r>
        <w:t>The Covid-19 related shocks as detailed in the Covid scenario.</w:t>
      </w:r>
    </w:p>
    <w:p w14:paraId="2A6AA96B" w14:textId="18122CBF" w:rsidR="00B263B2" w:rsidRDefault="00B263B2" w:rsidP="00B263B2">
      <w:pPr>
        <w:pStyle w:val="BulletedList"/>
        <w:numPr>
          <w:ilvl w:val="0"/>
          <w:numId w:val="24"/>
        </w:numPr>
        <w:tabs>
          <w:tab w:val="clear" w:pos="340"/>
          <w:tab w:val="num" w:pos="426"/>
        </w:tabs>
        <w:ind w:left="426" w:hanging="426"/>
      </w:pPr>
      <w:r>
        <w:t xml:space="preserve">Global increases in import tariffs </w:t>
      </w:r>
      <w:r w:rsidR="00AD3D94">
        <w:t xml:space="preserve">and non-tariff measures </w:t>
      </w:r>
      <w:r>
        <w:t>on all goods and services, gradually increasing to 25% (</w:t>
      </w:r>
      <w:r w:rsidR="00D351F0">
        <w:t>in addition to</w:t>
      </w:r>
      <w:r>
        <w:t xml:space="preserve"> existing import tariffs)</w:t>
      </w:r>
      <w:r w:rsidR="0020320D">
        <w:t xml:space="preserve"> by 2030</w:t>
      </w:r>
      <w:r>
        <w:t>.</w:t>
      </w:r>
    </w:p>
    <w:p w14:paraId="18F938D6" w14:textId="65C4AADE" w:rsidR="00B263B2" w:rsidRDefault="00B263B2" w:rsidP="00B263B2">
      <w:pPr>
        <w:pStyle w:val="BulletedList"/>
        <w:numPr>
          <w:ilvl w:val="0"/>
          <w:numId w:val="24"/>
        </w:numPr>
        <w:tabs>
          <w:tab w:val="clear" w:pos="340"/>
          <w:tab w:val="num" w:pos="426"/>
        </w:tabs>
        <w:ind w:left="426" w:hanging="426"/>
      </w:pPr>
      <w:r>
        <w:lastRenderedPageBreak/>
        <w:t xml:space="preserve">Domestic support to capital and labour in agriculture and manufacturing </w:t>
      </w:r>
      <w:r w:rsidR="00222812">
        <w:t xml:space="preserve">(but not services) </w:t>
      </w:r>
      <w:r w:rsidR="00AE272C">
        <w:t>equal to 1% of GDP, again implemented gradually until 20</w:t>
      </w:r>
      <w:r w:rsidR="0020320D">
        <w:t>30</w:t>
      </w:r>
      <w:r w:rsidR="00AE272C">
        <w:t>.</w:t>
      </w:r>
      <w:r>
        <w:t xml:space="preserve"> </w:t>
      </w:r>
    </w:p>
    <w:p w14:paraId="32B7D98C" w14:textId="36BC2674" w:rsidR="00386A4E" w:rsidRPr="008E2F63" w:rsidRDefault="00B263B2" w:rsidP="00B263B2">
      <w:pPr>
        <w:pStyle w:val="BulletedList"/>
        <w:numPr>
          <w:ilvl w:val="0"/>
          <w:numId w:val="24"/>
        </w:numPr>
        <w:tabs>
          <w:tab w:val="clear" w:pos="340"/>
          <w:tab w:val="num" w:pos="426"/>
        </w:tabs>
        <w:ind w:left="426" w:hanging="426"/>
      </w:pPr>
      <w:r>
        <w:t>Reduced import elasticities, both at the level of domestic versus foreign commodities, and at the level of the</w:t>
      </w:r>
      <w:r w:rsidR="00CD6098">
        <w:t xml:space="preserve"> origin of imports. Between 2021</w:t>
      </w:r>
      <w:r w:rsidR="0020320D">
        <w:t xml:space="preserve"> and 2030</w:t>
      </w:r>
      <w:r>
        <w:t>, impor</w:t>
      </w:r>
      <w:r w:rsidR="0020320D">
        <w:t>t elasticities are reduced by 5</w:t>
      </w:r>
      <w:r>
        <w:t>% annually, leading to a long-term reduction of more than 40% compared to the baseline levels.</w:t>
      </w:r>
      <w:r w:rsidR="00222812">
        <w:rPr>
          <w:rStyle w:val="FootnoteReference"/>
        </w:rPr>
        <w:footnoteReference w:id="1"/>
      </w:r>
    </w:p>
    <w:p w14:paraId="4160F957" w14:textId="65FC41AC" w:rsidR="008E2F63" w:rsidRDefault="008E2F63" w:rsidP="008E2F63">
      <w:pPr>
        <w:pStyle w:val="Heading2"/>
      </w:pPr>
      <w:r>
        <w:t xml:space="preserve">Regional </w:t>
      </w:r>
      <w:r w:rsidR="00386A4E">
        <w:t>hub</w:t>
      </w:r>
      <w:r>
        <w:t xml:space="preserve"> scenario</w:t>
      </w:r>
      <w:r w:rsidR="00386A4E">
        <w:t>s</w:t>
      </w:r>
    </w:p>
    <w:p w14:paraId="0AF968D2" w14:textId="1449768F" w:rsidR="000F7CCA" w:rsidRPr="008E2F63" w:rsidRDefault="00CD6098" w:rsidP="008E2F63">
      <w:pPr>
        <w:pStyle w:val="Para0"/>
      </w:pPr>
      <w:r>
        <w:t>[These scenarios will be elaborated in a later version of this paper. For example, an</w:t>
      </w:r>
      <w:r w:rsidR="000F7CCA">
        <w:t xml:space="preserve"> “OECD Trading Hub” scenario </w:t>
      </w:r>
      <w:r>
        <w:t>that focuses</w:t>
      </w:r>
      <w:r w:rsidR="000F7CCA">
        <w:t xml:space="preserve"> on a further integration of the OECD countries as a regional trading hub</w:t>
      </w:r>
      <w:r>
        <w:t xml:space="preserve"> including</w:t>
      </w:r>
      <w:r w:rsidR="000F7CCA">
        <w:t xml:space="preserve"> tariff escalation with non-OECD countries, but reduced tariffs within the OECD, and domestic support only in OECD countries.</w:t>
      </w:r>
      <w:r>
        <w:t xml:space="preserve"> Similarly, an</w:t>
      </w:r>
      <w:r w:rsidR="000F7CCA">
        <w:t xml:space="preserve"> “Asian Trading Hub” scenario </w:t>
      </w:r>
      <w:r>
        <w:t>could explore</w:t>
      </w:r>
      <w:r w:rsidR="000F7CCA">
        <w:t xml:space="preserve"> the effects of a further integration of the Asian regions in the model, including both OECD and non-OECD countries.</w:t>
      </w:r>
      <w:r w:rsidR="00D351F0">
        <w:t xml:space="preserve"> An “European Union Trading Hub” is also an interesting case, as these economies are already closely integrated.</w:t>
      </w:r>
      <w:r>
        <w:t>]</w:t>
      </w:r>
    </w:p>
    <w:p w14:paraId="00637141" w14:textId="77777777" w:rsidR="00F820B1" w:rsidRDefault="00F820B1" w:rsidP="00F820B1">
      <w:pPr>
        <w:pStyle w:val="Heading1"/>
      </w:pPr>
      <w:r>
        <w:t xml:space="preserve">The effects of the Covid-19 pandemic </w:t>
      </w:r>
      <w:r w:rsidR="003B237F">
        <w:t xml:space="preserve">and recovery </w:t>
      </w:r>
      <w:r>
        <w:t>on environmental pressure</w:t>
      </w:r>
      <w:r w:rsidR="002368E5">
        <w:rPr>
          <w:rStyle w:val="FootnoteReference"/>
        </w:rPr>
        <w:footnoteReference w:id="2"/>
      </w:r>
    </w:p>
    <w:p w14:paraId="500F5063" w14:textId="418F6044" w:rsidR="00351B72" w:rsidRDefault="00351B72" w:rsidP="00351B72">
      <w:pPr>
        <w:pStyle w:val="Heading2"/>
        <w:numPr>
          <w:ilvl w:val="1"/>
          <w:numId w:val="25"/>
        </w:numPr>
      </w:pPr>
      <w:bookmarkStart w:id="20" w:name="_Ref62201532"/>
      <w:r w:rsidRPr="002877B1">
        <w:t>Effects on domestic economic activity</w:t>
      </w:r>
      <w:bookmarkEnd w:id="20"/>
    </w:p>
    <w:p w14:paraId="7FFE9E92" w14:textId="4DA6FC8B" w:rsidR="00CD6098" w:rsidRPr="0099472F" w:rsidRDefault="00CD6098" w:rsidP="00CD6098">
      <w:pPr>
        <w:pStyle w:val="Para0"/>
      </w:pPr>
      <w:r>
        <w:t>As mentioned above, the effects of the Covid-19 pandemic and recovery on environmental pressures are determined by the changes in economic activity. Increased unemployment, reduced labour productivity, a collapse in demand for certain commodities and higher trade costs all depress economic activity. This is only partially compensated by government support to firms and households. The result is a significant contraction of global GDP in 2020, with the annual global GDP growth rate dropping from around +4% in 2019 to -3.5% in 2020 (</w:t>
      </w:r>
      <w:r>
        <w:fldChar w:fldCharType="begin"/>
      </w:r>
      <w:r>
        <w:instrText xml:space="preserve"> REF _Ref62111934 \h  \* MERGEFORMAT </w:instrText>
      </w:r>
      <w:r>
        <w:fldChar w:fldCharType="separate"/>
      </w:r>
      <w:r>
        <w:t xml:space="preserve">Figure </w:t>
      </w:r>
      <w:r>
        <w:rPr>
          <w:noProof/>
        </w:rPr>
        <w:t>1</w:t>
      </w:r>
      <w:r>
        <w:fldChar w:fldCharType="end"/>
      </w:r>
      <w:r>
        <w:t>).</w:t>
      </w:r>
      <w:r>
        <w:rPr>
          <w:rStyle w:val="FootnoteReference"/>
        </w:rPr>
        <w:footnoteReference w:id="3"/>
      </w:r>
      <w:r>
        <w:t xml:space="preserve"> </w:t>
      </w:r>
    </w:p>
    <w:p w14:paraId="661634A8" w14:textId="77777777" w:rsidR="00CD6098" w:rsidRDefault="00CD6098" w:rsidP="00CD6098">
      <w:pPr>
        <w:pStyle w:val="Caption"/>
      </w:pPr>
      <w:bookmarkStart w:id="21" w:name="_Ref62111934"/>
      <w:r>
        <w:lastRenderedPageBreak/>
        <w:t xml:space="preserve">Figure </w:t>
      </w:r>
      <w:r>
        <w:rPr>
          <w:noProof/>
        </w:rPr>
        <w:fldChar w:fldCharType="begin"/>
      </w:r>
      <w:r>
        <w:rPr>
          <w:noProof/>
        </w:rPr>
        <w:instrText xml:space="preserve"> SEQ Figure \* ARABIC </w:instrText>
      </w:r>
      <w:r>
        <w:rPr>
          <w:noProof/>
        </w:rPr>
        <w:fldChar w:fldCharType="separate"/>
      </w:r>
      <w:r>
        <w:rPr>
          <w:noProof/>
        </w:rPr>
        <w:t>1</w:t>
      </w:r>
      <w:r>
        <w:rPr>
          <w:noProof/>
        </w:rPr>
        <w:fldChar w:fldCharType="end"/>
      </w:r>
      <w:bookmarkEnd w:id="21"/>
      <w:r>
        <w:t>. Effects of the Covid scenario on global GDP</w:t>
      </w:r>
    </w:p>
    <w:p w14:paraId="7CEF0757" w14:textId="3710994F" w:rsidR="00CD6098" w:rsidRDefault="00CD6098" w:rsidP="00CD6098">
      <w:pPr>
        <w:pStyle w:val="CaptionSubtitle"/>
      </w:pPr>
      <w:r>
        <w:t xml:space="preserve">Annual rate of growth (left panel); deviation from the </w:t>
      </w:r>
      <w:r w:rsidR="004B33A7">
        <w:t>pre</w:t>
      </w:r>
      <w:r>
        <w:t>-Covid baseline projection (right panel)</w:t>
      </w:r>
    </w:p>
    <w:p w14:paraId="78F98D89" w14:textId="77777777" w:rsidR="00CD6098" w:rsidRDefault="00CD6098" w:rsidP="00CD6098">
      <w:pPr>
        <w:pStyle w:val="Figure"/>
        <w:rPr>
          <w:i/>
        </w:rPr>
      </w:pPr>
      <w:r w:rsidRPr="00F62A96">
        <w:rPr>
          <w:noProof/>
          <w:lang w:eastAsia="en-GB"/>
        </w:rPr>
        <w:drawing>
          <wp:inline distT="0" distB="0" distL="0" distR="0" wp14:anchorId="156170BF" wp14:editId="562EFF4D">
            <wp:extent cx="2714625" cy="34766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14625" cy="3476625"/>
                    </a:xfrm>
                    <a:prstGeom prst="rect">
                      <a:avLst/>
                    </a:prstGeom>
                    <a:noFill/>
                    <a:ln>
                      <a:noFill/>
                    </a:ln>
                  </pic:spPr>
                </pic:pic>
              </a:graphicData>
            </a:graphic>
          </wp:inline>
        </w:drawing>
      </w:r>
      <w:r w:rsidRPr="00F62A96">
        <w:rPr>
          <w:i/>
        </w:rPr>
        <w:t xml:space="preserve"> </w:t>
      </w:r>
      <w:r w:rsidRPr="00F62A96">
        <w:rPr>
          <w:noProof/>
          <w:lang w:eastAsia="en-GB"/>
        </w:rPr>
        <w:drawing>
          <wp:inline distT="0" distB="0" distL="0" distR="0" wp14:anchorId="64052019" wp14:editId="33AD4FA0">
            <wp:extent cx="2724150" cy="34766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24150" cy="3476625"/>
                    </a:xfrm>
                    <a:prstGeom prst="rect">
                      <a:avLst/>
                    </a:prstGeom>
                    <a:noFill/>
                    <a:ln>
                      <a:noFill/>
                    </a:ln>
                  </pic:spPr>
                </pic:pic>
              </a:graphicData>
            </a:graphic>
          </wp:inline>
        </w:drawing>
      </w:r>
    </w:p>
    <w:p w14:paraId="18B7C791" w14:textId="77777777" w:rsidR="00CD6098" w:rsidRDefault="00CD6098" w:rsidP="00CD6098">
      <w:pPr>
        <w:pStyle w:val="Sourcenotes"/>
      </w:pPr>
      <w:r w:rsidRPr="00454399">
        <w:rPr>
          <w:i/>
        </w:rPr>
        <w:t>Source</w:t>
      </w:r>
      <w:r>
        <w:t>: ENV-Linkages model.</w:t>
      </w:r>
    </w:p>
    <w:p w14:paraId="5D6FD6D2" w14:textId="3B7EB95D" w:rsidR="00CD6098" w:rsidRDefault="00CD6098" w:rsidP="00CD6098">
      <w:pPr>
        <w:pStyle w:val="Para0"/>
      </w:pPr>
      <w:r>
        <w:t xml:space="preserve">The projections for global GDP in 2021 follow the short-term forecasts of the OECD Economics Department for OECD countries and selected emerging economies and the International Monetary Fund (IMF) for the other non-OECD countries. Although unemployment levels are projected to remain at their high 2020 level, demand and productivity at least partially rebound, leading to a catch-up effect that causes a short spike in the growth rate of GDP (almost +6%). However, this growth spurt starts from a depressed GDP level, and – as the right panel shows – GDP levels remains well below the counterfactual </w:t>
      </w:r>
      <w:r w:rsidR="004B33A7">
        <w:t>pre</w:t>
      </w:r>
      <w:r>
        <w:t>-Covid baseline for decades.</w:t>
      </w:r>
    </w:p>
    <w:p w14:paraId="26912BA1" w14:textId="31020645" w:rsidR="00CD6098" w:rsidRDefault="00CD6098" w:rsidP="00CD6098">
      <w:pPr>
        <w:pStyle w:val="Para0"/>
      </w:pPr>
      <w:r>
        <w:t xml:space="preserve">In the longer run, GDP </w:t>
      </w:r>
      <w:r w:rsidRPr="00DF5F98">
        <w:rPr>
          <w:i/>
        </w:rPr>
        <w:t>growth</w:t>
      </w:r>
      <w:r>
        <w:t xml:space="preserve"> is projected to return to pre-Covid levels. But there is a long-term impact on GDP levels of almost 2% below the </w:t>
      </w:r>
      <w:r w:rsidR="004B33A7">
        <w:t>pre</w:t>
      </w:r>
      <w:r>
        <w:t>-Covid baseline. This is caused by effects of the short-term shocks on savings and investment, that in turn decelerate long-term capital growth.</w:t>
      </w:r>
    </w:p>
    <w:p w14:paraId="2A438433" w14:textId="5EEE951D" w:rsidR="00CD6098" w:rsidRDefault="00CD6098" w:rsidP="00CD6098">
      <w:pPr>
        <w:pStyle w:val="Para0"/>
      </w:pPr>
      <w:r>
        <w:t>Regional differences in the effects of Covid-19 on GDP are significant, though the short-term effects are significant in all regions (</w:t>
      </w:r>
      <w:r>
        <w:fldChar w:fldCharType="begin"/>
      </w:r>
      <w:r>
        <w:instrText xml:space="preserve"> REF _Ref62112686 \h  \* MERGEFORMAT </w:instrText>
      </w:r>
      <w:r>
        <w:fldChar w:fldCharType="separate"/>
      </w:r>
      <w:r>
        <w:t xml:space="preserve">Figure </w:t>
      </w:r>
      <w:r>
        <w:rPr>
          <w:noProof/>
        </w:rPr>
        <w:t>2</w:t>
      </w:r>
      <w:r>
        <w:fldChar w:fldCharType="end"/>
      </w:r>
      <w:r>
        <w:t>) and the shape of recovery – though not the speed – is similar across countries. The pandemic is truly global and affects all economies directly. Moreover, economic integration means that regional economic effects propagate through all economies. Most OECD economies are projected to mostly recover within a decade or so, but the long-term effects are more significant in part of Africa and Asia, especially India, where the pandemic reversed a +8% expected growth rate in 2020 into a 6% contraction.</w:t>
      </w:r>
      <w:r>
        <w:rPr>
          <w:rStyle w:val="FootnoteReference"/>
        </w:rPr>
        <w:footnoteReference w:id="4"/>
      </w:r>
      <w:r>
        <w:t xml:space="preserve"> In the long run, GDP growth in Africa is projected to outstrip that in the current emerging economies, building on </w:t>
      </w:r>
      <w:r>
        <w:lastRenderedPageBreak/>
        <w:t xml:space="preserve">an increased integration in the global economy, and thus this region has most to lose from the long-term effects of the global economic contraction. </w:t>
      </w:r>
    </w:p>
    <w:p w14:paraId="7B3361A7" w14:textId="77777777" w:rsidR="00CD6098" w:rsidRDefault="00CD6098" w:rsidP="00CD6098">
      <w:pPr>
        <w:pStyle w:val="Caption"/>
      </w:pPr>
      <w:bookmarkStart w:id="22" w:name="_Ref62112686"/>
      <w:r>
        <w:t xml:space="preserve">Figure </w:t>
      </w:r>
      <w:r>
        <w:rPr>
          <w:noProof/>
        </w:rPr>
        <w:fldChar w:fldCharType="begin"/>
      </w:r>
      <w:r>
        <w:rPr>
          <w:noProof/>
        </w:rPr>
        <w:instrText xml:space="preserve"> SEQ Figure \* ARABIC </w:instrText>
      </w:r>
      <w:r>
        <w:rPr>
          <w:noProof/>
        </w:rPr>
        <w:fldChar w:fldCharType="separate"/>
      </w:r>
      <w:r>
        <w:rPr>
          <w:noProof/>
        </w:rPr>
        <w:t>2</w:t>
      </w:r>
      <w:r>
        <w:rPr>
          <w:noProof/>
        </w:rPr>
        <w:fldChar w:fldCharType="end"/>
      </w:r>
      <w:bookmarkEnd w:id="22"/>
      <w:r>
        <w:t>. Effects of the Covid scenario on regional GDP</w:t>
      </w:r>
    </w:p>
    <w:p w14:paraId="7D364EA8" w14:textId="6DB42C60" w:rsidR="00CD6098" w:rsidRDefault="00CD6098" w:rsidP="00CD6098">
      <w:pPr>
        <w:pStyle w:val="CaptionSubtitle"/>
      </w:pPr>
      <w:r>
        <w:t xml:space="preserve">Deviations from the </w:t>
      </w:r>
      <w:r w:rsidR="004B33A7">
        <w:t>pre</w:t>
      </w:r>
      <w:r>
        <w:t>-Covid baseline projection</w:t>
      </w:r>
    </w:p>
    <w:p w14:paraId="27748123" w14:textId="77777777" w:rsidR="00CD6098" w:rsidRDefault="00CD6098" w:rsidP="00CD6098">
      <w:pPr>
        <w:pStyle w:val="Figure"/>
        <w:rPr>
          <w:i/>
        </w:rPr>
      </w:pPr>
      <w:r w:rsidRPr="00CD455A">
        <w:rPr>
          <w:i/>
        </w:rPr>
        <w:t xml:space="preserve"> </w:t>
      </w:r>
      <w:r w:rsidRPr="00F62A96">
        <w:rPr>
          <w:noProof/>
          <w:lang w:eastAsia="en-GB"/>
        </w:rPr>
        <w:drawing>
          <wp:inline distT="0" distB="0" distL="0" distR="0" wp14:anchorId="1AD48039" wp14:editId="6547CF0A">
            <wp:extent cx="2657475" cy="34766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57475" cy="3476625"/>
                    </a:xfrm>
                    <a:prstGeom prst="rect">
                      <a:avLst/>
                    </a:prstGeom>
                    <a:noFill/>
                    <a:ln>
                      <a:noFill/>
                    </a:ln>
                  </pic:spPr>
                </pic:pic>
              </a:graphicData>
            </a:graphic>
          </wp:inline>
        </w:drawing>
      </w:r>
      <w:r w:rsidRPr="00F62A96">
        <w:rPr>
          <w:i/>
        </w:rPr>
        <w:t xml:space="preserve"> </w:t>
      </w:r>
      <w:r w:rsidRPr="00F62A96">
        <w:rPr>
          <w:noProof/>
          <w:lang w:eastAsia="en-GB"/>
        </w:rPr>
        <w:drawing>
          <wp:inline distT="0" distB="0" distL="0" distR="0" wp14:anchorId="0EDEA5A7" wp14:editId="0E85A42E">
            <wp:extent cx="2695575" cy="34766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95575" cy="3476625"/>
                    </a:xfrm>
                    <a:prstGeom prst="rect">
                      <a:avLst/>
                    </a:prstGeom>
                    <a:noFill/>
                    <a:ln>
                      <a:noFill/>
                    </a:ln>
                  </pic:spPr>
                </pic:pic>
              </a:graphicData>
            </a:graphic>
          </wp:inline>
        </w:drawing>
      </w:r>
    </w:p>
    <w:p w14:paraId="3B8AEA2A" w14:textId="77777777" w:rsidR="00CD6098" w:rsidRDefault="00CD6098" w:rsidP="00CD6098">
      <w:pPr>
        <w:pStyle w:val="Sourcenotes"/>
      </w:pPr>
      <w:r w:rsidRPr="00454399">
        <w:rPr>
          <w:i/>
        </w:rPr>
        <w:t>Note</w:t>
      </w:r>
      <w:r>
        <w:t>: For an explanation of the regional aggregation see Annex A.</w:t>
      </w:r>
    </w:p>
    <w:p w14:paraId="5B462DEA" w14:textId="77777777" w:rsidR="00CD6098" w:rsidRPr="00454399" w:rsidRDefault="00CD6098" w:rsidP="00CD6098">
      <w:pPr>
        <w:pStyle w:val="Sourcenotes"/>
      </w:pPr>
      <w:r w:rsidRPr="00454399">
        <w:rPr>
          <w:i/>
        </w:rPr>
        <w:t>Source</w:t>
      </w:r>
      <w:r>
        <w:t>: ENV-Linkages model.</w:t>
      </w:r>
    </w:p>
    <w:p w14:paraId="2E5C4FFD" w14:textId="108A4107" w:rsidR="00CD6098" w:rsidRDefault="00CD6098" w:rsidP="00CD6098">
      <w:pPr>
        <w:pStyle w:val="Para0"/>
      </w:pPr>
      <w:r>
        <w:t>The structure of the economy plays a key role in how economic effects translate into changes in environmental pressures. Services sectors, which are among the most severely hit by the pandemic (</w:t>
      </w:r>
      <w:r>
        <w:fldChar w:fldCharType="begin"/>
      </w:r>
      <w:r>
        <w:instrText xml:space="preserve"> REF _Ref62113408 \h  \* MERGEFORMAT </w:instrText>
      </w:r>
      <w:r>
        <w:fldChar w:fldCharType="separate"/>
      </w:r>
      <w:r>
        <w:t xml:space="preserve">Figure </w:t>
      </w:r>
      <w:r>
        <w:rPr>
          <w:noProof/>
        </w:rPr>
        <w:t>3</w:t>
      </w:r>
      <w:r>
        <w:fldChar w:fldCharType="end"/>
      </w:r>
      <w:r>
        <w:t>), are much less emissions- and materials-intensive than most industrial sectors. This suggests that overall reductions in environmental pressure in the short run could be smaller than the reductions in GDP. For the energy sectors, which are linked to many sources of GHG and air pollutant emissions, the effects are mixed: the reductions in demand for fossil fuels are quite large, not least through the effects of the lockdown measures on transport. Electricity demand also declines, especially in production, as firms close down temporarily, but less than fuel use.</w:t>
      </w:r>
      <w:r w:rsidRPr="00900392">
        <w:t xml:space="preserve"> </w:t>
      </w:r>
      <w:r>
        <w:t xml:space="preserve">Construction activities are among the most severely affected in the short term, while the metals sectors are mostly indirectly affected, not least through the negative effects on construction and motor vehicles. Such indirect effects are significant however: iron and steel production is projected to decline by 5% below the </w:t>
      </w:r>
      <w:r w:rsidR="004B33A7">
        <w:t>pre</w:t>
      </w:r>
      <w:r>
        <w:t>-Covid baseline in 2020. The only sector that is projected to have a short-term increase in output is pharmaceuticals (as well as some subsectors that are aggregated in larger sectors in the modelling, such as online retail).</w:t>
      </w:r>
      <w:r>
        <w:rPr>
          <w:rStyle w:val="FootnoteReference"/>
        </w:rPr>
        <w:footnoteReference w:id="5"/>
      </w:r>
      <w:r>
        <w:t xml:space="preserve"> But this boost is temporary, as the overall slump in economic growth also drags down production growth in this sector to below </w:t>
      </w:r>
      <w:r w:rsidR="004B33A7">
        <w:t>pre</w:t>
      </w:r>
      <w:r>
        <w:t xml:space="preserve">-Covid baseline levels after 2024 (while the sector can still grow in absolute terms); it is projected to </w:t>
      </w:r>
      <w:r>
        <w:lastRenderedPageBreak/>
        <w:t>remain performing better than other manufacturing sectors.</w:t>
      </w:r>
      <w:r>
        <w:rPr>
          <w:rStyle w:val="FootnoteReference"/>
        </w:rPr>
        <w:footnoteReference w:id="6"/>
      </w:r>
      <w:r>
        <w:t xml:space="preserve"> In the longer run, services and agricultural sectors are projected to recover faster and more completely than manufacturing. This is directly related to the capital intensity of these sectors (and the basic goods nature of food): according to the ENV-Linkages model simulations, in the short run the negative effects are largest in labour intensive sectors (as labour productivity is directly affected), while in the long run the opposite is true (as capital growth is affected). </w:t>
      </w:r>
    </w:p>
    <w:p w14:paraId="2675588E" w14:textId="77777777" w:rsidR="00CD6098" w:rsidRDefault="00CD6098" w:rsidP="00CD6098">
      <w:pPr>
        <w:pStyle w:val="Para0"/>
      </w:pPr>
      <w:r>
        <w:t xml:space="preserve">These sectoral effects may be significantly affected by recovery packages that are currently being implemented or considered; the analysis presented here includes short-term stimulus packages already implemented, but no longer-term recovery packages.   </w:t>
      </w:r>
    </w:p>
    <w:p w14:paraId="7ED30989" w14:textId="77777777" w:rsidR="00CD6098" w:rsidRDefault="00CD6098" w:rsidP="00CD6098">
      <w:pPr>
        <w:pStyle w:val="Caption"/>
      </w:pPr>
      <w:bookmarkStart w:id="23" w:name="_Ref62113408"/>
      <w:r>
        <w:t xml:space="preserve">Figure </w:t>
      </w:r>
      <w:r>
        <w:rPr>
          <w:noProof/>
        </w:rPr>
        <w:fldChar w:fldCharType="begin"/>
      </w:r>
      <w:r>
        <w:rPr>
          <w:noProof/>
        </w:rPr>
        <w:instrText xml:space="preserve"> SEQ Figure \* ARABIC </w:instrText>
      </w:r>
      <w:r>
        <w:rPr>
          <w:noProof/>
        </w:rPr>
        <w:fldChar w:fldCharType="separate"/>
      </w:r>
      <w:r>
        <w:rPr>
          <w:noProof/>
        </w:rPr>
        <w:t>3</w:t>
      </w:r>
      <w:r>
        <w:rPr>
          <w:noProof/>
        </w:rPr>
        <w:fldChar w:fldCharType="end"/>
      </w:r>
      <w:bookmarkEnd w:id="23"/>
      <w:r>
        <w:t>. Effects of the Covid scenario on global output of selected sectors</w:t>
      </w:r>
    </w:p>
    <w:p w14:paraId="0121D7B1" w14:textId="2EC8BCC3" w:rsidR="00CD6098" w:rsidRDefault="00CD6098" w:rsidP="00CD6098">
      <w:pPr>
        <w:pStyle w:val="CaptionSubtitle"/>
      </w:pPr>
      <w:r>
        <w:t xml:space="preserve">Deviations from the </w:t>
      </w:r>
      <w:r w:rsidR="004B33A7">
        <w:t>pre</w:t>
      </w:r>
      <w:r>
        <w:t>-Covid baseline projection</w:t>
      </w:r>
    </w:p>
    <w:p w14:paraId="0A5C4BCA" w14:textId="77777777" w:rsidR="00CD6098" w:rsidRDefault="00CD6098" w:rsidP="00CD6098">
      <w:pPr>
        <w:pStyle w:val="Figure"/>
        <w:rPr>
          <w:i/>
        </w:rPr>
      </w:pPr>
      <w:r w:rsidRPr="00F62A96">
        <w:rPr>
          <w:noProof/>
          <w:lang w:eastAsia="en-GB"/>
        </w:rPr>
        <w:drawing>
          <wp:inline distT="0" distB="0" distL="0" distR="0" wp14:anchorId="37F82824" wp14:editId="4628C618">
            <wp:extent cx="5562600" cy="34766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62600" cy="3476625"/>
                    </a:xfrm>
                    <a:prstGeom prst="rect">
                      <a:avLst/>
                    </a:prstGeom>
                    <a:noFill/>
                    <a:ln>
                      <a:noFill/>
                    </a:ln>
                  </pic:spPr>
                </pic:pic>
              </a:graphicData>
            </a:graphic>
          </wp:inline>
        </w:drawing>
      </w:r>
    </w:p>
    <w:p w14:paraId="11D4377D" w14:textId="77777777" w:rsidR="00CD6098" w:rsidRDefault="00CD6098" w:rsidP="00CD6098">
      <w:pPr>
        <w:pStyle w:val="Sourcenotes"/>
      </w:pPr>
      <w:r w:rsidRPr="00454399">
        <w:rPr>
          <w:i/>
        </w:rPr>
        <w:t>Source</w:t>
      </w:r>
      <w:r>
        <w:t>: ENV-Linkages model.</w:t>
      </w:r>
    </w:p>
    <w:p w14:paraId="7D60F57F" w14:textId="109EF920" w:rsidR="00D47C1C" w:rsidRDefault="00D47C1C" w:rsidP="00D47C1C">
      <w:pPr>
        <w:pStyle w:val="Heading2"/>
        <w:numPr>
          <w:ilvl w:val="1"/>
          <w:numId w:val="25"/>
        </w:numPr>
      </w:pPr>
      <w:r w:rsidRPr="002877B1">
        <w:t xml:space="preserve">Effects on </w:t>
      </w:r>
      <w:r>
        <w:t>international trade</w:t>
      </w:r>
      <w:r w:rsidR="00B608D5">
        <w:t xml:space="preserve"> [to be elaborated]</w:t>
      </w:r>
    </w:p>
    <w:p w14:paraId="35FBE8D9" w14:textId="21D9CE11" w:rsidR="00CD6098" w:rsidRDefault="00CD6098" w:rsidP="00CD6098">
      <w:pPr>
        <w:pStyle w:val="Para0"/>
      </w:pPr>
      <w:r>
        <w:t>As the economic effects diverge across sectors and regions, and trade barriers increase more for some commodities than for others, trade balances also shift (</w:t>
      </w:r>
      <w:r>
        <w:fldChar w:fldCharType="begin"/>
      </w:r>
      <w:r>
        <w:instrText xml:space="preserve"> REF _Ref62114124 \h  \* MERGEFORMAT </w:instrText>
      </w:r>
      <w:r>
        <w:fldChar w:fldCharType="separate"/>
      </w:r>
      <w:r>
        <w:t xml:space="preserve">Figure </w:t>
      </w:r>
      <w:r>
        <w:rPr>
          <w:noProof/>
        </w:rPr>
        <w:t>4</w:t>
      </w:r>
      <w:r>
        <w:fldChar w:fldCharType="end"/>
      </w:r>
      <w:r>
        <w:t xml:space="preserve">). Some sectors in some regions can gain in competitiveness, if they are relatively less affected than competitors in other countries, while others lose. As on balance in 2020 the Asian economies were harder hit by the pandemic than the African economies and recovery is projected to be somewhat slower (except in China), some African manufacturers can grasp a larger share of the global market, at the expense of Asian competitors. The trade balance of other industries (which encompass energy, construction </w:t>
      </w:r>
      <w:r>
        <w:lastRenderedPageBreak/>
        <w:t>and utilities) moves in the opposite direction.</w:t>
      </w:r>
      <w:r>
        <w:rPr>
          <w:rStyle w:val="FootnoteReference"/>
        </w:rPr>
        <w:footnoteReference w:id="7"/>
      </w:r>
      <w:r>
        <w:t xml:space="preserve"> As emission intensities differ across regions, even for the same commodities, this has consequences for global environmental pressures, as the regional composition of these pressures shifts.</w:t>
      </w:r>
    </w:p>
    <w:p w14:paraId="1C20978A" w14:textId="77777777" w:rsidR="00CD6098" w:rsidRDefault="00CD6098" w:rsidP="00CD6098">
      <w:pPr>
        <w:pStyle w:val="Caption"/>
      </w:pPr>
      <w:bookmarkStart w:id="24" w:name="_Ref62114124"/>
      <w:r>
        <w:t xml:space="preserve">Figure </w:t>
      </w:r>
      <w:r>
        <w:rPr>
          <w:noProof/>
        </w:rPr>
        <w:fldChar w:fldCharType="begin"/>
      </w:r>
      <w:r>
        <w:rPr>
          <w:noProof/>
        </w:rPr>
        <w:instrText xml:space="preserve"> SEQ Figure \* ARABIC </w:instrText>
      </w:r>
      <w:r>
        <w:rPr>
          <w:noProof/>
        </w:rPr>
        <w:fldChar w:fldCharType="separate"/>
      </w:r>
      <w:r>
        <w:rPr>
          <w:noProof/>
        </w:rPr>
        <w:t>4</w:t>
      </w:r>
      <w:r>
        <w:rPr>
          <w:noProof/>
        </w:rPr>
        <w:fldChar w:fldCharType="end"/>
      </w:r>
      <w:bookmarkEnd w:id="24"/>
      <w:r>
        <w:t>. Effects of the Covid scenario on regional trade balances in 2040</w:t>
      </w:r>
    </w:p>
    <w:p w14:paraId="29624048" w14:textId="17370962" w:rsidR="00CD6098" w:rsidRDefault="00CD6098" w:rsidP="00CD6098">
      <w:pPr>
        <w:pStyle w:val="CaptionSubtitle"/>
      </w:pPr>
      <w:r>
        <w:t xml:space="preserve">Deviations from the </w:t>
      </w:r>
      <w:r w:rsidR="004B33A7">
        <w:t>pre</w:t>
      </w:r>
      <w:r>
        <w:t>-Covid baseline projection</w:t>
      </w:r>
    </w:p>
    <w:p w14:paraId="3948D802" w14:textId="77777777" w:rsidR="00CD6098" w:rsidRDefault="00CD6098" w:rsidP="00CD6098">
      <w:pPr>
        <w:pStyle w:val="Figure"/>
        <w:rPr>
          <w:i/>
        </w:rPr>
      </w:pPr>
      <w:r w:rsidRPr="00CD455A">
        <w:rPr>
          <w:i/>
        </w:rPr>
        <w:t xml:space="preserve"> </w:t>
      </w:r>
      <w:r w:rsidRPr="00F62A96">
        <w:rPr>
          <w:noProof/>
          <w:lang w:eastAsia="en-GB"/>
        </w:rPr>
        <w:drawing>
          <wp:inline distT="0" distB="0" distL="0" distR="0" wp14:anchorId="3633C724" wp14:editId="7B6B6FD7">
            <wp:extent cx="5553075" cy="3476625"/>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53075" cy="3476625"/>
                    </a:xfrm>
                    <a:prstGeom prst="rect">
                      <a:avLst/>
                    </a:prstGeom>
                    <a:noFill/>
                    <a:ln>
                      <a:noFill/>
                    </a:ln>
                  </pic:spPr>
                </pic:pic>
              </a:graphicData>
            </a:graphic>
          </wp:inline>
        </w:drawing>
      </w:r>
    </w:p>
    <w:p w14:paraId="3A939400" w14:textId="77777777" w:rsidR="00CD6098" w:rsidRDefault="00CD6098" w:rsidP="00CD6098">
      <w:pPr>
        <w:pStyle w:val="Sourcenotes"/>
        <w:rPr>
          <w:i/>
        </w:rPr>
      </w:pPr>
      <w:r>
        <w:rPr>
          <w:i/>
        </w:rPr>
        <w:t xml:space="preserve">Note: </w:t>
      </w:r>
      <w:r w:rsidRPr="00200EB5">
        <w:t xml:space="preserve">For comparison, the </w:t>
      </w:r>
      <w:r>
        <w:t xml:space="preserve">total </w:t>
      </w:r>
      <w:r w:rsidRPr="00200EB5">
        <w:t xml:space="preserve">trade balance on the OECD vis-à-vis non-OECD countries </w:t>
      </w:r>
      <w:r>
        <w:t xml:space="preserve">in 2040 </w:t>
      </w:r>
      <w:r w:rsidRPr="00200EB5">
        <w:t>is projected to amount to -2 trillion USD</w:t>
      </w:r>
      <w:r>
        <w:t>, i.e. the OECD is a net importer</w:t>
      </w:r>
      <w:r w:rsidRPr="00200EB5">
        <w:t>.</w:t>
      </w:r>
    </w:p>
    <w:p w14:paraId="4AA1A495" w14:textId="77777777" w:rsidR="00CD6098" w:rsidRDefault="00CD6098" w:rsidP="00CD6098">
      <w:pPr>
        <w:pStyle w:val="Sourcenotes"/>
      </w:pPr>
      <w:r w:rsidRPr="00454399">
        <w:rPr>
          <w:i/>
        </w:rPr>
        <w:t>Source</w:t>
      </w:r>
      <w:r>
        <w:t>: ENV-Linkages model.</w:t>
      </w:r>
    </w:p>
    <w:p w14:paraId="71BECA1F" w14:textId="77777777" w:rsidR="00351B72" w:rsidRDefault="00351B72" w:rsidP="00351B72">
      <w:pPr>
        <w:pStyle w:val="Heading2"/>
        <w:numPr>
          <w:ilvl w:val="1"/>
          <w:numId w:val="25"/>
        </w:numPr>
      </w:pPr>
      <w:r w:rsidRPr="002877B1">
        <w:t xml:space="preserve">Effects on </w:t>
      </w:r>
      <w:r>
        <w:t>environmental pressure</w:t>
      </w:r>
    </w:p>
    <w:p w14:paraId="7C75DBCE" w14:textId="6097DE5D" w:rsidR="00CD6098" w:rsidRDefault="00CD6098" w:rsidP="00CD6098">
      <w:pPr>
        <w:pStyle w:val="Para0"/>
      </w:pPr>
      <w:r>
        <w:t>The reductions in economic activity caused by the Covid-19 pandemic lead to lower emissions of greenhouse gases. Emissions of CO</w:t>
      </w:r>
      <w:r w:rsidRPr="00146AAC">
        <w:rPr>
          <w:vertAlign w:val="subscript"/>
        </w:rPr>
        <w:t>2</w:t>
      </w:r>
      <w:r>
        <w:t xml:space="preserve"> from fossil fuel combustion drop more than 7% below baseline levels in 2020 (</w:t>
      </w:r>
      <w:r>
        <w:fldChar w:fldCharType="begin"/>
      </w:r>
      <w:r>
        <w:instrText xml:space="preserve"> REF _Ref62116405 \h  \* MERGEFORMAT </w:instrText>
      </w:r>
      <w:r>
        <w:fldChar w:fldCharType="separate"/>
      </w:r>
      <w:r>
        <w:t xml:space="preserve">Figure </w:t>
      </w:r>
      <w:r>
        <w:rPr>
          <w:noProof/>
        </w:rPr>
        <w:t>5</w:t>
      </w:r>
      <w:r>
        <w:fldChar w:fldCharType="end"/>
      </w:r>
      <w:r>
        <w:t>; top-left panel). This reduction is in line with the projections in the 2020 World Energy Outlook</w:t>
      </w:r>
      <w:sdt>
        <w:sdtPr>
          <w:id w:val="-686210617"/>
          <w:citation/>
        </w:sdtPr>
        <w:sdtEndPr/>
        <w:sdtContent>
          <w:r>
            <w:fldChar w:fldCharType="begin"/>
          </w:r>
          <w:r>
            <w:instrText xml:space="preserve"> CITATION Kappa_557a761b \l 2057 </w:instrText>
          </w:r>
          <w:r>
            <w:fldChar w:fldCharType="separate"/>
          </w:r>
          <w:r w:rsidR="0020320D">
            <w:rPr>
              <w:noProof/>
            </w:rPr>
            <w:t xml:space="preserve"> </w:t>
          </w:r>
          <w:r w:rsidR="0020320D" w:rsidRPr="0020320D">
            <w:rPr>
              <w:noProof/>
            </w:rPr>
            <w:t>(IEA, 2020</w:t>
          </w:r>
          <w:r w:rsidR="0020320D" w:rsidRPr="0020320D">
            <w:rPr>
              <w:noProof/>
              <w:vertAlign w:val="subscript"/>
            </w:rPr>
            <w:t>[19]</w:t>
          </w:r>
          <w:r w:rsidR="0020320D" w:rsidRPr="0020320D">
            <w:rPr>
              <w:noProof/>
            </w:rPr>
            <w:t>)</w:t>
          </w:r>
          <w:r>
            <w:fldChar w:fldCharType="end"/>
          </w:r>
        </w:sdtContent>
      </w:sdt>
      <w:r>
        <w:t>, as these emission impacts directly follow the assumed energy demand reductions that are aligned to the World Energy Outlook. Other greenhouse gases are projected to decline less: CH</w:t>
      </w:r>
      <w:r w:rsidRPr="00B07185">
        <w:rPr>
          <w:vertAlign w:val="subscript"/>
        </w:rPr>
        <w:t>4</w:t>
      </w:r>
      <w:r>
        <w:t xml:space="preserve"> by 4.6% and N</w:t>
      </w:r>
      <w:r w:rsidRPr="00B07185">
        <w:rPr>
          <w:vertAlign w:val="subscript"/>
        </w:rPr>
        <w:t>2</w:t>
      </w:r>
      <w:r>
        <w:t>O by 2.3%</w:t>
      </w:r>
      <w:r w:rsidR="00D351F0">
        <w:t xml:space="preserve"> as their emission sources, which include agriculture, on average are reduced less</w:t>
      </w:r>
      <w:r>
        <w:t xml:space="preserve">. Until 2040, global GHG emissions remain more than 2% below baseline levels (while global GDP becomes less than 2% below the </w:t>
      </w:r>
      <w:r w:rsidR="004B33A7">
        <w:t>pre</w:t>
      </w:r>
      <w:r>
        <w:t xml:space="preserve">-Covid baseline by 2026, cf. </w:t>
      </w:r>
      <w:r>
        <w:fldChar w:fldCharType="begin"/>
      </w:r>
      <w:r>
        <w:instrText xml:space="preserve"> REF _Ref62111934 \h  \* MERGEFORMAT </w:instrText>
      </w:r>
      <w:r>
        <w:fldChar w:fldCharType="separate"/>
      </w:r>
      <w:r>
        <w:t>Figure 1</w:t>
      </w:r>
      <w:r>
        <w:fldChar w:fldCharType="end"/>
      </w:r>
      <w:r>
        <w:t xml:space="preserve">). This indicates that the long-term restructuring of the </w:t>
      </w:r>
      <w:r>
        <w:lastRenderedPageBreak/>
        <w:t xml:space="preserve">global economy outlined in Section </w:t>
      </w:r>
      <w:r>
        <w:fldChar w:fldCharType="begin"/>
      </w:r>
      <w:r>
        <w:instrText xml:space="preserve"> REF _Ref62201532 \r \h  \* MERGEFORMAT </w:instrText>
      </w:r>
      <w:r>
        <w:fldChar w:fldCharType="separate"/>
      </w:r>
      <w:r>
        <w:t>3.1</w:t>
      </w:r>
      <w:r>
        <w:fldChar w:fldCharType="end"/>
      </w:r>
      <w:r>
        <w:t xml:space="preserve"> – activity levels in manufacturing that are more significantly below baseline levels than activity levels in agriculture and services – leads to a small but possibly permanent reduction in the emissions intensity of the global economy.</w:t>
      </w:r>
    </w:p>
    <w:p w14:paraId="507E7156" w14:textId="6C9F898C" w:rsidR="00CD6098" w:rsidRDefault="00CD6098" w:rsidP="00CD6098">
      <w:pPr>
        <w:pStyle w:val="Para0"/>
      </w:pPr>
      <w:r>
        <w:t>Air pollutant emissions follow a similar trend to GHG emissions (</w:t>
      </w:r>
      <w:r>
        <w:fldChar w:fldCharType="begin"/>
      </w:r>
      <w:r>
        <w:instrText xml:space="preserve"> REF _Ref62116405 \h  \* MERGEFORMAT </w:instrText>
      </w:r>
      <w:r>
        <w:fldChar w:fldCharType="separate"/>
      </w:r>
      <w:r>
        <w:t xml:space="preserve">Figure </w:t>
      </w:r>
      <w:r>
        <w:rPr>
          <w:noProof/>
        </w:rPr>
        <w:t>5</w:t>
      </w:r>
      <w:r>
        <w:fldChar w:fldCharType="end"/>
      </w:r>
      <w:r>
        <w:t>; top-right panel), especially the gases that are most closely linked to energy use, i.e. NO</w:t>
      </w:r>
      <w:r w:rsidRPr="00FA6377">
        <w:rPr>
          <w:vertAlign w:val="subscript"/>
        </w:rPr>
        <w:t>x</w:t>
      </w:r>
      <w:r>
        <w:t xml:space="preserve"> and SO</w:t>
      </w:r>
      <w:r w:rsidRPr="00FA6377">
        <w:rPr>
          <w:vertAlign w:val="subscript"/>
        </w:rPr>
        <w:t>2</w:t>
      </w:r>
      <w:r>
        <w:t>. The other gases, that have different emission sources, tend to be less affected and recover more quickly. NH</w:t>
      </w:r>
      <w:r w:rsidRPr="00B70126">
        <w:rPr>
          <w:vertAlign w:val="subscript"/>
        </w:rPr>
        <w:t>3</w:t>
      </w:r>
      <w:r>
        <w:t xml:space="preserve"> is the least affected (at least until 2030), as this gas is more strongly connected to agricultural activity, and given the essential goods nature of food, agricultural activities are less affected than most sectors (cf. </w:t>
      </w:r>
      <w:r>
        <w:fldChar w:fldCharType="begin"/>
      </w:r>
      <w:r>
        <w:instrText xml:space="preserve"> REF _Ref62113408 \h  \* MERGEFORMAT </w:instrText>
      </w:r>
      <w:r>
        <w:fldChar w:fldCharType="separate"/>
      </w:r>
      <w:r>
        <w:t xml:space="preserve">Figure </w:t>
      </w:r>
      <w:r>
        <w:rPr>
          <w:noProof/>
        </w:rPr>
        <w:t>3</w:t>
      </w:r>
      <w:r>
        <w:fldChar w:fldCharType="end"/>
      </w:r>
      <w:r>
        <w:t>). Emissions of particulate matter (PM2.5), which includes black carbon and organic carbon, are somewhere in between.</w:t>
      </w:r>
      <w:r>
        <w:rPr>
          <w:rStyle w:val="FootnoteReference"/>
        </w:rPr>
        <w:footnoteReference w:id="8"/>
      </w:r>
    </w:p>
    <w:p w14:paraId="1DCEC1B1" w14:textId="3F6CADC8" w:rsidR="00CD6098" w:rsidRDefault="00CD6098" w:rsidP="00CD6098">
      <w:pPr>
        <w:pStyle w:val="Para0"/>
      </w:pPr>
      <w:r>
        <w:t>The drivers of materials use are quite different than those of GHG or air pollutant emissions, except for the drivers of fossil fuel use. There are significant differences between the biotic materials and metals on the one hand, and fossil fuels and non-metallic minerals on the other (</w:t>
      </w:r>
      <w:r>
        <w:fldChar w:fldCharType="begin"/>
      </w:r>
      <w:r>
        <w:instrText xml:space="preserve"> REF _Ref62116405 \h  \* MERGEFORMAT </w:instrText>
      </w:r>
      <w:r>
        <w:fldChar w:fldCharType="separate"/>
      </w:r>
      <w:r>
        <w:t xml:space="preserve">Figure </w:t>
      </w:r>
      <w:r>
        <w:rPr>
          <w:noProof/>
        </w:rPr>
        <w:t>5</w:t>
      </w:r>
      <w:r>
        <w:fldChar w:fldCharType="end"/>
      </w:r>
      <w:r>
        <w:t xml:space="preserve">; bottom-left panel). The former two are linked to agriculture and industrial activities, respectively, and these sectors are less severely affected in the short run – this is especially visible for metals use where the immediate decline is very small. But the slowdown of manufacturing production in the coming years gradually brings down metals use further below baseline levels. The effect for non-metallic minerals is linked to the sharp decline in construction activities in 2020. The larger permanent effects on energy and manufacturing are also reflected in the associated materials use, which remain around 2.5% below baseline levels until 2035, whereas biotic resources quickly rebound to around 1% below baseline.  </w:t>
      </w:r>
    </w:p>
    <w:p w14:paraId="1FE967CA" w14:textId="4753971D" w:rsidR="00CD6098" w:rsidRPr="0060704C" w:rsidRDefault="00CD6098" w:rsidP="00CD6098">
      <w:pPr>
        <w:pStyle w:val="Para0"/>
      </w:pPr>
      <w:r>
        <w:t>Finally, while the effects of the pandemic and associated government responses on biodiversity and ecosystem services cannot be measured in this modelling framework, the implications for land use change can be assessed.</w:t>
      </w:r>
      <w:r>
        <w:rPr>
          <w:rStyle w:val="FootnoteReference"/>
        </w:rPr>
        <w:footnoteReference w:id="9"/>
      </w:r>
      <w:r>
        <w:t xml:space="preserve"> The slow-down in economic activity may lead to a small reduction in land use change, but the effect is almost negligible (</w:t>
      </w:r>
      <w:r>
        <w:fldChar w:fldCharType="begin"/>
      </w:r>
      <w:r>
        <w:instrText xml:space="preserve"> REF _Ref62116405 \h  \* MERGEFORMAT </w:instrText>
      </w:r>
      <w:r>
        <w:fldChar w:fldCharType="separate"/>
      </w:r>
      <w:r>
        <w:t xml:space="preserve">Figure </w:t>
      </w:r>
      <w:r>
        <w:rPr>
          <w:noProof/>
        </w:rPr>
        <w:t>5</w:t>
      </w:r>
      <w:r>
        <w:fldChar w:fldCharType="end"/>
      </w:r>
      <w:r>
        <w:t xml:space="preserve">; bottom-right panel). In the short run, the area devoted to cropland (harvested area) is more or less fixed, and the relatively rapid rebound of food demand ensures land use change remains very close to baseline levels. Effects on output of the forestry sector, the second indicator of land use change, are somewhat larger, but this indicator measures economic activity, and the implied effects on afforestation and deforestation are likely to be very small. </w:t>
      </w:r>
    </w:p>
    <w:p w14:paraId="583F649B" w14:textId="77777777" w:rsidR="00CD6098" w:rsidRDefault="00CD6098" w:rsidP="00CD6098">
      <w:pPr>
        <w:pStyle w:val="Caption"/>
      </w:pPr>
      <w:bookmarkStart w:id="26" w:name="_Ref62116405"/>
      <w:r>
        <w:lastRenderedPageBreak/>
        <w:t xml:space="preserve">Figure </w:t>
      </w:r>
      <w:r>
        <w:rPr>
          <w:noProof/>
        </w:rPr>
        <w:fldChar w:fldCharType="begin"/>
      </w:r>
      <w:r>
        <w:rPr>
          <w:noProof/>
        </w:rPr>
        <w:instrText xml:space="preserve"> SEQ Figure \* ARABIC </w:instrText>
      </w:r>
      <w:r>
        <w:rPr>
          <w:noProof/>
        </w:rPr>
        <w:fldChar w:fldCharType="separate"/>
      </w:r>
      <w:r>
        <w:rPr>
          <w:noProof/>
        </w:rPr>
        <w:t>5</w:t>
      </w:r>
      <w:r>
        <w:rPr>
          <w:noProof/>
        </w:rPr>
        <w:fldChar w:fldCharType="end"/>
      </w:r>
      <w:bookmarkEnd w:id="26"/>
      <w:r>
        <w:t>. Effects of the Covid scenario on global environmental pressures</w:t>
      </w:r>
    </w:p>
    <w:p w14:paraId="13037F4E" w14:textId="029650C0" w:rsidR="00CD6098" w:rsidRDefault="00CD6098" w:rsidP="00CD6098">
      <w:pPr>
        <w:pStyle w:val="CaptionSubtitle"/>
      </w:pPr>
      <w:r>
        <w:t xml:space="preserve">Deviations from the </w:t>
      </w:r>
      <w:r w:rsidR="004B33A7">
        <w:t>pre</w:t>
      </w:r>
      <w:r>
        <w:t>-Covid baseline projection</w:t>
      </w:r>
    </w:p>
    <w:p w14:paraId="08378385" w14:textId="77777777" w:rsidR="00CD6098" w:rsidRDefault="00CD6098" w:rsidP="00CD6098">
      <w:pPr>
        <w:pStyle w:val="Figure"/>
        <w:rPr>
          <w:i/>
        </w:rPr>
      </w:pPr>
      <w:r w:rsidRPr="00F62A96">
        <w:rPr>
          <w:noProof/>
          <w:lang w:eastAsia="en-GB"/>
        </w:rPr>
        <w:drawing>
          <wp:inline distT="0" distB="0" distL="0" distR="0" wp14:anchorId="1536D53E" wp14:editId="739F64EB">
            <wp:extent cx="2733675" cy="25431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33675" cy="2543175"/>
                    </a:xfrm>
                    <a:prstGeom prst="rect">
                      <a:avLst/>
                    </a:prstGeom>
                    <a:noFill/>
                    <a:ln>
                      <a:noFill/>
                    </a:ln>
                  </pic:spPr>
                </pic:pic>
              </a:graphicData>
            </a:graphic>
          </wp:inline>
        </w:drawing>
      </w:r>
      <w:r w:rsidRPr="00F62A96">
        <w:rPr>
          <w:i/>
        </w:rPr>
        <w:t xml:space="preserve"> </w:t>
      </w:r>
      <w:r w:rsidRPr="00F62A96">
        <w:rPr>
          <w:noProof/>
          <w:lang w:eastAsia="en-GB"/>
        </w:rPr>
        <w:drawing>
          <wp:inline distT="0" distB="0" distL="0" distR="0" wp14:anchorId="44EF75F5" wp14:editId="318D0D80">
            <wp:extent cx="2667000" cy="25431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67000" cy="2543175"/>
                    </a:xfrm>
                    <a:prstGeom prst="rect">
                      <a:avLst/>
                    </a:prstGeom>
                    <a:noFill/>
                    <a:ln>
                      <a:noFill/>
                    </a:ln>
                  </pic:spPr>
                </pic:pic>
              </a:graphicData>
            </a:graphic>
          </wp:inline>
        </w:drawing>
      </w:r>
    </w:p>
    <w:p w14:paraId="54BD30EC" w14:textId="77777777" w:rsidR="00CD6098" w:rsidRDefault="00CD6098" w:rsidP="00CD6098">
      <w:pPr>
        <w:pStyle w:val="Figure"/>
        <w:rPr>
          <w:i/>
        </w:rPr>
      </w:pPr>
      <w:r w:rsidRPr="00F62A96">
        <w:rPr>
          <w:noProof/>
          <w:lang w:eastAsia="en-GB"/>
        </w:rPr>
        <w:drawing>
          <wp:inline distT="0" distB="0" distL="0" distR="0" wp14:anchorId="0B4BA4A5" wp14:editId="6FF809CE">
            <wp:extent cx="2657475" cy="25431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57475" cy="2543175"/>
                    </a:xfrm>
                    <a:prstGeom prst="rect">
                      <a:avLst/>
                    </a:prstGeom>
                    <a:noFill/>
                    <a:ln>
                      <a:noFill/>
                    </a:ln>
                  </pic:spPr>
                </pic:pic>
              </a:graphicData>
            </a:graphic>
          </wp:inline>
        </w:drawing>
      </w:r>
      <w:r w:rsidRPr="00F62A96">
        <w:rPr>
          <w:i/>
        </w:rPr>
        <w:t xml:space="preserve"> </w:t>
      </w:r>
      <w:r w:rsidRPr="00F62A96">
        <w:rPr>
          <w:noProof/>
          <w:lang w:eastAsia="en-GB"/>
        </w:rPr>
        <w:drawing>
          <wp:inline distT="0" distB="0" distL="0" distR="0" wp14:anchorId="199D2910" wp14:editId="3D3CFCCA">
            <wp:extent cx="2743200" cy="254317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43200" cy="2543175"/>
                    </a:xfrm>
                    <a:prstGeom prst="rect">
                      <a:avLst/>
                    </a:prstGeom>
                    <a:noFill/>
                    <a:ln>
                      <a:noFill/>
                    </a:ln>
                  </pic:spPr>
                </pic:pic>
              </a:graphicData>
            </a:graphic>
          </wp:inline>
        </w:drawing>
      </w:r>
    </w:p>
    <w:p w14:paraId="790AC2FE" w14:textId="77777777" w:rsidR="00CD6098" w:rsidRPr="00454399" w:rsidRDefault="00CD6098" w:rsidP="00CD6098">
      <w:pPr>
        <w:pStyle w:val="Sourcenotes"/>
      </w:pPr>
      <w:r w:rsidRPr="00454399">
        <w:rPr>
          <w:i/>
        </w:rPr>
        <w:t>Source</w:t>
      </w:r>
      <w:r>
        <w:t>: ENV-Linkages model.</w:t>
      </w:r>
    </w:p>
    <w:p w14:paraId="2CE794BE" w14:textId="6D990599" w:rsidR="00CD6098" w:rsidRDefault="00CD6098" w:rsidP="00CD6098">
      <w:pPr>
        <w:pStyle w:val="Para0"/>
      </w:pPr>
      <w:r>
        <w:t>The regional differences in the effects on environmental pressure are significant (</w:t>
      </w:r>
      <w:r>
        <w:fldChar w:fldCharType="begin"/>
      </w:r>
      <w:r>
        <w:instrText xml:space="preserve"> REF _Ref62119902 \h  \* MERGEFORMAT </w:instrText>
      </w:r>
      <w:r>
        <w:fldChar w:fldCharType="separate"/>
      </w:r>
      <w:r>
        <w:t xml:space="preserve">Figure </w:t>
      </w:r>
      <w:r>
        <w:rPr>
          <w:noProof/>
        </w:rPr>
        <w:t>6</w:t>
      </w:r>
      <w:r>
        <w:fldChar w:fldCharType="end"/>
      </w:r>
      <w:r>
        <w:t>). For climate change, this does not matter as GHG emissions uniformly mix in the atmosphere and the origin of the emissions does not matter. But for air pollution, these differences have significant effects on local air quality. As India is one of the countries with very high concentration levels of PM2.5, the relatively large decline in emissions of air pollutants in this country may reduce premature deaths from air pollution.</w:t>
      </w:r>
      <w:r>
        <w:rPr>
          <w:rStyle w:val="FootnoteReference"/>
        </w:rPr>
        <w:footnoteReference w:id="10"/>
      </w:r>
      <w:r>
        <w:t xml:space="preserve"> </w:t>
      </w:r>
    </w:p>
    <w:p w14:paraId="4B420A46" w14:textId="77777777" w:rsidR="00CD6098" w:rsidRDefault="00CD6098" w:rsidP="00CD6098">
      <w:pPr>
        <w:pStyle w:val="Para0"/>
      </w:pPr>
      <w:r>
        <w:t xml:space="preserve">Regional changes in environmental pressures are only partially driven by what happens to the regional macro economy. In the short run (2025, as shown in Panel A), the pandemic and response </w:t>
      </w:r>
      <w:r>
        <w:lastRenderedPageBreak/>
        <w:t>measures lead to reductions in environmental pressures – or at least in GHG emissions and materials use –  that are larger than reductions in economic activity in almost all regions, and these include many of the economically most severely affected regions.</w:t>
      </w:r>
      <w:r>
        <w:rPr>
          <w:rStyle w:val="FootnoteReference"/>
        </w:rPr>
        <w:footnoteReference w:id="11"/>
      </w:r>
      <w:r>
        <w:t xml:space="preserve"> For PM2.5, 7 regions have higher emission reductions than GDP loss, while for harvested area this happens in none of the regions. Striking is the large reduction in GHG emissions and materials use in India, which is largely driven by the effects on the energy system in the region. </w:t>
      </w:r>
    </w:p>
    <w:p w14:paraId="3F9103AF" w14:textId="24855914" w:rsidR="00CD6098" w:rsidRDefault="00CD6098" w:rsidP="00CD6098">
      <w:pPr>
        <w:pStyle w:val="Para0"/>
      </w:pPr>
      <w:r>
        <w:t xml:space="preserve">By 2040, both the economic losses and the reduced environmental pressures have partially faded away everywhere, but in most regions a small reduction in the carbon intensity and materials intensity of the economy remains. Reductions in environmental pressure are below the global average in </w:t>
      </w:r>
      <w:r w:rsidR="0081269E">
        <w:t>most</w:t>
      </w:r>
      <w:r>
        <w:t xml:space="preserve"> OECD regions, </w:t>
      </w:r>
      <w:r w:rsidR="0081269E">
        <w:t>while</w:t>
      </w:r>
      <w:r>
        <w:t xml:space="preserve"> the net environmental gains are mostly reaped outside the OECD</w:t>
      </w:r>
      <w:r w:rsidR="0081269E">
        <w:t xml:space="preserve"> albeit often at least partially at the expense of reduced economic activity</w:t>
      </w:r>
      <w:r>
        <w:t>.</w:t>
      </w:r>
    </w:p>
    <w:p w14:paraId="7A66B3D9" w14:textId="77777777" w:rsidR="00CD6098" w:rsidRDefault="00CD6098" w:rsidP="00CD6098">
      <w:pPr>
        <w:pStyle w:val="Caption"/>
      </w:pPr>
      <w:bookmarkStart w:id="27" w:name="_Ref62119902"/>
      <w:r>
        <w:t xml:space="preserve">Figure </w:t>
      </w:r>
      <w:r>
        <w:rPr>
          <w:noProof/>
        </w:rPr>
        <w:fldChar w:fldCharType="begin"/>
      </w:r>
      <w:r>
        <w:rPr>
          <w:noProof/>
        </w:rPr>
        <w:instrText xml:space="preserve"> SEQ Figure \* ARABIC </w:instrText>
      </w:r>
      <w:r>
        <w:rPr>
          <w:noProof/>
        </w:rPr>
        <w:fldChar w:fldCharType="separate"/>
      </w:r>
      <w:r>
        <w:rPr>
          <w:noProof/>
        </w:rPr>
        <w:t>6</w:t>
      </w:r>
      <w:r>
        <w:rPr>
          <w:noProof/>
        </w:rPr>
        <w:fldChar w:fldCharType="end"/>
      </w:r>
      <w:bookmarkEnd w:id="27"/>
      <w:r>
        <w:t>. Effects of the Covid scenario on selected regional environmental pressures</w:t>
      </w:r>
    </w:p>
    <w:p w14:paraId="510E8E22" w14:textId="5F365CDE" w:rsidR="00CD6098" w:rsidRDefault="00CD6098" w:rsidP="00CD6098">
      <w:pPr>
        <w:pStyle w:val="CaptionSubtitle"/>
      </w:pPr>
      <w:r>
        <w:t xml:space="preserve">Deviations from the </w:t>
      </w:r>
      <w:r w:rsidR="004B33A7">
        <w:t>pre</w:t>
      </w:r>
      <w:r>
        <w:t>-Covid baseline projection</w:t>
      </w:r>
    </w:p>
    <w:p w14:paraId="366F8365" w14:textId="77777777" w:rsidR="00CD6098" w:rsidRDefault="00CD6098" w:rsidP="00CD6098">
      <w:pPr>
        <w:pStyle w:val="Figure"/>
        <w:keepNext/>
        <w:rPr>
          <w:i/>
        </w:rPr>
      </w:pPr>
      <w:r>
        <w:rPr>
          <w:i/>
        </w:rPr>
        <w:t>Panel A. Results for 2025</w:t>
      </w:r>
    </w:p>
    <w:p w14:paraId="6F1099BF" w14:textId="77777777" w:rsidR="00CD6098" w:rsidRDefault="00CD6098" w:rsidP="00CD6098">
      <w:pPr>
        <w:pStyle w:val="Figure"/>
        <w:rPr>
          <w:i/>
        </w:rPr>
      </w:pPr>
      <w:r w:rsidRPr="00F62A96">
        <w:rPr>
          <w:noProof/>
          <w:lang w:eastAsia="en-GB"/>
        </w:rPr>
        <w:drawing>
          <wp:inline distT="0" distB="0" distL="0" distR="0" wp14:anchorId="67BAB124" wp14:editId="002A912B">
            <wp:extent cx="2647950" cy="347662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47950" cy="3476625"/>
                    </a:xfrm>
                    <a:prstGeom prst="rect">
                      <a:avLst/>
                    </a:prstGeom>
                    <a:noFill/>
                    <a:ln>
                      <a:noFill/>
                    </a:ln>
                  </pic:spPr>
                </pic:pic>
              </a:graphicData>
            </a:graphic>
          </wp:inline>
        </w:drawing>
      </w:r>
      <w:r w:rsidRPr="00F62A96">
        <w:rPr>
          <w:i/>
        </w:rPr>
        <w:t xml:space="preserve"> </w:t>
      </w:r>
      <w:r w:rsidRPr="00F62A96">
        <w:rPr>
          <w:noProof/>
          <w:lang w:eastAsia="en-GB"/>
        </w:rPr>
        <w:drawing>
          <wp:inline distT="0" distB="0" distL="0" distR="0" wp14:anchorId="7C0FBEFD" wp14:editId="031EDBBD">
            <wp:extent cx="2743200" cy="347662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43200" cy="3476625"/>
                    </a:xfrm>
                    <a:prstGeom prst="rect">
                      <a:avLst/>
                    </a:prstGeom>
                    <a:noFill/>
                    <a:ln>
                      <a:noFill/>
                    </a:ln>
                  </pic:spPr>
                </pic:pic>
              </a:graphicData>
            </a:graphic>
          </wp:inline>
        </w:drawing>
      </w:r>
    </w:p>
    <w:p w14:paraId="6AE72F57" w14:textId="77777777" w:rsidR="00CD6098" w:rsidRDefault="00CD6098" w:rsidP="00CD6098">
      <w:pPr>
        <w:pStyle w:val="Figure"/>
        <w:keepNext/>
        <w:rPr>
          <w:i/>
        </w:rPr>
      </w:pPr>
      <w:r>
        <w:rPr>
          <w:i/>
        </w:rPr>
        <w:lastRenderedPageBreak/>
        <w:t>Panel B. Results for 2040</w:t>
      </w:r>
    </w:p>
    <w:p w14:paraId="42101FA8" w14:textId="08AC035C" w:rsidR="00CD6098" w:rsidRDefault="00CD6098" w:rsidP="00CD6098">
      <w:pPr>
        <w:pStyle w:val="Figure"/>
        <w:rPr>
          <w:i/>
        </w:rPr>
      </w:pPr>
      <w:r w:rsidRPr="00F62A96">
        <w:rPr>
          <w:noProof/>
          <w:lang w:eastAsia="en-GB"/>
        </w:rPr>
        <w:drawing>
          <wp:inline distT="0" distB="0" distL="0" distR="0" wp14:anchorId="51E08BD8" wp14:editId="4A098835">
            <wp:extent cx="2647950" cy="347662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47950" cy="3476625"/>
                    </a:xfrm>
                    <a:prstGeom prst="rect">
                      <a:avLst/>
                    </a:prstGeom>
                    <a:noFill/>
                    <a:ln>
                      <a:noFill/>
                    </a:ln>
                  </pic:spPr>
                </pic:pic>
              </a:graphicData>
            </a:graphic>
          </wp:inline>
        </w:drawing>
      </w:r>
      <w:r w:rsidRPr="00F62A96">
        <w:rPr>
          <w:i/>
        </w:rPr>
        <w:t xml:space="preserve"> </w:t>
      </w:r>
      <w:r w:rsidRPr="00F62A96">
        <w:rPr>
          <w:noProof/>
          <w:lang w:eastAsia="en-GB"/>
        </w:rPr>
        <w:drawing>
          <wp:inline distT="0" distB="0" distL="0" distR="0" wp14:anchorId="774648E9" wp14:editId="5E681C70">
            <wp:extent cx="2743200" cy="347662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43200" cy="3476625"/>
                    </a:xfrm>
                    <a:prstGeom prst="rect">
                      <a:avLst/>
                    </a:prstGeom>
                    <a:noFill/>
                    <a:ln>
                      <a:noFill/>
                    </a:ln>
                  </pic:spPr>
                </pic:pic>
              </a:graphicData>
            </a:graphic>
          </wp:inline>
        </w:drawing>
      </w:r>
    </w:p>
    <w:p w14:paraId="7F9B3E07" w14:textId="77777777" w:rsidR="00CD6098" w:rsidRDefault="00CD6098" w:rsidP="00CD6098">
      <w:pPr>
        <w:pStyle w:val="Sourcenotes"/>
      </w:pPr>
      <w:r w:rsidRPr="00454399">
        <w:rPr>
          <w:i/>
        </w:rPr>
        <w:t>Note</w:t>
      </w:r>
      <w:r>
        <w:t>: For an explanation of the regional aggregation see Annex A.</w:t>
      </w:r>
    </w:p>
    <w:p w14:paraId="01A7961F" w14:textId="77777777" w:rsidR="00CD6098" w:rsidRPr="00454399" w:rsidRDefault="00CD6098" w:rsidP="00CD6098">
      <w:pPr>
        <w:pStyle w:val="Sourcenotes"/>
      </w:pPr>
      <w:r w:rsidRPr="00454399">
        <w:rPr>
          <w:i/>
        </w:rPr>
        <w:t>Source</w:t>
      </w:r>
      <w:r>
        <w:t>: ENV-Linkages model.</w:t>
      </w:r>
    </w:p>
    <w:p w14:paraId="10279D4C" w14:textId="42BA56F6" w:rsidR="00F820B1" w:rsidRDefault="00F820B1" w:rsidP="00F820B1">
      <w:pPr>
        <w:pStyle w:val="Heading1"/>
      </w:pPr>
      <w:r>
        <w:t>The consequences of regional trading and reshoring on environmental pressure</w:t>
      </w:r>
    </w:p>
    <w:p w14:paraId="4F3D48DA" w14:textId="77777777" w:rsidR="003C5187" w:rsidRDefault="003C5187" w:rsidP="003C5187">
      <w:pPr>
        <w:pStyle w:val="Heading2"/>
      </w:pPr>
      <w:r>
        <w:t>Effects on domestic economic activity and international trade patterns</w:t>
      </w:r>
    </w:p>
    <w:p w14:paraId="69F6A51B" w14:textId="4A8D76CC" w:rsidR="00E72026" w:rsidRDefault="00E72026" w:rsidP="00CD6098">
      <w:pPr>
        <w:pStyle w:val="Para0"/>
      </w:pPr>
      <w:r>
        <w:t>One potential effect of a re-assessment of trade relations and the quest for more resilient trade patterns could be an increased focus on reshoring economic activity and protectionism, thus reversing long-term trends of gradual global trade integration. This is explored in the Regional trading and reshoring scenario.</w:t>
      </w:r>
    </w:p>
    <w:p w14:paraId="5ACA2FD2" w14:textId="4EB8CA77" w:rsidR="00F820B1" w:rsidRDefault="00E72026" w:rsidP="00CD6098">
      <w:pPr>
        <w:pStyle w:val="Para0"/>
      </w:pPr>
      <w:r>
        <w:t>The hypothetical</w:t>
      </w:r>
      <w:r w:rsidR="008E0227">
        <w:t xml:space="preserve"> </w:t>
      </w:r>
      <w:r>
        <w:t xml:space="preserve">policy </w:t>
      </w:r>
      <w:r w:rsidR="008E0227">
        <w:t xml:space="preserve">reversal </w:t>
      </w:r>
      <w:r>
        <w:t>towards regional trading and reshoring</w:t>
      </w:r>
      <w:r w:rsidR="008E0227">
        <w:t xml:space="preserve"> comes at an economic cost: comparative advantages are less finely exploited, and the global economic system becomes less efficient. Thus, global GDP drops below the baseline projection (</w:t>
      </w:r>
      <w:r w:rsidR="008E0227">
        <w:fldChar w:fldCharType="begin"/>
      </w:r>
      <w:r w:rsidR="008E0227">
        <w:instrText xml:space="preserve"> REF _Ref62824821 \h </w:instrText>
      </w:r>
      <w:r w:rsidR="00CD6098">
        <w:instrText xml:space="preserve"> \* MERGEFORMAT </w:instrText>
      </w:r>
      <w:r w:rsidR="008E0227">
        <w:fldChar w:fldCharType="separate"/>
      </w:r>
      <w:r w:rsidR="00222812">
        <w:t xml:space="preserve">Figure </w:t>
      </w:r>
      <w:r w:rsidR="00222812">
        <w:rPr>
          <w:noProof/>
        </w:rPr>
        <w:t>7</w:t>
      </w:r>
      <w:r w:rsidR="008E0227">
        <w:fldChar w:fldCharType="end"/>
      </w:r>
      <w:r w:rsidR="008E0227">
        <w:t>), while still growing in absolute terms.</w:t>
      </w:r>
      <w:r w:rsidR="00222812">
        <w:t xml:space="preserve"> </w:t>
      </w:r>
      <w:r>
        <w:t>In the short run, the rebound effects from the Covid-19 shocks dominate, and global economic growth can bring economic activity closere to the pre-Covid baseline projection. But after a few years, the negative effects of the increased trade barriers start to dominate. By 2040, global GDP is more than 7% below the baseline level.</w:t>
      </w:r>
    </w:p>
    <w:p w14:paraId="363CEDAD" w14:textId="5F831534" w:rsidR="00222812" w:rsidRDefault="00222812" w:rsidP="00CD6098">
      <w:pPr>
        <w:pStyle w:val="Para0"/>
      </w:pPr>
      <w:r>
        <w:t>But the losses are not equally spread across countries (</w:t>
      </w:r>
      <w:r>
        <w:fldChar w:fldCharType="begin"/>
      </w:r>
      <w:r>
        <w:instrText xml:space="preserve"> REF _Ref62825093 \h </w:instrText>
      </w:r>
      <w:r w:rsidR="00CD6098">
        <w:instrText xml:space="preserve"> \* MERGEFORMAT </w:instrText>
      </w:r>
      <w:r>
        <w:fldChar w:fldCharType="separate"/>
      </w:r>
      <w:r>
        <w:t xml:space="preserve">Figure </w:t>
      </w:r>
      <w:r>
        <w:rPr>
          <w:noProof/>
        </w:rPr>
        <w:t>8</w:t>
      </w:r>
      <w:r>
        <w:fldChar w:fldCharType="end"/>
      </w:r>
      <w:r>
        <w:t xml:space="preserve">). Some advanced economies, that can relatively easily produce most goods and services domestically, will be able to adapt without large economic costs. This includes most OECD countries, especially the USA and the OECD Oceania group (Australia and New Zealand). In contrast, economic costs are much higher in </w:t>
      </w:r>
      <w:r>
        <w:lastRenderedPageBreak/>
        <w:t>emerging economies that depend on strong export growth for their development, not least China and India.</w:t>
      </w:r>
      <w:r w:rsidR="00D351F0">
        <w:rPr>
          <w:rStyle w:val="FootnoteReference"/>
        </w:rPr>
        <w:footnoteReference w:id="12"/>
      </w:r>
    </w:p>
    <w:p w14:paraId="3A844380" w14:textId="77777777" w:rsidR="003C5187" w:rsidRDefault="003C5187" w:rsidP="00F820B1"/>
    <w:p w14:paraId="2E333C9D" w14:textId="2425C229" w:rsidR="003E67C1" w:rsidRDefault="003E67C1" w:rsidP="003E67C1">
      <w:pPr>
        <w:pStyle w:val="Caption"/>
      </w:pPr>
      <w:bookmarkStart w:id="28" w:name="_Ref62824821"/>
      <w:r>
        <w:t xml:space="preserve">Figure </w:t>
      </w:r>
      <w:r>
        <w:rPr>
          <w:noProof/>
        </w:rPr>
        <w:fldChar w:fldCharType="begin"/>
      </w:r>
      <w:r>
        <w:rPr>
          <w:noProof/>
        </w:rPr>
        <w:instrText xml:space="preserve"> SEQ Figure \* ARABIC </w:instrText>
      </w:r>
      <w:r>
        <w:rPr>
          <w:noProof/>
        </w:rPr>
        <w:fldChar w:fldCharType="separate"/>
      </w:r>
      <w:r w:rsidR="00222812">
        <w:rPr>
          <w:noProof/>
        </w:rPr>
        <w:t>7</w:t>
      </w:r>
      <w:r>
        <w:rPr>
          <w:noProof/>
        </w:rPr>
        <w:fldChar w:fldCharType="end"/>
      </w:r>
      <w:bookmarkEnd w:id="28"/>
      <w:r>
        <w:t>. Effects of the Regional trading and reshoring scenario on global GDP</w:t>
      </w:r>
    </w:p>
    <w:p w14:paraId="7EA92FA5" w14:textId="6CA05728" w:rsidR="003E67C1" w:rsidRDefault="003E67C1" w:rsidP="003E67C1">
      <w:pPr>
        <w:pStyle w:val="CaptionSubtitle"/>
      </w:pPr>
      <w:r>
        <w:t xml:space="preserve">Deviation from the </w:t>
      </w:r>
      <w:r w:rsidR="004B33A7">
        <w:t>pre</w:t>
      </w:r>
      <w:r>
        <w:t>-Covid baseline projection</w:t>
      </w:r>
    </w:p>
    <w:p w14:paraId="3B95BA43" w14:textId="28682909" w:rsidR="003E67C1" w:rsidRDefault="00D817F4" w:rsidP="003E67C1">
      <w:pPr>
        <w:pStyle w:val="Figure"/>
        <w:rPr>
          <w:i/>
        </w:rPr>
      </w:pPr>
      <w:r w:rsidRPr="00D817F4">
        <w:rPr>
          <w:noProof/>
          <w:lang w:eastAsia="en-GB"/>
        </w:rPr>
        <w:drawing>
          <wp:inline distT="0" distB="0" distL="0" distR="0" wp14:anchorId="33F7DF69" wp14:editId="12D8F628">
            <wp:extent cx="5797550" cy="3543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97550" cy="3543300"/>
                    </a:xfrm>
                    <a:prstGeom prst="rect">
                      <a:avLst/>
                    </a:prstGeom>
                    <a:noFill/>
                    <a:ln>
                      <a:noFill/>
                    </a:ln>
                  </pic:spPr>
                </pic:pic>
              </a:graphicData>
            </a:graphic>
          </wp:inline>
        </w:drawing>
      </w:r>
    </w:p>
    <w:p w14:paraId="7A1776C6" w14:textId="77777777" w:rsidR="003E67C1" w:rsidRDefault="003E67C1" w:rsidP="003E67C1">
      <w:pPr>
        <w:pStyle w:val="Sourcenotes"/>
      </w:pPr>
      <w:r w:rsidRPr="00454399">
        <w:rPr>
          <w:i/>
        </w:rPr>
        <w:t>Note</w:t>
      </w:r>
      <w:r>
        <w:t>: All results are preliminary and subject to revision.</w:t>
      </w:r>
    </w:p>
    <w:p w14:paraId="71349358" w14:textId="77777777" w:rsidR="003E67C1" w:rsidRDefault="003E67C1" w:rsidP="003E67C1">
      <w:pPr>
        <w:pStyle w:val="Sourcenotes"/>
      </w:pPr>
      <w:r w:rsidRPr="00454399">
        <w:rPr>
          <w:i/>
        </w:rPr>
        <w:t>Source</w:t>
      </w:r>
      <w:r>
        <w:t>: ENV-Linkages model.</w:t>
      </w:r>
    </w:p>
    <w:p w14:paraId="56D3E715" w14:textId="4487528E" w:rsidR="003E67C1" w:rsidRDefault="003E67C1" w:rsidP="003E67C1">
      <w:pPr>
        <w:pStyle w:val="Caption"/>
      </w:pPr>
      <w:bookmarkStart w:id="29" w:name="_Ref62825093"/>
      <w:r>
        <w:lastRenderedPageBreak/>
        <w:t xml:space="preserve">Figure </w:t>
      </w:r>
      <w:r>
        <w:rPr>
          <w:noProof/>
        </w:rPr>
        <w:fldChar w:fldCharType="begin"/>
      </w:r>
      <w:r>
        <w:rPr>
          <w:noProof/>
        </w:rPr>
        <w:instrText xml:space="preserve"> SEQ Figure \* ARABIC </w:instrText>
      </w:r>
      <w:r>
        <w:rPr>
          <w:noProof/>
        </w:rPr>
        <w:fldChar w:fldCharType="separate"/>
      </w:r>
      <w:r w:rsidR="00222812">
        <w:rPr>
          <w:noProof/>
        </w:rPr>
        <w:t>8</w:t>
      </w:r>
      <w:r>
        <w:rPr>
          <w:noProof/>
        </w:rPr>
        <w:fldChar w:fldCharType="end"/>
      </w:r>
      <w:bookmarkEnd w:id="29"/>
      <w:r>
        <w:t>. Effects of the Regional trading and reshoring scenario on regional GDP</w:t>
      </w:r>
    </w:p>
    <w:p w14:paraId="1A54E3BA" w14:textId="1E6480B2" w:rsidR="003E67C1" w:rsidRDefault="003E67C1" w:rsidP="003E67C1">
      <w:pPr>
        <w:pStyle w:val="CaptionSubtitle"/>
      </w:pPr>
      <w:r>
        <w:t xml:space="preserve">Deviations from the </w:t>
      </w:r>
      <w:r w:rsidR="004B33A7">
        <w:t>pre</w:t>
      </w:r>
      <w:r>
        <w:t>-Covid baseline projection</w:t>
      </w:r>
    </w:p>
    <w:p w14:paraId="45B11AE8" w14:textId="78894077" w:rsidR="003E67C1" w:rsidRDefault="00D817F4" w:rsidP="003E67C1">
      <w:pPr>
        <w:pStyle w:val="Figure"/>
        <w:rPr>
          <w:i/>
        </w:rPr>
      </w:pPr>
      <w:r w:rsidRPr="00D817F4">
        <w:rPr>
          <w:noProof/>
          <w:lang w:eastAsia="en-GB"/>
        </w:rPr>
        <w:drawing>
          <wp:inline distT="0" distB="0" distL="0" distR="0" wp14:anchorId="3A094053" wp14:editId="0AEE719D">
            <wp:extent cx="5867400" cy="35179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867400" cy="3517900"/>
                    </a:xfrm>
                    <a:prstGeom prst="rect">
                      <a:avLst/>
                    </a:prstGeom>
                    <a:noFill/>
                    <a:ln>
                      <a:noFill/>
                    </a:ln>
                  </pic:spPr>
                </pic:pic>
              </a:graphicData>
            </a:graphic>
          </wp:inline>
        </w:drawing>
      </w:r>
    </w:p>
    <w:p w14:paraId="366202EF" w14:textId="77777777" w:rsidR="003E67C1" w:rsidRDefault="003E67C1" w:rsidP="003E67C1">
      <w:pPr>
        <w:pStyle w:val="Sourcenotes"/>
      </w:pPr>
      <w:r w:rsidRPr="00454399">
        <w:rPr>
          <w:i/>
        </w:rPr>
        <w:t>Note</w:t>
      </w:r>
      <w:r>
        <w:t>: All results are preliminary and subject to revision. For an explanation of the regional aggregation see Annex A.</w:t>
      </w:r>
    </w:p>
    <w:p w14:paraId="69175DB1" w14:textId="77777777" w:rsidR="003E67C1" w:rsidRPr="00454399" w:rsidRDefault="003E67C1" w:rsidP="003E67C1">
      <w:pPr>
        <w:pStyle w:val="Sourcenotes"/>
      </w:pPr>
      <w:r w:rsidRPr="00454399">
        <w:rPr>
          <w:i/>
        </w:rPr>
        <w:t>Source</w:t>
      </w:r>
      <w:r>
        <w:t>: ENV-Linkages model.</w:t>
      </w:r>
    </w:p>
    <w:p w14:paraId="3D338BDE" w14:textId="53EE60CB" w:rsidR="00E72026" w:rsidRDefault="00E72026" w:rsidP="00E72026">
      <w:pPr>
        <w:pStyle w:val="Para0"/>
      </w:pPr>
      <w:r>
        <w:t>The higher trade barriers naturally lead to lower global export volumes (</w:t>
      </w:r>
      <w:r>
        <w:fldChar w:fldCharType="begin"/>
      </w:r>
      <w:r>
        <w:instrText xml:space="preserve"> REF _Ref62826535 \h </w:instrText>
      </w:r>
      <w:r>
        <w:fldChar w:fldCharType="separate"/>
      </w:r>
      <w:r>
        <w:t xml:space="preserve">Figure </w:t>
      </w:r>
      <w:r>
        <w:rPr>
          <w:noProof/>
        </w:rPr>
        <w:t>9</w:t>
      </w:r>
      <w:r>
        <w:fldChar w:fldCharType="end"/>
      </w:r>
      <w:r>
        <w:t>). By far the largest reduction in absolute terms is in the manufacturing sector</w:t>
      </w:r>
      <w:r w:rsidR="008327C5">
        <w:t>; in percentage terms, gross exports of the various commodity groups all decline between 20% and 30%</w:t>
      </w:r>
      <w:r w:rsidR="005C3E87">
        <w:t xml:space="preserve"> by 2040</w:t>
      </w:r>
      <w:r>
        <w:t>. The large r</w:t>
      </w:r>
      <w:r w:rsidR="008327C5">
        <w:t>eduction in manufacturing exports in OECD Europe is most</w:t>
      </w:r>
      <w:r>
        <w:t>ly due to t</w:t>
      </w:r>
      <w:r w:rsidR="008327C5">
        <w:t>he sheer size of the sector, while</w:t>
      </w:r>
      <w:r>
        <w:t xml:space="preserve"> in Asia the drop is also quite significant in percentage terms. </w:t>
      </w:r>
    </w:p>
    <w:p w14:paraId="24179F1C" w14:textId="0BF0F4C2" w:rsidR="003C5187" w:rsidRDefault="003C5187" w:rsidP="003C5187">
      <w:pPr>
        <w:pStyle w:val="Caption"/>
      </w:pPr>
      <w:bookmarkStart w:id="30" w:name="_Ref62826535"/>
      <w:r>
        <w:lastRenderedPageBreak/>
        <w:t xml:space="preserve">Figure </w:t>
      </w:r>
      <w:r>
        <w:rPr>
          <w:noProof/>
        </w:rPr>
        <w:fldChar w:fldCharType="begin"/>
      </w:r>
      <w:r>
        <w:rPr>
          <w:noProof/>
        </w:rPr>
        <w:instrText xml:space="preserve"> SEQ Figure \* ARABIC </w:instrText>
      </w:r>
      <w:r>
        <w:rPr>
          <w:noProof/>
        </w:rPr>
        <w:fldChar w:fldCharType="separate"/>
      </w:r>
      <w:r w:rsidR="00222812">
        <w:rPr>
          <w:noProof/>
        </w:rPr>
        <w:t>9</w:t>
      </w:r>
      <w:r>
        <w:rPr>
          <w:noProof/>
        </w:rPr>
        <w:fldChar w:fldCharType="end"/>
      </w:r>
      <w:bookmarkEnd w:id="30"/>
      <w:r>
        <w:t xml:space="preserve">. Effects of the Regional trading and reshoring scenario </w:t>
      </w:r>
      <w:r w:rsidR="006B72EC">
        <w:t xml:space="preserve">on </w:t>
      </w:r>
      <w:r w:rsidR="00222812">
        <w:t>gross exports</w:t>
      </w:r>
      <w:r>
        <w:t xml:space="preserve"> in 20</w:t>
      </w:r>
      <w:r w:rsidR="00D817F4">
        <w:t>4</w:t>
      </w:r>
      <w:r>
        <w:t>0</w:t>
      </w:r>
    </w:p>
    <w:p w14:paraId="393FC353" w14:textId="5E7726F2" w:rsidR="003C5187" w:rsidRDefault="003C5187" w:rsidP="003C5187">
      <w:pPr>
        <w:pStyle w:val="CaptionSubtitle"/>
      </w:pPr>
      <w:r>
        <w:t xml:space="preserve">Deviations from the </w:t>
      </w:r>
      <w:r w:rsidR="004B33A7">
        <w:t>pre</w:t>
      </w:r>
      <w:r>
        <w:t>-Covid baseline projection</w:t>
      </w:r>
    </w:p>
    <w:p w14:paraId="5E350BEF" w14:textId="5FD7C43A" w:rsidR="003C5187" w:rsidRDefault="00735CDF" w:rsidP="003C5187">
      <w:pPr>
        <w:pStyle w:val="Figure"/>
        <w:rPr>
          <w:i/>
        </w:rPr>
      </w:pPr>
      <w:r w:rsidRPr="00735CDF">
        <w:rPr>
          <w:noProof/>
          <w:lang w:eastAsia="en-GB"/>
        </w:rPr>
        <w:drawing>
          <wp:inline distT="0" distB="0" distL="0" distR="0" wp14:anchorId="458A558B" wp14:editId="356787F6">
            <wp:extent cx="5816600" cy="25590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816600" cy="2559050"/>
                    </a:xfrm>
                    <a:prstGeom prst="rect">
                      <a:avLst/>
                    </a:prstGeom>
                    <a:noFill/>
                    <a:ln>
                      <a:noFill/>
                    </a:ln>
                  </pic:spPr>
                </pic:pic>
              </a:graphicData>
            </a:graphic>
          </wp:inline>
        </w:drawing>
      </w:r>
    </w:p>
    <w:p w14:paraId="3417C649" w14:textId="77777777" w:rsidR="003C5187" w:rsidRDefault="003C5187" w:rsidP="003C5187">
      <w:pPr>
        <w:pStyle w:val="Sourcenotes"/>
      </w:pPr>
      <w:r w:rsidRPr="00454399">
        <w:rPr>
          <w:i/>
        </w:rPr>
        <w:t>Note</w:t>
      </w:r>
      <w:r>
        <w:t>: All results are preliminary and subject to revision.</w:t>
      </w:r>
    </w:p>
    <w:p w14:paraId="0F1EBF08" w14:textId="77777777" w:rsidR="003C5187" w:rsidRDefault="003C5187" w:rsidP="003C5187">
      <w:pPr>
        <w:pStyle w:val="Sourcenotes"/>
      </w:pPr>
      <w:r w:rsidRPr="00454399">
        <w:rPr>
          <w:i/>
        </w:rPr>
        <w:t>Source</w:t>
      </w:r>
      <w:r>
        <w:t>: ENV-Linkages model.</w:t>
      </w:r>
    </w:p>
    <w:p w14:paraId="1FF20626" w14:textId="2C8336A2" w:rsidR="008D611D" w:rsidRDefault="008D611D" w:rsidP="008D611D">
      <w:pPr>
        <w:pStyle w:val="Heading2"/>
      </w:pPr>
      <w:r>
        <w:t>Effects on env</w:t>
      </w:r>
      <w:r w:rsidR="00CD6098">
        <w:t>ironmental</w:t>
      </w:r>
      <w:r>
        <w:t xml:space="preserve"> pressure</w:t>
      </w:r>
    </w:p>
    <w:p w14:paraId="366B40E6" w14:textId="5792A396" w:rsidR="003C5187" w:rsidRDefault="00702780" w:rsidP="003C5187">
      <w:pPr>
        <w:pStyle w:val="Para0"/>
      </w:pPr>
      <w:r>
        <w:t>The contraction in economic activity caused by the changes in trade policies directly affect environmental pressure. The shape of the reduction is roughly similar to the impact on global GDP, but there are significant differences across regions and sectors, caused by the economic structure of the various economies, and how strongly specific sectors are affected.</w:t>
      </w:r>
    </w:p>
    <w:p w14:paraId="2F9A8809" w14:textId="6E772A2B" w:rsidR="00702780" w:rsidRDefault="00702780" w:rsidP="003C5187">
      <w:pPr>
        <w:pStyle w:val="Para0"/>
      </w:pPr>
      <w:r>
        <w:t>The energy-related sectors decline somewhat more than average economic activity, and thus global CO</w:t>
      </w:r>
      <w:r w:rsidRPr="00702780">
        <w:rPr>
          <w:vertAlign w:val="subscript"/>
        </w:rPr>
        <w:t>2</w:t>
      </w:r>
      <w:r>
        <w:t xml:space="preserve"> emissions from fossil fuel combustion </w:t>
      </w:r>
      <w:r w:rsidR="005C3E87">
        <w:t>by 2040 decline by more than 10</w:t>
      </w:r>
      <w:r>
        <w:t>% (</w:t>
      </w:r>
      <w:r>
        <w:fldChar w:fldCharType="begin"/>
      </w:r>
      <w:r>
        <w:instrText xml:space="preserve"> REF _Ref62828720 \h </w:instrText>
      </w:r>
      <w:r>
        <w:fldChar w:fldCharType="separate"/>
      </w:r>
      <w:r>
        <w:t xml:space="preserve">Figure </w:t>
      </w:r>
      <w:r>
        <w:rPr>
          <w:noProof/>
        </w:rPr>
        <w:t>10</w:t>
      </w:r>
      <w:r>
        <w:fldChar w:fldCharType="end"/>
      </w:r>
      <w:r>
        <w:t>), more than the r</w:t>
      </w:r>
      <w:r w:rsidR="005C3E87">
        <w:t>eduction in GDP of less than 8</w:t>
      </w:r>
      <w:r>
        <w:t>%. Thus, at global level, the emissions intensity of the economy declines somewhat. This is primarily driven by a transition away from heavy manufacturing, which is energy-intensive. Other greenhouse gases are slightly less affected by the policy.</w:t>
      </w:r>
    </w:p>
    <w:p w14:paraId="483E43B8" w14:textId="6D04C03F" w:rsidR="00702780" w:rsidRDefault="00702780" w:rsidP="003C5187">
      <w:pPr>
        <w:pStyle w:val="Para0"/>
      </w:pPr>
      <w:r>
        <w:t>For air pollution, the variation across gases is larger: some gases share many emission sources with CO</w:t>
      </w:r>
      <w:r w:rsidRPr="00702780">
        <w:rPr>
          <w:vertAlign w:val="subscript"/>
        </w:rPr>
        <w:t>2</w:t>
      </w:r>
      <w:r>
        <w:t>, and are projected to observe a similar decline (not least NO</w:t>
      </w:r>
      <w:r w:rsidRPr="00AB4527">
        <w:rPr>
          <w:vertAlign w:val="subscript"/>
        </w:rPr>
        <w:t>x</w:t>
      </w:r>
      <w:r>
        <w:t>).</w:t>
      </w:r>
      <w:r w:rsidR="00AB4527">
        <w:t xml:space="preserve"> But other gases have significantly different economic drivers and are less affected. For example, the decline in </w:t>
      </w:r>
      <w:r w:rsidR="00C63306">
        <w:t xml:space="preserve">emissions of </w:t>
      </w:r>
      <w:r w:rsidR="00AB4527">
        <w:t>nitrate</w:t>
      </w:r>
      <w:r w:rsidR="00C63306">
        <w:t>s</w:t>
      </w:r>
      <w:r w:rsidR="00AB4527">
        <w:t xml:space="preserve"> (NH</w:t>
      </w:r>
      <w:r w:rsidR="00AB4527" w:rsidRPr="00AB4527">
        <w:rPr>
          <w:vertAlign w:val="subscript"/>
        </w:rPr>
        <w:t>3</w:t>
      </w:r>
      <w:r w:rsidR="00AB4527">
        <w:t>)</w:t>
      </w:r>
      <w:r w:rsidR="00C63306">
        <w:t xml:space="preserve"> links mostly to agricultural economic activity; as agricultural commodities are basic goods, their demand is much less sensitive to the policy shocks, and activity levels as well as emission levels remain </w:t>
      </w:r>
      <w:r w:rsidR="005C3E87">
        <w:t xml:space="preserve">in the short run </w:t>
      </w:r>
      <w:r w:rsidR="00C63306">
        <w:t>much closer to the baseline projection</w:t>
      </w:r>
      <w:r w:rsidR="005C3E87">
        <w:t>, although in the longer run the depressive effect on the policy on income alsop afects the agricultural sectors and hence associated emissions</w:t>
      </w:r>
      <w:r w:rsidR="00AB4527">
        <w:t>.</w:t>
      </w:r>
      <w:r w:rsidR="00C63306">
        <w:t xml:space="preserve"> </w:t>
      </w:r>
    </w:p>
    <w:p w14:paraId="2BCD1046" w14:textId="14CEFEB1" w:rsidR="00C63306" w:rsidRDefault="00C63306" w:rsidP="003C5187">
      <w:pPr>
        <w:pStyle w:val="Para0"/>
      </w:pPr>
      <w:r>
        <w:t xml:space="preserve">Total materials use is </w:t>
      </w:r>
      <w:r w:rsidR="00D34A62">
        <w:t>projected to decline, but fossil fuel use is the exception. Although the energy sectors are declining worldwide in this scenario, there is an indirect effect in some countries</w:t>
      </w:r>
      <w:r w:rsidR="00C5548F">
        <w:t xml:space="preserve"> </w:t>
      </w:r>
      <w:r w:rsidR="00D34A62">
        <w:t>where the energy mix used in electricity production shifts towards fossil fuels, causing an increase in fuel use.</w:t>
      </w:r>
      <w:r w:rsidR="005C3E87">
        <w:rPr>
          <w:rStyle w:val="FootnoteReference"/>
        </w:rPr>
        <w:footnoteReference w:id="13"/>
      </w:r>
      <w:r w:rsidR="005C3E87">
        <w:t xml:space="preserve"> </w:t>
      </w:r>
      <w:r w:rsidR="00C5548F">
        <w:t xml:space="preserve">There is also an indirect effect in the model simulations that the increase in trade barriers, </w:t>
      </w:r>
      <w:r w:rsidR="00C5548F">
        <w:lastRenderedPageBreak/>
        <w:t xml:space="preserve">which are assumed to be smaller for energy than for other sectors, lead some countries, not least the Other Africa region, to stabilise their trade balance by shifting exports towards petroleum products as exports of other commodities are depressed. </w:t>
      </w:r>
      <w:r w:rsidR="00D34A62">
        <w:t>At the other extreme is the use of metals, which declines by 15%, as the heavy industries are faced with increased costs from the reduced availability of cheap imports and reduced export markets.</w:t>
      </w:r>
    </w:p>
    <w:p w14:paraId="782AAFE7" w14:textId="6EF40799" w:rsidR="00D34A62" w:rsidRDefault="00D34A62" w:rsidP="003C5187">
      <w:pPr>
        <w:pStyle w:val="Para0"/>
      </w:pPr>
      <w:r>
        <w:t xml:space="preserve">Finally, </w:t>
      </w:r>
      <w:r w:rsidR="00C5548F">
        <w:t xml:space="preserve">the main land use indicator, harvested area, declines substantially less than other environmental pressures. This is a combined effect of a relatively subdued impact of the policy on food production, and the relative inelasticity of agricultural production to shift away from the land input, driven by a fairly inelastic – though not completely exogenous – supply of agricultural land. </w:t>
      </w:r>
    </w:p>
    <w:p w14:paraId="2C0B10E7" w14:textId="5311571D" w:rsidR="003C5187" w:rsidRDefault="003C5187" w:rsidP="003C5187">
      <w:pPr>
        <w:pStyle w:val="Caption"/>
      </w:pPr>
      <w:bookmarkStart w:id="31" w:name="_Ref62828720"/>
      <w:r>
        <w:t xml:space="preserve">Figure </w:t>
      </w:r>
      <w:r>
        <w:rPr>
          <w:noProof/>
        </w:rPr>
        <w:fldChar w:fldCharType="begin"/>
      </w:r>
      <w:r>
        <w:rPr>
          <w:noProof/>
        </w:rPr>
        <w:instrText xml:space="preserve"> SEQ Figure \* ARABIC </w:instrText>
      </w:r>
      <w:r>
        <w:rPr>
          <w:noProof/>
        </w:rPr>
        <w:fldChar w:fldCharType="separate"/>
      </w:r>
      <w:r w:rsidR="00222812">
        <w:rPr>
          <w:noProof/>
        </w:rPr>
        <w:t>10</w:t>
      </w:r>
      <w:r>
        <w:rPr>
          <w:noProof/>
        </w:rPr>
        <w:fldChar w:fldCharType="end"/>
      </w:r>
      <w:bookmarkEnd w:id="31"/>
      <w:r>
        <w:t>. Effects of the Regional trading and reshoring scenario on global environmental pressures</w:t>
      </w:r>
    </w:p>
    <w:p w14:paraId="3F944309" w14:textId="482826F8" w:rsidR="003C5187" w:rsidRDefault="003C5187" w:rsidP="003C5187">
      <w:pPr>
        <w:pStyle w:val="CaptionSubtitle"/>
      </w:pPr>
      <w:r>
        <w:t xml:space="preserve">Deviations from the </w:t>
      </w:r>
      <w:r w:rsidR="004B33A7">
        <w:t>pre</w:t>
      </w:r>
      <w:r>
        <w:t>-Covid baseline projection</w:t>
      </w:r>
    </w:p>
    <w:p w14:paraId="35DC974C" w14:textId="6D05B7E8" w:rsidR="003C5187" w:rsidRDefault="00735CDF" w:rsidP="003C5187">
      <w:pPr>
        <w:pStyle w:val="Figure"/>
        <w:rPr>
          <w:i/>
        </w:rPr>
      </w:pPr>
      <w:r w:rsidRPr="00735CDF">
        <w:rPr>
          <w:noProof/>
          <w:lang w:eastAsia="en-GB"/>
        </w:rPr>
        <w:drawing>
          <wp:inline distT="0" distB="0" distL="0" distR="0" wp14:anchorId="4F9A9CCD" wp14:editId="25A0C0FD">
            <wp:extent cx="2838450" cy="25590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38450" cy="2559050"/>
                    </a:xfrm>
                    <a:prstGeom prst="rect">
                      <a:avLst/>
                    </a:prstGeom>
                    <a:noFill/>
                    <a:ln>
                      <a:noFill/>
                    </a:ln>
                  </pic:spPr>
                </pic:pic>
              </a:graphicData>
            </a:graphic>
          </wp:inline>
        </w:drawing>
      </w:r>
      <w:r w:rsidRPr="00735CDF">
        <w:rPr>
          <w:noProof/>
          <w:lang w:eastAsia="en-GB"/>
        </w:rPr>
        <w:drawing>
          <wp:inline distT="0" distB="0" distL="0" distR="0" wp14:anchorId="3748B499" wp14:editId="3ECEEC00">
            <wp:extent cx="2832100" cy="25590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32100" cy="2559050"/>
                    </a:xfrm>
                    <a:prstGeom prst="rect">
                      <a:avLst/>
                    </a:prstGeom>
                    <a:noFill/>
                    <a:ln>
                      <a:noFill/>
                    </a:ln>
                  </pic:spPr>
                </pic:pic>
              </a:graphicData>
            </a:graphic>
          </wp:inline>
        </w:drawing>
      </w:r>
      <w:r w:rsidRPr="00735CDF">
        <w:rPr>
          <w:noProof/>
          <w:lang w:eastAsia="en-GB"/>
        </w:rPr>
        <w:drawing>
          <wp:inline distT="0" distB="0" distL="0" distR="0" wp14:anchorId="698CB15E" wp14:editId="02EC3A96">
            <wp:extent cx="2832100" cy="25590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32100" cy="2559050"/>
                    </a:xfrm>
                    <a:prstGeom prst="rect">
                      <a:avLst/>
                    </a:prstGeom>
                    <a:noFill/>
                    <a:ln>
                      <a:noFill/>
                    </a:ln>
                  </pic:spPr>
                </pic:pic>
              </a:graphicData>
            </a:graphic>
          </wp:inline>
        </w:drawing>
      </w:r>
      <w:r w:rsidRPr="00735CDF">
        <w:rPr>
          <w:noProof/>
          <w:lang w:eastAsia="en-GB"/>
        </w:rPr>
        <w:drawing>
          <wp:inline distT="0" distB="0" distL="0" distR="0" wp14:anchorId="68301744" wp14:editId="7BCFC6AC">
            <wp:extent cx="2832100" cy="25590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32100" cy="2559050"/>
                    </a:xfrm>
                    <a:prstGeom prst="rect">
                      <a:avLst/>
                    </a:prstGeom>
                    <a:noFill/>
                    <a:ln>
                      <a:noFill/>
                    </a:ln>
                  </pic:spPr>
                </pic:pic>
              </a:graphicData>
            </a:graphic>
          </wp:inline>
        </w:drawing>
      </w:r>
      <w:r w:rsidR="003C5187" w:rsidRPr="0021207C">
        <w:rPr>
          <w:i/>
        </w:rPr>
        <w:t xml:space="preserve"> </w:t>
      </w:r>
    </w:p>
    <w:p w14:paraId="6AA50F15" w14:textId="673FA4A6" w:rsidR="003C5187" w:rsidRDefault="003C5187" w:rsidP="003C5187">
      <w:pPr>
        <w:pStyle w:val="Sourcenotes"/>
      </w:pPr>
      <w:r w:rsidRPr="00454399">
        <w:rPr>
          <w:i/>
        </w:rPr>
        <w:lastRenderedPageBreak/>
        <w:t>Note</w:t>
      </w:r>
      <w:r>
        <w:t>: All results are preliminary and subject to revision.</w:t>
      </w:r>
      <w:r w:rsidR="0081269E">
        <w:t xml:space="preserve"> Results for fossil fuel use (left bottom panel) are influenced by preliminary </w:t>
      </w:r>
      <w:r w:rsidR="0089068C">
        <w:t xml:space="preserve">policy </w:t>
      </w:r>
      <w:r w:rsidR="0081269E">
        <w:t xml:space="preserve">assumptions on trade </w:t>
      </w:r>
      <w:r w:rsidR="0089068C">
        <w:t>barriers</w:t>
      </w:r>
      <w:r w:rsidR="0081269E">
        <w:t xml:space="preserve"> for </w:t>
      </w:r>
      <w:r w:rsidR="0089068C">
        <w:t>energy</w:t>
      </w:r>
      <w:r w:rsidR="0081269E">
        <w:t>.</w:t>
      </w:r>
    </w:p>
    <w:p w14:paraId="5940759D" w14:textId="77777777" w:rsidR="003C5187" w:rsidRPr="00E07FB8" w:rsidRDefault="003C5187" w:rsidP="003C5187">
      <w:pPr>
        <w:pStyle w:val="Sourcenotes"/>
      </w:pPr>
      <w:r w:rsidRPr="00E07FB8">
        <w:rPr>
          <w:i/>
        </w:rPr>
        <w:t>Source</w:t>
      </w:r>
      <w:r w:rsidRPr="00E07FB8">
        <w:t>: ENV-Linkages model.</w:t>
      </w:r>
    </w:p>
    <w:p w14:paraId="0CDC2384" w14:textId="6864E686" w:rsidR="003C5187" w:rsidRPr="004E617D" w:rsidRDefault="004E617D" w:rsidP="003C5187">
      <w:pPr>
        <w:pStyle w:val="Para0"/>
      </w:pPr>
      <w:r>
        <w:t>Re</w:t>
      </w:r>
      <w:r w:rsidRPr="004E617D">
        <w:t>gional emissi</w:t>
      </w:r>
      <w:r>
        <w:t>o</w:t>
      </w:r>
      <w:r w:rsidRPr="004E617D">
        <w:t>ns of greenhouse gases and air pollutants</w:t>
      </w:r>
      <w:r>
        <w:t xml:space="preserve"> are projected to decline in most countries (</w:t>
      </w:r>
      <w:r>
        <w:fldChar w:fldCharType="begin"/>
      </w:r>
      <w:r>
        <w:instrText xml:space="preserve"> REF _Ref62830874 \h </w:instrText>
      </w:r>
      <w:r>
        <w:fldChar w:fldCharType="separate"/>
      </w:r>
      <w:r w:rsidRPr="004E617D">
        <w:t xml:space="preserve">Figure </w:t>
      </w:r>
      <w:r w:rsidRPr="004E617D">
        <w:rPr>
          <w:noProof/>
        </w:rPr>
        <w:t>11</w:t>
      </w:r>
      <w:r>
        <w:fldChar w:fldCharType="end"/>
      </w:r>
      <w:r>
        <w:t>). But the effect is not universal: in some regions, most notably the non-OECD Europe region, the reduced trade opportunities imply an increase in polluting domestic industry.</w:t>
      </w:r>
      <w:r>
        <w:rPr>
          <w:rStyle w:val="FootnoteReference"/>
        </w:rPr>
        <w:footnoteReference w:id="14"/>
      </w:r>
      <w:r>
        <w:t xml:space="preserve"> In those countries, there is no environmental benefit fr</w:t>
      </w:r>
      <w:r w:rsidR="00E4289C">
        <w:t>om reduced trade integration. On</w:t>
      </w:r>
      <w:r>
        <w:t xml:space="preserve"> the other hand, the major export</w:t>
      </w:r>
      <w:r w:rsidR="000F582E">
        <w:t>er</w:t>
      </w:r>
      <w:r>
        <w:t>s China and India couple a significant reduction in economic activity with a reduction in environmental pressures.</w:t>
      </w:r>
      <w:r w:rsidR="000F582E">
        <w:t xml:space="preserve"> At global level, emissions of greenhouse gases and materials use decline somewhat more than GDP, whereas air pollutant emissions decline roughly in line with GDP. As expected, the decline in harvested area is much smaller than the decline in GDP.</w:t>
      </w:r>
    </w:p>
    <w:p w14:paraId="0385218C" w14:textId="0C6AD152" w:rsidR="003C5187" w:rsidRDefault="003C5187" w:rsidP="003C5187">
      <w:pPr>
        <w:pStyle w:val="Caption"/>
      </w:pPr>
      <w:bookmarkStart w:id="32" w:name="_Ref62830874"/>
      <w:r w:rsidRPr="00E07FB8">
        <w:t xml:space="preserve">Figure </w:t>
      </w:r>
      <w:r>
        <w:rPr>
          <w:noProof/>
        </w:rPr>
        <w:fldChar w:fldCharType="begin"/>
      </w:r>
      <w:r w:rsidRPr="00E07FB8">
        <w:rPr>
          <w:noProof/>
        </w:rPr>
        <w:instrText xml:space="preserve"> SEQ Figure \* ARABIC </w:instrText>
      </w:r>
      <w:r>
        <w:rPr>
          <w:noProof/>
        </w:rPr>
        <w:fldChar w:fldCharType="separate"/>
      </w:r>
      <w:r w:rsidR="00222812" w:rsidRPr="00E07FB8">
        <w:rPr>
          <w:noProof/>
        </w:rPr>
        <w:t>11</w:t>
      </w:r>
      <w:r>
        <w:rPr>
          <w:noProof/>
        </w:rPr>
        <w:fldChar w:fldCharType="end"/>
      </w:r>
      <w:bookmarkEnd w:id="32"/>
      <w:r w:rsidRPr="00E07FB8">
        <w:t xml:space="preserve">. </w:t>
      </w:r>
      <w:r>
        <w:t>Effects of the Regional trading and reshoring scenario on selected regional environmental pressures in 20</w:t>
      </w:r>
      <w:r w:rsidR="00530AB1">
        <w:t>4</w:t>
      </w:r>
      <w:r>
        <w:t>0</w:t>
      </w:r>
    </w:p>
    <w:p w14:paraId="2564AE69" w14:textId="593BE0DB" w:rsidR="003C5187" w:rsidRDefault="003C5187" w:rsidP="003C5187">
      <w:pPr>
        <w:pStyle w:val="CaptionSubtitle"/>
      </w:pPr>
      <w:r>
        <w:t xml:space="preserve">Deviations from the </w:t>
      </w:r>
      <w:r w:rsidR="004B33A7">
        <w:t>pre</w:t>
      </w:r>
      <w:r>
        <w:t>-Covid baseline projection</w:t>
      </w:r>
    </w:p>
    <w:p w14:paraId="2283AE9D" w14:textId="6B83D9E5" w:rsidR="003C5187" w:rsidRDefault="001C4B7D" w:rsidP="003C5187">
      <w:pPr>
        <w:pStyle w:val="Figure"/>
        <w:rPr>
          <w:i/>
        </w:rPr>
      </w:pPr>
      <w:r w:rsidRPr="001C4B7D">
        <w:rPr>
          <w:noProof/>
          <w:lang w:eastAsia="en-GB"/>
        </w:rPr>
        <w:drawing>
          <wp:inline distT="0" distB="0" distL="0" distR="0" wp14:anchorId="4B325243" wp14:editId="7FAE4A49">
            <wp:extent cx="2832100" cy="34861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32100" cy="3486150"/>
                    </a:xfrm>
                    <a:prstGeom prst="rect">
                      <a:avLst/>
                    </a:prstGeom>
                    <a:noFill/>
                    <a:ln>
                      <a:noFill/>
                    </a:ln>
                  </pic:spPr>
                </pic:pic>
              </a:graphicData>
            </a:graphic>
          </wp:inline>
        </w:drawing>
      </w:r>
      <w:r w:rsidRPr="001C4B7D">
        <w:rPr>
          <w:noProof/>
          <w:lang w:eastAsia="en-GB"/>
        </w:rPr>
        <w:drawing>
          <wp:inline distT="0" distB="0" distL="0" distR="0" wp14:anchorId="71C0C498" wp14:editId="13C79AA1">
            <wp:extent cx="2832100" cy="34861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32100" cy="3486150"/>
                    </a:xfrm>
                    <a:prstGeom prst="rect">
                      <a:avLst/>
                    </a:prstGeom>
                    <a:noFill/>
                    <a:ln>
                      <a:noFill/>
                    </a:ln>
                  </pic:spPr>
                </pic:pic>
              </a:graphicData>
            </a:graphic>
          </wp:inline>
        </w:drawing>
      </w:r>
    </w:p>
    <w:p w14:paraId="30CE86EA" w14:textId="77777777" w:rsidR="003C5187" w:rsidRDefault="003C5187" w:rsidP="003C5187">
      <w:pPr>
        <w:pStyle w:val="Sourcenotes"/>
      </w:pPr>
      <w:r w:rsidRPr="00454399">
        <w:rPr>
          <w:i/>
        </w:rPr>
        <w:t>Note</w:t>
      </w:r>
      <w:r>
        <w:t>: All results are preliminary and subject to revision.</w:t>
      </w:r>
      <w:r w:rsidRPr="007A03D2">
        <w:t xml:space="preserve"> </w:t>
      </w:r>
      <w:r>
        <w:t>For an explanation of the regional aggregation see Annex A.</w:t>
      </w:r>
    </w:p>
    <w:p w14:paraId="7E1A9C97" w14:textId="77777777" w:rsidR="003C5187" w:rsidRPr="00454399" w:rsidRDefault="003C5187" w:rsidP="003C5187">
      <w:pPr>
        <w:pStyle w:val="Sourcenotes"/>
      </w:pPr>
      <w:r w:rsidRPr="00454399">
        <w:rPr>
          <w:i/>
        </w:rPr>
        <w:t>Source</w:t>
      </w:r>
      <w:r>
        <w:t>: ENV-Linkages model.</w:t>
      </w:r>
    </w:p>
    <w:p w14:paraId="47A28AFF" w14:textId="5E8203E5" w:rsidR="0071471F" w:rsidRDefault="008E2F63" w:rsidP="0071471F">
      <w:pPr>
        <w:pStyle w:val="Heading1"/>
      </w:pPr>
      <w:r>
        <w:t>Regional trading hubs</w:t>
      </w:r>
    </w:p>
    <w:p w14:paraId="54227779" w14:textId="77777777" w:rsidR="00CD6098" w:rsidRPr="00C024BA" w:rsidRDefault="00CD6098" w:rsidP="00CD6098">
      <w:pPr>
        <w:pStyle w:val="Para0"/>
      </w:pPr>
      <w:r>
        <w:t>[Section to be elaborated</w:t>
      </w:r>
      <w:r w:rsidRPr="00111AC8">
        <w:t xml:space="preserve"> </w:t>
      </w:r>
      <w:r>
        <w:t>in a later version of this paper.]</w:t>
      </w:r>
    </w:p>
    <w:p w14:paraId="2D3958FF" w14:textId="77777777" w:rsidR="00C024BA" w:rsidRDefault="008E2F63" w:rsidP="00C024BA">
      <w:pPr>
        <w:pStyle w:val="Heading1"/>
      </w:pPr>
      <w:r>
        <w:lastRenderedPageBreak/>
        <w:t>An alternative view on changing drivers of trade</w:t>
      </w:r>
      <w:r w:rsidR="001D74D6">
        <w:rPr>
          <w:rStyle w:val="FootnoteReference"/>
        </w:rPr>
        <w:footnoteReference w:id="15"/>
      </w:r>
    </w:p>
    <w:p w14:paraId="0C17F0E0" w14:textId="77777777" w:rsidR="00C024BA" w:rsidRDefault="008E2F63" w:rsidP="00C024BA">
      <w:pPr>
        <w:pStyle w:val="Para0"/>
      </w:pPr>
      <w:r>
        <w:t xml:space="preserve">The sections above assume that the changes in trading patterns, and the associated changes in economic activity and environmental pressure are driven primarily by trade policies. In this section, an alternative approach is explored, where the changes in trade patterns are driven by a change in the preferences of consumers for domestic products over imports. </w:t>
      </w:r>
    </w:p>
    <w:p w14:paraId="1756FB1B" w14:textId="2574C6C9" w:rsidR="008E2F63" w:rsidRPr="00C024BA" w:rsidRDefault="008E2F63" w:rsidP="00C024BA">
      <w:pPr>
        <w:pStyle w:val="Para0"/>
      </w:pPr>
      <w:r>
        <w:t>[Section to be elaborated</w:t>
      </w:r>
      <w:r w:rsidR="00111AC8" w:rsidRPr="00111AC8">
        <w:t xml:space="preserve"> </w:t>
      </w:r>
      <w:r w:rsidR="00111AC8">
        <w:t>in a later version of this paper</w:t>
      </w:r>
      <w:r>
        <w:t>.]</w:t>
      </w:r>
    </w:p>
    <w:p w14:paraId="7EEC061C" w14:textId="77777777" w:rsidR="00524708" w:rsidRDefault="00F820B1" w:rsidP="00F820B1">
      <w:pPr>
        <w:pStyle w:val="Heading1"/>
      </w:pPr>
      <w:r>
        <w:t>Discussion</w:t>
      </w:r>
    </w:p>
    <w:p w14:paraId="23D35476" w14:textId="77777777" w:rsidR="00D731EB" w:rsidRPr="007C6A80" w:rsidRDefault="00D731EB" w:rsidP="00D731EB">
      <w:pPr>
        <w:pStyle w:val="Para0"/>
      </w:pPr>
      <w:r>
        <w:t>T</w:t>
      </w:r>
      <w:r w:rsidRPr="007C6A80">
        <w:t>he results presented in this paper are surrounded by significant uncertainties</w:t>
      </w:r>
      <w:r>
        <w:t>.</w:t>
      </w:r>
      <w:r w:rsidRPr="007C6A80">
        <w:t xml:space="preserve"> </w:t>
      </w:r>
      <w:r>
        <w:t>T</w:t>
      </w:r>
      <w:r w:rsidRPr="007C6A80">
        <w:t>he impacts of the pandemic on sectoral economic activity is not clearly distilled yet</w:t>
      </w:r>
      <w:r>
        <w:t>. In addition,</w:t>
      </w:r>
      <w:r w:rsidRPr="007C6A80">
        <w:t xml:space="preserve"> recovery packages are yet to be defined in many countries</w:t>
      </w:r>
      <w:r>
        <w:t>. Furthermore,</w:t>
      </w:r>
      <w:r w:rsidRPr="007C6A80">
        <w:t xml:space="preserve"> while the start of vaccine campaigns impl</w:t>
      </w:r>
      <w:r>
        <w:t>ies</w:t>
      </w:r>
      <w:r w:rsidRPr="007C6A80">
        <w:t xml:space="preserve"> that there is </w:t>
      </w:r>
      <w:r>
        <w:t xml:space="preserve">a </w:t>
      </w:r>
      <w:r w:rsidRPr="007C6A80">
        <w:t>less</w:t>
      </w:r>
      <w:r>
        <w:t>er</w:t>
      </w:r>
      <w:r w:rsidRPr="007C6A80">
        <w:t xml:space="preserve"> risk of a prolonged pandemic, the speed with which life “returns to normal” remains to be seen.</w:t>
      </w:r>
    </w:p>
    <w:p w14:paraId="4D2CE6C6" w14:textId="753F67A5" w:rsidR="00D731EB" w:rsidRDefault="00D731EB" w:rsidP="00D731EB">
      <w:pPr>
        <w:pStyle w:val="Para0"/>
      </w:pPr>
      <w:r w:rsidRPr="007C6A80">
        <w:t>There are also uncertainties regarding the projections of environmental pressures</w:t>
      </w:r>
      <w:r>
        <w:t xml:space="preserve">. While </w:t>
      </w:r>
      <w:r w:rsidRPr="007C6A80">
        <w:t>many countries have announced that their recovery packages will be “green”</w:t>
      </w:r>
      <w:r>
        <w:t xml:space="preserve">, </w:t>
      </w:r>
      <w:r w:rsidRPr="007C6A80">
        <w:t>the model do</w:t>
      </w:r>
      <w:r>
        <w:t>es</w:t>
      </w:r>
      <w:r w:rsidRPr="007C6A80">
        <w:t xml:space="preserve"> not include specific </w:t>
      </w:r>
      <w:r>
        <w:t>support</w:t>
      </w:r>
      <w:r w:rsidRPr="007C6A80">
        <w:t xml:space="preserve"> to environmental goods and services. </w:t>
      </w:r>
      <w:r>
        <w:t>Indeed, the</w:t>
      </w:r>
      <w:r w:rsidRPr="007C6A80">
        <w:t xml:space="preserve"> extent </w:t>
      </w:r>
      <w:r>
        <w:t xml:space="preserve">to which recovery packages </w:t>
      </w:r>
      <w:r w:rsidRPr="007C6A80">
        <w:t xml:space="preserve">steers government support to specific environmentally relevant sectors </w:t>
      </w:r>
      <w:r>
        <w:t>should be further investigated</w:t>
      </w:r>
      <w:r w:rsidRPr="007C6A80">
        <w:t xml:space="preserve">. </w:t>
      </w:r>
    </w:p>
    <w:p w14:paraId="1C78132A" w14:textId="7C3BAA64" w:rsidR="00E318B0" w:rsidRDefault="00E318B0" w:rsidP="00D731EB">
      <w:pPr>
        <w:pStyle w:val="Para0"/>
      </w:pPr>
      <w:r>
        <w:t>Similarly, the scenarios on reshoring and regional trading hubs are – on purpose – highly stylised and distinct from ongoing policy discussions and geo-political trends and projections. They form a hypothetical reference point to assess how changes in trade patterns may affect environmental pressure, rather than making projectins on likely evolution of international trade.</w:t>
      </w:r>
    </w:p>
    <w:p w14:paraId="4E9E1591" w14:textId="77777777" w:rsidR="00D731EB" w:rsidRPr="007C6A80" w:rsidRDefault="00D731EB" w:rsidP="00D731EB">
      <w:pPr>
        <w:pStyle w:val="Para0"/>
      </w:pPr>
      <w:r>
        <w:t>Finally, the paper focuses on the implications for environmental pressures. Assessing what these imply for environment quality, ranging from concentrations of GHGs and particulate matter, to sea level rise and air pollution-related mortality, is beyond the scope of the current paper.</w:t>
      </w:r>
    </w:p>
    <w:p w14:paraId="3FB34F11" w14:textId="77777777" w:rsidR="00C024BA" w:rsidRPr="00C024BA" w:rsidRDefault="00C024BA" w:rsidP="00C024BA">
      <w:pPr>
        <w:pStyle w:val="Para0"/>
      </w:pPr>
    </w:p>
    <w:sdt>
      <w:sdtPr>
        <w:rPr>
          <w:rFonts w:cs="Times New Roman"/>
          <w:b w:val="0"/>
          <w:bCs w:val="0"/>
          <w:sz w:val="20"/>
        </w:rPr>
        <w:id w:val="-822890554"/>
        <w:docPartObj>
          <w:docPartGallery w:val="Bibliographies"/>
          <w:docPartUnique/>
        </w:docPartObj>
      </w:sdtPr>
      <w:sdtEndPr/>
      <w:sdtContent>
        <w:p w14:paraId="6A157DFA" w14:textId="4190B4F0" w:rsidR="003C5A74" w:rsidRDefault="003C5A74" w:rsidP="00B62115">
          <w:pPr>
            <w:pStyle w:val="Heading2"/>
            <w:numPr>
              <w:ilvl w:val="0"/>
              <w:numId w:val="0"/>
            </w:numPr>
            <w:spacing w:after="0"/>
          </w:pPr>
          <w:r>
            <w:t>References</w:t>
          </w:r>
        </w:p>
        <w:sdt>
          <w:sdtPr>
            <w:id w:val="-117772956"/>
            <w:bibliography/>
          </w:sdtPr>
          <w:sdtEndPr/>
          <w:sdtContent>
            <w:p w14:paraId="340E85BA" w14:textId="77777777" w:rsidR="0020320D" w:rsidRDefault="003C5A74">
              <w:pPr>
                <w:rPr>
                  <w:rFonts w:ascii="Georgia" w:hAnsi="Georgia"/>
                  <w:noProof/>
                </w:rPr>
              </w:pPr>
              <w:r>
                <w:fldChar w:fldCharType="begin"/>
              </w:r>
              <w:r>
                <w:instrText xml:space="preserve"> BIBLIOGRAPHY </w:instrText>
              </w:r>
              <w:r>
                <w:fldChar w:fldCharType="separate"/>
              </w:r>
            </w:p>
            <w:tbl>
              <w:tblPr>
                <w:tblW w:w="4880" w:type="pct"/>
                <w:tblInd w:w="60" w:type="dxa"/>
                <w:tblCellMar>
                  <w:top w:w="60" w:type="dxa"/>
                  <w:left w:w="60" w:type="dxa"/>
                  <w:bottom w:w="60" w:type="dxa"/>
                  <w:right w:w="60" w:type="dxa"/>
                </w:tblCellMar>
                <w:tblLook w:val="04A0" w:firstRow="1" w:lastRow="0" w:firstColumn="1" w:lastColumn="0" w:noHBand="0" w:noVBand="1"/>
              </w:tblPr>
              <w:tblGrid>
                <w:gridCol w:w="8475"/>
                <w:gridCol w:w="600"/>
              </w:tblGrid>
              <w:tr w:rsidR="0020320D" w14:paraId="20FE3D58" w14:textId="77777777">
                <w:trPr>
                  <w:divId w:val="228658500"/>
                </w:trPr>
                <w:tc>
                  <w:tcPr>
                    <w:tcW w:w="0" w:type="auto"/>
                    <w:hideMark/>
                  </w:tcPr>
                  <w:p w14:paraId="0169B680" w14:textId="3FA83BE5" w:rsidR="0020320D" w:rsidRDefault="0020320D">
                    <w:pPr>
                      <w:pStyle w:val="Bibliography"/>
                      <w:rPr>
                        <w:noProof/>
                        <w:sz w:val="24"/>
                        <w:szCs w:val="24"/>
                      </w:rPr>
                    </w:pPr>
                    <w:r>
                      <w:rPr>
                        <w:noProof/>
                      </w:rPr>
                      <w:t xml:space="preserve">Amann, M., Z. Klimont and F. Wagner (2013), “Regional and Global Emissions of Air Pollutants: Recent Trends and Future Scenarios”, </w:t>
                    </w:r>
                    <w:r>
                      <w:rPr>
                        <w:i/>
                        <w:iCs/>
                        <w:noProof/>
                      </w:rPr>
                      <w:t>Annual Review of Environment and Resources</w:t>
                    </w:r>
                    <w:r>
                      <w:rPr>
                        <w:noProof/>
                      </w:rPr>
                      <w:t xml:space="preserve">, Vol. 38/1, pp. 31-55, </w:t>
                    </w:r>
                    <w:r>
                      <w:rPr>
                        <w:noProof/>
                        <w:color w:val="0000FF"/>
                        <w:u w:val="single"/>
                      </w:rPr>
                      <w:t>http://dx.doi.org/10.1146/annurev-environ-052912-173303</w:t>
                    </w:r>
                    <w:r>
                      <w:rPr>
                        <w:noProof/>
                      </w:rPr>
                      <w:t>.</w:t>
                    </w:r>
                  </w:p>
                </w:tc>
                <w:tc>
                  <w:tcPr>
                    <w:tcW w:w="600" w:type="dxa"/>
                    <w:noWrap/>
                    <w:hideMark/>
                  </w:tcPr>
                  <w:p w14:paraId="4F8AF5A3" w14:textId="77777777" w:rsidR="0020320D" w:rsidRDefault="0020320D">
                    <w:pPr>
                      <w:spacing w:before="100" w:beforeAutospacing="1" w:after="100" w:afterAutospacing="1"/>
                      <w:jc w:val="right"/>
                      <w:rPr>
                        <w:noProof/>
                      </w:rPr>
                    </w:pPr>
                    <w:r>
                      <w:rPr>
                        <w:noProof/>
                        <w:color w:val="000000"/>
                        <w:sz w:val="16"/>
                        <w:szCs w:val="16"/>
                      </w:rPr>
                      <w:t>[9]</w:t>
                    </w:r>
                  </w:p>
                </w:tc>
              </w:tr>
              <w:tr w:rsidR="0020320D" w14:paraId="3F6E1026" w14:textId="77777777">
                <w:trPr>
                  <w:divId w:val="228658500"/>
                </w:trPr>
                <w:tc>
                  <w:tcPr>
                    <w:tcW w:w="0" w:type="auto"/>
                    <w:hideMark/>
                  </w:tcPr>
                  <w:p w14:paraId="548410B7" w14:textId="77777777" w:rsidR="0020320D" w:rsidRDefault="0020320D">
                    <w:pPr>
                      <w:pStyle w:val="Bibliography"/>
                      <w:rPr>
                        <w:noProof/>
                      </w:rPr>
                    </w:pPr>
                    <w:r>
                      <w:rPr>
                        <w:noProof/>
                      </w:rPr>
                      <w:t xml:space="preserve">Arriola, C., P. Kowalski and F. Van Tongeren (forthcoming), </w:t>
                    </w:r>
                    <w:r>
                      <w:rPr>
                        <w:i/>
                        <w:iCs/>
                        <w:noProof/>
                      </w:rPr>
                      <w:t>Assessment of the Covid-19 pandemic: insights from the METRO model</w:t>
                    </w:r>
                    <w:r>
                      <w:rPr>
                        <w:noProof/>
                      </w:rPr>
                      <w:t>.</w:t>
                    </w:r>
                  </w:p>
                </w:tc>
                <w:tc>
                  <w:tcPr>
                    <w:tcW w:w="600" w:type="dxa"/>
                    <w:noWrap/>
                    <w:hideMark/>
                  </w:tcPr>
                  <w:p w14:paraId="69821BB6" w14:textId="77777777" w:rsidR="0020320D" w:rsidRDefault="0020320D">
                    <w:pPr>
                      <w:spacing w:before="100" w:beforeAutospacing="1" w:after="100" w:afterAutospacing="1"/>
                      <w:jc w:val="right"/>
                      <w:rPr>
                        <w:noProof/>
                      </w:rPr>
                    </w:pPr>
                    <w:r>
                      <w:rPr>
                        <w:noProof/>
                        <w:color w:val="000000"/>
                        <w:sz w:val="16"/>
                        <w:szCs w:val="16"/>
                      </w:rPr>
                      <w:t>[18]</w:t>
                    </w:r>
                  </w:p>
                </w:tc>
              </w:tr>
              <w:tr w:rsidR="0020320D" w14:paraId="1B001837" w14:textId="77777777">
                <w:trPr>
                  <w:divId w:val="228658500"/>
                </w:trPr>
                <w:tc>
                  <w:tcPr>
                    <w:tcW w:w="0" w:type="auto"/>
                    <w:hideMark/>
                  </w:tcPr>
                  <w:p w14:paraId="7C6E6562" w14:textId="77777777" w:rsidR="0020320D" w:rsidRDefault="0020320D">
                    <w:pPr>
                      <w:pStyle w:val="Bibliography"/>
                      <w:rPr>
                        <w:noProof/>
                      </w:rPr>
                    </w:pPr>
                    <w:r>
                      <w:rPr>
                        <w:noProof/>
                      </w:rPr>
                      <w:t>Bibas, R., J. Chateau and E. Lanzi (2021), “Policy scenarios for a transition to a more resource efficient and circular economy”</w:t>
                    </w:r>
                    <w:r>
                      <w:rPr>
                        <w:i/>
                        <w:iCs/>
                        <w:noProof/>
                      </w:rPr>
                      <w:t>, OECD Environment Working Papers</w:t>
                    </w:r>
                    <w:r>
                      <w:rPr>
                        <w:noProof/>
                      </w:rPr>
                      <w:t xml:space="preserve">, No. 169, OECD Publishing, Paris, </w:t>
                    </w:r>
                    <w:r>
                      <w:rPr>
                        <w:noProof/>
                        <w:color w:val="0000FF"/>
                        <w:u w:val="single"/>
                      </w:rPr>
                      <w:t>https://dx.doi.org/10.1787/c1f3c8d0-en</w:t>
                    </w:r>
                    <w:r>
                      <w:rPr>
                        <w:noProof/>
                      </w:rPr>
                      <w:t>.</w:t>
                    </w:r>
                  </w:p>
                </w:tc>
                <w:tc>
                  <w:tcPr>
                    <w:tcW w:w="600" w:type="dxa"/>
                    <w:noWrap/>
                    <w:hideMark/>
                  </w:tcPr>
                  <w:p w14:paraId="323449CD" w14:textId="77777777" w:rsidR="0020320D" w:rsidRDefault="0020320D">
                    <w:pPr>
                      <w:spacing w:before="100" w:beforeAutospacing="1" w:after="100" w:afterAutospacing="1"/>
                      <w:jc w:val="right"/>
                      <w:rPr>
                        <w:noProof/>
                      </w:rPr>
                    </w:pPr>
                    <w:r>
                      <w:rPr>
                        <w:noProof/>
                        <w:color w:val="000000"/>
                        <w:sz w:val="16"/>
                        <w:szCs w:val="16"/>
                      </w:rPr>
                      <w:t>[7]</w:t>
                    </w:r>
                  </w:p>
                </w:tc>
              </w:tr>
              <w:tr w:rsidR="0020320D" w14:paraId="0DE7F2AD" w14:textId="77777777">
                <w:trPr>
                  <w:divId w:val="228658500"/>
                </w:trPr>
                <w:tc>
                  <w:tcPr>
                    <w:tcW w:w="0" w:type="auto"/>
                    <w:hideMark/>
                  </w:tcPr>
                  <w:p w14:paraId="6DADA82E" w14:textId="77777777" w:rsidR="0020320D" w:rsidRDefault="0020320D">
                    <w:pPr>
                      <w:pStyle w:val="Bibliography"/>
                      <w:rPr>
                        <w:noProof/>
                      </w:rPr>
                    </w:pPr>
                    <w:r>
                      <w:rPr>
                        <w:noProof/>
                      </w:rPr>
                      <w:t>Chateau, J., R. Dellink and E. Lanzi (2014), “An Overview of the OECD ENV-Linkages Model: Version 3”</w:t>
                    </w:r>
                    <w:r>
                      <w:rPr>
                        <w:i/>
                        <w:iCs/>
                        <w:noProof/>
                      </w:rPr>
                      <w:t>, OECD Environment Working Papers</w:t>
                    </w:r>
                    <w:r>
                      <w:rPr>
                        <w:noProof/>
                      </w:rPr>
                      <w:t xml:space="preserve">, No. 65, OECD Publishing, Paris, </w:t>
                    </w:r>
                    <w:r>
                      <w:rPr>
                        <w:noProof/>
                        <w:color w:val="0000FF"/>
                        <w:u w:val="single"/>
                      </w:rPr>
                      <w:t>https://dx.doi.org/10.1787/5jz2qck2b2vd-en</w:t>
                    </w:r>
                    <w:r>
                      <w:rPr>
                        <w:noProof/>
                      </w:rPr>
                      <w:t>.</w:t>
                    </w:r>
                  </w:p>
                </w:tc>
                <w:tc>
                  <w:tcPr>
                    <w:tcW w:w="600" w:type="dxa"/>
                    <w:noWrap/>
                    <w:hideMark/>
                  </w:tcPr>
                  <w:p w14:paraId="3A19E160" w14:textId="77777777" w:rsidR="0020320D" w:rsidRDefault="0020320D">
                    <w:pPr>
                      <w:spacing w:before="100" w:beforeAutospacing="1" w:after="100" w:afterAutospacing="1"/>
                      <w:jc w:val="right"/>
                      <w:rPr>
                        <w:noProof/>
                      </w:rPr>
                    </w:pPr>
                    <w:r>
                      <w:rPr>
                        <w:noProof/>
                        <w:color w:val="000000"/>
                        <w:sz w:val="16"/>
                        <w:szCs w:val="16"/>
                      </w:rPr>
                      <w:t>[1]</w:t>
                    </w:r>
                  </w:p>
                </w:tc>
              </w:tr>
              <w:tr w:rsidR="0020320D" w14:paraId="069BA11E" w14:textId="77777777">
                <w:trPr>
                  <w:divId w:val="228658500"/>
                </w:trPr>
                <w:tc>
                  <w:tcPr>
                    <w:tcW w:w="0" w:type="auto"/>
                    <w:hideMark/>
                  </w:tcPr>
                  <w:p w14:paraId="16557F50" w14:textId="77777777" w:rsidR="0020320D" w:rsidRDefault="0020320D">
                    <w:pPr>
                      <w:pStyle w:val="Bibliography"/>
                      <w:rPr>
                        <w:noProof/>
                      </w:rPr>
                    </w:pPr>
                    <w:r>
                      <w:rPr>
                        <w:noProof/>
                      </w:rPr>
                      <w:lastRenderedPageBreak/>
                      <w:t xml:space="preserve">Chateau, J. and E. Mavroeidi (2020), </w:t>
                    </w:r>
                    <w:r>
                      <w:rPr>
                        <w:i/>
                        <w:iCs/>
                        <w:noProof/>
                      </w:rPr>
                      <w:t>The jobs potential of a transition towards a resource efficient and circular economy</w:t>
                    </w:r>
                    <w:r>
                      <w:rPr>
                        <w:noProof/>
                      </w:rPr>
                      <w:t>.</w:t>
                    </w:r>
                  </w:p>
                </w:tc>
                <w:tc>
                  <w:tcPr>
                    <w:tcW w:w="600" w:type="dxa"/>
                    <w:noWrap/>
                    <w:hideMark/>
                  </w:tcPr>
                  <w:p w14:paraId="6901D6D5" w14:textId="77777777" w:rsidR="0020320D" w:rsidRDefault="0020320D">
                    <w:pPr>
                      <w:spacing w:before="100" w:beforeAutospacing="1" w:after="100" w:afterAutospacing="1"/>
                      <w:jc w:val="right"/>
                      <w:rPr>
                        <w:noProof/>
                      </w:rPr>
                    </w:pPr>
                    <w:r>
                      <w:rPr>
                        <w:noProof/>
                        <w:color w:val="000000"/>
                        <w:sz w:val="16"/>
                        <w:szCs w:val="16"/>
                      </w:rPr>
                      <w:t>[5]</w:t>
                    </w:r>
                  </w:p>
                </w:tc>
              </w:tr>
              <w:tr w:rsidR="0020320D" w14:paraId="60D38C99" w14:textId="77777777">
                <w:trPr>
                  <w:divId w:val="228658500"/>
                </w:trPr>
                <w:tc>
                  <w:tcPr>
                    <w:tcW w:w="0" w:type="auto"/>
                    <w:hideMark/>
                  </w:tcPr>
                  <w:p w14:paraId="1B80B96B" w14:textId="77777777" w:rsidR="0020320D" w:rsidRDefault="0020320D">
                    <w:pPr>
                      <w:pStyle w:val="Bibliography"/>
                      <w:rPr>
                        <w:noProof/>
                      </w:rPr>
                    </w:pPr>
                    <w:r>
                      <w:rPr>
                        <w:noProof/>
                      </w:rPr>
                      <w:t xml:space="preserve">de la Maisonneuve, C. and J. Oliveira Martins (2014), “The future of health and long-term care spending”, </w:t>
                    </w:r>
                    <w:r>
                      <w:rPr>
                        <w:i/>
                        <w:iCs/>
                        <w:noProof/>
                      </w:rPr>
                      <w:t>OECD Journal: Economic Studies</w:t>
                    </w:r>
                    <w:r>
                      <w:rPr>
                        <w:noProof/>
                      </w:rPr>
                      <w:t xml:space="preserve">, Vol. 2014/1, </w:t>
                    </w:r>
                    <w:r>
                      <w:rPr>
                        <w:noProof/>
                        <w:color w:val="0000FF"/>
                        <w:u w:val="single"/>
                      </w:rPr>
                      <w:t>http://dx.doi.org/10.1787/eco_studies-2014-5jz0v44s66nw</w:t>
                    </w:r>
                    <w:r>
                      <w:rPr>
                        <w:noProof/>
                      </w:rPr>
                      <w:t>.</w:t>
                    </w:r>
                  </w:p>
                </w:tc>
                <w:tc>
                  <w:tcPr>
                    <w:tcW w:w="600" w:type="dxa"/>
                    <w:noWrap/>
                    <w:hideMark/>
                  </w:tcPr>
                  <w:p w14:paraId="3455F638" w14:textId="77777777" w:rsidR="0020320D" w:rsidRDefault="0020320D">
                    <w:pPr>
                      <w:spacing w:before="100" w:beforeAutospacing="1" w:after="100" w:afterAutospacing="1"/>
                      <w:jc w:val="right"/>
                      <w:rPr>
                        <w:noProof/>
                      </w:rPr>
                    </w:pPr>
                    <w:r>
                      <w:rPr>
                        <w:noProof/>
                        <w:color w:val="000000"/>
                        <w:sz w:val="16"/>
                        <w:szCs w:val="16"/>
                      </w:rPr>
                      <w:t>[24]</w:t>
                    </w:r>
                  </w:p>
                </w:tc>
              </w:tr>
              <w:tr w:rsidR="0020320D" w14:paraId="4D0FD658" w14:textId="77777777">
                <w:trPr>
                  <w:divId w:val="228658500"/>
                </w:trPr>
                <w:tc>
                  <w:tcPr>
                    <w:tcW w:w="0" w:type="auto"/>
                    <w:hideMark/>
                  </w:tcPr>
                  <w:p w14:paraId="2EC5A3A6" w14:textId="77777777" w:rsidR="0020320D" w:rsidRDefault="0020320D">
                    <w:pPr>
                      <w:pStyle w:val="Bibliography"/>
                      <w:rPr>
                        <w:noProof/>
                      </w:rPr>
                    </w:pPr>
                    <w:r>
                      <w:rPr>
                        <w:noProof/>
                      </w:rPr>
                      <w:t>Dellink, R. (2020), “The Consequences of a more resource efficient and circular economy for international trade patterns: A modelling assessment”</w:t>
                    </w:r>
                    <w:r>
                      <w:rPr>
                        <w:i/>
                        <w:iCs/>
                        <w:noProof/>
                      </w:rPr>
                      <w:t>, OECD Environment Working Papers</w:t>
                    </w:r>
                    <w:r>
                      <w:rPr>
                        <w:noProof/>
                      </w:rPr>
                      <w:t xml:space="preserve">, No. 165, OECD Publishing, Paris, </w:t>
                    </w:r>
                    <w:r>
                      <w:rPr>
                        <w:noProof/>
                        <w:color w:val="0000FF"/>
                        <w:u w:val="single"/>
                      </w:rPr>
                      <w:t>https://doi.org/10.1787/fa01b672-en</w:t>
                    </w:r>
                    <w:r>
                      <w:rPr>
                        <w:noProof/>
                      </w:rPr>
                      <w:t>.</w:t>
                    </w:r>
                  </w:p>
                </w:tc>
                <w:tc>
                  <w:tcPr>
                    <w:tcW w:w="600" w:type="dxa"/>
                    <w:noWrap/>
                    <w:hideMark/>
                  </w:tcPr>
                  <w:p w14:paraId="6F23D784" w14:textId="77777777" w:rsidR="0020320D" w:rsidRDefault="0020320D">
                    <w:pPr>
                      <w:spacing w:before="100" w:beforeAutospacing="1" w:after="100" w:afterAutospacing="1"/>
                      <w:jc w:val="right"/>
                      <w:rPr>
                        <w:noProof/>
                      </w:rPr>
                    </w:pPr>
                    <w:r>
                      <w:rPr>
                        <w:noProof/>
                        <w:color w:val="000000"/>
                        <w:sz w:val="16"/>
                        <w:szCs w:val="16"/>
                      </w:rPr>
                      <w:t>[6]</w:t>
                    </w:r>
                  </w:p>
                </w:tc>
              </w:tr>
              <w:tr w:rsidR="0020320D" w14:paraId="26F258DC" w14:textId="77777777">
                <w:trPr>
                  <w:divId w:val="228658500"/>
                </w:trPr>
                <w:tc>
                  <w:tcPr>
                    <w:tcW w:w="0" w:type="auto"/>
                    <w:hideMark/>
                  </w:tcPr>
                  <w:p w14:paraId="739EBD51" w14:textId="77777777" w:rsidR="0020320D" w:rsidRDefault="0020320D">
                    <w:pPr>
                      <w:pStyle w:val="Bibliography"/>
                      <w:rPr>
                        <w:noProof/>
                      </w:rPr>
                    </w:pPr>
                    <w:r>
                      <w:rPr>
                        <w:noProof/>
                      </w:rPr>
                      <w:t xml:space="preserve">Dellink, R. et al. (2017), “Long-term economic growth projections in the Shared Socioeconomic Pathways”, </w:t>
                    </w:r>
                    <w:r>
                      <w:rPr>
                        <w:i/>
                        <w:iCs/>
                        <w:noProof/>
                      </w:rPr>
                      <w:t>Global Environmental Change</w:t>
                    </w:r>
                    <w:r>
                      <w:rPr>
                        <w:noProof/>
                      </w:rPr>
                      <w:t xml:space="preserve">, Vol. 42, pp. 200-214, </w:t>
                    </w:r>
                    <w:r>
                      <w:rPr>
                        <w:noProof/>
                        <w:color w:val="0000FF"/>
                        <w:u w:val="single"/>
                      </w:rPr>
                      <w:t>http://dx.doi.org/10.1016/j.gloenvcha.2015.06.004</w:t>
                    </w:r>
                    <w:r>
                      <w:rPr>
                        <w:noProof/>
                      </w:rPr>
                      <w:t>.</w:t>
                    </w:r>
                  </w:p>
                </w:tc>
                <w:tc>
                  <w:tcPr>
                    <w:tcW w:w="600" w:type="dxa"/>
                    <w:noWrap/>
                    <w:hideMark/>
                  </w:tcPr>
                  <w:p w14:paraId="2BD1B3FA" w14:textId="77777777" w:rsidR="0020320D" w:rsidRDefault="0020320D">
                    <w:pPr>
                      <w:spacing w:before="100" w:beforeAutospacing="1" w:after="100" w:afterAutospacing="1"/>
                      <w:jc w:val="right"/>
                      <w:rPr>
                        <w:noProof/>
                      </w:rPr>
                    </w:pPr>
                    <w:r>
                      <w:rPr>
                        <w:noProof/>
                        <w:color w:val="000000"/>
                        <w:sz w:val="16"/>
                        <w:szCs w:val="16"/>
                      </w:rPr>
                      <w:t>[13]</w:t>
                    </w:r>
                  </w:p>
                </w:tc>
              </w:tr>
              <w:tr w:rsidR="0020320D" w14:paraId="4E74FD25" w14:textId="77777777">
                <w:trPr>
                  <w:divId w:val="228658500"/>
                </w:trPr>
                <w:tc>
                  <w:tcPr>
                    <w:tcW w:w="0" w:type="auto"/>
                    <w:hideMark/>
                  </w:tcPr>
                  <w:p w14:paraId="3A47BDFF" w14:textId="77777777" w:rsidR="0020320D" w:rsidRDefault="0020320D">
                    <w:pPr>
                      <w:pStyle w:val="Bibliography"/>
                      <w:rPr>
                        <w:noProof/>
                      </w:rPr>
                    </w:pPr>
                    <w:r>
                      <w:rPr>
                        <w:noProof/>
                      </w:rPr>
                      <w:t>Eurostat (2018), “Population projections”,</w:t>
                    </w:r>
                    <w:r>
                      <w:rPr>
                        <w:i/>
                        <w:iCs/>
                        <w:noProof/>
                      </w:rPr>
                      <w:t xml:space="preserve"> Eurostat (online data code: tps00002)</w:t>
                    </w:r>
                    <w:r>
                      <w:rPr>
                        <w:noProof/>
                      </w:rPr>
                      <w:t xml:space="preserve">, </w:t>
                    </w:r>
                    <w:r>
                      <w:rPr>
                        <w:noProof/>
                        <w:color w:val="0000FF"/>
                        <w:u w:val="single"/>
                      </w:rPr>
                      <w:t>http://ec.europa.eu/eurostat/web/products-datasets/-/tps00002</w:t>
                    </w:r>
                    <w:r>
                      <w:rPr>
                        <w:noProof/>
                      </w:rPr>
                      <w:t xml:space="preserve"> (accessed on  July 2018).</w:t>
                    </w:r>
                  </w:p>
                </w:tc>
                <w:tc>
                  <w:tcPr>
                    <w:tcW w:w="600" w:type="dxa"/>
                    <w:noWrap/>
                    <w:hideMark/>
                  </w:tcPr>
                  <w:p w14:paraId="6D50C3D0" w14:textId="77777777" w:rsidR="0020320D" w:rsidRDefault="0020320D">
                    <w:pPr>
                      <w:spacing w:before="100" w:beforeAutospacing="1" w:after="100" w:afterAutospacing="1"/>
                      <w:jc w:val="right"/>
                      <w:rPr>
                        <w:noProof/>
                      </w:rPr>
                    </w:pPr>
                    <w:r>
                      <w:rPr>
                        <w:noProof/>
                        <w:color w:val="000000"/>
                        <w:sz w:val="16"/>
                        <w:szCs w:val="16"/>
                      </w:rPr>
                      <w:t>[23]</w:t>
                    </w:r>
                  </w:p>
                </w:tc>
              </w:tr>
              <w:tr w:rsidR="0020320D" w14:paraId="48CFEA5F" w14:textId="77777777">
                <w:trPr>
                  <w:divId w:val="228658500"/>
                </w:trPr>
                <w:tc>
                  <w:tcPr>
                    <w:tcW w:w="0" w:type="auto"/>
                    <w:hideMark/>
                  </w:tcPr>
                  <w:p w14:paraId="79205492" w14:textId="77777777" w:rsidR="0020320D" w:rsidRDefault="0020320D">
                    <w:pPr>
                      <w:pStyle w:val="Bibliography"/>
                      <w:rPr>
                        <w:noProof/>
                      </w:rPr>
                    </w:pPr>
                    <w:r>
                      <w:rPr>
                        <w:noProof/>
                      </w:rPr>
                      <w:t>Guillemette, Y. and D. Turner (2018), “The Long View: Scenarios for the World Economy to 2060”</w:t>
                    </w:r>
                    <w:r>
                      <w:rPr>
                        <w:i/>
                        <w:iCs/>
                        <w:noProof/>
                      </w:rPr>
                      <w:t>, OECD Economic Policy Papers</w:t>
                    </w:r>
                    <w:r>
                      <w:rPr>
                        <w:noProof/>
                      </w:rPr>
                      <w:t xml:space="preserve">, No. 22, OECD Publishing, Paris, </w:t>
                    </w:r>
                    <w:r>
                      <w:rPr>
                        <w:noProof/>
                        <w:color w:val="0000FF"/>
                        <w:u w:val="single"/>
                      </w:rPr>
                      <w:t>http://dx.doi.org/10.1787/b4f4e03e-en</w:t>
                    </w:r>
                    <w:r>
                      <w:rPr>
                        <w:noProof/>
                      </w:rPr>
                      <w:t>.</w:t>
                    </w:r>
                  </w:p>
                </w:tc>
                <w:tc>
                  <w:tcPr>
                    <w:tcW w:w="600" w:type="dxa"/>
                    <w:noWrap/>
                    <w:hideMark/>
                  </w:tcPr>
                  <w:p w14:paraId="685966F6" w14:textId="77777777" w:rsidR="0020320D" w:rsidRDefault="0020320D">
                    <w:pPr>
                      <w:spacing w:before="100" w:beforeAutospacing="1" w:after="100" w:afterAutospacing="1"/>
                      <w:jc w:val="right"/>
                      <w:rPr>
                        <w:noProof/>
                      </w:rPr>
                    </w:pPr>
                    <w:r>
                      <w:rPr>
                        <w:noProof/>
                        <w:color w:val="000000"/>
                        <w:sz w:val="16"/>
                        <w:szCs w:val="16"/>
                      </w:rPr>
                      <w:t>[14]</w:t>
                    </w:r>
                  </w:p>
                </w:tc>
              </w:tr>
              <w:tr w:rsidR="0020320D" w14:paraId="7ED7E247" w14:textId="77777777">
                <w:trPr>
                  <w:divId w:val="228658500"/>
                </w:trPr>
                <w:tc>
                  <w:tcPr>
                    <w:tcW w:w="0" w:type="auto"/>
                    <w:hideMark/>
                  </w:tcPr>
                  <w:p w14:paraId="6B5F13C7" w14:textId="77777777" w:rsidR="0020320D" w:rsidRDefault="0020320D">
                    <w:pPr>
                      <w:pStyle w:val="Bibliography"/>
                      <w:rPr>
                        <w:noProof/>
                      </w:rPr>
                    </w:pPr>
                    <w:r>
                      <w:rPr>
                        <w:noProof/>
                      </w:rPr>
                      <w:t xml:space="preserve">Hyman, R. et al. (2003), “Modeling non-CO2 Greenhouse Gas Abatement”, </w:t>
                    </w:r>
                    <w:r>
                      <w:rPr>
                        <w:i/>
                        <w:iCs/>
                        <w:noProof/>
                      </w:rPr>
                      <w:t>Environmental Modeling and Assessment</w:t>
                    </w:r>
                    <w:r>
                      <w:rPr>
                        <w:noProof/>
                      </w:rPr>
                      <w:t xml:space="preserve">, Vol. 8/3, pp. 175-186, </w:t>
                    </w:r>
                    <w:r>
                      <w:rPr>
                        <w:noProof/>
                        <w:color w:val="0000FF"/>
                        <w:u w:val="single"/>
                      </w:rPr>
                      <w:t>http://dx.doi.org/10.1023/A:1025576926029</w:t>
                    </w:r>
                    <w:r>
                      <w:rPr>
                        <w:noProof/>
                      </w:rPr>
                      <w:t>.</w:t>
                    </w:r>
                  </w:p>
                </w:tc>
                <w:tc>
                  <w:tcPr>
                    <w:tcW w:w="600" w:type="dxa"/>
                    <w:noWrap/>
                    <w:hideMark/>
                  </w:tcPr>
                  <w:p w14:paraId="3986AE42" w14:textId="77777777" w:rsidR="0020320D" w:rsidRDefault="0020320D">
                    <w:pPr>
                      <w:spacing w:before="100" w:beforeAutospacing="1" w:after="100" w:afterAutospacing="1"/>
                      <w:jc w:val="right"/>
                      <w:rPr>
                        <w:noProof/>
                      </w:rPr>
                    </w:pPr>
                    <w:r>
                      <w:rPr>
                        <w:noProof/>
                        <w:color w:val="000000"/>
                        <w:sz w:val="16"/>
                        <w:szCs w:val="16"/>
                      </w:rPr>
                      <w:t>[8]</w:t>
                    </w:r>
                  </w:p>
                </w:tc>
              </w:tr>
              <w:tr w:rsidR="0020320D" w14:paraId="4461F73C" w14:textId="77777777">
                <w:trPr>
                  <w:divId w:val="228658500"/>
                </w:trPr>
                <w:tc>
                  <w:tcPr>
                    <w:tcW w:w="0" w:type="auto"/>
                    <w:hideMark/>
                  </w:tcPr>
                  <w:p w14:paraId="3B10C8DC" w14:textId="77777777" w:rsidR="0020320D" w:rsidRDefault="0020320D">
                    <w:pPr>
                      <w:pStyle w:val="Bibliography"/>
                      <w:rPr>
                        <w:noProof/>
                      </w:rPr>
                    </w:pPr>
                    <w:r>
                      <w:rPr>
                        <w:noProof/>
                      </w:rPr>
                      <w:t xml:space="preserve">IEA (2020), </w:t>
                    </w:r>
                    <w:r>
                      <w:rPr>
                        <w:i/>
                        <w:iCs/>
                        <w:noProof/>
                      </w:rPr>
                      <w:t>World Energy Outlook 2020</w:t>
                    </w:r>
                    <w:r>
                      <w:rPr>
                        <w:noProof/>
                      </w:rPr>
                      <w:t xml:space="preserve">, OECD Publishing, Paris, </w:t>
                    </w:r>
                    <w:r>
                      <w:rPr>
                        <w:noProof/>
                        <w:color w:val="0000FF"/>
                        <w:u w:val="single"/>
                      </w:rPr>
                      <w:t>https://dx.doi.org/10.1787/557a761b-en</w:t>
                    </w:r>
                    <w:r>
                      <w:rPr>
                        <w:noProof/>
                      </w:rPr>
                      <w:t>.</w:t>
                    </w:r>
                  </w:p>
                </w:tc>
                <w:tc>
                  <w:tcPr>
                    <w:tcW w:w="600" w:type="dxa"/>
                    <w:noWrap/>
                    <w:hideMark/>
                  </w:tcPr>
                  <w:p w14:paraId="0DF67E8F" w14:textId="77777777" w:rsidR="0020320D" w:rsidRDefault="0020320D">
                    <w:pPr>
                      <w:spacing w:before="100" w:beforeAutospacing="1" w:after="100" w:afterAutospacing="1"/>
                      <w:jc w:val="right"/>
                      <w:rPr>
                        <w:noProof/>
                      </w:rPr>
                    </w:pPr>
                    <w:r>
                      <w:rPr>
                        <w:noProof/>
                        <w:color w:val="000000"/>
                        <w:sz w:val="16"/>
                        <w:szCs w:val="16"/>
                      </w:rPr>
                      <w:t>[19]</w:t>
                    </w:r>
                  </w:p>
                </w:tc>
              </w:tr>
              <w:tr w:rsidR="0020320D" w14:paraId="3BA10383" w14:textId="77777777">
                <w:trPr>
                  <w:divId w:val="228658500"/>
                </w:trPr>
                <w:tc>
                  <w:tcPr>
                    <w:tcW w:w="0" w:type="auto"/>
                    <w:hideMark/>
                  </w:tcPr>
                  <w:p w14:paraId="7D5696FA" w14:textId="77777777" w:rsidR="0020320D" w:rsidRDefault="0020320D">
                    <w:pPr>
                      <w:pStyle w:val="Bibliography"/>
                      <w:rPr>
                        <w:noProof/>
                      </w:rPr>
                    </w:pPr>
                    <w:r>
                      <w:rPr>
                        <w:noProof/>
                      </w:rPr>
                      <w:t xml:space="preserve">IEA (2017), </w:t>
                    </w:r>
                    <w:r>
                      <w:rPr>
                        <w:i/>
                        <w:iCs/>
                        <w:noProof/>
                      </w:rPr>
                      <w:t>World Energy Outlook 2017</w:t>
                    </w:r>
                    <w:r>
                      <w:rPr>
                        <w:noProof/>
                      </w:rPr>
                      <w:t xml:space="preserve">, OECD Publishing, Paris/IEA, Paris, </w:t>
                    </w:r>
                    <w:r>
                      <w:rPr>
                        <w:noProof/>
                        <w:color w:val="0000FF"/>
                        <w:u w:val="single"/>
                      </w:rPr>
                      <w:t>http://dx.doi.org/10.1787/weo-2017-en</w:t>
                    </w:r>
                    <w:r>
                      <w:rPr>
                        <w:noProof/>
                      </w:rPr>
                      <w:t>.</w:t>
                    </w:r>
                  </w:p>
                </w:tc>
                <w:tc>
                  <w:tcPr>
                    <w:tcW w:w="600" w:type="dxa"/>
                    <w:noWrap/>
                    <w:hideMark/>
                  </w:tcPr>
                  <w:p w14:paraId="7DEB0162" w14:textId="77777777" w:rsidR="0020320D" w:rsidRDefault="0020320D">
                    <w:pPr>
                      <w:spacing w:before="100" w:beforeAutospacing="1" w:after="100" w:afterAutospacing="1"/>
                      <w:jc w:val="right"/>
                      <w:rPr>
                        <w:noProof/>
                      </w:rPr>
                    </w:pPr>
                    <w:r>
                      <w:rPr>
                        <w:noProof/>
                        <w:color w:val="000000"/>
                        <w:sz w:val="16"/>
                        <w:szCs w:val="16"/>
                      </w:rPr>
                      <w:t>[15]</w:t>
                    </w:r>
                  </w:p>
                </w:tc>
              </w:tr>
              <w:tr w:rsidR="0020320D" w14:paraId="5D6CFC5F" w14:textId="77777777">
                <w:trPr>
                  <w:divId w:val="228658500"/>
                </w:trPr>
                <w:tc>
                  <w:tcPr>
                    <w:tcW w:w="0" w:type="auto"/>
                    <w:hideMark/>
                  </w:tcPr>
                  <w:p w14:paraId="2B109C9F" w14:textId="77777777" w:rsidR="0020320D" w:rsidRDefault="0020320D">
                    <w:pPr>
                      <w:pStyle w:val="Bibliography"/>
                      <w:rPr>
                        <w:noProof/>
                      </w:rPr>
                    </w:pPr>
                    <w:r>
                      <w:rPr>
                        <w:noProof/>
                      </w:rPr>
                      <w:t xml:space="preserve">IMF (2020), </w:t>
                    </w:r>
                    <w:r>
                      <w:rPr>
                        <w:i/>
                        <w:iCs/>
                        <w:noProof/>
                      </w:rPr>
                      <w:t>World Economic Outlook, October 2020: A Long and Difficult Ascent</w:t>
                    </w:r>
                    <w:r>
                      <w:rPr>
                        <w:noProof/>
                      </w:rPr>
                      <w:t xml:space="preserve">, International Monetary Fund, Washington, D.C., </w:t>
                    </w:r>
                    <w:r>
                      <w:rPr>
                        <w:noProof/>
                        <w:color w:val="0000FF"/>
                        <w:u w:val="single"/>
                      </w:rPr>
                      <w:t>https://www.imf.org/en/Publications/WEO/Issues/2020/09/30/world-economic-outlook-october-2020</w:t>
                    </w:r>
                    <w:r>
                      <w:rPr>
                        <w:noProof/>
                      </w:rPr>
                      <w:t xml:space="preserve"> (accessed on 22 January 2021).</w:t>
                    </w:r>
                  </w:p>
                </w:tc>
                <w:tc>
                  <w:tcPr>
                    <w:tcW w:w="600" w:type="dxa"/>
                    <w:noWrap/>
                    <w:hideMark/>
                  </w:tcPr>
                  <w:p w14:paraId="3755460C" w14:textId="77777777" w:rsidR="0020320D" w:rsidRDefault="0020320D">
                    <w:pPr>
                      <w:spacing w:before="100" w:beforeAutospacing="1" w:after="100" w:afterAutospacing="1"/>
                      <w:jc w:val="right"/>
                      <w:rPr>
                        <w:noProof/>
                      </w:rPr>
                    </w:pPr>
                    <w:r>
                      <w:rPr>
                        <w:noProof/>
                        <w:color w:val="000000"/>
                        <w:sz w:val="16"/>
                        <w:szCs w:val="16"/>
                      </w:rPr>
                      <w:t>[17]</w:t>
                    </w:r>
                  </w:p>
                </w:tc>
              </w:tr>
              <w:tr w:rsidR="0020320D" w14:paraId="5253D81E" w14:textId="77777777">
                <w:trPr>
                  <w:divId w:val="228658500"/>
                </w:trPr>
                <w:tc>
                  <w:tcPr>
                    <w:tcW w:w="0" w:type="auto"/>
                    <w:hideMark/>
                  </w:tcPr>
                  <w:p w14:paraId="391AA353" w14:textId="77777777" w:rsidR="0020320D" w:rsidRDefault="0020320D">
                    <w:pPr>
                      <w:pStyle w:val="Bibliography"/>
                      <w:rPr>
                        <w:noProof/>
                      </w:rPr>
                    </w:pPr>
                    <w:r>
                      <w:rPr>
                        <w:noProof/>
                      </w:rPr>
                      <w:t xml:space="preserve">OECD (2020), </w:t>
                    </w:r>
                    <w:r>
                      <w:rPr>
                        <w:i/>
                        <w:iCs/>
                        <w:noProof/>
                      </w:rPr>
                      <w:t>OECD Economic Outlook, Volume 2020 Issue 2</w:t>
                    </w:r>
                    <w:r>
                      <w:rPr>
                        <w:noProof/>
                      </w:rPr>
                      <w:t xml:space="preserve">, OECD Publishing, Paris, </w:t>
                    </w:r>
                    <w:r>
                      <w:rPr>
                        <w:noProof/>
                        <w:color w:val="0000FF"/>
                        <w:u w:val="single"/>
                      </w:rPr>
                      <w:t>https://dx.doi.org/10.1787/39a88ab1-en</w:t>
                    </w:r>
                    <w:r>
                      <w:rPr>
                        <w:noProof/>
                      </w:rPr>
                      <w:t>.</w:t>
                    </w:r>
                  </w:p>
                </w:tc>
                <w:tc>
                  <w:tcPr>
                    <w:tcW w:w="600" w:type="dxa"/>
                    <w:noWrap/>
                    <w:hideMark/>
                  </w:tcPr>
                  <w:p w14:paraId="4DF886AF" w14:textId="77777777" w:rsidR="0020320D" w:rsidRDefault="0020320D">
                    <w:pPr>
                      <w:spacing w:before="100" w:beforeAutospacing="1" w:after="100" w:afterAutospacing="1"/>
                      <w:jc w:val="right"/>
                      <w:rPr>
                        <w:noProof/>
                      </w:rPr>
                    </w:pPr>
                    <w:r>
                      <w:rPr>
                        <w:noProof/>
                        <w:color w:val="000000"/>
                        <w:sz w:val="16"/>
                        <w:szCs w:val="16"/>
                      </w:rPr>
                      <w:t>[16]</w:t>
                    </w:r>
                  </w:p>
                </w:tc>
              </w:tr>
              <w:tr w:rsidR="0020320D" w14:paraId="2A9BC01C" w14:textId="77777777">
                <w:trPr>
                  <w:divId w:val="228658500"/>
                </w:trPr>
                <w:tc>
                  <w:tcPr>
                    <w:tcW w:w="0" w:type="auto"/>
                    <w:hideMark/>
                  </w:tcPr>
                  <w:p w14:paraId="7596C9FE" w14:textId="77777777" w:rsidR="0020320D" w:rsidRDefault="0020320D">
                    <w:pPr>
                      <w:pStyle w:val="Bibliography"/>
                      <w:rPr>
                        <w:noProof/>
                      </w:rPr>
                    </w:pPr>
                    <w:r>
                      <w:rPr>
                        <w:noProof/>
                      </w:rPr>
                      <w:t xml:space="preserve">OECD (2020), </w:t>
                    </w:r>
                    <w:r>
                      <w:rPr>
                        <w:i/>
                        <w:iCs/>
                        <w:noProof/>
                      </w:rPr>
                      <w:t>Shocks, risks and global value chains: insights from the OECD METRO model</w:t>
                    </w:r>
                    <w:r>
                      <w:rPr>
                        <w:noProof/>
                      </w:rPr>
                      <w:t>.</w:t>
                    </w:r>
                  </w:p>
                </w:tc>
                <w:tc>
                  <w:tcPr>
                    <w:tcW w:w="600" w:type="dxa"/>
                    <w:noWrap/>
                    <w:hideMark/>
                  </w:tcPr>
                  <w:p w14:paraId="34CFFFF9" w14:textId="77777777" w:rsidR="0020320D" w:rsidRDefault="0020320D">
                    <w:pPr>
                      <w:spacing w:before="100" w:beforeAutospacing="1" w:after="100" w:afterAutospacing="1"/>
                      <w:jc w:val="right"/>
                      <w:rPr>
                        <w:noProof/>
                      </w:rPr>
                    </w:pPr>
                    <w:r>
                      <w:rPr>
                        <w:noProof/>
                        <w:color w:val="000000"/>
                        <w:sz w:val="16"/>
                        <w:szCs w:val="16"/>
                      </w:rPr>
                      <w:t>[21]</w:t>
                    </w:r>
                  </w:p>
                </w:tc>
              </w:tr>
              <w:tr w:rsidR="0020320D" w14:paraId="64C87A65" w14:textId="77777777">
                <w:trPr>
                  <w:divId w:val="228658500"/>
                </w:trPr>
                <w:tc>
                  <w:tcPr>
                    <w:tcW w:w="0" w:type="auto"/>
                    <w:hideMark/>
                  </w:tcPr>
                  <w:p w14:paraId="3425C50B" w14:textId="77777777" w:rsidR="0020320D" w:rsidRDefault="0020320D">
                    <w:pPr>
                      <w:pStyle w:val="Bibliography"/>
                      <w:rPr>
                        <w:noProof/>
                      </w:rPr>
                    </w:pPr>
                    <w:r>
                      <w:rPr>
                        <w:noProof/>
                      </w:rPr>
                      <w:t xml:space="preserve">OECD (2019), </w:t>
                    </w:r>
                    <w:r>
                      <w:rPr>
                        <w:i/>
                        <w:iCs/>
                        <w:noProof/>
                      </w:rPr>
                      <w:t>Global Material Resources Outlook to 2060: Economic Drivers and Environmental Consequences</w:t>
                    </w:r>
                    <w:r>
                      <w:rPr>
                        <w:noProof/>
                      </w:rPr>
                      <w:t xml:space="preserve">, OECD Publishing, Paris, </w:t>
                    </w:r>
                    <w:r>
                      <w:rPr>
                        <w:noProof/>
                        <w:color w:val="0000FF"/>
                        <w:u w:val="single"/>
                      </w:rPr>
                      <w:t>https://dx.doi.org/10.1787/9789264307452-en</w:t>
                    </w:r>
                    <w:r>
                      <w:rPr>
                        <w:noProof/>
                      </w:rPr>
                      <w:t>.</w:t>
                    </w:r>
                  </w:p>
                </w:tc>
                <w:tc>
                  <w:tcPr>
                    <w:tcW w:w="600" w:type="dxa"/>
                    <w:noWrap/>
                    <w:hideMark/>
                  </w:tcPr>
                  <w:p w14:paraId="28050CCA" w14:textId="77777777" w:rsidR="0020320D" w:rsidRDefault="0020320D">
                    <w:pPr>
                      <w:spacing w:before="100" w:beforeAutospacing="1" w:after="100" w:afterAutospacing="1"/>
                      <w:jc w:val="right"/>
                      <w:rPr>
                        <w:noProof/>
                      </w:rPr>
                    </w:pPr>
                    <w:r>
                      <w:rPr>
                        <w:noProof/>
                        <w:color w:val="000000"/>
                        <w:sz w:val="16"/>
                        <w:szCs w:val="16"/>
                      </w:rPr>
                      <w:t>[4]</w:t>
                    </w:r>
                  </w:p>
                </w:tc>
              </w:tr>
              <w:tr w:rsidR="0020320D" w14:paraId="060FB9A3" w14:textId="77777777">
                <w:trPr>
                  <w:divId w:val="228658500"/>
                </w:trPr>
                <w:tc>
                  <w:tcPr>
                    <w:tcW w:w="0" w:type="auto"/>
                    <w:hideMark/>
                  </w:tcPr>
                  <w:p w14:paraId="7A0C6CCC" w14:textId="77777777" w:rsidR="0020320D" w:rsidRDefault="0020320D">
                    <w:pPr>
                      <w:pStyle w:val="Bibliography"/>
                      <w:rPr>
                        <w:noProof/>
                      </w:rPr>
                    </w:pPr>
                    <w:r>
                      <w:rPr>
                        <w:noProof/>
                      </w:rPr>
                      <w:t xml:space="preserve">OECD (2017), </w:t>
                    </w:r>
                    <w:r>
                      <w:rPr>
                        <w:i/>
                        <w:iCs/>
                        <w:noProof/>
                      </w:rPr>
                      <w:t>The Land-Water-Energy Nexus: Biophysical and Economic Consequences</w:t>
                    </w:r>
                    <w:r>
                      <w:rPr>
                        <w:noProof/>
                      </w:rPr>
                      <w:t xml:space="preserve">, OECD Publishing, Paris, </w:t>
                    </w:r>
                    <w:r>
                      <w:rPr>
                        <w:noProof/>
                        <w:color w:val="0000FF"/>
                        <w:u w:val="single"/>
                      </w:rPr>
                      <w:t>https://dx.doi.org/10.1787/9789264279360-en</w:t>
                    </w:r>
                    <w:r>
                      <w:rPr>
                        <w:noProof/>
                      </w:rPr>
                      <w:t>.</w:t>
                    </w:r>
                  </w:p>
                </w:tc>
                <w:tc>
                  <w:tcPr>
                    <w:tcW w:w="600" w:type="dxa"/>
                    <w:noWrap/>
                    <w:hideMark/>
                  </w:tcPr>
                  <w:p w14:paraId="49B6D4D5" w14:textId="77777777" w:rsidR="0020320D" w:rsidRDefault="0020320D">
                    <w:pPr>
                      <w:spacing w:before="100" w:beforeAutospacing="1" w:after="100" w:afterAutospacing="1"/>
                      <w:jc w:val="right"/>
                      <w:rPr>
                        <w:noProof/>
                      </w:rPr>
                    </w:pPr>
                    <w:r>
                      <w:rPr>
                        <w:noProof/>
                        <w:color w:val="000000"/>
                        <w:sz w:val="16"/>
                        <w:szCs w:val="16"/>
                      </w:rPr>
                      <w:t>[11]</w:t>
                    </w:r>
                  </w:p>
                </w:tc>
              </w:tr>
              <w:tr w:rsidR="0020320D" w14:paraId="14D6BF85" w14:textId="77777777">
                <w:trPr>
                  <w:divId w:val="228658500"/>
                </w:trPr>
                <w:tc>
                  <w:tcPr>
                    <w:tcW w:w="0" w:type="auto"/>
                    <w:hideMark/>
                  </w:tcPr>
                  <w:p w14:paraId="245155EB" w14:textId="77777777" w:rsidR="0020320D" w:rsidRDefault="0020320D">
                    <w:pPr>
                      <w:pStyle w:val="Bibliography"/>
                      <w:rPr>
                        <w:noProof/>
                      </w:rPr>
                    </w:pPr>
                    <w:r>
                      <w:rPr>
                        <w:noProof/>
                      </w:rPr>
                      <w:t xml:space="preserve">OECD (2016), </w:t>
                    </w:r>
                    <w:r>
                      <w:rPr>
                        <w:i/>
                        <w:iCs/>
                        <w:noProof/>
                      </w:rPr>
                      <w:t>The Economic Consequences of Outdoor Air Pollution</w:t>
                    </w:r>
                    <w:r>
                      <w:rPr>
                        <w:noProof/>
                      </w:rPr>
                      <w:t xml:space="preserve">, OECD Publishing, Paris, </w:t>
                    </w:r>
                    <w:r>
                      <w:rPr>
                        <w:noProof/>
                        <w:color w:val="0000FF"/>
                        <w:u w:val="single"/>
                      </w:rPr>
                      <w:t>https://dx.doi.org/10.1787/9789264257474-en</w:t>
                    </w:r>
                    <w:r>
                      <w:rPr>
                        <w:noProof/>
                      </w:rPr>
                      <w:t>.</w:t>
                    </w:r>
                  </w:p>
                </w:tc>
                <w:tc>
                  <w:tcPr>
                    <w:tcW w:w="600" w:type="dxa"/>
                    <w:noWrap/>
                    <w:hideMark/>
                  </w:tcPr>
                  <w:p w14:paraId="5F59D895" w14:textId="77777777" w:rsidR="0020320D" w:rsidRDefault="0020320D">
                    <w:pPr>
                      <w:spacing w:before="100" w:beforeAutospacing="1" w:after="100" w:afterAutospacing="1"/>
                      <w:jc w:val="right"/>
                      <w:rPr>
                        <w:noProof/>
                      </w:rPr>
                    </w:pPr>
                    <w:r>
                      <w:rPr>
                        <w:noProof/>
                        <w:color w:val="000000"/>
                        <w:sz w:val="16"/>
                        <w:szCs w:val="16"/>
                      </w:rPr>
                      <w:t>[3]</w:t>
                    </w:r>
                  </w:p>
                </w:tc>
              </w:tr>
              <w:tr w:rsidR="0020320D" w14:paraId="40170E96" w14:textId="77777777">
                <w:trPr>
                  <w:divId w:val="228658500"/>
                </w:trPr>
                <w:tc>
                  <w:tcPr>
                    <w:tcW w:w="0" w:type="auto"/>
                    <w:hideMark/>
                  </w:tcPr>
                  <w:p w14:paraId="0D7E20AB" w14:textId="77777777" w:rsidR="0020320D" w:rsidRDefault="0020320D">
                    <w:pPr>
                      <w:pStyle w:val="Bibliography"/>
                      <w:rPr>
                        <w:noProof/>
                      </w:rPr>
                    </w:pPr>
                    <w:r>
                      <w:rPr>
                        <w:noProof/>
                      </w:rPr>
                      <w:t xml:space="preserve">OECD (2015), </w:t>
                    </w:r>
                    <w:r>
                      <w:rPr>
                        <w:i/>
                        <w:iCs/>
                        <w:noProof/>
                      </w:rPr>
                      <w:t>The Economic Consequences of Climate Change</w:t>
                    </w:r>
                    <w:r>
                      <w:rPr>
                        <w:noProof/>
                      </w:rPr>
                      <w:t xml:space="preserve">, OECD Publishing, Paris, </w:t>
                    </w:r>
                    <w:r>
                      <w:rPr>
                        <w:noProof/>
                        <w:color w:val="0000FF"/>
                        <w:u w:val="single"/>
                      </w:rPr>
                      <w:t>https://dx.doi.org/10.1787/9789264235410-en</w:t>
                    </w:r>
                    <w:r>
                      <w:rPr>
                        <w:noProof/>
                      </w:rPr>
                      <w:t>.</w:t>
                    </w:r>
                  </w:p>
                </w:tc>
                <w:tc>
                  <w:tcPr>
                    <w:tcW w:w="600" w:type="dxa"/>
                    <w:noWrap/>
                    <w:hideMark/>
                  </w:tcPr>
                  <w:p w14:paraId="3AB8014F" w14:textId="77777777" w:rsidR="0020320D" w:rsidRDefault="0020320D">
                    <w:pPr>
                      <w:spacing w:before="100" w:beforeAutospacing="1" w:after="100" w:afterAutospacing="1"/>
                      <w:jc w:val="right"/>
                      <w:rPr>
                        <w:noProof/>
                      </w:rPr>
                    </w:pPr>
                    <w:r>
                      <w:rPr>
                        <w:noProof/>
                        <w:color w:val="000000"/>
                        <w:sz w:val="16"/>
                        <w:szCs w:val="16"/>
                      </w:rPr>
                      <w:t>[2]</w:t>
                    </w:r>
                  </w:p>
                </w:tc>
              </w:tr>
              <w:tr w:rsidR="0020320D" w14:paraId="681EB222" w14:textId="77777777">
                <w:trPr>
                  <w:divId w:val="228658500"/>
                </w:trPr>
                <w:tc>
                  <w:tcPr>
                    <w:tcW w:w="0" w:type="auto"/>
                    <w:hideMark/>
                  </w:tcPr>
                  <w:p w14:paraId="4F9776FE" w14:textId="77777777" w:rsidR="0020320D" w:rsidRDefault="0020320D">
                    <w:pPr>
                      <w:pStyle w:val="Bibliography"/>
                      <w:rPr>
                        <w:noProof/>
                      </w:rPr>
                    </w:pPr>
                    <w:r>
                      <w:rPr>
                        <w:noProof/>
                      </w:rPr>
                      <w:lastRenderedPageBreak/>
                      <w:t>OECD (2021; forthcoming), “Building resilience in global supply chains for all”</w:t>
                    </w:r>
                    <w:r>
                      <w:rPr>
                        <w:i/>
                        <w:iCs/>
                        <w:noProof/>
                      </w:rPr>
                      <w:t>, OECD Trade and Agriculture Directorate Working Papers</w:t>
                    </w:r>
                    <w:r>
                      <w:rPr>
                        <w:noProof/>
                      </w:rPr>
                      <w:t>, OECD Publishing, Paris.</w:t>
                    </w:r>
                  </w:p>
                </w:tc>
                <w:tc>
                  <w:tcPr>
                    <w:tcW w:w="600" w:type="dxa"/>
                    <w:noWrap/>
                    <w:hideMark/>
                  </w:tcPr>
                  <w:p w14:paraId="00BCDAB3" w14:textId="77777777" w:rsidR="0020320D" w:rsidRDefault="0020320D">
                    <w:pPr>
                      <w:spacing w:before="100" w:beforeAutospacing="1" w:after="100" w:afterAutospacing="1"/>
                      <w:jc w:val="right"/>
                      <w:rPr>
                        <w:noProof/>
                      </w:rPr>
                    </w:pPr>
                    <w:r>
                      <w:rPr>
                        <w:noProof/>
                        <w:color w:val="000000"/>
                        <w:sz w:val="16"/>
                        <w:szCs w:val="16"/>
                      </w:rPr>
                      <w:t>[20]</w:t>
                    </w:r>
                  </w:p>
                </w:tc>
              </w:tr>
              <w:tr w:rsidR="0020320D" w14:paraId="669FC92C" w14:textId="77777777">
                <w:trPr>
                  <w:divId w:val="228658500"/>
                </w:trPr>
                <w:tc>
                  <w:tcPr>
                    <w:tcW w:w="0" w:type="auto"/>
                    <w:hideMark/>
                  </w:tcPr>
                  <w:p w14:paraId="7CA4A987" w14:textId="77777777" w:rsidR="0020320D" w:rsidRDefault="0020320D">
                    <w:pPr>
                      <w:pStyle w:val="Bibliography"/>
                      <w:rPr>
                        <w:noProof/>
                      </w:rPr>
                    </w:pPr>
                    <w:r>
                      <w:rPr>
                        <w:noProof/>
                      </w:rPr>
                      <w:t xml:space="preserve">OECD (2020, forthcoming), </w:t>
                    </w:r>
                    <w:r>
                      <w:rPr>
                        <w:i/>
                        <w:iCs/>
                        <w:noProof/>
                      </w:rPr>
                      <w:t>Policy scenarios for a transition to more resource efficient and circular economy</w:t>
                    </w:r>
                    <w:r>
                      <w:rPr>
                        <w:noProof/>
                      </w:rPr>
                      <w:t>, ENV/EPOC/WPIEEP(2019)11, OECD Publishing, Paris.</w:t>
                    </w:r>
                  </w:p>
                </w:tc>
                <w:tc>
                  <w:tcPr>
                    <w:tcW w:w="600" w:type="dxa"/>
                    <w:noWrap/>
                    <w:hideMark/>
                  </w:tcPr>
                  <w:p w14:paraId="540889EA" w14:textId="77777777" w:rsidR="0020320D" w:rsidRDefault="0020320D">
                    <w:pPr>
                      <w:spacing w:before="100" w:beforeAutospacing="1" w:after="100" w:afterAutospacing="1"/>
                      <w:jc w:val="right"/>
                      <w:rPr>
                        <w:noProof/>
                      </w:rPr>
                    </w:pPr>
                    <w:r>
                      <w:rPr>
                        <w:noProof/>
                        <w:color w:val="000000"/>
                        <w:sz w:val="16"/>
                        <w:szCs w:val="16"/>
                      </w:rPr>
                      <w:t>[26]</w:t>
                    </w:r>
                  </w:p>
                </w:tc>
              </w:tr>
              <w:tr w:rsidR="0020320D" w14:paraId="0F4A1760" w14:textId="77777777">
                <w:trPr>
                  <w:divId w:val="228658500"/>
                </w:trPr>
                <w:tc>
                  <w:tcPr>
                    <w:tcW w:w="0" w:type="auto"/>
                    <w:hideMark/>
                  </w:tcPr>
                  <w:p w14:paraId="1AF57DCB" w14:textId="77777777" w:rsidR="0020320D" w:rsidRDefault="0020320D">
                    <w:pPr>
                      <w:pStyle w:val="Bibliography"/>
                      <w:rPr>
                        <w:noProof/>
                      </w:rPr>
                    </w:pPr>
                    <w:r>
                      <w:rPr>
                        <w:noProof/>
                      </w:rPr>
                      <w:t xml:space="preserve">OECD (2021; forthcoming), </w:t>
                    </w:r>
                    <w:r>
                      <w:rPr>
                        <w:i/>
                        <w:iCs/>
                        <w:noProof/>
                      </w:rPr>
                      <w:t>The long-term implications of the Covid-19 pandemic and recovery measures on environmental pressure: a quantitative exploration</w:t>
                    </w:r>
                    <w:r>
                      <w:rPr>
                        <w:noProof/>
                      </w:rPr>
                      <w:t>.</w:t>
                    </w:r>
                  </w:p>
                </w:tc>
                <w:tc>
                  <w:tcPr>
                    <w:tcW w:w="600" w:type="dxa"/>
                    <w:noWrap/>
                    <w:hideMark/>
                  </w:tcPr>
                  <w:p w14:paraId="56E7A24C" w14:textId="77777777" w:rsidR="0020320D" w:rsidRDefault="0020320D">
                    <w:pPr>
                      <w:spacing w:before="100" w:beforeAutospacing="1" w:after="100" w:afterAutospacing="1"/>
                      <w:jc w:val="right"/>
                      <w:rPr>
                        <w:noProof/>
                      </w:rPr>
                    </w:pPr>
                    <w:r>
                      <w:rPr>
                        <w:noProof/>
                        <w:color w:val="000000"/>
                        <w:sz w:val="16"/>
                        <w:szCs w:val="16"/>
                      </w:rPr>
                      <w:t>[27]</w:t>
                    </w:r>
                  </w:p>
                </w:tc>
              </w:tr>
              <w:tr w:rsidR="0020320D" w14:paraId="396E38A5" w14:textId="77777777">
                <w:trPr>
                  <w:divId w:val="228658500"/>
                </w:trPr>
                <w:tc>
                  <w:tcPr>
                    <w:tcW w:w="0" w:type="auto"/>
                    <w:hideMark/>
                  </w:tcPr>
                  <w:p w14:paraId="286F8895" w14:textId="77777777" w:rsidR="0020320D" w:rsidRDefault="0020320D">
                    <w:pPr>
                      <w:pStyle w:val="Bibliography"/>
                      <w:rPr>
                        <w:noProof/>
                      </w:rPr>
                    </w:pPr>
                    <w:r>
                      <w:rPr>
                        <w:noProof/>
                      </w:rPr>
                      <w:t xml:space="preserve">Pilat, D. and A. Nolan (2016), “Benefiting from the next production revolution”, in Love, P. (ed.), </w:t>
                    </w:r>
                    <w:r>
                      <w:rPr>
                        <w:i/>
                        <w:iCs/>
                        <w:noProof/>
                      </w:rPr>
                      <w:t>Debate the Issues: New Approaches to Economic Challenges</w:t>
                    </w:r>
                    <w:r>
                      <w:rPr>
                        <w:noProof/>
                      </w:rPr>
                      <w:t xml:space="preserve">, OECD Publishing, Paris, </w:t>
                    </w:r>
                    <w:r>
                      <w:rPr>
                        <w:noProof/>
                        <w:color w:val="0000FF"/>
                        <w:u w:val="single"/>
                      </w:rPr>
                      <w:t>http://dx.doi.org/10.1787/9789264264687-22-en</w:t>
                    </w:r>
                    <w:r>
                      <w:rPr>
                        <w:noProof/>
                      </w:rPr>
                      <w:t>.</w:t>
                    </w:r>
                  </w:p>
                </w:tc>
                <w:tc>
                  <w:tcPr>
                    <w:tcW w:w="600" w:type="dxa"/>
                    <w:noWrap/>
                    <w:hideMark/>
                  </w:tcPr>
                  <w:p w14:paraId="59D77346" w14:textId="77777777" w:rsidR="0020320D" w:rsidRDefault="0020320D">
                    <w:pPr>
                      <w:spacing w:before="100" w:beforeAutospacing="1" w:after="100" w:afterAutospacing="1"/>
                      <w:jc w:val="right"/>
                      <w:rPr>
                        <w:noProof/>
                      </w:rPr>
                    </w:pPr>
                    <w:r>
                      <w:rPr>
                        <w:noProof/>
                        <w:color w:val="000000"/>
                        <w:sz w:val="16"/>
                        <w:szCs w:val="16"/>
                      </w:rPr>
                      <w:t>[25]</w:t>
                    </w:r>
                  </w:p>
                </w:tc>
              </w:tr>
              <w:tr w:rsidR="0020320D" w14:paraId="34C70253" w14:textId="77777777">
                <w:trPr>
                  <w:divId w:val="228658500"/>
                </w:trPr>
                <w:tc>
                  <w:tcPr>
                    <w:tcW w:w="0" w:type="auto"/>
                    <w:hideMark/>
                  </w:tcPr>
                  <w:p w14:paraId="547FE137" w14:textId="77777777" w:rsidR="0020320D" w:rsidRDefault="0020320D">
                    <w:pPr>
                      <w:pStyle w:val="Bibliography"/>
                      <w:rPr>
                        <w:noProof/>
                      </w:rPr>
                    </w:pPr>
                    <w:r>
                      <w:rPr>
                        <w:noProof/>
                      </w:rPr>
                      <w:t>Robinson, S. et al. (2015), “The International Model for Policy Analysis of Agricultural Commodities and Trade (IMPACT): Model description for version 3”</w:t>
                    </w:r>
                    <w:r>
                      <w:rPr>
                        <w:i/>
                        <w:iCs/>
                        <w:noProof/>
                      </w:rPr>
                      <w:t>, Discussion Paper</w:t>
                    </w:r>
                    <w:r>
                      <w:rPr>
                        <w:noProof/>
                      </w:rPr>
                      <w:t xml:space="preserve">, No. 01483, IFPRI, Wshington D.C., </w:t>
                    </w:r>
                    <w:r>
                      <w:rPr>
                        <w:noProof/>
                        <w:color w:val="0000FF"/>
                        <w:u w:val="single"/>
                      </w:rPr>
                      <w:t>http://ebrary.ifpri.org/cdm/ref/collection/p15738coll2/id/129825</w:t>
                    </w:r>
                    <w:r>
                      <w:rPr>
                        <w:noProof/>
                      </w:rPr>
                      <w:t xml:space="preserve"> (accessed on 15 January 2018).</w:t>
                    </w:r>
                  </w:p>
                </w:tc>
                <w:tc>
                  <w:tcPr>
                    <w:tcW w:w="600" w:type="dxa"/>
                    <w:noWrap/>
                    <w:hideMark/>
                  </w:tcPr>
                  <w:p w14:paraId="48EFDB90" w14:textId="77777777" w:rsidR="0020320D" w:rsidRDefault="0020320D">
                    <w:pPr>
                      <w:spacing w:before="100" w:beforeAutospacing="1" w:after="100" w:afterAutospacing="1"/>
                      <w:jc w:val="right"/>
                      <w:rPr>
                        <w:noProof/>
                      </w:rPr>
                    </w:pPr>
                    <w:r>
                      <w:rPr>
                        <w:noProof/>
                        <w:color w:val="000000"/>
                        <w:sz w:val="16"/>
                        <w:szCs w:val="16"/>
                      </w:rPr>
                      <w:t>[12]</w:t>
                    </w:r>
                  </w:p>
                </w:tc>
              </w:tr>
              <w:tr w:rsidR="0020320D" w14:paraId="328D435B" w14:textId="77777777">
                <w:trPr>
                  <w:divId w:val="228658500"/>
                </w:trPr>
                <w:tc>
                  <w:tcPr>
                    <w:tcW w:w="0" w:type="auto"/>
                    <w:hideMark/>
                  </w:tcPr>
                  <w:p w14:paraId="51B0E9EA" w14:textId="77777777" w:rsidR="0020320D" w:rsidRDefault="0020320D">
                    <w:pPr>
                      <w:pStyle w:val="Bibliography"/>
                      <w:rPr>
                        <w:noProof/>
                      </w:rPr>
                    </w:pPr>
                    <w:r>
                      <w:rPr>
                        <w:noProof/>
                      </w:rPr>
                      <w:t xml:space="preserve">UN (2017), “World Population Prospects: key findings and advance tables”, </w:t>
                    </w:r>
                    <w:r>
                      <w:rPr>
                        <w:noProof/>
                        <w:color w:val="0000FF"/>
                        <w:u w:val="single"/>
                      </w:rPr>
                      <w:t>https://esa.un.org/unpd/wpp/publications/Files/WPP2017_KeyFindings.pdf</w:t>
                    </w:r>
                    <w:r>
                      <w:rPr>
                        <w:noProof/>
                      </w:rPr>
                      <w:t xml:space="preserve"> (accessed on 18 May 2018).</w:t>
                    </w:r>
                  </w:p>
                </w:tc>
                <w:tc>
                  <w:tcPr>
                    <w:tcW w:w="600" w:type="dxa"/>
                    <w:noWrap/>
                    <w:hideMark/>
                  </w:tcPr>
                  <w:p w14:paraId="0B0AA5F4" w14:textId="77777777" w:rsidR="0020320D" w:rsidRDefault="0020320D">
                    <w:pPr>
                      <w:spacing w:before="100" w:beforeAutospacing="1" w:after="100" w:afterAutospacing="1"/>
                      <w:jc w:val="right"/>
                      <w:rPr>
                        <w:noProof/>
                      </w:rPr>
                    </w:pPr>
                    <w:r>
                      <w:rPr>
                        <w:noProof/>
                        <w:color w:val="000000"/>
                        <w:sz w:val="16"/>
                        <w:szCs w:val="16"/>
                      </w:rPr>
                      <w:t>[22]</w:t>
                    </w:r>
                  </w:p>
                </w:tc>
              </w:tr>
              <w:tr w:rsidR="0020320D" w14:paraId="46CC3BC9" w14:textId="77777777">
                <w:trPr>
                  <w:divId w:val="228658500"/>
                </w:trPr>
                <w:tc>
                  <w:tcPr>
                    <w:tcW w:w="0" w:type="auto"/>
                    <w:hideMark/>
                  </w:tcPr>
                  <w:p w14:paraId="705DB8FF" w14:textId="77777777" w:rsidR="0020320D" w:rsidRDefault="0020320D">
                    <w:pPr>
                      <w:pStyle w:val="Bibliography"/>
                      <w:rPr>
                        <w:noProof/>
                      </w:rPr>
                    </w:pPr>
                    <w:r>
                      <w:rPr>
                        <w:noProof/>
                      </w:rPr>
                      <w:t xml:space="preserve">Wagner, F., M. Amann and W. Schoepp (2007), </w:t>
                    </w:r>
                    <w:r>
                      <w:rPr>
                        <w:i/>
                        <w:iCs/>
                        <w:noProof/>
                      </w:rPr>
                      <w:t>The GAINS Optimization Module as of 1 February 2007</w:t>
                    </w:r>
                    <w:r>
                      <w:rPr>
                        <w:noProof/>
                      </w:rPr>
                      <w:t xml:space="preserve">, IIASA, </w:t>
                    </w:r>
                    <w:r>
                      <w:rPr>
                        <w:noProof/>
                        <w:color w:val="0000FF"/>
                        <w:u w:val="single"/>
                      </w:rPr>
                      <w:t>http://pure.iiasa.ac.at/8451/1/IR-07-004.pdf</w:t>
                    </w:r>
                    <w:r>
                      <w:rPr>
                        <w:noProof/>
                      </w:rPr>
                      <w:t xml:space="preserve"> (accessed on 10 January 2018).</w:t>
                    </w:r>
                  </w:p>
                </w:tc>
                <w:tc>
                  <w:tcPr>
                    <w:tcW w:w="600" w:type="dxa"/>
                    <w:noWrap/>
                    <w:hideMark/>
                  </w:tcPr>
                  <w:p w14:paraId="568EFEA7" w14:textId="77777777" w:rsidR="0020320D" w:rsidRDefault="0020320D">
                    <w:pPr>
                      <w:spacing w:before="100" w:beforeAutospacing="1" w:after="100" w:afterAutospacing="1"/>
                      <w:jc w:val="right"/>
                      <w:rPr>
                        <w:noProof/>
                      </w:rPr>
                    </w:pPr>
                    <w:r>
                      <w:rPr>
                        <w:noProof/>
                        <w:color w:val="000000"/>
                        <w:sz w:val="16"/>
                        <w:szCs w:val="16"/>
                      </w:rPr>
                      <w:t>[10]</w:t>
                    </w:r>
                  </w:p>
                </w:tc>
              </w:tr>
            </w:tbl>
            <w:p w14:paraId="241E762C" w14:textId="77777777" w:rsidR="0020320D" w:rsidRDefault="0020320D">
              <w:pPr>
                <w:divId w:val="228658500"/>
                <w:rPr>
                  <w:rFonts w:eastAsia="Times New Roman"/>
                  <w:noProof/>
                </w:rPr>
              </w:pPr>
            </w:p>
            <w:p w14:paraId="558EE258" w14:textId="6CEFAB6F" w:rsidR="003C5A74" w:rsidRDefault="003C5A74">
              <w:r>
                <w:rPr>
                  <w:b/>
                  <w:bCs/>
                  <w:noProof/>
                </w:rPr>
                <w:fldChar w:fldCharType="end"/>
              </w:r>
            </w:p>
          </w:sdtContent>
        </w:sdt>
      </w:sdtContent>
    </w:sdt>
    <w:p w14:paraId="078FB97F" w14:textId="77777777" w:rsidR="003C5A74" w:rsidRPr="003C5A74" w:rsidRDefault="003C5A74" w:rsidP="003C5A74">
      <w:pPr>
        <w:pStyle w:val="Para0"/>
      </w:pPr>
    </w:p>
    <w:p w14:paraId="5CED126B" w14:textId="77777777" w:rsidR="00B85666" w:rsidRDefault="00B85666">
      <w:pPr>
        <w:jc w:val="left"/>
        <w:rPr>
          <w:rFonts w:eastAsia="SimSun"/>
          <w:sz w:val="22"/>
        </w:rPr>
      </w:pPr>
      <w:r>
        <w:br w:type="page"/>
      </w:r>
    </w:p>
    <w:p w14:paraId="75C26A12" w14:textId="0C49A941" w:rsidR="004D5A20" w:rsidRDefault="004D5A20" w:rsidP="004D5A20">
      <w:pPr>
        <w:pStyle w:val="Heading7"/>
        <w:pageBreakBefore/>
        <w:numPr>
          <w:ilvl w:val="6"/>
          <w:numId w:val="25"/>
        </w:numPr>
        <w:ind w:firstLine="289"/>
      </w:pPr>
      <w:bookmarkStart w:id="33" w:name="_Toc37018450"/>
      <w:r>
        <w:lastRenderedPageBreak/>
        <w:t>Model sectors and regions</w:t>
      </w:r>
    </w:p>
    <w:p w14:paraId="6FFB6AE2" w14:textId="0D6CF2D4" w:rsidR="004D5A20" w:rsidRPr="000E0B11" w:rsidRDefault="004D5A20" w:rsidP="004D5A20">
      <w:pPr>
        <w:pStyle w:val="Caption"/>
      </w:pPr>
      <w:bookmarkStart w:id="34" w:name="_Ref520122005"/>
      <w:bookmarkStart w:id="35" w:name="_Toc507403732"/>
      <w:bookmarkStart w:id="36" w:name="_Toc507403838"/>
      <w:bookmarkStart w:id="37" w:name="_Toc507404706"/>
      <w:bookmarkStart w:id="38" w:name="_Toc507404901"/>
      <w:bookmarkStart w:id="39" w:name="_Toc513210010"/>
      <w:bookmarkStart w:id="40" w:name="_Toc513821508"/>
      <w:bookmarkStart w:id="41" w:name="_Toc514167318"/>
      <w:bookmarkStart w:id="42" w:name="_Toc514170076"/>
      <w:bookmarkStart w:id="43" w:name="_Toc514243858"/>
      <w:bookmarkStart w:id="44" w:name="_Toc514247384"/>
      <w:bookmarkStart w:id="45" w:name="_Toc514404935"/>
      <w:bookmarkStart w:id="46" w:name="_Toc518372687"/>
      <w:bookmarkStart w:id="47" w:name="_Toc518658028"/>
      <w:bookmarkStart w:id="48" w:name="_Ref520122002"/>
      <w:bookmarkStart w:id="49" w:name="_Toc520211556"/>
      <w:bookmarkStart w:id="50" w:name="_Toc520219609"/>
      <w:bookmarkStart w:id="51" w:name="_Toc520305594"/>
      <w:bookmarkStart w:id="52" w:name="_Toc520305713"/>
      <w:bookmarkStart w:id="53" w:name="_Toc520310519"/>
      <w:bookmarkStart w:id="54" w:name="_Toc520816971"/>
      <w:bookmarkStart w:id="55" w:name="_Toc520825229"/>
      <w:bookmarkStart w:id="56" w:name="_Toc520882565"/>
      <w:bookmarkStart w:id="57" w:name="_Toc520990712"/>
      <w:bookmarkStart w:id="58" w:name="_Toc522616876"/>
      <w:bookmarkStart w:id="59" w:name="_Toc522798919"/>
      <w:bookmarkStart w:id="60" w:name="_Toc525576255"/>
      <w:bookmarkStart w:id="61" w:name="_Toc525736115"/>
      <w:bookmarkStart w:id="62" w:name="_Toc532573965"/>
      <w:bookmarkStart w:id="63" w:name="_Toc37018454"/>
      <w:bookmarkStart w:id="64" w:name="_Ref503177062"/>
      <w:bookmarkStart w:id="65" w:name="_Toc503866743"/>
      <w:bookmarkStart w:id="66" w:name="_Toc504124763"/>
      <w:bookmarkStart w:id="67" w:name="_Toc504148258"/>
      <w:bookmarkStart w:id="68" w:name="_Toc505008301"/>
      <w:bookmarkStart w:id="69" w:name="_Toc505336913"/>
      <w:bookmarkStart w:id="70" w:name="_Toc505363270"/>
      <w:r>
        <w:t>Table </w:t>
      </w:r>
      <w:r w:rsidR="00331DD0">
        <w:fldChar w:fldCharType="begin"/>
      </w:r>
      <w:r w:rsidR="00331DD0">
        <w:instrText xml:space="preserve"> STYLEREF 7 \s </w:instrText>
      </w:r>
      <w:r w:rsidR="00331DD0">
        <w:fldChar w:fldCharType="separate"/>
      </w:r>
      <w:r w:rsidR="00222812">
        <w:rPr>
          <w:noProof/>
        </w:rPr>
        <w:t>A</w:t>
      </w:r>
      <w:r w:rsidR="00331DD0">
        <w:rPr>
          <w:noProof/>
        </w:rPr>
        <w:fldChar w:fldCharType="end"/>
      </w:r>
      <w:r>
        <w:t>.</w:t>
      </w:r>
      <w:r w:rsidR="00331DD0">
        <w:fldChar w:fldCharType="begin"/>
      </w:r>
      <w:r w:rsidR="00331DD0">
        <w:instrText xml:space="preserve"> SEQ Table_A \* ARABIC \s 7 </w:instrText>
      </w:r>
      <w:r w:rsidR="00331DD0">
        <w:fldChar w:fldCharType="separate"/>
      </w:r>
      <w:r w:rsidR="00222812">
        <w:rPr>
          <w:noProof/>
        </w:rPr>
        <w:t>1</w:t>
      </w:r>
      <w:r w:rsidR="00331DD0">
        <w:rPr>
          <w:noProof/>
        </w:rPr>
        <w:fldChar w:fldCharType="end"/>
      </w:r>
      <w:bookmarkEnd w:id="34"/>
      <w:r>
        <w:t xml:space="preserve">. </w:t>
      </w:r>
      <w:r w:rsidRPr="00475AFE">
        <w:t>Sectoral aggregation of ENV-Linkages</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tbl>
      <w:tblPr>
        <w:tblW w:w="0" w:type="auto"/>
        <w:tblInd w:w="-30" w:type="dxa"/>
        <w:tblLayout w:type="fixed"/>
        <w:tblLook w:val="0000" w:firstRow="0" w:lastRow="0" w:firstColumn="0" w:lastColumn="0" w:noHBand="0" w:noVBand="0"/>
      </w:tblPr>
      <w:tblGrid>
        <w:gridCol w:w="4409"/>
        <w:gridCol w:w="4410"/>
      </w:tblGrid>
      <w:tr w:rsidR="004D5A20" w:rsidRPr="004D5A20" w14:paraId="05A404A6" w14:textId="77777777" w:rsidTr="004D5A20">
        <w:trPr>
          <w:trHeight w:val="276"/>
        </w:trPr>
        <w:tc>
          <w:tcPr>
            <w:tcW w:w="4409" w:type="dxa"/>
            <w:tcBorders>
              <w:top w:val="single" w:sz="18" w:space="0" w:color="333399"/>
              <w:left w:val="nil"/>
              <w:bottom w:val="single" w:sz="12" w:space="0" w:color="000000"/>
              <w:right w:val="nil"/>
            </w:tcBorders>
            <w:shd w:val="solid" w:color="003366" w:fill="auto"/>
          </w:tcPr>
          <w:p w14:paraId="057AA191" w14:textId="77777777" w:rsidR="004D5A20" w:rsidRPr="004D5A20" w:rsidRDefault="004D5A20" w:rsidP="004D5A20">
            <w:pPr>
              <w:autoSpaceDE w:val="0"/>
              <w:autoSpaceDN w:val="0"/>
              <w:adjustRightInd w:val="0"/>
              <w:jc w:val="left"/>
              <w:rPr>
                <w:rFonts w:ascii="Arial Narrow" w:hAnsi="Arial Narrow" w:cs="Arial Narrow"/>
                <w:b/>
                <w:bCs/>
                <w:color w:val="FFFFFF"/>
                <w:sz w:val="17"/>
                <w:szCs w:val="17"/>
              </w:rPr>
            </w:pPr>
            <w:bookmarkStart w:id="71" w:name="_Ref6404545"/>
            <w:bookmarkStart w:id="72" w:name="_Toc520211546"/>
            <w:bookmarkStart w:id="73" w:name="_Toc520219614"/>
            <w:bookmarkStart w:id="74" w:name="_Toc520816976"/>
            <w:bookmarkStart w:id="75" w:name="_Toc520825234"/>
            <w:bookmarkStart w:id="76" w:name="_Toc520882554"/>
            <w:bookmarkStart w:id="77" w:name="_Toc520990717"/>
            <w:bookmarkStart w:id="78" w:name="_Toc522616881"/>
            <w:bookmarkStart w:id="79" w:name="_Toc522798908"/>
            <w:bookmarkStart w:id="80" w:name="_Toc525576259"/>
            <w:bookmarkStart w:id="81" w:name="_Toc525736103"/>
            <w:bookmarkStart w:id="82" w:name="_Toc532573952"/>
            <w:bookmarkStart w:id="83" w:name="_Ref6491212"/>
            <w:bookmarkStart w:id="84" w:name="_Toc37018455"/>
            <w:bookmarkEnd w:id="64"/>
            <w:bookmarkEnd w:id="65"/>
            <w:bookmarkEnd w:id="66"/>
            <w:bookmarkEnd w:id="67"/>
            <w:bookmarkEnd w:id="68"/>
            <w:bookmarkEnd w:id="69"/>
            <w:bookmarkEnd w:id="70"/>
            <w:r w:rsidRPr="004D5A20">
              <w:rPr>
                <w:rFonts w:ascii="Arial Narrow" w:hAnsi="Arial Narrow" w:cs="Arial Narrow"/>
                <w:b/>
                <w:bCs/>
                <w:color w:val="FFFFFF"/>
                <w:sz w:val="17"/>
                <w:szCs w:val="17"/>
              </w:rPr>
              <w:t>Agriculture, Fisheries and Forestry</w:t>
            </w:r>
          </w:p>
        </w:tc>
        <w:tc>
          <w:tcPr>
            <w:tcW w:w="4410" w:type="dxa"/>
            <w:tcBorders>
              <w:top w:val="single" w:sz="18" w:space="0" w:color="333399"/>
              <w:left w:val="nil"/>
              <w:bottom w:val="single" w:sz="12" w:space="0" w:color="000000"/>
              <w:right w:val="nil"/>
            </w:tcBorders>
            <w:shd w:val="solid" w:color="003366" w:fill="auto"/>
          </w:tcPr>
          <w:p w14:paraId="4C94DB0B" w14:textId="77777777" w:rsidR="004D5A20" w:rsidRPr="004D5A20" w:rsidRDefault="004D5A20" w:rsidP="004D5A20">
            <w:pPr>
              <w:autoSpaceDE w:val="0"/>
              <w:autoSpaceDN w:val="0"/>
              <w:adjustRightInd w:val="0"/>
              <w:jc w:val="left"/>
              <w:rPr>
                <w:rFonts w:ascii="Arial Narrow" w:hAnsi="Arial Narrow" w:cs="Arial Narrow"/>
                <w:b/>
                <w:bCs/>
                <w:color w:val="FFFFFF"/>
                <w:sz w:val="17"/>
                <w:szCs w:val="17"/>
              </w:rPr>
            </w:pPr>
            <w:r w:rsidRPr="004D5A20">
              <w:rPr>
                <w:rFonts w:ascii="Arial Narrow" w:hAnsi="Arial Narrow" w:cs="Arial Narrow"/>
                <w:b/>
                <w:bCs/>
                <w:color w:val="FFFFFF"/>
                <w:sz w:val="17"/>
                <w:szCs w:val="17"/>
              </w:rPr>
              <w:t>Manufacturing</w:t>
            </w:r>
          </w:p>
        </w:tc>
      </w:tr>
      <w:tr w:rsidR="004D5A20" w:rsidRPr="004D5A20" w14:paraId="1FD01A35" w14:textId="77777777" w:rsidTr="004D5A20">
        <w:trPr>
          <w:trHeight w:val="247"/>
        </w:trPr>
        <w:tc>
          <w:tcPr>
            <w:tcW w:w="4409" w:type="dxa"/>
            <w:tcBorders>
              <w:top w:val="nil"/>
              <w:left w:val="nil"/>
              <w:bottom w:val="nil"/>
              <w:right w:val="nil"/>
            </w:tcBorders>
          </w:tcPr>
          <w:p w14:paraId="00530B02" w14:textId="77777777" w:rsidR="004D5A20" w:rsidRPr="004D5A20" w:rsidRDefault="004D5A20" w:rsidP="004D5A20">
            <w:pPr>
              <w:autoSpaceDE w:val="0"/>
              <w:autoSpaceDN w:val="0"/>
              <w:adjustRightInd w:val="0"/>
              <w:jc w:val="left"/>
              <w:rPr>
                <w:rFonts w:ascii="Arial Narrow" w:hAnsi="Arial Narrow" w:cs="Arial Narrow"/>
                <w:color w:val="000000"/>
                <w:sz w:val="17"/>
                <w:szCs w:val="17"/>
              </w:rPr>
            </w:pPr>
            <w:r w:rsidRPr="004D5A20">
              <w:rPr>
                <w:rFonts w:ascii="Arial Narrow" w:hAnsi="Arial Narrow" w:cs="Arial Narrow"/>
                <w:color w:val="000000"/>
                <w:sz w:val="17"/>
                <w:szCs w:val="17"/>
              </w:rPr>
              <w:t>Paddy Rice</w:t>
            </w:r>
          </w:p>
        </w:tc>
        <w:tc>
          <w:tcPr>
            <w:tcW w:w="4410" w:type="dxa"/>
            <w:tcBorders>
              <w:top w:val="nil"/>
              <w:left w:val="nil"/>
              <w:bottom w:val="nil"/>
              <w:right w:val="nil"/>
            </w:tcBorders>
          </w:tcPr>
          <w:p w14:paraId="0CD9EFC5" w14:textId="77777777" w:rsidR="004D5A20" w:rsidRPr="004D5A20" w:rsidRDefault="004D5A20" w:rsidP="004D5A20">
            <w:pPr>
              <w:autoSpaceDE w:val="0"/>
              <w:autoSpaceDN w:val="0"/>
              <w:adjustRightInd w:val="0"/>
              <w:jc w:val="left"/>
              <w:rPr>
                <w:rFonts w:ascii="Arial Narrow" w:hAnsi="Arial Narrow" w:cs="Arial Narrow"/>
                <w:color w:val="000000"/>
                <w:sz w:val="17"/>
                <w:szCs w:val="17"/>
              </w:rPr>
            </w:pPr>
            <w:r w:rsidRPr="004D5A20">
              <w:rPr>
                <w:rFonts w:ascii="Arial Narrow" w:hAnsi="Arial Narrow" w:cs="Arial Narrow"/>
                <w:color w:val="000000"/>
                <w:sz w:val="17"/>
                <w:szCs w:val="17"/>
              </w:rPr>
              <w:t>Food Products</w:t>
            </w:r>
          </w:p>
        </w:tc>
      </w:tr>
      <w:tr w:rsidR="004D5A20" w:rsidRPr="004D5A20" w14:paraId="06153FE6" w14:textId="77777777" w:rsidTr="004D5A20">
        <w:trPr>
          <w:trHeight w:val="247"/>
        </w:trPr>
        <w:tc>
          <w:tcPr>
            <w:tcW w:w="4409" w:type="dxa"/>
            <w:tcBorders>
              <w:top w:val="nil"/>
              <w:left w:val="nil"/>
              <w:bottom w:val="nil"/>
              <w:right w:val="nil"/>
            </w:tcBorders>
          </w:tcPr>
          <w:p w14:paraId="0D8A299B" w14:textId="77777777" w:rsidR="004D5A20" w:rsidRPr="004D5A20" w:rsidRDefault="004D5A20" w:rsidP="004D5A20">
            <w:pPr>
              <w:autoSpaceDE w:val="0"/>
              <w:autoSpaceDN w:val="0"/>
              <w:adjustRightInd w:val="0"/>
              <w:jc w:val="left"/>
              <w:rPr>
                <w:rFonts w:ascii="Arial Narrow" w:hAnsi="Arial Narrow" w:cs="Arial Narrow"/>
                <w:color w:val="000000"/>
                <w:sz w:val="17"/>
                <w:szCs w:val="17"/>
              </w:rPr>
            </w:pPr>
            <w:r w:rsidRPr="004D5A20">
              <w:rPr>
                <w:rFonts w:ascii="Arial Narrow" w:hAnsi="Arial Narrow" w:cs="Arial Narrow"/>
                <w:color w:val="000000"/>
                <w:sz w:val="17"/>
                <w:szCs w:val="17"/>
              </w:rPr>
              <w:t>Wheat and Meslin</w:t>
            </w:r>
          </w:p>
        </w:tc>
        <w:tc>
          <w:tcPr>
            <w:tcW w:w="4410" w:type="dxa"/>
            <w:tcBorders>
              <w:top w:val="nil"/>
              <w:left w:val="nil"/>
              <w:bottom w:val="nil"/>
              <w:right w:val="nil"/>
            </w:tcBorders>
          </w:tcPr>
          <w:p w14:paraId="086AD90B" w14:textId="77777777" w:rsidR="004D5A20" w:rsidRPr="004D5A20" w:rsidRDefault="004D5A20" w:rsidP="004D5A20">
            <w:pPr>
              <w:autoSpaceDE w:val="0"/>
              <w:autoSpaceDN w:val="0"/>
              <w:adjustRightInd w:val="0"/>
              <w:jc w:val="left"/>
              <w:rPr>
                <w:rFonts w:ascii="Arial Narrow" w:hAnsi="Arial Narrow" w:cs="Arial Narrow"/>
                <w:color w:val="000000"/>
                <w:sz w:val="17"/>
                <w:szCs w:val="17"/>
              </w:rPr>
            </w:pPr>
            <w:r w:rsidRPr="004D5A20">
              <w:rPr>
                <w:rFonts w:ascii="Arial Narrow" w:hAnsi="Arial Narrow" w:cs="Arial Narrow"/>
                <w:color w:val="000000"/>
                <w:sz w:val="17"/>
                <w:szCs w:val="17"/>
              </w:rPr>
              <w:t>Textiles</w:t>
            </w:r>
          </w:p>
        </w:tc>
      </w:tr>
      <w:tr w:rsidR="004D5A20" w:rsidRPr="004D5A20" w14:paraId="396F8325" w14:textId="77777777" w:rsidTr="004D5A20">
        <w:trPr>
          <w:trHeight w:val="247"/>
        </w:trPr>
        <w:tc>
          <w:tcPr>
            <w:tcW w:w="4409" w:type="dxa"/>
            <w:tcBorders>
              <w:top w:val="nil"/>
              <w:left w:val="nil"/>
              <w:bottom w:val="nil"/>
              <w:right w:val="nil"/>
            </w:tcBorders>
          </w:tcPr>
          <w:p w14:paraId="7840FB8F" w14:textId="77777777" w:rsidR="004D5A20" w:rsidRPr="004D5A20" w:rsidRDefault="004D5A20" w:rsidP="004D5A20">
            <w:pPr>
              <w:autoSpaceDE w:val="0"/>
              <w:autoSpaceDN w:val="0"/>
              <w:adjustRightInd w:val="0"/>
              <w:jc w:val="left"/>
              <w:rPr>
                <w:rFonts w:ascii="Arial Narrow" w:hAnsi="Arial Narrow" w:cs="Arial Narrow"/>
                <w:color w:val="000000"/>
                <w:sz w:val="17"/>
                <w:szCs w:val="17"/>
              </w:rPr>
            </w:pPr>
            <w:r w:rsidRPr="004D5A20">
              <w:rPr>
                <w:rFonts w:ascii="Arial Narrow" w:hAnsi="Arial Narrow" w:cs="Arial Narrow"/>
                <w:color w:val="000000"/>
                <w:sz w:val="17"/>
                <w:szCs w:val="17"/>
              </w:rPr>
              <w:t>Other Grains</w:t>
            </w:r>
          </w:p>
        </w:tc>
        <w:tc>
          <w:tcPr>
            <w:tcW w:w="4410" w:type="dxa"/>
            <w:tcBorders>
              <w:top w:val="nil"/>
              <w:left w:val="nil"/>
              <w:bottom w:val="nil"/>
              <w:right w:val="nil"/>
            </w:tcBorders>
          </w:tcPr>
          <w:p w14:paraId="6FFF8A74" w14:textId="77777777" w:rsidR="004D5A20" w:rsidRPr="004D5A20" w:rsidRDefault="004D5A20" w:rsidP="004D5A20">
            <w:pPr>
              <w:autoSpaceDE w:val="0"/>
              <w:autoSpaceDN w:val="0"/>
              <w:adjustRightInd w:val="0"/>
              <w:jc w:val="left"/>
              <w:rPr>
                <w:rFonts w:ascii="Arial Narrow" w:hAnsi="Arial Narrow" w:cs="Arial Narrow"/>
                <w:color w:val="000000"/>
                <w:sz w:val="17"/>
                <w:szCs w:val="17"/>
              </w:rPr>
            </w:pPr>
            <w:r w:rsidRPr="004D5A20">
              <w:rPr>
                <w:rFonts w:ascii="Arial Narrow" w:hAnsi="Arial Narrow" w:cs="Arial Narrow"/>
                <w:color w:val="000000"/>
                <w:sz w:val="17"/>
                <w:szCs w:val="17"/>
              </w:rPr>
              <w:t>Wood products</w:t>
            </w:r>
          </w:p>
        </w:tc>
      </w:tr>
      <w:tr w:rsidR="004D5A20" w:rsidRPr="004D5A20" w14:paraId="02C8F7F8" w14:textId="77777777" w:rsidTr="004D5A20">
        <w:trPr>
          <w:trHeight w:val="247"/>
        </w:trPr>
        <w:tc>
          <w:tcPr>
            <w:tcW w:w="4409" w:type="dxa"/>
            <w:tcBorders>
              <w:top w:val="nil"/>
              <w:left w:val="nil"/>
              <w:bottom w:val="nil"/>
              <w:right w:val="nil"/>
            </w:tcBorders>
          </w:tcPr>
          <w:p w14:paraId="0606F7CA" w14:textId="77777777" w:rsidR="004D5A20" w:rsidRPr="004D5A20" w:rsidRDefault="004D5A20" w:rsidP="004D5A20">
            <w:pPr>
              <w:autoSpaceDE w:val="0"/>
              <w:autoSpaceDN w:val="0"/>
              <w:adjustRightInd w:val="0"/>
              <w:jc w:val="left"/>
              <w:rPr>
                <w:rFonts w:ascii="Arial Narrow" w:hAnsi="Arial Narrow" w:cs="Arial Narrow"/>
                <w:color w:val="000000"/>
                <w:sz w:val="17"/>
                <w:szCs w:val="17"/>
              </w:rPr>
            </w:pPr>
            <w:r w:rsidRPr="004D5A20">
              <w:rPr>
                <w:rFonts w:ascii="Arial Narrow" w:hAnsi="Arial Narrow" w:cs="Arial Narrow"/>
                <w:color w:val="000000"/>
                <w:sz w:val="17"/>
                <w:szCs w:val="17"/>
              </w:rPr>
              <w:t>Vegetables and Fruits</w:t>
            </w:r>
          </w:p>
        </w:tc>
        <w:tc>
          <w:tcPr>
            <w:tcW w:w="4410" w:type="dxa"/>
            <w:tcBorders>
              <w:top w:val="nil"/>
              <w:left w:val="nil"/>
              <w:bottom w:val="nil"/>
              <w:right w:val="nil"/>
            </w:tcBorders>
          </w:tcPr>
          <w:p w14:paraId="545CAF96" w14:textId="77777777" w:rsidR="004D5A20" w:rsidRPr="004D5A20" w:rsidRDefault="004D5A20" w:rsidP="004D5A20">
            <w:pPr>
              <w:autoSpaceDE w:val="0"/>
              <w:autoSpaceDN w:val="0"/>
              <w:adjustRightInd w:val="0"/>
              <w:jc w:val="left"/>
              <w:rPr>
                <w:rFonts w:ascii="Arial Narrow" w:hAnsi="Arial Narrow" w:cs="Arial Narrow"/>
                <w:color w:val="000000"/>
                <w:sz w:val="17"/>
                <w:szCs w:val="17"/>
              </w:rPr>
            </w:pPr>
            <w:r w:rsidRPr="004D5A20">
              <w:rPr>
                <w:rFonts w:ascii="Arial Narrow" w:hAnsi="Arial Narrow" w:cs="Arial Narrow"/>
                <w:color w:val="000000"/>
                <w:sz w:val="17"/>
                <w:szCs w:val="17"/>
              </w:rPr>
              <w:t>Chemicals</w:t>
            </w:r>
          </w:p>
        </w:tc>
      </w:tr>
      <w:tr w:rsidR="004D5A20" w:rsidRPr="004D5A20" w14:paraId="5C10CC47" w14:textId="77777777" w:rsidTr="004D5A20">
        <w:trPr>
          <w:trHeight w:val="247"/>
        </w:trPr>
        <w:tc>
          <w:tcPr>
            <w:tcW w:w="4409" w:type="dxa"/>
            <w:tcBorders>
              <w:top w:val="nil"/>
              <w:left w:val="nil"/>
              <w:bottom w:val="nil"/>
              <w:right w:val="nil"/>
            </w:tcBorders>
          </w:tcPr>
          <w:p w14:paraId="72DD9CD6" w14:textId="77777777" w:rsidR="004D5A20" w:rsidRPr="004D5A20" w:rsidRDefault="004D5A20" w:rsidP="004D5A20">
            <w:pPr>
              <w:autoSpaceDE w:val="0"/>
              <w:autoSpaceDN w:val="0"/>
              <w:adjustRightInd w:val="0"/>
              <w:jc w:val="left"/>
              <w:rPr>
                <w:rFonts w:ascii="Arial Narrow" w:hAnsi="Arial Narrow" w:cs="Arial Narrow"/>
                <w:color w:val="000000"/>
                <w:sz w:val="17"/>
                <w:szCs w:val="17"/>
              </w:rPr>
            </w:pPr>
            <w:r w:rsidRPr="004D5A20">
              <w:rPr>
                <w:rFonts w:ascii="Arial Narrow" w:hAnsi="Arial Narrow" w:cs="Arial Narrow"/>
                <w:color w:val="000000"/>
                <w:sz w:val="17"/>
                <w:szCs w:val="17"/>
              </w:rPr>
              <w:t>Oil Seeds</w:t>
            </w:r>
          </w:p>
        </w:tc>
        <w:tc>
          <w:tcPr>
            <w:tcW w:w="4410" w:type="dxa"/>
            <w:tcBorders>
              <w:top w:val="nil"/>
              <w:left w:val="nil"/>
              <w:bottom w:val="nil"/>
              <w:right w:val="nil"/>
            </w:tcBorders>
          </w:tcPr>
          <w:p w14:paraId="3AD6C358" w14:textId="77777777" w:rsidR="004D5A20" w:rsidRPr="004D5A20" w:rsidRDefault="004D5A20" w:rsidP="004D5A20">
            <w:pPr>
              <w:autoSpaceDE w:val="0"/>
              <w:autoSpaceDN w:val="0"/>
              <w:adjustRightInd w:val="0"/>
              <w:jc w:val="left"/>
              <w:rPr>
                <w:rFonts w:ascii="Arial Narrow" w:hAnsi="Arial Narrow" w:cs="Arial Narrow"/>
                <w:color w:val="000000"/>
                <w:sz w:val="17"/>
                <w:szCs w:val="17"/>
              </w:rPr>
            </w:pPr>
            <w:r w:rsidRPr="004D5A20">
              <w:rPr>
                <w:rFonts w:ascii="Arial Narrow" w:hAnsi="Arial Narrow" w:cs="Arial Narrow"/>
                <w:color w:val="000000"/>
                <w:sz w:val="17"/>
                <w:szCs w:val="17"/>
              </w:rPr>
              <w:t>Basic pharmaceuticals</w:t>
            </w:r>
          </w:p>
        </w:tc>
      </w:tr>
      <w:tr w:rsidR="004D5A20" w:rsidRPr="004D5A20" w14:paraId="49128016" w14:textId="77777777" w:rsidTr="004D5A20">
        <w:trPr>
          <w:trHeight w:val="247"/>
        </w:trPr>
        <w:tc>
          <w:tcPr>
            <w:tcW w:w="4409" w:type="dxa"/>
            <w:tcBorders>
              <w:top w:val="nil"/>
              <w:left w:val="nil"/>
              <w:bottom w:val="nil"/>
              <w:right w:val="nil"/>
            </w:tcBorders>
          </w:tcPr>
          <w:p w14:paraId="0B799A4F" w14:textId="77777777" w:rsidR="004D5A20" w:rsidRPr="004D5A20" w:rsidRDefault="004D5A20" w:rsidP="004D5A20">
            <w:pPr>
              <w:autoSpaceDE w:val="0"/>
              <w:autoSpaceDN w:val="0"/>
              <w:adjustRightInd w:val="0"/>
              <w:jc w:val="left"/>
              <w:rPr>
                <w:rFonts w:ascii="Arial Narrow" w:hAnsi="Arial Narrow" w:cs="Arial Narrow"/>
                <w:color w:val="000000"/>
                <w:sz w:val="17"/>
                <w:szCs w:val="17"/>
              </w:rPr>
            </w:pPr>
            <w:r w:rsidRPr="004D5A20">
              <w:rPr>
                <w:rFonts w:ascii="Arial Narrow" w:hAnsi="Arial Narrow" w:cs="Arial Narrow"/>
                <w:color w:val="000000"/>
                <w:sz w:val="17"/>
                <w:szCs w:val="17"/>
              </w:rPr>
              <w:t>Sugar Cane and Sugar Beet</w:t>
            </w:r>
          </w:p>
        </w:tc>
        <w:tc>
          <w:tcPr>
            <w:tcW w:w="4410" w:type="dxa"/>
            <w:tcBorders>
              <w:top w:val="nil"/>
              <w:left w:val="nil"/>
              <w:bottom w:val="nil"/>
              <w:right w:val="nil"/>
            </w:tcBorders>
          </w:tcPr>
          <w:p w14:paraId="53218C5C" w14:textId="77777777" w:rsidR="004D5A20" w:rsidRPr="004D5A20" w:rsidRDefault="004D5A20" w:rsidP="004D5A20">
            <w:pPr>
              <w:autoSpaceDE w:val="0"/>
              <w:autoSpaceDN w:val="0"/>
              <w:adjustRightInd w:val="0"/>
              <w:jc w:val="left"/>
              <w:rPr>
                <w:rFonts w:ascii="Arial Narrow" w:hAnsi="Arial Narrow" w:cs="Arial Narrow"/>
                <w:color w:val="000000"/>
                <w:sz w:val="17"/>
                <w:szCs w:val="17"/>
              </w:rPr>
            </w:pPr>
            <w:r w:rsidRPr="004D5A20">
              <w:rPr>
                <w:rFonts w:ascii="Arial Narrow" w:hAnsi="Arial Narrow" w:cs="Arial Narrow"/>
                <w:color w:val="000000"/>
                <w:sz w:val="17"/>
                <w:szCs w:val="17"/>
              </w:rPr>
              <w:t>Rubber and plastic products</w:t>
            </w:r>
          </w:p>
        </w:tc>
      </w:tr>
      <w:tr w:rsidR="004D5A20" w:rsidRPr="004D5A20" w14:paraId="63768223" w14:textId="77777777" w:rsidTr="004D5A20">
        <w:trPr>
          <w:trHeight w:val="247"/>
        </w:trPr>
        <w:tc>
          <w:tcPr>
            <w:tcW w:w="4409" w:type="dxa"/>
            <w:tcBorders>
              <w:top w:val="nil"/>
              <w:left w:val="nil"/>
              <w:bottom w:val="nil"/>
              <w:right w:val="nil"/>
            </w:tcBorders>
          </w:tcPr>
          <w:p w14:paraId="65C89D96" w14:textId="77777777" w:rsidR="004D5A20" w:rsidRPr="004D5A20" w:rsidRDefault="004D5A20" w:rsidP="004D5A20">
            <w:pPr>
              <w:autoSpaceDE w:val="0"/>
              <w:autoSpaceDN w:val="0"/>
              <w:adjustRightInd w:val="0"/>
              <w:jc w:val="left"/>
              <w:rPr>
                <w:rFonts w:ascii="Arial Narrow" w:hAnsi="Arial Narrow" w:cs="Arial Narrow"/>
                <w:color w:val="000000"/>
                <w:sz w:val="17"/>
                <w:szCs w:val="17"/>
              </w:rPr>
            </w:pPr>
            <w:r w:rsidRPr="004D5A20">
              <w:rPr>
                <w:rFonts w:ascii="Arial Narrow" w:hAnsi="Arial Narrow" w:cs="Arial Narrow"/>
                <w:color w:val="000000"/>
                <w:sz w:val="17"/>
                <w:szCs w:val="17"/>
              </w:rPr>
              <w:t>Fibres Plant</w:t>
            </w:r>
          </w:p>
        </w:tc>
        <w:tc>
          <w:tcPr>
            <w:tcW w:w="4410" w:type="dxa"/>
            <w:tcBorders>
              <w:top w:val="nil"/>
              <w:left w:val="nil"/>
              <w:bottom w:val="nil"/>
              <w:right w:val="nil"/>
            </w:tcBorders>
          </w:tcPr>
          <w:p w14:paraId="5C527C46" w14:textId="77777777" w:rsidR="004D5A20" w:rsidRPr="004D5A20" w:rsidRDefault="004D5A20" w:rsidP="004D5A20">
            <w:pPr>
              <w:autoSpaceDE w:val="0"/>
              <w:autoSpaceDN w:val="0"/>
              <w:adjustRightInd w:val="0"/>
              <w:jc w:val="left"/>
              <w:rPr>
                <w:rFonts w:ascii="Arial Narrow" w:hAnsi="Arial Narrow" w:cs="Arial Narrow"/>
                <w:color w:val="000000"/>
                <w:sz w:val="17"/>
                <w:szCs w:val="17"/>
              </w:rPr>
            </w:pPr>
            <w:r w:rsidRPr="004D5A20">
              <w:rPr>
                <w:rFonts w:ascii="Arial Narrow" w:hAnsi="Arial Narrow" w:cs="Arial Narrow"/>
                <w:color w:val="000000"/>
                <w:sz w:val="17"/>
                <w:szCs w:val="17"/>
              </w:rPr>
              <w:t>Pulp, Paper and Publishing products</w:t>
            </w:r>
          </w:p>
        </w:tc>
      </w:tr>
      <w:tr w:rsidR="004D5A20" w:rsidRPr="004D5A20" w14:paraId="21BB277D" w14:textId="77777777" w:rsidTr="004D5A20">
        <w:trPr>
          <w:trHeight w:val="247"/>
        </w:trPr>
        <w:tc>
          <w:tcPr>
            <w:tcW w:w="4409" w:type="dxa"/>
            <w:tcBorders>
              <w:top w:val="nil"/>
              <w:left w:val="nil"/>
              <w:bottom w:val="nil"/>
              <w:right w:val="nil"/>
            </w:tcBorders>
          </w:tcPr>
          <w:p w14:paraId="546B6A74" w14:textId="77777777" w:rsidR="004D5A20" w:rsidRPr="004D5A20" w:rsidRDefault="004D5A20" w:rsidP="004D5A20">
            <w:pPr>
              <w:autoSpaceDE w:val="0"/>
              <w:autoSpaceDN w:val="0"/>
              <w:adjustRightInd w:val="0"/>
              <w:jc w:val="left"/>
              <w:rPr>
                <w:rFonts w:ascii="Arial Narrow" w:hAnsi="Arial Narrow" w:cs="Arial Narrow"/>
                <w:color w:val="000000"/>
                <w:sz w:val="17"/>
                <w:szCs w:val="17"/>
              </w:rPr>
            </w:pPr>
            <w:r w:rsidRPr="004D5A20">
              <w:rPr>
                <w:rFonts w:ascii="Arial Narrow" w:hAnsi="Arial Narrow" w:cs="Arial Narrow"/>
                <w:color w:val="000000"/>
                <w:sz w:val="17"/>
                <w:szCs w:val="17"/>
              </w:rPr>
              <w:t>Other Crops</w:t>
            </w:r>
          </w:p>
        </w:tc>
        <w:tc>
          <w:tcPr>
            <w:tcW w:w="4410" w:type="dxa"/>
            <w:tcBorders>
              <w:top w:val="nil"/>
              <w:left w:val="nil"/>
              <w:bottom w:val="nil"/>
              <w:right w:val="nil"/>
            </w:tcBorders>
          </w:tcPr>
          <w:p w14:paraId="37DFDA01" w14:textId="77777777" w:rsidR="004D5A20" w:rsidRPr="004D5A20" w:rsidRDefault="004D5A20" w:rsidP="004D5A20">
            <w:pPr>
              <w:autoSpaceDE w:val="0"/>
              <w:autoSpaceDN w:val="0"/>
              <w:adjustRightInd w:val="0"/>
              <w:jc w:val="left"/>
              <w:rPr>
                <w:rFonts w:ascii="Arial Narrow" w:hAnsi="Arial Narrow" w:cs="Arial Narrow"/>
                <w:color w:val="000000"/>
                <w:sz w:val="17"/>
                <w:szCs w:val="17"/>
              </w:rPr>
            </w:pPr>
            <w:r w:rsidRPr="004D5A20">
              <w:rPr>
                <w:rFonts w:ascii="Arial Narrow" w:hAnsi="Arial Narrow" w:cs="Arial Narrow"/>
                <w:color w:val="000000"/>
                <w:sz w:val="17"/>
                <w:szCs w:val="17"/>
              </w:rPr>
              <w:t>Non-metallic Minerals</w:t>
            </w:r>
          </w:p>
        </w:tc>
      </w:tr>
      <w:tr w:rsidR="004D5A20" w:rsidRPr="004D5A20" w14:paraId="3749099F" w14:textId="77777777" w:rsidTr="004D5A20">
        <w:trPr>
          <w:trHeight w:val="247"/>
        </w:trPr>
        <w:tc>
          <w:tcPr>
            <w:tcW w:w="4409" w:type="dxa"/>
            <w:tcBorders>
              <w:top w:val="nil"/>
              <w:left w:val="nil"/>
              <w:bottom w:val="nil"/>
              <w:right w:val="nil"/>
            </w:tcBorders>
          </w:tcPr>
          <w:p w14:paraId="23E6B90F" w14:textId="77777777" w:rsidR="004D5A20" w:rsidRPr="004D5A20" w:rsidRDefault="004D5A20" w:rsidP="004D5A20">
            <w:pPr>
              <w:autoSpaceDE w:val="0"/>
              <w:autoSpaceDN w:val="0"/>
              <w:adjustRightInd w:val="0"/>
              <w:jc w:val="left"/>
              <w:rPr>
                <w:rFonts w:ascii="Arial Narrow" w:hAnsi="Arial Narrow" w:cs="Arial Narrow"/>
                <w:color w:val="000000"/>
                <w:sz w:val="17"/>
                <w:szCs w:val="17"/>
              </w:rPr>
            </w:pPr>
            <w:r w:rsidRPr="004D5A20">
              <w:rPr>
                <w:rFonts w:ascii="Arial Narrow" w:hAnsi="Arial Narrow" w:cs="Arial Narrow"/>
                <w:color w:val="000000"/>
                <w:sz w:val="17"/>
                <w:szCs w:val="17"/>
              </w:rPr>
              <w:t>Cattle and Raw Milk</w:t>
            </w:r>
          </w:p>
        </w:tc>
        <w:tc>
          <w:tcPr>
            <w:tcW w:w="4410" w:type="dxa"/>
            <w:tcBorders>
              <w:top w:val="nil"/>
              <w:left w:val="nil"/>
              <w:bottom w:val="nil"/>
              <w:right w:val="nil"/>
            </w:tcBorders>
          </w:tcPr>
          <w:p w14:paraId="65563556" w14:textId="77777777" w:rsidR="004D5A20" w:rsidRPr="004D5A20" w:rsidRDefault="004D5A20" w:rsidP="004D5A20">
            <w:pPr>
              <w:autoSpaceDE w:val="0"/>
              <w:autoSpaceDN w:val="0"/>
              <w:adjustRightInd w:val="0"/>
              <w:jc w:val="left"/>
              <w:rPr>
                <w:rFonts w:ascii="Arial Narrow" w:hAnsi="Arial Narrow" w:cs="Arial Narrow"/>
                <w:color w:val="000000"/>
                <w:sz w:val="17"/>
                <w:szCs w:val="17"/>
              </w:rPr>
            </w:pPr>
            <w:r w:rsidRPr="004D5A20">
              <w:rPr>
                <w:rFonts w:ascii="Arial Narrow" w:hAnsi="Arial Narrow" w:cs="Arial Narrow"/>
                <w:color w:val="000000"/>
                <w:sz w:val="17"/>
                <w:szCs w:val="17"/>
              </w:rPr>
              <w:t>Fabricated Metal products</w:t>
            </w:r>
          </w:p>
        </w:tc>
      </w:tr>
      <w:tr w:rsidR="004D5A20" w:rsidRPr="004D5A20" w14:paraId="5451D93C" w14:textId="77777777" w:rsidTr="004D5A20">
        <w:trPr>
          <w:trHeight w:val="247"/>
        </w:trPr>
        <w:tc>
          <w:tcPr>
            <w:tcW w:w="4409" w:type="dxa"/>
            <w:tcBorders>
              <w:top w:val="nil"/>
              <w:left w:val="nil"/>
              <w:bottom w:val="nil"/>
              <w:right w:val="nil"/>
            </w:tcBorders>
          </w:tcPr>
          <w:p w14:paraId="0802E963" w14:textId="77777777" w:rsidR="004D5A20" w:rsidRPr="004D5A20" w:rsidRDefault="004D5A20" w:rsidP="004D5A20">
            <w:pPr>
              <w:autoSpaceDE w:val="0"/>
              <w:autoSpaceDN w:val="0"/>
              <w:adjustRightInd w:val="0"/>
              <w:jc w:val="left"/>
              <w:rPr>
                <w:rFonts w:ascii="Arial Narrow" w:hAnsi="Arial Narrow" w:cs="Arial Narrow"/>
                <w:color w:val="000000"/>
                <w:sz w:val="17"/>
                <w:szCs w:val="17"/>
              </w:rPr>
            </w:pPr>
            <w:r w:rsidRPr="004D5A20">
              <w:rPr>
                <w:rFonts w:ascii="Arial Narrow" w:hAnsi="Arial Narrow" w:cs="Arial Narrow"/>
                <w:color w:val="000000"/>
                <w:sz w:val="17"/>
                <w:szCs w:val="17"/>
              </w:rPr>
              <w:t>Other Animal products</w:t>
            </w:r>
          </w:p>
        </w:tc>
        <w:tc>
          <w:tcPr>
            <w:tcW w:w="4410" w:type="dxa"/>
            <w:tcBorders>
              <w:top w:val="nil"/>
              <w:left w:val="nil"/>
              <w:bottom w:val="nil"/>
              <w:right w:val="nil"/>
            </w:tcBorders>
          </w:tcPr>
          <w:p w14:paraId="72C03F85" w14:textId="77777777" w:rsidR="004D5A20" w:rsidRPr="004D5A20" w:rsidRDefault="004D5A20" w:rsidP="004D5A20">
            <w:pPr>
              <w:autoSpaceDE w:val="0"/>
              <w:autoSpaceDN w:val="0"/>
              <w:adjustRightInd w:val="0"/>
              <w:jc w:val="left"/>
              <w:rPr>
                <w:rFonts w:ascii="Arial Narrow" w:hAnsi="Arial Narrow" w:cs="Arial Narrow"/>
                <w:color w:val="000000"/>
                <w:sz w:val="17"/>
                <w:szCs w:val="17"/>
              </w:rPr>
            </w:pPr>
            <w:r w:rsidRPr="004D5A20">
              <w:rPr>
                <w:rFonts w:ascii="Arial Narrow" w:hAnsi="Arial Narrow" w:cs="Arial Narrow"/>
                <w:color w:val="000000"/>
                <w:sz w:val="17"/>
                <w:szCs w:val="17"/>
              </w:rPr>
              <w:t>Electronics</w:t>
            </w:r>
          </w:p>
        </w:tc>
      </w:tr>
      <w:tr w:rsidR="004D5A20" w:rsidRPr="004D5A20" w14:paraId="045653DE" w14:textId="77777777" w:rsidTr="004D5A20">
        <w:trPr>
          <w:trHeight w:val="247"/>
        </w:trPr>
        <w:tc>
          <w:tcPr>
            <w:tcW w:w="4409" w:type="dxa"/>
            <w:tcBorders>
              <w:top w:val="nil"/>
              <w:left w:val="nil"/>
              <w:bottom w:val="nil"/>
              <w:right w:val="nil"/>
            </w:tcBorders>
          </w:tcPr>
          <w:p w14:paraId="6307BFD1" w14:textId="77777777" w:rsidR="004D5A20" w:rsidRPr="004D5A20" w:rsidRDefault="004D5A20" w:rsidP="004D5A20">
            <w:pPr>
              <w:autoSpaceDE w:val="0"/>
              <w:autoSpaceDN w:val="0"/>
              <w:adjustRightInd w:val="0"/>
              <w:jc w:val="left"/>
              <w:rPr>
                <w:rFonts w:ascii="Arial Narrow" w:hAnsi="Arial Narrow" w:cs="Arial Narrow"/>
                <w:color w:val="000000"/>
                <w:sz w:val="17"/>
                <w:szCs w:val="17"/>
              </w:rPr>
            </w:pPr>
            <w:r w:rsidRPr="004D5A20">
              <w:rPr>
                <w:rFonts w:ascii="Arial Narrow" w:hAnsi="Arial Narrow" w:cs="Arial Narrow"/>
                <w:color w:val="000000"/>
                <w:sz w:val="17"/>
                <w:szCs w:val="17"/>
              </w:rPr>
              <w:t>Fisheries</w:t>
            </w:r>
          </w:p>
        </w:tc>
        <w:tc>
          <w:tcPr>
            <w:tcW w:w="4410" w:type="dxa"/>
            <w:tcBorders>
              <w:top w:val="nil"/>
              <w:left w:val="nil"/>
              <w:bottom w:val="nil"/>
              <w:right w:val="nil"/>
            </w:tcBorders>
          </w:tcPr>
          <w:p w14:paraId="3B5699C8" w14:textId="77777777" w:rsidR="004D5A20" w:rsidRPr="004D5A20" w:rsidRDefault="004D5A20" w:rsidP="004D5A20">
            <w:pPr>
              <w:autoSpaceDE w:val="0"/>
              <w:autoSpaceDN w:val="0"/>
              <w:adjustRightInd w:val="0"/>
              <w:jc w:val="left"/>
              <w:rPr>
                <w:rFonts w:ascii="Arial Narrow" w:hAnsi="Arial Narrow" w:cs="Arial Narrow"/>
                <w:color w:val="000000"/>
                <w:sz w:val="17"/>
                <w:szCs w:val="17"/>
              </w:rPr>
            </w:pPr>
            <w:r w:rsidRPr="004D5A20">
              <w:rPr>
                <w:rFonts w:ascii="Arial Narrow" w:hAnsi="Arial Narrow" w:cs="Arial Narrow"/>
                <w:color w:val="000000"/>
                <w:sz w:val="17"/>
                <w:szCs w:val="17"/>
              </w:rPr>
              <w:t>Electrical equipment</w:t>
            </w:r>
          </w:p>
        </w:tc>
      </w:tr>
      <w:tr w:rsidR="004D5A20" w:rsidRPr="004D5A20" w14:paraId="4E4B6408" w14:textId="77777777" w:rsidTr="004D5A20">
        <w:trPr>
          <w:trHeight w:val="262"/>
        </w:trPr>
        <w:tc>
          <w:tcPr>
            <w:tcW w:w="4409" w:type="dxa"/>
            <w:tcBorders>
              <w:top w:val="nil"/>
              <w:left w:val="nil"/>
              <w:bottom w:val="single" w:sz="12" w:space="0" w:color="333399"/>
              <w:right w:val="nil"/>
            </w:tcBorders>
          </w:tcPr>
          <w:p w14:paraId="7EDC26B0" w14:textId="77777777" w:rsidR="004D5A20" w:rsidRPr="004D5A20" w:rsidRDefault="004D5A20" w:rsidP="004D5A20">
            <w:pPr>
              <w:autoSpaceDE w:val="0"/>
              <w:autoSpaceDN w:val="0"/>
              <w:adjustRightInd w:val="0"/>
              <w:jc w:val="left"/>
              <w:rPr>
                <w:rFonts w:ascii="Arial Narrow" w:hAnsi="Arial Narrow" w:cs="Arial Narrow"/>
                <w:color w:val="000000"/>
                <w:sz w:val="17"/>
                <w:szCs w:val="17"/>
              </w:rPr>
            </w:pPr>
            <w:r w:rsidRPr="004D5A20">
              <w:rPr>
                <w:rFonts w:ascii="Arial Narrow" w:hAnsi="Arial Narrow" w:cs="Arial Narrow"/>
                <w:color w:val="000000"/>
                <w:sz w:val="17"/>
                <w:szCs w:val="17"/>
              </w:rPr>
              <w:t>Forestry</w:t>
            </w:r>
          </w:p>
        </w:tc>
        <w:tc>
          <w:tcPr>
            <w:tcW w:w="4410" w:type="dxa"/>
            <w:tcBorders>
              <w:top w:val="nil"/>
              <w:left w:val="nil"/>
              <w:bottom w:val="nil"/>
              <w:right w:val="nil"/>
            </w:tcBorders>
          </w:tcPr>
          <w:p w14:paraId="5EC5333C" w14:textId="77777777" w:rsidR="004D5A20" w:rsidRPr="004D5A20" w:rsidRDefault="004D5A20" w:rsidP="004D5A20">
            <w:pPr>
              <w:autoSpaceDE w:val="0"/>
              <w:autoSpaceDN w:val="0"/>
              <w:adjustRightInd w:val="0"/>
              <w:jc w:val="left"/>
              <w:rPr>
                <w:rFonts w:ascii="Arial Narrow" w:hAnsi="Arial Narrow" w:cs="Arial Narrow"/>
                <w:color w:val="000000"/>
                <w:sz w:val="17"/>
                <w:szCs w:val="17"/>
              </w:rPr>
            </w:pPr>
            <w:r w:rsidRPr="004D5A20">
              <w:rPr>
                <w:rFonts w:ascii="Arial Narrow" w:hAnsi="Arial Narrow" w:cs="Arial Narrow"/>
                <w:color w:val="000000"/>
                <w:sz w:val="17"/>
                <w:szCs w:val="17"/>
              </w:rPr>
              <w:t>Motor Vehicles</w:t>
            </w:r>
          </w:p>
        </w:tc>
      </w:tr>
      <w:tr w:rsidR="004D5A20" w:rsidRPr="004D5A20" w14:paraId="5164FB62" w14:textId="77777777" w:rsidTr="004D5A20">
        <w:trPr>
          <w:trHeight w:val="262"/>
        </w:trPr>
        <w:tc>
          <w:tcPr>
            <w:tcW w:w="4409" w:type="dxa"/>
            <w:tcBorders>
              <w:top w:val="nil"/>
              <w:left w:val="nil"/>
              <w:bottom w:val="single" w:sz="12" w:space="0" w:color="auto"/>
              <w:right w:val="nil"/>
            </w:tcBorders>
            <w:shd w:val="solid" w:color="003366" w:fill="auto"/>
          </w:tcPr>
          <w:p w14:paraId="3D495B93" w14:textId="77777777" w:rsidR="004D5A20" w:rsidRPr="004D5A20" w:rsidRDefault="004D5A20" w:rsidP="004D5A20">
            <w:pPr>
              <w:autoSpaceDE w:val="0"/>
              <w:autoSpaceDN w:val="0"/>
              <w:adjustRightInd w:val="0"/>
              <w:jc w:val="left"/>
              <w:rPr>
                <w:rFonts w:ascii="Arial Narrow" w:hAnsi="Arial Narrow" w:cs="Arial Narrow"/>
                <w:b/>
                <w:bCs/>
                <w:color w:val="FFFFFF"/>
                <w:sz w:val="17"/>
                <w:szCs w:val="17"/>
              </w:rPr>
            </w:pPr>
            <w:r w:rsidRPr="004D5A20">
              <w:rPr>
                <w:rFonts w:ascii="Arial Narrow" w:hAnsi="Arial Narrow" w:cs="Arial Narrow"/>
                <w:b/>
                <w:bCs/>
                <w:color w:val="FFFFFF"/>
                <w:sz w:val="17"/>
                <w:szCs w:val="17"/>
              </w:rPr>
              <w:t>Non-manufacturing Industries</w:t>
            </w:r>
          </w:p>
        </w:tc>
        <w:tc>
          <w:tcPr>
            <w:tcW w:w="4410" w:type="dxa"/>
            <w:tcBorders>
              <w:top w:val="nil"/>
              <w:left w:val="nil"/>
              <w:bottom w:val="nil"/>
              <w:right w:val="nil"/>
            </w:tcBorders>
          </w:tcPr>
          <w:p w14:paraId="424AF9FB" w14:textId="77777777" w:rsidR="004D5A20" w:rsidRPr="004D5A20" w:rsidRDefault="004D5A20" w:rsidP="004D5A20">
            <w:pPr>
              <w:autoSpaceDE w:val="0"/>
              <w:autoSpaceDN w:val="0"/>
              <w:adjustRightInd w:val="0"/>
              <w:jc w:val="left"/>
              <w:rPr>
                <w:rFonts w:ascii="Arial Narrow" w:hAnsi="Arial Narrow" w:cs="Arial Narrow"/>
                <w:color w:val="000000"/>
                <w:sz w:val="17"/>
                <w:szCs w:val="17"/>
              </w:rPr>
            </w:pPr>
            <w:r w:rsidRPr="004D5A20">
              <w:rPr>
                <w:rFonts w:ascii="Arial Narrow" w:hAnsi="Arial Narrow" w:cs="Arial Narrow"/>
                <w:color w:val="000000"/>
                <w:sz w:val="17"/>
                <w:szCs w:val="17"/>
              </w:rPr>
              <w:t>Other Transport Equipment</w:t>
            </w:r>
          </w:p>
        </w:tc>
      </w:tr>
      <w:tr w:rsidR="004D5A20" w:rsidRPr="004D5A20" w14:paraId="3A98C149" w14:textId="77777777" w:rsidTr="004D5A20">
        <w:trPr>
          <w:trHeight w:val="247"/>
        </w:trPr>
        <w:tc>
          <w:tcPr>
            <w:tcW w:w="4409" w:type="dxa"/>
            <w:tcBorders>
              <w:top w:val="nil"/>
              <w:left w:val="nil"/>
              <w:bottom w:val="nil"/>
              <w:right w:val="nil"/>
            </w:tcBorders>
          </w:tcPr>
          <w:p w14:paraId="2A0CB957" w14:textId="77777777" w:rsidR="004D5A20" w:rsidRPr="004D5A20" w:rsidRDefault="004D5A20" w:rsidP="004D5A20">
            <w:pPr>
              <w:autoSpaceDE w:val="0"/>
              <w:autoSpaceDN w:val="0"/>
              <w:adjustRightInd w:val="0"/>
              <w:jc w:val="left"/>
              <w:rPr>
                <w:rFonts w:ascii="Arial Narrow" w:hAnsi="Arial Narrow" w:cs="Arial Narrow"/>
                <w:color w:val="000000"/>
                <w:sz w:val="17"/>
                <w:szCs w:val="17"/>
              </w:rPr>
            </w:pPr>
            <w:r w:rsidRPr="004D5A20">
              <w:rPr>
                <w:rFonts w:ascii="Arial Narrow" w:hAnsi="Arial Narrow" w:cs="Arial Narrow"/>
                <w:color w:val="000000"/>
                <w:sz w:val="17"/>
                <w:szCs w:val="17"/>
              </w:rPr>
              <w:t>Coal extraction</w:t>
            </w:r>
          </w:p>
        </w:tc>
        <w:tc>
          <w:tcPr>
            <w:tcW w:w="4410" w:type="dxa"/>
            <w:tcBorders>
              <w:top w:val="nil"/>
              <w:left w:val="nil"/>
              <w:bottom w:val="nil"/>
              <w:right w:val="nil"/>
            </w:tcBorders>
          </w:tcPr>
          <w:p w14:paraId="452F172C" w14:textId="77777777" w:rsidR="004D5A20" w:rsidRPr="004D5A20" w:rsidRDefault="004D5A20" w:rsidP="004D5A20">
            <w:pPr>
              <w:autoSpaceDE w:val="0"/>
              <w:autoSpaceDN w:val="0"/>
              <w:adjustRightInd w:val="0"/>
              <w:jc w:val="left"/>
              <w:rPr>
                <w:rFonts w:ascii="Arial Narrow" w:hAnsi="Arial Narrow" w:cs="Arial Narrow"/>
                <w:color w:val="000000"/>
                <w:sz w:val="17"/>
                <w:szCs w:val="17"/>
              </w:rPr>
            </w:pPr>
            <w:r w:rsidRPr="004D5A20">
              <w:rPr>
                <w:rFonts w:ascii="Arial Narrow" w:hAnsi="Arial Narrow" w:cs="Arial Narrow"/>
                <w:color w:val="000000"/>
                <w:sz w:val="17"/>
                <w:szCs w:val="17"/>
              </w:rPr>
              <w:t>Other Machinery and Equipment</w:t>
            </w:r>
          </w:p>
        </w:tc>
      </w:tr>
      <w:tr w:rsidR="004D5A20" w:rsidRPr="004D5A20" w14:paraId="152ED480" w14:textId="77777777" w:rsidTr="004D5A20">
        <w:trPr>
          <w:trHeight w:val="247"/>
        </w:trPr>
        <w:tc>
          <w:tcPr>
            <w:tcW w:w="4409" w:type="dxa"/>
            <w:tcBorders>
              <w:top w:val="nil"/>
              <w:left w:val="nil"/>
              <w:bottom w:val="nil"/>
              <w:right w:val="nil"/>
            </w:tcBorders>
          </w:tcPr>
          <w:p w14:paraId="113BE03E" w14:textId="77777777" w:rsidR="004D5A20" w:rsidRPr="004D5A20" w:rsidRDefault="004D5A20" w:rsidP="004D5A20">
            <w:pPr>
              <w:autoSpaceDE w:val="0"/>
              <w:autoSpaceDN w:val="0"/>
              <w:adjustRightInd w:val="0"/>
              <w:jc w:val="left"/>
              <w:rPr>
                <w:rFonts w:ascii="Arial Narrow" w:hAnsi="Arial Narrow" w:cs="Arial Narrow"/>
                <w:color w:val="000000"/>
                <w:sz w:val="17"/>
                <w:szCs w:val="17"/>
              </w:rPr>
            </w:pPr>
            <w:r w:rsidRPr="004D5A20">
              <w:rPr>
                <w:rFonts w:ascii="Arial Narrow" w:hAnsi="Arial Narrow" w:cs="Arial Narrow"/>
                <w:color w:val="000000"/>
                <w:sz w:val="17"/>
                <w:szCs w:val="17"/>
              </w:rPr>
              <w:t>Crude Oil extraction</w:t>
            </w:r>
          </w:p>
        </w:tc>
        <w:tc>
          <w:tcPr>
            <w:tcW w:w="4410" w:type="dxa"/>
            <w:tcBorders>
              <w:top w:val="nil"/>
              <w:left w:val="nil"/>
              <w:bottom w:val="nil"/>
              <w:right w:val="nil"/>
            </w:tcBorders>
          </w:tcPr>
          <w:p w14:paraId="41167261" w14:textId="77777777" w:rsidR="004D5A20" w:rsidRPr="004D5A20" w:rsidRDefault="004D5A20" w:rsidP="004D5A20">
            <w:pPr>
              <w:autoSpaceDE w:val="0"/>
              <w:autoSpaceDN w:val="0"/>
              <w:adjustRightInd w:val="0"/>
              <w:jc w:val="left"/>
              <w:rPr>
                <w:rFonts w:ascii="Arial Narrow" w:hAnsi="Arial Narrow" w:cs="Arial Narrow"/>
                <w:color w:val="000000"/>
                <w:sz w:val="17"/>
                <w:szCs w:val="17"/>
              </w:rPr>
            </w:pPr>
            <w:r w:rsidRPr="004D5A20">
              <w:rPr>
                <w:rFonts w:ascii="Arial Narrow" w:hAnsi="Arial Narrow" w:cs="Arial Narrow"/>
                <w:color w:val="000000"/>
                <w:sz w:val="17"/>
                <w:szCs w:val="17"/>
              </w:rPr>
              <w:t>Other Manufacturing incl. Recycling</w:t>
            </w:r>
          </w:p>
        </w:tc>
      </w:tr>
      <w:tr w:rsidR="004D5A20" w:rsidRPr="004D5A20" w14:paraId="0E4DE111" w14:textId="77777777" w:rsidTr="004D5A20">
        <w:trPr>
          <w:trHeight w:val="247"/>
        </w:trPr>
        <w:tc>
          <w:tcPr>
            <w:tcW w:w="4409" w:type="dxa"/>
            <w:tcBorders>
              <w:top w:val="nil"/>
              <w:left w:val="nil"/>
              <w:bottom w:val="nil"/>
              <w:right w:val="nil"/>
            </w:tcBorders>
          </w:tcPr>
          <w:p w14:paraId="409ADD22" w14:textId="77777777" w:rsidR="004D5A20" w:rsidRPr="004D5A20" w:rsidRDefault="004D5A20" w:rsidP="004D5A20">
            <w:pPr>
              <w:autoSpaceDE w:val="0"/>
              <w:autoSpaceDN w:val="0"/>
              <w:adjustRightInd w:val="0"/>
              <w:jc w:val="left"/>
              <w:rPr>
                <w:rFonts w:ascii="Arial Narrow" w:hAnsi="Arial Narrow" w:cs="Arial Narrow"/>
                <w:color w:val="000000"/>
                <w:sz w:val="17"/>
                <w:szCs w:val="17"/>
              </w:rPr>
            </w:pPr>
            <w:r w:rsidRPr="004D5A20">
              <w:rPr>
                <w:rFonts w:ascii="Arial Narrow" w:hAnsi="Arial Narrow" w:cs="Arial Narrow"/>
                <w:color w:val="000000"/>
                <w:sz w:val="17"/>
                <w:szCs w:val="17"/>
              </w:rPr>
              <w:t>Natural Gas extraction</w:t>
            </w:r>
          </w:p>
        </w:tc>
        <w:tc>
          <w:tcPr>
            <w:tcW w:w="4410" w:type="dxa"/>
            <w:tcBorders>
              <w:top w:val="nil"/>
              <w:left w:val="nil"/>
              <w:bottom w:val="nil"/>
              <w:right w:val="nil"/>
            </w:tcBorders>
          </w:tcPr>
          <w:p w14:paraId="102248C1" w14:textId="77777777" w:rsidR="004D5A20" w:rsidRPr="004D5A20" w:rsidRDefault="004D5A20" w:rsidP="004D5A20">
            <w:pPr>
              <w:autoSpaceDE w:val="0"/>
              <w:autoSpaceDN w:val="0"/>
              <w:adjustRightInd w:val="0"/>
              <w:jc w:val="left"/>
              <w:rPr>
                <w:rFonts w:ascii="Arial Narrow" w:hAnsi="Arial Narrow" w:cs="Arial Narrow"/>
                <w:color w:val="000000"/>
                <w:sz w:val="17"/>
                <w:szCs w:val="17"/>
              </w:rPr>
            </w:pPr>
            <w:r w:rsidRPr="004D5A20">
              <w:rPr>
                <w:rFonts w:ascii="Arial Narrow" w:hAnsi="Arial Narrow" w:cs="Arial Narrow"/>
                <w:color w:val="000000"/>
                <w:sz w:val="17"/>
                <w:szCs w:val="17"/>
              </w:rPr>
              <w:t>Iron and Steel</w:t>
            </w:r>
          </w:p>
        </w:tc>
      </w:tr>
      <w:tr w:rsidR="004D5A20" w:rsidRPr="004D5A20" w14:paraId="586F9E7D" w14:textId="77777777" w:rsidTr="004D5A20">
        <w:trPr>
          <w:trHeight w:val="247"/>
        </w:trPr>
        <w:tc>
          <w:tcPr>
            <w:tcW w:w="4409" w:type="dxa"/>
            <w:tcBorders>
              <w:top w:val="nil"/>
              <w:left w:val="nil"/>
              <w:bottom w:val="nil"/>
              <w:right w:val="nil"/>
            </w:tcBorders>
          </w:tcPr>
          <w:p w14:paraId="5CC0118E" w14:textId="77777777" w:rsidR="004D5A20" w:rsidRPr="004D5A20" w:rsidRDefault="004D5A20" w:rsidP="004D5A20">
            <w:pPr>
              <w:autoSpaceDE w:val="0"/>
              <w:autoSpaceDN w:val="0"/>
              <w:adjustRightInd w:val="0"/>
              <w:jc w:val="left"/>
              <w:rPr>
                <w:rFonts w:ascii="Arial Narrow" w:hAnsi="Arial Narrow" w:cs="Arial Narrow"/>
                <w:color w:val="000000"/>
                <w:sz w:val="17"/>
                <w:szCs w:val="17"/>
              </w:rPr>
            </w:pPr>
            <w:r w:rsidRPr="004D5A20">
              <w:rPr>
                <w:rFonts w:ascii="Arial Narrow" w:hAnsi="Arial Narrow" w:cs="Arial Narrow"/>
                <w:color w:val="000000"/>
                <w:sz w:val="17"/>
                <w:szCs w:val="17"/>
              </w:rPr>
              <w:t>Other Mining</w:t>
            </w:r>
          </w:p>
        </w:tc>
        <w:tc>
          <w:tcPr>
            <w:tcW w:w="4410" w:type="dxa"/>
            <w:tcBorders>
              <w:top w:val="nil"/>
              <w:left w:val="nil"/>
              <w:bottom w:val="nil"/>
              <w:right w:val="nil"/>
            </w:tcBorders>
          </w:tcPr>
          <w:p w14:paraId="4F6E6042" w14:textId="77777777" w:rsidR="004D5A20" w:rsidRPr="004D5A20" w:rsidRDefault="004D5A20" w:rsidP="004D5A20">
            <w:pPr>
              <w:autoSpaceDE w:val="0"/>
              <w:autoSpaceDN w:val="0"/>
              <w:adjustRightInd w:val="0"/>
              <w:jc w:val="left"/>
              <w:rPr>
                <w:rFonts w:ascii="Arial Narrow" w:hAnsi="Arial Narrow" w:cs="Arial Narrow"/>
                <w:color w:val="000000"/>
                <w:sz w:val="17"/>
                <w:szCs w:val="17"/>
              </w:rPr>
            </w:pPr>
            <w:r w:rsidRPr="004D5A20">
              <w:rPr>
                <w:rFonts w:ascii="Arial Narrow" w:hAnsi="Arial Narrow" w:cs="Arial Narrow"/>
                <w:color w:val="000000"/>
                <w:sz w:val="17"/>
                <w:szCs w:val="17"/>
              </w:rPr>
              <w:t>Non ferrous metals</w:t>
            </w:r>
          </w:p>
        </w:tc>
      </w:tr>
      <w:tr w:rsidR="004D5A20" w:rsidRPr="004D5A20" w14:paraId="40986A82" w14:textId="77777777" w:rsidTr="004D5A20">
        <w:trPr>
          <w:trHeight w:val="262"/>
        </w:trPr>
        <w:tc>
          <w:tcPr>
            <w:tcW w:w="4409" w:type="dxa"/>
            <w:tcBorders>
              <w:top w:val="nil"/>
              <w:left w:val="nil"/>
              <w:bottom w:val="nil"/>
              <w:right w:val="nil"/>
            </w:tcBorders>
          </w:tcPr>
          <w:p w14:paraId="4D200B6F" w14:textId="77777777" w:rsidR="004D5A20" w:rsidRPr="004D5A20" w:rsidRDefault="004D5A20" w:rsidP="004D5A20">
            <w:pPr>
              <w:autoSpaceDE w:val="0"/>
              <w:autoSpaceDN w:val="0"/>
              <w:adjustRightInd w:val="0"/>
              <w:jc w:val="left"/>
              <w:rPr>
                <w:rFonts w:ascii="Arial Narrow" w:hAnsi="Arial Narrow" w:cs="Arial Narrow"/>
                <w:color w:val="000000"/>
                <w:sz w:val="17"/>
                <w:szCs w:val="17"/>
              </w:rPr>
            </w:pPr>
            <w:r w:rsidRPr="004D5A20">
              <w:rPr>
                <w:rFonts w:ascii="Arial Narrow" w:hAnsi="Arial Narrow" w:cs="Arial Narrow"/>
                <w:color w:val="000000"/>
                <w:sz w:val="17"/>
                <w:szCs w:val="17"/>
              </w:rPr>
              <w:t>Petroleum and Coal products</w:t>
            </w:r>
          </w:p>
        </w:tc>
        <w:tc>
          <w:tcPr>
            <w:tcW w:w="4410" w:type="dxa"/>
            <w:tcBorders>
              <w:top w:val="nil"/>
              <w:left w:val="nil"/>
              <w:bottom w:val="single" w:sz="12" w:space="0" w:color="auto"/>
              <w:right w:val="nil"/>
            </w:tcBorders>
            <w:shd w:val="solid" w:color="003366" w:fill="auto"/>
          </w:tcPr>
          <w:p w14:paraId="61637BFC" w14:textId="77777777" w:rsidR="004D5A20" w:rsidRPr="004D5A20" w:rsidRDefault="004D5A20" w:rsidP="004D5A20">
            <w:pPr>
              <w:autoSpaceDE w:val="0"/>
              <w:autoSpaceDN w:val="0"/>
              <w:adjustRightInd w:val="0"/>
              <w:jc w:val="left"/>
              <w:rPr>
                <w:rFonts w:ascii="Arial Narrow" w:hAnsi="Arial Narrow" w:cs="Arial Narrow"/>
                <w:b/>
                <w:bCs/>
                <w:color w:val="FFFFFF"/>
                <w:sz w:val="17"/>
                <w:szCs w:val="17"/>
              </w:rPr>
            </w:pPr>
            <w:r w:rsidRPr="004D5A20">
              <w:rPr>
                <w:rFonts w:ascii="Arial Narrow" w:hAnsi="Arial Narrow" w:cs="Arial Narrow"/>
                <w:b/>
                <w:bCs/>
                <w:color w:val="FFFFFF"/>
                <w:sz w:val="17"/>
                <w:szCs w:val="17"/>
              </w:rPr>
              <w:t>Services</w:t>
            </w:r>
          </w:p>
        </w:tc>
      </w:tr>
      <w:tr w:rsidR="004D5A20" w:rsidRPr="004D5A20" w14:paraId="5C43030B" w14:textId="77777777" w:rsidTr="004D5A20">
        <w:trPr>
          <w:trHeight w:val="247"/>
        </w:trPr>
        <w:tc>
          <w:tcPr>
            <w:tcW w:w="4409" w:type="dxa"/>
            <w:tcBorders>
              <w:top w:val="nil"/>
              <w:left w:val="nil"/>
              <w:bottom w:val="nil"/>
              <w:right w:val="nil"/>
            </w:tcBorders>
          </w:tcPr>
          <w:p w14:paraId="323ACFA6" w14:textId="77777777" w:rsidR="004D5A20" w:rsidRPr="004D5A20" w:rsidRDefault="004D5A20" w:rsidP="004D5A20">
            <w:pPr>
              <w:autoSpaceDE w:val="0"/>
              <w:autoSpaceDN w:val="0"/>
              <w:adjustRightInd w:val="0"/>
              <w:jc w:val="left"/>
              <w:rPr>
                <w:rFonts w:ascii="Arial Narrow" w:hAnsi="Arial Narrow" w:cs="Arial Narrow"/>
                <w:color w:val="000000"/>
                <w:sz w:val="17"/>
                <w:szCs w:val="17"/>
              </w:rPr>
            </w:pPr>
            <w:r w:rsidRPr="004D5A20">
              <w:rPr>
                <w:rFonts w:ascii="Arial Narrow" w:hAnsi="Arial Narrow" w:cs="Arial Narrow"/>
                <w:color w:val="000000"/>
                <w:sz w:val="17"/>
                <w:szCs w:val="17"/>
              </w:rPr>
              <w:t>Gas distribution</w:t>
            </w:r>
          </w:p>
        </w:tc>
        <w:tc>
          <w:tcPr>
            <w:tcW w:w="4410" w:type="dxa"/>
            <w:tcBorders>
              <w:top w:val="nil"/>
              <w:left w:val="nil"/>
              <w:bottom w:val="nil"/>
              <w:right w:val="nil"/>
            </w:tcBorders>
          </w:tcPr>
          <w:p w14:paraId="153CE5A7" w14:textId="77777777" w:rsidR="004D5A20" w:rsidRPr="004D5A20" w:rsidRDefault="004D5A20" w:rsidP="004D5A20">
            <w:pPr>
              <w:autoSpaceDE w:val="0"/>
              <w:autoSpaceDN w:val="0"/>
              <w:adjustRightInd w:val="0"/>
              <w:jc w:val="left"/>
              <w:rPr>
                <w:rFonts w:ascii="Arial Narrow" w:hAnsi="Arial Narrow" w:cs="Arial Narrow"/>
                <w:color w:val="000000"/>
                <w:sz w:val="17"/>
                <w:szCs w:val="17"/>
              </w:rPr>
            </w:pPr>
            <w:r w:rsidRPr="004D5A20">
              <w:rPr>
                <w:rFonts w:ascii="Arial Narrow" w:hAnsi="Arial Narrow" w:cs="Arial Narrow"/>
                <w:color w:val="000000"/>
                <w:sz w:val="17"/>
                <w:szCs w:val="17"/>
              </w:rPr>
              <w:t>Land Transport</w:t>
            </w:r>
          </w:p>
        </w:tc>
      </w:tr>
      <w:tr w:rsidR="004D5A20" w:rsidRPr="004D5A20" w14:paraId="12C7AC02" w14:textId="77777777" w:rsidTr="004D5A20">
        <w:trPr>
          <w:trHeight w:val="247"/>
        </w:trPr>
        <w:tc>
          <w:tcPr>
            <w:tcW w:w="4409" w:type="dxa"/>
            <w:tcBorders>
              <w:top w:val="nil"/>
              <w:left w:val="nil"/>
              <w:bottom w:val="nil"/>
              <w:right w:val="nil"/>
            </w:tcBorders>
          </w:tcPr>
          <w:p w14:paraId="11D8B2DD" w14:textId="77777777" w:rsidR="004D5A20" w:rsidRPr="004D5A20" w:rsidRDefault="004D5A20" w:rsidP="004D5A20">
            <w:pPr>
              <w:autoSpaceDE w:val="0"/>
              <w:autoSpaceDN w:val="0"/>
              <w:adjustRightInd w:val="0"/>
              <w:jc w:val="left"/>
              <w:rPr>
                <w:rFonts w:ascii="Arial Narrow" w:hAnsi="Arial Narrow" w:cs="Arial Narrow"/>
                <w:color w:val="000000"/>
                <w:sz w:val="17"/>
                <w:szCs w:val="17"/>
              </w:rPr>
            </w:pPr>
            <w:r w:rsidRPr="004D5A20">
              <w:rPr>
                <w:rFonts w:ascii="Arial Narrow" w:hAnsi="Arial Narrow" w:cs="Arial Narrow"/>
                <w:color w:val="000000"/>
                <w:sz w:val="17"/>
                <w:szCs w:val="17"/>
              </w:rPr>
              <w:t>Water Collection and Distribution</w:t>
            </w:r>
          </w:p>
        </w:tc>
        <w:tc>
          <w:tcPr>
            <w:tcW w:w="4410" w:type="dxa"/>
            <w:tcBorders>
              <w:top w:val="nil"/>
              <w:left w:val="nil"/>
              <w:bottom w:val="nil"/>
              <w:right w:val="nil"/>
            </w:tcBorders>
          </w:tcPr>
          <w:p w14:paraId="4152710C" w14:textId="77777777" w:rsidR="004D5A20" w:rsidRPr="004D5A20" w:rsidRDefault="004D5A20" w:rsidP="004D5A20">
            <w:pPr>
              <w:autoSpaceDE w:val="0"/>
              <w:autoSpaceDN w:val="0"/>
              <w:adjustRightInd w:val="0"/>
              <w:jc w:val="left"/>
              <w:rPr>
                <w:rFonts w:ascii="Arial Narrow" w:hAnsi="Arial Narrow" w:cs="Arial Narrow"/>
                <w:color w:val="000000"/>
                <w:sz w:val="17"/>
                <w:szCs w:val="17"/>
              </w:rPr>
            </w:pPr>
            <w:r w:rsidRPr="004D5A20">
              <w:rPr>
                <w:rFonts w:ascii="Arial Narrow" w:hAnsi="Arial Narrow" w:cs="Arial Narrow"/>
                <w:color w:val="000000"/>
                <w:sz w:val="17"/>
                <w:szCs w:val="17"/>
              </w:rPr>
              <w:t>Air Transport</w:t>
            </w:r>
          </w:p>
        </w:tc>
      </w:tr>
      <w:tr w:rsidR="004D5A20" w:rsidRPr="004D5A20" w14:paraId="127E8022" w14:textId="77777777" w:rsidTr="004D5A20">
        <w:trPr>
          <w:trHeight w:val="247"/>
        </w:trPr>
        <w:tc>
          <w:tcPr>
            <w:tcW w:w="4409" w:type="dxa"/>
            <w:tcBorders>
              <w:top w:val="nil"/>
              <w:left w:val="nil"/>
              <w:bottom w:val="nil"/>
              <w:right w:val="nil"/>
            </w:tcBorders>
          </w:tcPr>
          <w:p w14:paraId="111E899E" w14:textId="77777777" w:rsidR="004D5A20" w:rsidRPr="004D5A20" w:rsidRDefault="004D5A20" w:rsidP="004D5A20">
            <w:pPr>
              <w:autoSpaceDE w:val="0"/>
              <w:autoSpaceDN w:val="0"/>
              <w:adjustRightInd w:val="0"/>
              <w:jc w:val="left"/>
              <w:rPr>
                <w:rFonts w:ascii="Arial Narrow" w:hAnsi="Arial Narrow" w:cs="Arial Narrow"/>
                <w:color w:val="000000"/>
                <w:sz w:val="17"/>
                <w:szCs w:val="17"/>
              </w:rPr>
            </w:pPr>
            <w:r w:rsidRPr="004D5A20">
              <w:rPr>
                <w:rFonts w:ascii="Arial Narrow" w:hAnsi="Arial Narrow" w:cs="Arial Narrow"/>
                <w:color w:val="000000"/>
                <w:sz w:val="17"/>
                <w:szCs w:val="17"/>
              </w:rPr>
              <w:t>Construction</w:t>
            </w:r>
          </w:p>
        </w:tc>
        <w:tc>
          <w:tcPr>
            <w:tcW w:w="4410" w:type="dxa"/>
            <w:tcBorders>
              <w:top w:val="nil"/>
              <w:left w:val="nil"/>
              <w:bottom w:val="nil"/>
              <w:right w:val="nil"/>
            </w:tcBorders>
          </w:tcPr>
          <w:p w14:paraId="5B923169" w14:textId="77777777" w:rsidR="004D5A20" w:rsidRPr="004D5A20" w:rsidRDefault="004D5A20" w:rsidP="004D5A20">
            <w:pPr>
              <w:autoSpaceDE w:val="0"/>
              <w:autoSpaceDN w:val="0"/>
              <w:adjustRightInd w:val="0"/>
              <w:jc w:val="left"/>
              <w:rPr>
                <w:rFonts w:ascii="Arial Narrow" w:hAnsi="Arial Narrow" w:cs="Arial Narrow"/>
                <w:color w:val="000000"/>
                <w:sz w:val="17"/>
                <w:szCs w:val="17"/>
              </w:rPr>
            </w:pPr>
            <w:r w:rsidRPr="004D5A20">
              <w:rPr>
                <w:rFonts w:ascii="Arial Narrow" w:hAnsi="Arial Narrow" w:cs="Arial Narrow"/>
                <w:color w:val="000000"/>
                <w:sz w:val="17"/>
                <w:szCs w:val="17"/>
              </w:rPr>
              <w:t>Water Transport</w:t>
            </w:r>
          </w:p>
        </w:tc>
      </w:tr>
      <w:tr w:rsidR="004D5A20" w:rsidRPr="004D5A20" w14:paraId="58A3E966" w14:textId="77777777" w:rsidTr="0075179D">
        <w:trPr>
          <w:trHeight w:val="262"/>
        </w:trPr>
        <w:tc>
          <w:tcPr>
            <w:tcW w:w="4409" w:type="dxa"/>
            <w:tcBorders>
              <w:top w:val="nil"/>
              <w:left w:val="nil"/>
              <w:bottom w:val="nil"/>
              <w:right w:val="nil"/>
            </w:tcBorders>
          </w:tcPr>
          <w:p w14:paraId="1A065CEA" w14:textId="15F33396" w:rsidR="004D5A20" w:rsidRPr="004D5A20" w:rsidRDefault="004D5A20" w:rsidP="004D5A20">
            <w:pPr>
              <w:autoSpaceDE w:val="0"/>
              <w:autoSpaceDN w:val="0"/>
              <w:adjustRightInd w:val="0"/>
              <w:jc w:val="left"/>
              <w:rPr>
                <w:rFonts w:ascii="Arial Narrow" w:hAnsi="Arial Narrow" w:cs="Arial Narrow"/>
                <w:color w:val="000000"/>
                <w:sz w:val="17"/>
                <w:szCs w:val="17"/>
              </w:rPr>
            </w:pPr>
            <w:r w:rsidRPr="004D5A20">
              <w:rPr>
                <w:rFonts w:ascii="Arial Narrow" w:hAnsi="Arial Narrow" w:cs="Arial Narrow"/>
                <w:color w:val="000000"/>
                <w:sz w:val="17"/>
                <w:szCs w:val="17"/>
              </w:rPr>
              <w:t>Electricity Transmission and Distribution</w:t>
            </w:r>
          </w:p>
        </w:tc>
        <w:tc>
          <w:tcPr>
            <w:tcW w:w="4410" w:type="dxa"/>
            <w:tcBorders>
              <w:top w:val="nil"/>
              <w:left w:val="nil"/>
              <w:bottom w:val="nil"/>
              <w:right w:val="nil"/>
            </w:tcBorders>
          </w:tcPr>
          <w:p w14:paraId="01273835" w14:textId="77777777" w:rsidR="004D5A20" w:rsidRPr="004D5A20" w:rsidRDefault="004D5A20" w:rsidP="004D5A20">
            <w:pPr>
              <w:autoSpaceDE w:val="0"/>
              <w:autoSpaceDN w:val="0"/>
              <w:adjustRightInd w:val="0"/>
              <w:jc w:val="left"/>
              <w:rPr>
                <w:rFonts w:ascii="Arial Narrow" w:hAnsi="Arial Narrow" w:cs="Arial Narrow"/>
                <w:color w:val="000000"/>
                <w:sz w:val="17"/>
                <w:szCs w:val="17"/>
              </w:rPr>
            </w:pPr>
            <w:r w:rsidRPr="004D5A20">
              <w:rPr>
                <w:rFonts w:ascii="Arial Narrow" w:hAnsi="Arial Narrow" w:cs="Arial Narrow"/>
                <w:color w:val="000000"/>
                <w:sz w:val="17"/>
                <w:szCs w:val="17"/>
              </w:rPr>
              <w:t>Insurance</w:t>
            </w:r>
          </w:p>
        </w:tc>
      </w:tr>
      <w:tr w:rsidR="004D5A20" w:rsidRPr="004D5A20" w14:paraId="6FC33B26" w14:textId="77777777" w:rsidTr="004D5A20">
        <w:trPr>
          <w:trHeight w:val="247"/>
        </w:trPr>
        <w:tc>
          <w:tcPr>
            <w:tcW w:w="4409" w:type="dxa"/>
            <w:tcBorders>
              <w:top w:val="nil"/>
              <w:left w:val="nil"/>
              <w:right w:val="nil"/>
            </w:tcBorders>
          </w:tcPr>
          <w:p w14:paraId="233DC4FA" w14:textId="04D424AF" w:rsidR="004D5A20" w:rsidRPr="004D5A20" w:rsidRDefault="004D5A20" w:rsidP="004D5A20">
            <w:pPr>
              <w:autoSpaceDE w:val="0"/>
              <w:autoSpaceDN w:val="0"/>
              <w:adjustRightInd w:val="0"/>
              <w:jc w:val="left"/>
              <w:rPr>
                <w:rFonts w:ascii="Arial Narrow" w:hAnsi="Arial Narrow" w:cs="Arial Narrow"/>
                <w:color w:val="000000"/>
                <w:sz w:val="17"/>
                <w:szCs w:val="17"/>
              </w:rPr>
            </w:pPr>
            <w:r w:rsidRPr="004D5A20">
              <w:rPr>
                <w:rFonts w:ascii="Arial Narrow" w:hAnsi="Arial Narrow" w:cs="Arial Narrow"/>
                <w:color w:val="000000"/>
                <w:sz w:val="17"/>
                <w:szCs w:val="17"/>
              </w:rPr>
              <w:t>Electricity Generation (8 technologies)</w:t>
            </w:r>
          </w:p>
        </w:tc>
        <w:tc>
          <w:tcPr>
            <w:tcW w:w="4410" w:type="dxa"/>
            <w:tcBorders>
              <w:top w:val="nil"/>
              <w:left w:val="nil"/>
              <w:right w:val="nil"/>
            </w:tcBorders>
          </w:tcPr>
          <w:p w14:paraId="13BA5E60" w14:textId="2D280E61" w:rsidR="004D5A20" w:rsidRPr="004D5A20" w:rsidRDefault="004D5A20" w:rsidP="004D5A20">
            <w:pPr>
              <w:autoSpaceDE w:val="0"/>
              <w:autoSpaceDN w:val="0"/>
              <w:adjustRightInd w:val="0"/>
              <w:jc w:val="left"/>
              <w:rPr>
                <w:rFonts w:ascii="Arial Narrow" w:hAnsi="Arial Narrow" w:cs="Arial Narrow"/>
                <w:color w:val="000000"/>
                <w:sz w:val="17"/>
                <w:szCs w:val="17"/>
              </w:rPr>
            </w:pPr>
            <w:r w:rsidRPr="004D5A20">
              <w:rPr>
                <w:rFonts w:ascii="Arial Narrow" w:hAnsi="Arial Narrow" w:cs="Arial Narrow"/>
                <w:color w:val="000000"/>
                <w:sz w:val="17"/>
                <w:szCs w:val="17"/>
              </w:rPr>
              <w:t>Trade</w:t>
            </w:r>
            <w:r w:rsidR="00DB741D">
              <w:rPr>
                <w:rFonts w:ascii="Arial Narrow" w:hAnsi="Arial Narrow" w:cs="Arial Narrow"/>
                <w:color w:val="000000"/>
                <w:sz w:val="17"/>
                <w:szCs w:val="17"/>
              </w:rPr>
              <w:t xml:space="preserve"> services</w:t>
            </w:r>
          </w:p>
        </w:tc>
      </w:tr>
      <w:tr w:rsidR="004D5A20" w:rsidRPr="004D5A20" w14:paraId="4D9275DB" w14:textId="77777777" w:rsidTr="0075179D">
        <w:trPr>
          <w:trHeight w:val="247"/>
        </w:trPr>
        <w:tc>
          <w:tcPr>
            <w:tcW w:w="4409" w:type="dxa"/>
            <w:vMerge w:val="restart"/>
            <w:tcBorders>
              <w:top w:val="nil"/>
              <w:left w:val="nil"/>
              <w:right w:val="nil"/>
            </w:tcBorders>
          </w:tcPr>
          <w:p w14:paraId="2FC11C70" w14:textId="04EC9CBE" w:rsidR="004D5A20" w:rsidRPr="004D5A20" w:rsidRDefault="004D5A20" w:rsidP="004D5A20">
            <w:pPr>
              <w:autoSpaceDE w:val="0"/>
              <w:autoSpaceDN w:val="0"/>
              <w:adjustRightInd w:val="0"/>
              <w:jc w:val="left"/>
              <w:rPr>
                <w:rFonts w:ascii="Arial Narrow" w:hAnsi="Arial Narrow" w:cs="Arial Narrow"/>
                <w:color w:val="000000"/>
                <w:sz w:val="17"/>
                <w:szCs w:val="17"/>
              </w:rPr>
            </w:pPr>
            <w:r w:rsidRPr="004D5A20">
              <w:rPr>
                <w:rFonts w:ascii="Arial Narrow" w:hAnsi="Arial Narrow" w:cs="Arial Narrow"/>
                <w:i/>
                <w:iCs/>
                <w:color w:val="000000"/>
                <w:sz w:val="17"/>
                <w:szCs w:val="17"/>
              </w:rPr>
              <w:t>Electricity generation: Nuclear Electricity; Hydro (and Geothermal); Solar; Wind; Coal-powered electricity; Gas-powered electricity; Oil-powered electricity; Other (combustible renewable, waste, etc).</w:t>
            </w:r>
          </w:p>
        </w:tc>
        <w:tc>
          <w:tcPr>
            <w:tcW w:w="4410" w:type="dxa"/>
            <w:tcBorders>
              <w:top w:val="nil"/>
              <w:left w:val="nil"/>
              <w:bottom w:val="nil"/>
              <w:right w:val="nil"/>
            </w:tcBorders>
          </w:tcPr>
          <w:p w14:paraId="1E6CC371" w14:textId="77777777" w:rsidR="004D5A20" w:rsidRPr="004D5A20" w:rsidRDefault="004D5A20" w:rsidP="004D5A20">
            <w:pPr>
              <w:autoSpaceDE w:val="0"/>
              <w:autoSpaceDN w:val="0"/>
              <w:adjustRightInd w:val="0"/>
              <w:jc w:val="left"/>
              <w:rPr>
                <w:rFonts w:ascii="Arial Narrow" w:hAnsi="Arial Narrow" w:cs="Arial Narrow"/>
                <w:color w:val="000000"/>
                <w:sz w:val="17"/>
                <w:szCs w:val="17"/>
              </w:rPr>
            </w:pPr>
            <w:r w:rsidRPr="004D5A20">
              <w:rPr>
                <w:rFonts w:ascii="Arial Narrow" w:hAnsi="Arial Narrow" w:cs="Arial Narrow"/>
                <w:color w:val="000000"/>
                <w:sz w:val="17"/>
                <w:szCs w:val="17"/>
              </w:rPr>
              <w:t>Business services n.e.s.</w:t>
            </w:r>
          </w:p>
        </w:tc>
      </w:tr>
      <w:tr w:rsidR="004D5A20" w:rsidRPr="004D5A20" w14:paraId="2269B83A" w14:textId="77777777" w:rsidTr="0075179D">
        <w:trPr>
          <w:trHeight w:val="247"/>
        </w:trPr>
        <w:tc>
          <w:tcPr>
            <w:tcW w:w="4409" w:type="dxa"/>
            <w:vMerge/>
            <w:tcBorders>
              <w:left w:val="nil"/>
              <w:right w:val="nil"/>
            </w:tcBorders>
          </w:tcPr>
          <w:p w14:paraId="7E0FAE97" w14:textId="77777777" w:rsidR="004D5A20" w:rsidRPr="004D5A20" w:rsidRDefault="004D5A20" w:rsidP="004D5A20">
            <w:pPr>
              <w:autoSpaceDE w:val="0"/>
              <w:autoSpaceDN w:val="0"/>
              <w:adjustRightInd w:val="0"/>
              <w:jc w:val="right"/>
              <w:rPr>
                <w:rFonts w:ascii="Arial Narrow" w:hAnsi="Arial Narrow" w:cs="Arial Narrow"/>
                <w:i/>
                <w:iCs/>
                <w:color w:val="000000"/>
                <w:sz w:val="17"/>
                <w:szCs w:val="17"/>
              </w:rPr>
            </w:pPr>
          </w:p>
        </w:tc>
        <w:tc>
          <w:tcPr>
            <w:tcW w:w="4410" w:type="dxa"/>
            <w:tcBorders>
              <w:top w:val="nil"/>
              <w:left w:val="nil"/>
              <w:bottom w:val="nil"/>
              <w:right w:val="nil"/>
            </w:tcBorders>
          </w:tcPr>
          <w:p w14:paraId="3AA9E2AC" w14:textId="5222C708" w:rsidR="004D5A20" w:rsidRPr="004D5A20" w:rsidRDefault="004D5A20" w:rsidP="004D5A20">
            <w:pPr>
              <w:autoSpaceDE w:val="0"/>
              <w:autoSpaceDN w:val="0"/>
              <w:adjustRightInd w:val="0"/>
              <w:jc w:val="left"/>
              <w:rPr>
                <w:rFonts w:ascii="Arial Narrow" w:hAnsi="Arial Narrow" w:cs="Arial Narrow"/>
                <w:color w:val="000000"/>
                <w:sz w:val="17"/>
                <w:szCs w:val="17"/>
              </w:rPr>
            </w:pPr>
            <w:r w:rsidRPr="004D5A20">
              <w:rPr>
                <w:rFonts w:ascii="Arial Narrow" w:hAnsi="Arial Narrow" w:cs="Arial Narrow"/>
                <w:color w:val="000000"/>
                <w:sz w:val="17"/>
                <w:szCs w:val="17"/>
              </w:rPr>
              <w:t>Real estate activities</w:t>
            </w:r>
          </w:p>
        </w:tc>
      </w:tr>
      <w:tr w:rsidR="004D5A20" w:rsidRPr="004D5A20" w14:paraId="2A4D1677" w14:textId="77777777" w:rsidTr="0075179D">
        <w:trPr>
          <w:trHeight w:val="247"/>
        </w:trPr>
        <w:tc>
          <w:tcPr>
            <w:tcW w:w="4409" w:type="dxa"/>
            <w:vMerge/>
            <w:tcBorders>
              <w:left w:val="nil"/>
              <w:right w:val="nil"/>
            </w:tcBorders>
          </w:tcPr>
          <w:p w14:paraId="35DEF18B" w14:textId="77777777" w:rsidR="004D5A20" w:rsidRPr="004D5A20" w:rsidRDefault="004D5A20" w:rsidP="004D5A20">
            <w:pPr>
              <w:autoSpaceDE w:val="0"/>
              <w:autoSpaceDN w:val="0"/>
              <w:adjustRightInd w:val="0"/>
              <w:jc w:val="right"/>
              <w:rPr>
                <w:rFonts w:ascii="Arial Narrow" w:hAnsi="Arial Narrow" w:cs="Arial Narrow"/>
                <w:i/>
                <w:iCs/>
                <w:color w:val="000000"/>
                <w:sz w:val="17"/>
                <w:szCs w:val="17"/>
              </w:rPr>
            </w:pPr>
          </w:p>
        </w:tc>
        <w:tc>
          <w:tcPr>
            <w:tcW w:w="4410" w:type="dxa"/>
            <w:tcBorders>
              <w:top w:val="nil"/>
              <w:left w:val="nil"/>
              <w:bottom w:val="nil"/>
              <w:right w:val="nil"/>
            </w:tcBorders>
          </w:tcPr>
          <w:p w14:paraId="44E54321" w14:textId="1B3A63BD" w:rsidR="004D5A20" w:rsidRPr="004D5A20" w:rsidRDefault="004D5A20" w:rsidP="004D5A20">
            <w:pPr>
              <w:autoSpaceDE w:val="0"/>
              <w:autoSpaceDN w:val="0"/>
              <w:adjustRightInd w:val="0"/>
              <w:jc w:val="left"/>
              <w:rPr>
                <w:rFonts w:ascii="Arial Narrow" w:hAnsi="Arial Narrow" w:cs="Arial Narrow"/>
                <w:color w:val="000000"/>
                <w:sz w:val="17"/>
                <w:szCs w:val="17"/>
              </w:rPr>
            </w:pPr>
            <w:r w:rsidRPr="004D5A20">
              <w:rPr>
                <w:rFonts w:ascii="Arial Narrow" w:hAnsi="Arial Narrow" w:cs="Arial Narrow"/>
                <w:color w:val="000000"/>
                <w:sz w:val="17"/>
                <w:szCs w:val="17"/>
              </w:rPr>
              <w:t>Accom</w:t>
            </w:r>
            <w:r>
              <w:rPr>
                <w:rFonts w:ascii="Arial Narrow" w:hAnsi="Arial Narrow" w:cs="Arial Narrow"/>
                <w:color w:val="000000"/>
                <w:sz w:val="17"/>
                <w:szCs w:val="17"/>
              </w:rPr>
              <w:t>m</w:t>
            </w:r>
            <w:r w:rsidRPr="004D5A20">
              <w:rPr>
                <w:rFonts w:ascii="Arial Narrow" w:hAnsi="Arial Narrow" w:cs="Arial Narrow"/>
                <w:color w:val="000000"/>
                <w:sz w:val="17"/>
                <w:szCs w:val="17"/>
              </w:rPr>
              <w:t>odation and food service activities</w:t>
            </w:r>
          </w:p>
        </w:tc>
      </w:tr>
      <w:tr w:rsidR="004D5A20" w:rsidRPr="004D5A20" w14:paraId="0287C3DD" w14:textId="77777777" w:rsidTr="0075179D">
        <w:trPr>
          <w:trHeight w:val="262"/>
        </w:trPr>
        <w:tc>
          <w:tcPr>
            <w:tcW w:w="4409" w:type="dxa"/>
            <w:vMerge/>
            <w:tcBorders>
              <w:left w:val="nil"/>
              <w:right w:val="nil"/>
            </w:tcBorders>
          </w:tcPr>
          <w:p w14:paraId="7170D848" w14:textId="77777777" w:rsidR="004D5A20" w:rsidRPr="004D5A20" w:rsidRDefault="004D5A20" w:rsidP="004D5A20">
            <w:pPr>
              <w:autoSpaceDE w:val="0"/>
              <w:autoSpaceDN w:val="0"/>
              <w:adjustRightInd w:val="0"/>
              <w:jc w:val="right"/>
              <w:rPr>
                <w:rFonts w:ascii="Arial Narrow" w:hAnsi="Arial Narrow" w:cs="Arial Narrow"/>
                <w:i/>
                <w:iCs/>
                <w:color w:val="000000"/>
                <w:sz w:val="17"/>
                <w:szCs w:val="17"/>
              </w:rPr>
            </w:pPr>
          </w:p>
        </w:tc>
        <w:tc>
          <w:tcPr>
            <w:tcW w:w="4410" w:type="dxa"/>
            <w:tcBorders>
              <w:top w:val="nil"/>
              <w:left w:val="nil"/>
              <w:bottom w:val="nil"/>
              <w:right w:val="nil"/>
            </w:tcBorders>
          </w:tcPr>
          <w:p w14:paraId="112639E5" w14:textId="2A10F75E" w:rsidR="004D5A20" w:rsidRPr="004D5A20" w:rsidRDefault="004D5A20" w:rsidP="004D5A20">
            <w:pPr>
              <w:autoSpaceDE w:val="0"/>
              <w:autoSpaceDN w:val="0"/>
              <w:adjustRightInd w:val="0"/>
              <w:jc w:val="left"/>
              <w:rPr>
                <w:rFonts w:ascii="Arial Narrow" w:hAnsi="Arial Narrow" w:cs="Arial Narrow"/>
                <w:color w:val="000000"/>
                <w:sz w:val="17"/>
                <w:szCs w:val="17"/>
              </w:rPr>
            </w:pPr>
            <w:r w:rsidRPr="004D5A20">
              <w:rPr>
                <w:rFonts w:ascii="Arial Narrow" w:hAnsi="Arial Narrow" w:cs="Arial Narrow"/>
                <w:color w:val="000000"/>
                <w:sz w:val="17"/>
                <w:szCs w:val="17"/>
              </w:rPr>
              <w:t>Public administration and defence</w:t>
            </w:r>
          </w:p>
        </w:tc>
      </w:tr>
      <w:tr w:rsidR="004D5A20" w:rsidRPr="004D5A20" w14:paraId="335DD3E5" w14:textId="77777777" w:rsidTr="0075179D">
        <w:trPr>
          <w:trHeight w:val="262"/>
        </w:trPr>
        <w:tc>
          <w:tcPr>
            <w:tcW w:w="4409" w:type="dxa"/>
            <w:vMerge/>
            <w:tcBorders>
              <w:left w:val="nil"/>
              <w:right w:val="nil"/>
            </w:tcBorders>
          </w:tcPr>
          <w:p w14:paraId="385D2685" w14:textId="77777777" w:rsidR="004D5A20" w:rsidRPr="004D5A20" w:rsidRDefault="004D5A20" w:rsidP="004D5A20">
            <w:pPr>
              <w:autoSpaceDE w:val="0"/>
              <w:autoSpaceDN w:val="0"/>
              <w:adjustRightInd w:val="0"/>
              <w:jc w:val="right"/>
              <w:rPr>
                <w:rFonts w:ascii="Arial" w:hAnsi="Arial" w:cs="Arial"/>
                <w:color w:val="000000"/>
              </w:rPr>
            </w:pPr>
          </w:p>
        </w:tc>
        <w:tc>
          <w:tcPr>
            <w:tcW w:w="4410" w:type="dxa"/>
            <w:tcBorders>
              <w:top w:val="nil"/>
              <w:left w:val="nil"/>
              <w:bottom w:val="nil"/>
              <w:right w:val="nil"/>
            </w:tcBorders>
          </w:tcPr>
          <w:p w14:paraId="689B92DB" w14:textId="67EEA358" w:rsidR="004D5A20" w:rsidRPr="004D5A20" w:rsidRDefault="004D5A20" w:rsidP="004D5A20">
            <w:pPr>
              <w:autoSpaceDE w:val="0"/>
              <w:autoSpaceDN w:val="0"/>
              <w:adjustRightInd w:val="0"/>
              <w:jc w:val="left"/>
              <w:rPr>
                <w:rFonts w:ascii="Arial Narrow" w:hAnsi="Arial Narrow" w:cs="Arial Narrow"/>
                <w:color w:val="000000"/>
                <w:sz w:val="17"/>
                <w:szCs w:val="17"/>
              </w:rPr>
            </w:pPr>
            <w:r w:rsidRPr="004D5A20">
              <w:rPr>
                <w:rFonts w:ascii="Arial Narrow" w:hAnsi="Arial Narrow" w:cs="Arial Narrow"/>
                <w:color w:val="000000"/>
                <w:sz w:val="17"/>
                <w:szCs w:val="17"/>
              </w:rPr>
              <w:t>Education</w:t>
            </w:r>
          </w:p>
        </w:tc>
      </w:tr>
      <w:tr w:rsidR="004D5A20" w:rsidRPr="004D5A20" w14:paraId="25A4B94E" w14:textId="77777777" w:rsidTr="004D5A20">
        <w:trPr>
          <w:trHeight w:val="247"/>
        </w:trPr>
        <w:tc>
          <w:tcPr>
            <w:tcW w:w="4409" w:type="dxa"/>
            <w:vMerge/>
            <w:tcBorders>
              <w:left w:val="nil"/>
              <w:bottom w:val="single" w:sz="18" w:space="0" w:color="auto"/>
              <w:right w:val="nil"/>
            </w:tcBorders>
          </w:tcPr>
          <w:p w14:paraId="06C0280E" w14:textId="53E95143" w:rsidR="004D5A20" w:rsidRPr="004D5A20" w:rsidRDefault="004D5A20" w:rsidP="004D5A20">
            <w:pPr>
              <w:autoSpaceDE w:val="0"/>
              <w:autoSpaceDN w:val="0"/>
              <w:adjustRightInd w:val="0"/>
              <w:jc w:val="left"/>
              <w:rPr>
                <w:rFonts w:ascii="Arial Narrow" w:hAnsi="Arial Narrow" w:cs="Arial Narrow"/>
                <w:i/>
                <w:iCs/>
                <w:color w:val="000000"/>
                <w:sz w:val="17"/>
                <w:szCs w:val="17"/>
              </w:rPr>
            </w:pPr>
          </w:p>
        </w:tc>
        <w:tc>
          <w:tcPr>
            <w:tcW w:w="4410" w:type="dxa"/>
            <w:tcBorders>
              <w:top w:val="nil"/>
              <w:left w:val="nil"/>
              <w:bottom w:val="single" w:sz="18" w:space="0" w:color="auto"/>
              <w:right w:val="nil"/>
            </w:tcBorders>
          </w:tcPr>
          <w:p w14:paraId="14CD5E3B" w14:textId="382A65AC" w:rsidR="004D5A20" w:rsidRPr="004D5A20" w:rsidRDefault="004D5A20" w:rsidP="004D5A20">
            <w:pPr>
              <w:autoSpaceDE w:val="0"/>
              <w:autoSpaceDN w:val="0"/>
              <w:adjustRightInd w:val="0"/>
              <w:jc w:val="left"/>
              <w:rPr>
                <w:rFonts w:ascii="Arial Narrow" w:hAnsi="Arial Narrow" w:cs="Arial Narrow"/>
                <w:color w:val="000000"/>
                <w:sz w:val="17"/>
                <w:szCs w:val="17"/>
              </w:rPr>
            </w:pPr>
            <w:r w:rsidRPr="004D5A20">
              <w:rPr>
                <w:rFonts w:ascii="Arial Narrow" w:hAnsi="Arial Narrow" w:cs="Arial Narrow"/>
                <w:color w:val="000000"/>
                <w:sz w:val="17"/>
                <w:szCs w:val="17"/>
              </w:rPr>
              <w:t>Human health and social work</w:t>
            </w:r>
          </w:p>
        </w:tc>
      </w:tr>
    </w:tbl>
    <w:p w14:paraId="2F9C4FD4" w14:textId="1F778B65" w:rsidR="004D5A20" w:rsidRPr="00961F86" w:rsidRDefault="004D5A20" w:rsidP="004D5A20">
      <w:pPr>
        <w:pStyle w:val="Caption"/>
        <w:pageBreakBefore/>
      </w:pPr>
      <w:r>
        <w:lastRenderedPageBreak/>
        <w:t>Table </w:t>
      </w:r>
      <w:r w:rsidR="00331DD0">
        <w:fldChar w:fldCharType="begin"/>
      </w:r>
      <w:r w:rsidR="00331DD0">
        <w:instrText xml:space="preserve"> STYLEREF 7 \s </w:instrText>
      </w:r>
      <w:r w:rsidR="00331DD0">
        <w:fldChar w:fldCharType="separate"/>
      </w:r>
      <w:r w:rsidR="00222812">
        <w:rPr>
          <w:noProof/>
        </w:rPr>
        <w:t>A</w:t>
      </w:r>
      <w:r w:rsidR="00331DD0">
        <w:rPr>
          <w:noProof/>
        </w:rPr>
        <w:fldChar w:fldCharType="end"/>
      </w:r>
      <w:r>
        <w:t>.</w:t>
      </w:r>
      <w:r w:rsidR="00331DD0">
        <w:fldChar w:fldCharType="begin"/>
      </w:r>
      <w:r w:rsidR="00331DD0">
        <w:instrText xml:space="preserve"> SEQ Table_A \* ARABIC \s 7 </w:instrText>
      </w:r>
      <w:r w:rsidR="00331DD0">
        <w:fldChar w:fldCharType="separate"/>
      </w:r>
      <w:r w:rsidR="00222812">
        <w:rPr>
          <w:noProof/>
        </w:rPr>
        <w:t>2</w:t>
      </w:r>
      <w:r w:rsidR="00331DD0">
        <w:rPr>
          <w:noProof/>
        </w:rPr>
        <w:fldChar w:fldCharType="end"/>
      </w:r>
      <w:bookmarkEnd w:id="71"/>
      <w:r>
        <w:t>. ENV-Linkages model regions</w:t>
      </w:r>
      <w:bookmarkEnd w:id="72"/>
      <w:bookmarkEnd w:id="73"/>
      <w:bookmarkEnd w:id="74"/>
      <w:bookmarkEnd w:id="75"/>
      <w:bookmarkEnd w:id="76"/>
      <w:bookmarkEnd w:id="77"/>
      <w:bookmarkEnd w:id="78"/>
      <w:bookmarkEnd w:id="79"/>
      <w:bookmarkEnd w:id="80"/>
      <w:bookmarkEnd w:id="81"/>
      <w:bookmarkEnd w:id="82"/>
      <w:bookmarkEnd w:id="83"/>
      <w:bookmarkEnd w:id="84"/>
    </w:p>
    <w:tbl>
      <w:tblPr>
        <w:tblW w:w="0" w:type="auto"/>
        <w:tblInd w:w="-30" w:type="dxa"/>
        <w:tblLayout w:type="fixed"/>
        <w:tblLook w:val="0000" w:firstRow="0" w:lastRow="0" w:firstColumn="0" w:lastColumn="0" w:noHBand="0" w:noVBand="0"/>
      </w:tblPr>
      <w:tblGrid>
        <w:gridCol w:w="835"/>
        <w:gridCol w:w="1104"/>
        <w:gridCol w:w="2523"/>
        <w:gridCol w:w="3784"/>
      </w:tblGrid>
      <w:tr w:rsidR="00100D5F" w:rsidRPr="00100D5F" w14:paraId="773D0B95" w14:textId="77777777" w:rsidTr="00100D5F">
        <w:trPr>
          <w:trHeight w:val="276"/>
        </w:trPr>
        <w:tc>
          <w:tcPr>
            <w:tcW w:w="1939" w:type="dxa"/>
            <w:gridSpan w:val="2"/>
            <w:tcBorders>
              <w:top w:val="single" w:sz="18" w:space="0" w:color="333399"/>
              <w:left w:val="nil"/>
              <w:bottom w:val="single" w:sz="12" w:space="0" w:color="auto"/>
              <w:right w:val="nil"/>
            </w:tcBorders>
          </w:tcPr>
          <w:p w14:paraId="0A00354B" w14:textId="77777777" w:rsidR="00100D5F" w:rsidRPr="00100D5F" w:rsidRDefault="00100D5F" w:rsidP="00100D5F">
            <w:pPr>
              <w:autoSpaceDE w:val="0"/>
              <w:autoSpaceDN w:val="0"/>
              <w:adjustRightInd w:val="0"/>
              <w:jc w:val="center"/>
              <w:rPr>
                <w:rFonts w:ascii="Arial Narrow" w:hAnsi="Arial Narrow" w:cs="Arial Narrow"/>
                <w:color w:val="000000"/>
                <w:sz w:val="17"/>
                <w:szCs w:val="17"/>
              </w:rPr>
            </w:pPr>
            <w:r w:rsidRPr="00100D5F">
              <w:rPr>
                <w:rFonts w:ascii="Arial Narrow" w:hAnsi="Arial Narrow" w:cs="Arial Narrow"/>
                <w:color w:val="000000"/>
                <w:sz w:val="17"/>
                <w:szCs w:val="17"/>
              </w:rPr>
              <w:t>Macro regions</w:t>
            </w:r>
          </w:p>
        </w:tc>
        <w:tc>
          <w:tcPr>
            <w:tcW w:w="2523" w:type="dxa"/>
            <w:tcBorders>
              <w:top w:val="single" w:sz="18" w:space="0" w:color="333399"/>
              <w:left w:val="nil"/>
              <w:bottom w:val="single" w:sz="12" w:space="0" w:color="auto"/>
              <w:right w:val="nil"/>
            </w:tcBorders>
          </w:tcPr>
          <w:p w14:paraId="0BD9A27D" w14:textId="77777777" w:rsidR="00100D5F" w:rsidRPr="00100D5F" w:rsidRDefault="00100D5F" w:rsidP="00100D5F">
            <w:pPr>
              <w:autoSpaceDE w:val="0"/>
              <w:autoSpaceDN w:val="0"/>
              <w:adjustRightInd w:val="0"/>
              <w:jc w:val="center"/>
              <w:rPr>
                <w:rFonts w:ascii="Arial Narrow" w:hAnsi="Arial Narrow" w:cs="Arial Narrow"/>
                <w:color w:val="000000"/>
                <w:sz w:val="17"/>
                <w:szCs w:val="17"/>
              </w:rPr>
            </w:pPr>
            <w:r w:rsidRPr="00100D5F">
              <w:rPr>
                <w:rFonts w:ascii="Arial Narrow" w:hAnsi="Arial Narrow" w:cs="Arial Narrow"/>
                <w:color w:val="000000"/>
                <w:sz w:val="17"/>
                <w:szCs w:val="17"/>
              </w:rPr>
              <w:t>ENV-Linkages countries and regions</w:t>
            </w:r>
          </w:p>
        </w:tc>
        <w:tc>
          <w:tcPr>
            <w:tcW w:w="3784" w:type="dxa"/>
            <w:tcBorders>
              <w:top w:val="single" w:sz="18" w:space="0" w:color="333399"/>
              <w:left w:val="nil"/>
              <w:bottom w:val="single" w:sz="12" w:space="0" w:color="auto"/>
              <w:right w:val="nil"/>
            </w:tcBorders>
          </w:tcPr>
          <w:p w14:paraId="373B4118" w14:textId="77777777" w:rsidR="00100D5F" w:rsidRPr="00100D5F" w:rsidRDefault="00100D5F" w:rsidP="00100D5F">
            <w:pPr>
              <w:autoSpaceDE w:val="0"/>
              <w:autoSpaceDN w:val="0"/>
              <w:adjustRightInd w:val="0"/>
              <w:jc w:val="center"/>
              <w:rPr>
                <w:rFonts w:ascii="Arial Narrow" w:hAnsi="Arial Narrow" w:cs="Arial Narrow"/>
                <w:color w:val="000000"/>
                <w:sz w:val="17"/>
                <w:szCs w:val="17"/>
              </w:rPr>
            </w:pPr>
            <w:r w:rsidRPr="00100D5F">
              <w:rPr>
                <w:rFonts w:ascii="Arial Narrow" w:hAnsi="Arial Narrow" w:cs="Arial Narrow"/>
                <w:color w:val="000000"/>
                <w:sz w:val="17"/>
                <w:szCs w:val="17"/>
              </w:rPr>
              <w:t>Most important comprising countries and territories</w:t>
            </w:r>
          </w:p>
        </w:tc>
      </w:tr>
      <w:tr w:rsidR="00100D5F" w:rsidRPr="00100D5F" w14:paraId="6EE94071" w14:textId="77777777" w:rsidTr="00100D5F">
        <w:trPr>
          <w:trHeight w:val="247"/>
        </w:trPr>
        <w:tc>
          <w:tcPr>
            <w:tcW w:w="835" w:type="dxa"/>
            <w:vMerge w:val="restart"/>
            <w:tcBorders>
              <w:top w:val="single" w:sz="12" w:space="0" w:color="auto"/>
              <w:left w:val="nil"/>
              <w:right w:val="nil"/>
            </w:tcBorders>
            <w:vAlign w:val="center"/>
          </w:tcPr>
          <w:p w14:paraId="7BF25979" w14:textId="77777777" w:rsidR="00100D5F" w:rsidRPr="00100D5F" w:rsidRDefault="00100D5F" w:rsidP="00100D5F">
            <w:pPr>
              <w:autoSpaceDE w:val="0"/>
              <w:autoSpaceDN w:val="0"/>
              <w:adjustRightInd w:val="0"/>
              <w:jc w:val="left"/>
              <w:rPr>
                <w:rFonts w:ascii="Arial Narrow" w:hAnsi="Arial Narrow" w:cs="Arial Narrow"/>
                <w:color w:val="000000"/>
                <w:sz w:val="17"/>
                <w:szCs w:val="17"/>
              </w:rPr>
            </w:pPr>
            <w:r w:rsidRPr="00100D5F">
              <w:rPr>
                <w:rFonts w:ascii="Arial Narrow" w:hAnsi="Arial Narrow" w:cs="Arial Narrow"/>
                <w:color w:val="000000"/>
                <w:sz w:val="17"/>
                <w:szCs w:val="17"/>
              </w:rPr>
              <w:t>OECD</w:t>
            </w:r>
          </w:p>
        </w:tc>
        <w:tc>
          <w:tcPr>
            <w:tcW w:w="1104" w:type="dxa"/>
            <w:vMerge w:val="restart"/>
            <w:tcBorders>
              <w:top w:val="single" w:sz="12" w:space="0" w:color="auto"/>
              <w:left w:val="nil"/>
              <w:right w:val="nil"/>
            </w:tcBorders>
            <w:vAlign w:val="center"/>
          </w:tcPr>
          <w:p w14:paraId="1B5F6B06" w14:textId="77777777" w:rsidR="00100D5F" w:rsidRPr="00100D5F" w:rsidRDefault="00100D5F" w:rsidP="00100D5F">
            <w:pPr>
              <w:autoSpaceDE w:val="0"/>
              <w:autoSpaceDN w:val="0"/>
              <w:adjustRightInd w:val="0"/>
              <w:jc w:val="left"/>
              <w:rPr>
                <w:rFonts w:ascii="Arial Narrow" w:hAnsi="Arial Narrow" w:cs="Arial Narrow"/>
                <w:color w:val="000000"/>
                <w:sz w:val="17"/>
                <w:szCs w:val="17"/>
              </w:rPr>
            </w:pPr>
            <w:r w:rsidRPr="00100D5F">
              <w:rPr>
                <w:rFonts w:ascii="Arial Narrow" w:hAnsi="Arial Narrow" w:cs="Arial Narrow"/>
                <w:color w:val="000000"/>
                <w:sz w:val="17"/>
                <w:szCs w:val="17"/>
              </w:rPr>
              <w:t>OECD America</w:t>
            </w:r>
          </w:p>
        </w:tc>
        <w:tc>
          <w:tcPr>
            <w:tcW w:w="2523" w:type="dxa"/>
            <w:tcBorders>
              <w:top w:val="nil"/>
              <w:left w:val="nil"/>
              <w:bottom w:val="dotted" w:sz="6" w:space="0" w:color="auto"/>
              <w:right w:val="nil"/>
            </w:tcBorders>
          </w:tcPr>
          <w:p w14:paraId="36998698" w14:textId="77777777" w:rsidR="00100D5F" w:rsidRPr="00100D5F" w:rsidRDefault="00100D5F" w:rsidP="00100D5F">
            <w:pPr>
              <w:autoSpaceDE w:val="0"/>
              <w:autoSpaceDN w:val="0"/>
              <w:adjustRightInd w:val="0"/>
              <w:jc w:val="left"/>
              <w:rPr>
                <w:rFonts w:ascii="Arial Narrow" w:hAnsi="Arial Narrow" w:cs="Arial Narrow"/>
                <w:color w:val="000000"/>
                <w:sz w:val="17"/>
                <w:szCs w:val="17"/>
              </w:rPr>
            </w:pPr>
            <w:r w:rsidRPr="00100D5F">
              <w:rPr>
                <w:rFonts w:ascii="Arial Narrow" w:hAnsi="Arial Narrow" w:cs="Arial Narrow"/>
                <w:color w:val="000000"/>
                <w:sz w:val="17"/>
                <w:szCs w:val="17"/>
              </w:rPr>
              <w:t>Canada</w:t>
            </w:r>
          </w:p>
        </w:tc>
        <w:tc>
          <w:tcPr>
            <w:tcW w:w="3784" w:type="dxa"/>
            <w:tcBorders>
              <w:top w:val="nil"/>
              <w:left w:val="nil"/>
              <w:bottom w:val="dotted" w:sz="6" w:space="0" w:color="auto"/>
              <w:right w:val="nil"/>
            </w:tcBorders>
          </w:tcPr>
          <w:p w14:paraId="3ACD3EA6" w14:textId="77777777" w:rsidR="00100D5F" w:rsidRPr="00100D5F" w:rsidRDefault="00100D5F" w:rsidP="00100D5F">
            <w:pPr>
              <w:autoSpaceDE w:val="0"/>
              <w:autoSpaceDN w:val="0"/>
              <w:adjustRightInd w:val="0"/>
              <w:jc w:val="left"/>
              <w:rPr>
                <w:rFonts w:ascii="Arial Narrow" w:hAnsi="Arial Narrow" w:cs="Arial Narrow"/>
                <w:color w:val="000000"/>
                <w:sz w:val="17"/>
                <w:szCs w:val="17"/>
              </w:rPr>
            </w:pPr>
            <w:r w:rsidRPr="00100D5F">
              <w:rPr>
                <w:rFonts w:ascii="Arial Narrow" w:hAnsi="Arial Narrow" w:cs="Arial Narrow"/>
                <w:color w:val="000000"/>
                <w:sz w:val="17"/>
                <w:szCs w:val="17"/>
              </w:rPr>
              <w:t>Canada</w:t>
            </w:r>
          </w:p>
        </w:tc>
      </w:tr>
      <w:tr w:rsidR="00100D5F" w:rsidRPr="00100D5F" w14:paraId="7CC4EF07" w14:textId="77777777" w:rsidTr="0075179D">
        <w:trPr>
          <w:trHeight w:val="247"/>
        </w:trPr>
        <w:tc>
          <w:tcPr>
            <w:tcW w:w="835" w:type="dxa"/>
            <w:vMerge/>
            <w:tcBorders>
              <w:left w:val="nil"/>
              <w:right w:val="nil"/>
            </w:tcBorders>
          </w:tcPr>
          <w:p w14:paraId="055A1C9A" w14:textId="77777777" w:rsidR="00100D5F" w:rsidRPr="00100D5F" w:rsidRDefault="00100D5F" w:rsidP="00100D5F">
            <w:pPr>
              <w:autoSpaceDE w:val="0"/>
              <w:autoSpaceDN w:val="0"/>
              <w:adjustRightInd w:val="0"/>
              <w:jc w:val="center"/>
              <w:rPr>
                <w:rFonts w:ascii="Arial Narrow" w:hAnsi="Arial Narrow" w:cs="Arial Narrow"/>
                <w:color w:val="000000"/>
                <w:sz w:val="17"/>
                <w:szCs w:val="17"/>
              </w:rPr>
            </w:pPr>
          </w:p>
        </w:tc>
        <w:tc>
          <w:tcPr>
            <w:tcW w:w="1104" w:type="dxa"/>
            <w:vMerge/>
            <w:tcBorders>
              <w:left w:val="nil"/>
              <w:right w:val="nil"/>
            </w:tcBorders>
          </w:tcPr>
          <w:p w14:paraId="6D07E2A2" w14:textId="77777777" w:rsidR="00100D5F" w:rsidRPr="00100D5F" w:rsidRDefault="00100D5F" w:rsidP="00100D5F">
            <w:pPr>
              <w:autoSpaceDE w:val="0"/>
              <w:autoSpaceDN w:val="0"/>
              <w:adjustRightInd w:val="0"/>
              <w:jc w:val="center"/>
              <w:rPr>
                <w:rFonts w:ascii="Arial Narrow" w:hAnsi="Arial Narrow" w:cs="Arial Narrow"/>
                <w:color w:val="000000"/>
                <w:sz w:val="17"/>
                <w:szCs w:val="17"/>
              </w:rPr>
            </w:pPr>
          </w:p>
        </w:tc>
        <w:tc>
          <w:tcPr>
            <w:tcW w:w="2523" w:type="dxa"/>
            <w:tcBorders>
              <w:top w:val="nil"/>
              <w:left w:val="nil"/>
              <w:bottom w:val="dotted" w:sz="6" w:space="0" w:color="auto"/>
              <w:right w:val="nil"/>
            </w:tcBorders>
          </w:tcPr>
          <w:p w14:paraId="628E64E0" w14:textId="77777777" w:rsidR="00100D5F" w:rsidRPr="00100D5F" w:rsidRDefault="00100D5F" w:rsidP="00100D5F">
            <w:pPr>
              <w:autoSpaceDE w:val="0"/>
              <w:autoSpaceDN w:val="0"/>
              <w:adjustRightInd w:val="0"/>
              <w:jc w:val="left"/>
              <w:rPr>
                <w:rFonts w:ascii="Arial Narrow" w:hAnsi="Arial Narrow" w:cs="Arial Narrow"/>
                <w:color w:val="000000"/>
                <w:sz w:val="17"/>
                <w:szCs w:val="17"/>
              </w:rPr>
            </w:pPr>
            <w:r w:rsidRPr="00100D5F">
              <w:rPr>
                <w:rFonts w:ascii="Arial Narrow" w:hAnsi="Arial Narrow" w:cs="Arial Narrow"/>
                <w:color w:val="000000"/>
                <w:sz w:val="17"/>
                <w:szCs w:val="17"/>
              </w:rPr>
              <w:t>USA</w:t>
            </w:r>
          </w:p>
        </w:tc>
        <w:tc>
          <w:tcPr>
            <w:tcW w:w="3784" w:type="dxa"/>
            <w:tcBorders>
              <w:top w:val="nil"/>
              <w:left w:val="nil"/>
              <w:bottom w:val="dotted" w:sz="6" w:space="0" w:color="auto"/>
              <w:right w:val="nil"/>
            </w:tcBorders>
          </w:tcPr>
          <w:p w14:paraId="0BC0C151" w14:textId="77777777" w:rsidR="00100D5F" w:rsidRPr="00100D5F" w:rsidRDefault="00100D5F" w:rsidP="00100D5F">
            <w:pPr>
              <w:autoSpaceDE w:val="0"/>
              <w:autoSpaceDN w:val="0"/>
              <w:adjustRightInd w:val="0"/>
              <w:jc w:val="left"/>
              <w:rPr>
                <w:rFonts w:ascii="Arial Narrow" w:hAnsi="Arial Narrow" w:cs="Arial Narrow"/>
                <w:color w:val="000000"/>
                <w:sz w:val="17"/>
                <w:szCs w:val="17"/>
              </w:rPr>
            </w:pPr>
            <w:r w:rsidRPr="00100D5F">
              <w:rPr>
                <w:rFonts w:ascii="Arial Narrow" w:hAnsi="Arial Narrow" w:cs="Arial Narrow"/>
                <w:color w:val="000000"/>
                <w:sz w:val="17"/>
                <w:szCs w:val="17"/>
              </w:rPr>
              <w:t>United States of America</w:t>
            </w:r>
          </w:p>
        </w:tc>
      </w:tr>
      <w:tr w:rsidR="00100D5F" w:rsidRPr="00100D5F" w14:paraId="1226B926" w14:textId="77777777" w:rsidTr="0075179D">
        <w:trPr>
          <w:trHeight w:val="262"/>
        </w:trPr>
        <w:tc>
          <w:tcPr>
            <w:tcW w:w="835" w:type="dxa"/>
            <w:vMerge/>
            <w:tcBorders>
              <w:left w:val="nil"/>
              <w:right w:val="nil"/>
            </w:tcBorders>
          </w:tcPr>
          <w:p w14:paraId="2A12DEFF" w14:textId="77777777" w:rsidR="00100D5F" w:rsidRPr="00100D5F" w:rsidRDefault="00100D5F" w:rsidP="00100D5F">
            <w:pPr>
              <w:autoSpaceDE w:val="0"/>
              <w:autoSpaceDN w:val="0"/>
              <w:adjustRightInd w:val="0"/>
              <w:jc w:val="center"/>
              <w:rPr>
                <w:rFonts w:ascii="Arial Narrow" w:hAnsi="Arial Narrow" w:cs="Arial Narrow"/>
                <w:color w:val="000000"/>
                <w:sz w:val="17"/>
                <w:szCs w:val="17"/>
              </w:rPr>
            </w:pPr>
          </w:p>
        </w:tc>
        <w:tc>
          <w:tcPr>
            <w:tcW w:w="1104" w:type="dxa"/>
            <w:vMerge/>
            <w:tcBorders>
              <w:left w:val="nil"/>
              <w:bottom w:val="nil"/>
              <w:right w:val="nil"/>
            </w:tcBorders>
          </w:tcPr>
          <w:p w14:paraId="3101B56E" w14:textId="77777777" w:rsidR="00100D5F" w:rsidRPr="00100D5F" w:rsidRDefault="00100D5F" w:rsidP="00100D5F">
            <w:pPr>
              <w:autoSpaceDE w:val="0"/>
              <w:autoSpaceDN w:val="0"/>
              <w:adjustRightInd w:val="0"/>
              <w:jc w:val="center"/>
              <w:rPr>
                <w:rFonts w:ascii="Arial Narrow" w:hAnsi="Arial Narrow" w:cs="Arial Narrow"/>
                <w:color w:val="000000"/>
                <w:sz w:val="17"/>
                <w:szCs w:val="17"/>
              </w:rPr>
            </w:pPr>
          </w:p>
        </w:tc>
        <w:tc>
          <w:tcPr>
            <w:tcW w:w="2523" w:type="dxa"/>
            <w:tcBorders>
              <w:top w:val="nil"/>
              <w:left w:val="nil"/>
              <w:bottom w:val="single" w:sz="12" w:space="0" w:color="auto"/>
              <w:right w:val="nil"/>
            </w:tcBorders>
          </w:tcPr>
          <w:p w14:paraId="2999F9CE" w14:textId="77777777" w:rsidR="00100D5F" w:rsidRPr="00100D5F" w:rsidRDefault="00100D5F" w:rsidP="00100D5F">
            <w:pPr>
              <w:autoSpaceDE w:val="0"/>
              <w:autoSpaceDN w:val="0"/>
              <w:adjustRightInd w:val="0"/>
              <w:jc w:val="left"/>
              <w:rPr>
                <w:rFonts w:ascii="Arial Narrow" w:hAnsi="Arial Narrow" w:cs="Arial Narrow"/>
                <w:color w:val="000000"/>
                <w:sz w:val="17"/>
                <w:szCs w:val="17"/>
              </w:rPr>
            </w:pPr>
            <w:r w:rsidRPr="00100D5F">
              <w:rPr>
                <w:rFonts w:ascii="Arial Narrow" w:hAnsi="Arial Narrow" w:cs="Arial Narrow"/>
                <w:color w:val="000000"/>
                <w:sz w:val="17"/>
                <w:szCs w:val="17"/>
              </w:rPr>
              <w:t>Other OECD America</w:t>
            </w:r>
          </w:p>
        </w:tc>
        <w:tc>
          <w:tcPr>
            <w:tcW w:w="3784" w:type="dxa"/>
            <w:tcBorders>
              <w:top w:val="nil"/>
              <w:left w:val="nil"/>
              <w:bottom w:val="single" w:sz="12" w:space="0" w:color="auto"/>
              <w:right w:val="nil"/>
            </w:tcBorders>
          </w:tcPr>
          <w:p w14:paraId="13111A32" w14:textId="77777777" w:rsidR="00100D5F" w:rsidRPr="00100D5F" w:rsidRDefault="00100D5F" w:rsidP="00100D5F">
            <w:pPr>
              <w:autoSpaceDE w:val="0"/>
              <w:autoSpaceDN w:val="0"/>
              <w:adjustRightInd w:val="0"/>
              <w:jc w:val="left"/>
              <w:rPr>
                <w:rFonts w:ascii="Arial Narrow" w:hAnsi="Arial Narrow" w:cs="Arial Narrow"/>
                <w:color w:val="000000"/>
                <w:sz w:val="17"/>
                <w:szCs w:val="17"/>
              </w:rPr>
            </w:pPr>
            <w:r w:rsidRPr="00100D5F">
              <w:rPr>
                <w:rFonts w:ascii="Arial Narrow" w:hAnsi="Arial Narrow" w:cs="Arial Narrow"/>
                <w:color w:val="000000"/>
                <w:sz w:val="17"/>
                <w:szCs w:val="17"/>
              </w:rPr>
              <w:t>Chile, Colombia, Costa Rica, Mexico</w:t>
            </w:r>
          </w:p>
        </w:tc>
      </w:tr>
      <w:tr w:rsidR="00100D5F" w:rsidRPr="00100D5F" w14:paraId="136AE5FC" w14:textId="77777777" w:rsidTr="0075179D">
        <w:trPr>
          <w:trHeight w:val="567"/>
        </w:trPr>
        <w:tc>
          <w:tcPr>
            <w:tcW w:w="835" w:type="dxa"/>
            <w:vMerge/>
            <w:tcBorders>
              <w:left w:val="nil"/>
              <w:right w:val="nil"/>
            </w:tcBorders>
          </w:tcPr>
          <w:p w14:paraId="72999721" w14:textId="77777777" w:rsidR="00100D5F" w:rsidRPr="00100D5F" w:rsidRDefault="00100D5F" w:rsidP="00100D5F">
            <w:pPr>
              <w:autoSpaceDE w:val="0"/>
              <w:autoSpaceDN w:val="0"/>
              <w:adjustRightInd w:val="0"/>
              <w:jc w:val="center"/>
              <w:rPr>
                <w:rFonts w:ascii="Arial Narrow" w:hAnsi="Arial Narrow" w:cs="Arial Narrow"/>
                <w:color w:val="000000"/>
                <w:sz w:val="17"/>
                <w:szCs w:val="17"/>
              </w:rPr>
            </w:pPr>
          </w:p>
        </w:tc>
        <w:tc>
          <w:tcPr>
            <w:tcW w:w="1104" w:type="dxa"/>
            <w:vMerge w:val="restart"/>
            <w:tcBorders>
              <w:top w:val="single" w:sz="12" w:space="0" w:color="auto"/>
              <w:left w:val="nil"/>
              <w:right w:val="nil"/>
            </w:tcBorders>
            <w:vAlign w:val="center"/>
          </w:tcPr>
          <w:p w14:paraId="0947D343" w14:textId="77777777" w:rsidR="00100D5F" w:rsidRPr="00100D5F" w:rsidRDefault="00100D5F" w:rsidP="00100D5F">
            <w:pPr>
              <w:autoSpaceDE w:val="0"/>
              <w:autoSpaceDN w:val="0"/>
              <w:adjustRightInd w:val="0"/>
              <w:jc w:val="left"/>
              <w:rPr>
                <w:rFonts w:ascii="Arial Narrow" w:hAnsi="Arial Narrow" w:cs="Arial Narrow"/>
                <w:color w:val="000000"/>
                <w:sz w:val="17"/>
                <w:szCs w:val="17"/>
              </w:rPr>
            </w:pPr>
            <w:r w:rsidRPr="00100D5F">
              <w:rPr>
                <w:rFonts w:ascii="Arial Narrow" w:hAnsi="Arial Narrow" w:cs="Arial Narrow"/>
                <w:color w:val="000000"/>
                <w:sz w:val="17"/>
                <w:szCs w:val="17"/>
              </w:rPr>
              <w:t>OECD Europe</w:t>
            </w:r>
          </w:p>
        </w:tc>
        <w:tc>
          <w:tcPr>
            <w:tcW w:w="2523" w:type="dxa"/>
            <w:tcBorders>
              <w:top w:val="nil"/>
              <w:left w:val="nil"/>
              <w:bottom w:val="dotted" w:sz="6" w:space="0" w:color="auto"/>
              <w:right w:val="nil"/>
            </w:tcBorders>
          </w:tcPr>
          <w:p w14:paraId="23807800" w14:textId="77777777" w:rsidR="00100D5F" w:rsidRPr="00100D5F" w:rsidRDefault="00100D5F" w:rsidP="00100D5F">
            <w:pPr>
              <w:autoSpaceDE w:val="0"/>
              <w:autoSpaceDN w:val="0"/>
              <w:adjustRightInd w:val="0"/>
              <w:jc w:val="left"/>
              <w:rPr>
                <w:rFonts w:ascii="Arial Narrow" w:hAnsi="Arial Narrow" w:cs="Arial Narrow"/>
                <w:color w:val="000000"/>
                <w:sz w:val="17"/>
                <w:szCs w:val="17"/>
              </w:rPr>
            </w:pPr>
            <w:r w:rsidRPr="00100D5F">
              <w:rPr>
                <w:rFonts w:ascii="Arial Narrow" w:hAnsi="Arial Narrow" w:cs="Arial Narrow"/>
                <w:color w:val="000000"/>
                <w:sz w:val="17"/>
                <w:szCs w:val="17"/>
              </w:rPr>
              <w:t>OECD EU 22</w:t>
            </w:r>
          </w:p>
        </w:tc>
        <w:tc>
          <w:tcPr>
            <w:tcW w:w="3784" w:type="dxa"/>
            <w:tcBorders>
              <w:top w:val="nil"/>
              <w:left w:val="nil"/>
              <w:bottom w:val="dotted" w:sz="6" w:space="0" w:color="auto"/>
              <w:right w:val="nil"/>
            </w:tcBorders>
          </w:tcPr>
          <w:p w14:paraId="1288567E" w14:textId="77777777" w:rsidR="00100D5F" w:rsidRPr="00100D5F" w:rsidRDefault="00100D5F" w:rsidP="00100D5F">
            <w:pPr>
              <w:autoSpaceDE w:val="0"/>
              <w:autoSpaceDN w:val="0"/>
              <w:adjustRightInd w:val="0"/>
              <w:jc w:val="left"/>
              <w:rPr>
                <w:rFonts w:ascii="Arial Narrow" w:hAnsi="Arial Narrow" w:cs="Arial Narrow"/>
                <w:color w:val="000000"/>
                <w:sz w:val="17"/>
                <w:szCs w:val="17"/>
              </w:rPr>
            </w:pPr>
            <w:r w:rsidRPr="00100D5F">
              <w:rPr>
                <w:rFonts w:ascii="Arial Narrow" w:hAnsi="Arial Narrow" w:cs="Arial Narrow"/>
                <w:color w:val="000000"/>
                <w:sz w:val="17"/>
                <w:szCs w:val="17"/>
              </w:rPr>
              <w:t>Austria, Belgium, Czech Republic, Denmark, Estonia, Finland, France, Germany Greece, Hungary, Ireland, Italy, Latvia, Lithuania, Luxembourg, Netherlands, Poland, Portugal, Slovak Republic, Slovenia, Spain, Sweden</w:t>
            </w:r>
          </w:p>
        </w:tc>
      </w:tr>
      <w:tr w:rsidR="00100D5F" w:rsidRPr="00100D5F" w14:paraId="53C1EC3D" w14:textId="77777777" w:rsidTr="0075179D">
        <w:trPr>
          <w:trHeight w:val="509"/>
        </w:trPr>
        <w:tc>
          <w:tcPr>
            <w:tcW w:w="835" w:type="dxa"/>
            <w:vMerge/>
            <w:tcBorders>
              <w:left w:val="nil"/>
              <w:right w:val="nil"/>
            </w:tcBorders>
          </w:tcPr>
          <w:p w14:paraId="0705AF98" w14:textId="77777777" w:rsidR="00100D5F" w:rsidRPr="00100D5F" w:rsidRDefault="00100D5F" w:rsidP="00100D5F">
            <w:pPr>
              <w:autoSpaceDE w:val="0"/>
              <w:autoSpaceDN w:val="0"/>
              <w:adjustRightInd w:val="0"/>
              <w:jc w:val="center"/>
              <w:rPr>
                <w:rFonts w:ascii="Arial Narrow" w:hAnsi="Arial Narrow" w:cs="Arial Narrow"/>
                <w:color w:val="000000"/>
                <w:sz w:val="17"/>
                <w:szCs w:val="17"/>
              </w:rPr>
            </w:pPr>
          </w:p>
        </w:tc>
        <w:tc>
          <w:tcPr>
            <w:tcW w:w="1104" w:type="dxa"/>
            <w:vMerge/>
            <w:tcBorders>
              <w:left w:val="nil"/>
              <w:bottom w:val="single" w:sz="12" w:space="0" w:color="auto"/>
              <w:right w:val="nil"/>
            </w:tcBorders>
          </w:tcPr>
          <w:p w14:paraId="002E12CB" w14:textId="77777777" w:rsidR="00100D5F" w:rsidRPr="00100D5F" w:rsidRDefault="00100D5F" w:rsidP="00100D5F">
            <w:pPr>
              <w:autoSpaceDE w:val="0"/>
              <w:autoSpaceDN w:val="0"/>
              <w:adjustRightInd w:val="0"/>
              <w:jc w:val="center"/>
              <w:rPr>
                <w:rFonts w:ascii="Arial Narrow" w:hAnsi="Arial Narrow" w:cs="Arial Narrow"/>
                <w:color w:val="000000"/>
                <w:sz w:val="17"/>
                <w:szCs w:val="17"/>
              </w:rPr>
            </w:pPr>
          </w:p>
        </w:tc>
        <w:tc>
          <w:tcPr>
            <w:tcW w:w="2523" w:type="dxa"/>
            <w:tcBorders>
              <w:top w:val="nil"/>
              <w:left w:val="nil"/>
              <w:bottom w:val="single" w:sz="12" w:space="0" w:color="auto"/>
              <w:right w:val="nil"/>
            </w:tcBorders>
          </w:tcPr>
          <w:p w14:paraId="0293AE8C" w14:textId="77777777" w:rsidR="00100D5F" w:rsidRPr="00100D5F" w:rsidRDefault="00100D5F" w:rsidP="00100D5F">
            <w:pPr>
              <w:autoSpaceDE w:val="0"/>
              <w:autoSpaceDN w:val="0"/>
              <w:adjustRightInd w:val="0"/>
              <w:jc w:val="left"/>
              <w:rPr>
                <w:rFonts w:ascii="Arial Narrow" w:hAnsi="Arial Narrow" w:cs="Arial Narrow"/>
                <w:color w:val="000000"/>
                <w:sz w:val="17"/>
                <w:szCs w:val="17"/>
              </w:rPr>
            </w:pPr>
            <w:r w:rsidRPr="00100D5F">
              <w:rPr>
                <w:rFonts w:ascii="Arial Narrow" w:hAnsi="Arial Narrow" w:cs="Arial Narrow"/>
                <w:color w:val="000000"/>
                <w:sz w:val="17"/>
                <w:szCs w:val="17"/>
              </w:rPr>
              <w:t>Other OECD Europe</w:t>
            </w:r>
          </w:p>
        </w:tc>
        <w:tc>
          <w:tcPr>
            <w:tcW w:w="3784" w:type="dxa"/>
            <w:tcBorders>
              <w:top w:val="nil"/>
              <w:left w:val="nil"/>
              <w:bottom w:val="single" w:sz="12" w:space="0" w:color="auto"/>
              <w:right w:val="nil"/>
            </w:tcBorders>
          </w:tcPr>
          <w:p w14:paraId="769BD832" w14:textId="77777777" w:rsidR="00100D5F" w:rsidRPr="00100D5F" w:rsidRDefault="00100D5F" w:rsidP="00100D5F">
            <w:pPr>
              <w:autoSpaceDE w:val="0"/>
              <w:autoSpaceDN w:val="0"/>
              <w:adjustRightInd w:val="0"/>
              <w:jc w:val="left"/>
              <w:rPr>
                <w:rFonts w:ascii="Arial Narrow" w:hAnsi="Arial Narrow" w:cs="Arial Narrow"/>
                <w:color w:val="000000"/>
                <w:sz w:val="17"/>
                <w:szCs w:val="17"/>
              </w:rPr>
            </w:pPr>
            <w:r w:rsidRPr="00100D5F">
              <w:rPr>
                <w:rFonts w:ascii="Arial Narrow" w:hAnsi="Arial Narrow" w:cs="Arial Narrow"/>
                <w:color w:val="000000"/>
                <w:sz w:val="17"/>
                <w:szCs w:val="17"/>
              </w:rPr>
              <w:t>Iceland, Israel</w:t>
            </w:r>
            <w:r w:rsidRPr="00100D5F">
              <w:rPr>
                <w:rFonts w:ascii="Arial Narrow" w:hAnsi="Arial Narrow" w:cs="Arial Narrow"/>
                <w:color w:val="000000"/>
                <w:sz w:val="17"/>
                <w:szCs w:val="17"/>
                <w:vertAlign w:val="superscript"/>
              </w:rPr>
              <w:t>1</w:t>
            </w:r>
            <w:r w:rsidRPr="00100D5F">
              <w:rPr>
                <w:rFonts w:ascii="Arial Narrow" w:hAnsi="Arial Narrow" w:cs="Arial Narrow"/>
                <w:color w:val="000000"/>
                <w:sz w:val="17"/>
                <w:szCs w:val="17"/>
              </w:rPr>
              <w:t>, Norway, Switzerland, Turkey, United Kingdom</w:t>
            </w:r>
          </w:p>
        </w:tc>
      </w:tr>
      <w:tr w:rsidR="00100D5F" w:rsidRPr="00100D5F" w14:paraId="450641C5" w14:textId="77777777" w:rsidTr="0075179D">
        <w:trPr>
          <w:trHeight w:val="247"/>
        </w:trPr>
        <w:tc>
          <w:tcPr>
            <w:tcW w:w="835" w:type="dxa"/>
            <w:vMerge/>
            <w:tcBorders>
              <w:left w:val="nil"/>
              <w:right w:val="nil"/>
            </w:tcBorders>
          </w:tcPr>
          <w:p w14:paraId="5190C457" w14:textId="77777777" w:rsidR="00100D5F" w:rsidRPr="00100D5F" w:rsidRDefault="00100D5F" w:rsidP="00100D5F">
            <w:pPr>
              <w:autoSpaceDE w:val="0"/>
              <w:autoSpaceDN w:val="0"/>
              <w:adjustRightInd w:val="0"/>
              <w:jc w:val="center"/>
              <w:rPr>
                <w:rFonts w:ascii="Arial Narrow" w:hAnsi="Arial Narrow" w:cs="Arial Narrow"/>
                <w:color w:val="000000"/>
                <w:sz w:val="17"/>
                <w:szCs w:val="17"/>
              </w:rPr>
            </w:pPr>
          </w:p>
        </w:tc>
        <w:tc>
          <w:tcPr>
            <w:tcW w:w="1104" w:type="dxa"/>
            <w:vMerge w:val="restart"/>
            <w:tcBorders>
              <w:top w:val="single" w:sz="12" w:space="0" w:color="auto"/>
              <w:left w:val="nil"/>
              <w:right w:val="nil"/>
            </w:tcBorders>
            <w:vAlign w:val="center"/>
          </w:tcPr>
          <w:p w14:paraId="39C911D3" w14:textId="77777777" w:rsidR="00100D5F" w:rsidRPr="00100D5F" w:rsidRDefault="00100D5F" w:rsidP="00100D5F">
            <w:pPr>
              <w:autoSpaceDE w:val="0"/>
              <w:autoSpaceDN w:val="0"/>
              <w:adjustRightInd w:val="0"/>
              <w:jc w:val="left"/>
              <w:rPr>
                <w:rFonts w:ascii="Arial Narrow" w:hAnsi="Arial Narrow" w:cs="Arial Narrow"/>
                <w:color w:val="000000"/>
                <w:sz w:val="17"/>
                <w:szCs w:val="17"/>
              </w:rPr>
            </w:pPr>
            <w:r w:rsidRPr="00100D5F">
              <w:rPr>
                <w:rFonts w:ascii="Arial Narrow" w:hAnsi="Arial Narrow" w:cs="Arial Narrow"/>
                <w:color w:val="000000"/>
                <w:sz w:val="17"/>
                <w:szCs w:val="17"/>
              </w:rPr>
              <w:t>OECD Pacific</w:t>
            </w:r>
          </w:p>
        </w:tc>
        <w:tc>
          <w:tcPr>
            <w:tcW w:w="2523" w:type="dxa"/>
            <w:tcBorders>
              <w:top w:val="nil"/>
              <w:left w:val="nil"/>
              <w:bottom w:val="dotted" w:sz="6" w:space="0" w:color="auto"/>
              <w:right w:val="nil"/>
            </w:tcBorders>
          </w:tcPr>
          <w:p w14:paraId="71BDABC8" w14:textId="77777777" w:rsidR="00100D5F" w:rsidRPr="00100D5F" w:rsidRDefault="00100D5F" w:rsidP="00100D5F">
            <w:pPr>
              <w:autoSpaceDE w:val="0"/>
              <w:autoSpaceDN w:val="0"/>
              <w:adjustRightInd w:val="0"/>
              <w:jc w:val="left"/>
              <w:rPr>
                <w:rFonts w:ascii="Arial Narrow" w:hAnsi="Arial Narrow" w:cs="Arial Narrow"/>
                <w:color w:val="000000"/>
                <w:sz w:val="17"/>
                <w:szCs w:val="17"/>
              </w:rPr>
            </w:pPr>
            <w:r w:rsidRPr="00100D5F">
              <w:rPr>
                <w:rFonts w:ascii="Arial Narrow" w:hAnsi="Arial Narrow" w:cs="Arial Narrow"/>
                <w:color w:val="000000"/>
                <w:sz w:val="17"/>
                <w:szCs w:val="17"/>
              </w:rPr>
              <w:t>Australia and New-Zealand</w:t>
            </w:r>
          </w:p>
        </w:tc>
        <w:tc>
          <w:tcPr>
            <w:tcW w:w="3784" w:type="dxa"/>
            <w:tcBorders>
              <w:top w:val="nil"/>
              <w:left w:val="nil"/>
              <w:bottom w:val="dotted" w:sz="6" w:space="0" w:color="auto"/>
              <w:right w:val="nil"/>
            </w:tcBorders>
          </w:tcPr>
          <w:p w14:paraId="14741996" w14:textId="77777777" w:rsidR="00100D5F" w:rsidRPr="00100D5F" w:rsidRDefault="00100D5F" w:rsidP="00100D5F">
            <w:pPr>
              <w:autoSpaceDE w:val="0"/>
              <w:autoSpaceDN w:val="0"/>
              <w:adjustRightInd w:val="0"/>
              <w:jc w:val="left"/>
              <w:rPr>
                <w:rFonts w:ascii="Arial Narrow" w:hAnsi="Arial Narrow" w:cs="Arial Narrow"/>
                <w:color w:val="000000"/>
                <w:sz w:val="17"/>
                <w:szCs w:val="17"/>
              </w:rPr>
            </w:pPr>
            <w:r w:rsidRPr="00100D5F">
              <w:rPr>
                <w:rFonts w:ascii="Arial Narrow" w:hAnsi="Arial Narrow" w:cs="Arial Narrow"/>
                <w:color w:val="000000"/>
                <w:sz w:val="17"/>
                <w:szCs w:val="17"/>
              </w:rPr>
              <w:t>Australia, New-Zealand</w:t>
            </w:r>
          </w:p>
        </w:tc>
      </w:tr>
      <w:tr w:rsidR="00100D5F" w:rsidRPr="00100D5F" w14:paraId="5381E618" w14:textId="77777777" w:rsidTr="0075179D">
        <w:trPr>
          <w:trHeight w:val="262"/>
        </w:trPr>
        <w:tc>
          <w:tcPr>
            <w:tcW w:w="835" w:type="dxa"/>
            <w:vMerge/>
            <w:tcBorders>
              <w:left w:val="nil"/>
              <w:bottom w:val="single" w:sz="12" w:space="0" w:color="000000"/>
              <w:right w:val="nil"/>
            </w:tcBorders>
          </w:tcPr>
          <w:p w14:paraId="1C15F7D6" w14:textId="77777777" w:rsidR="00100D5F" w:rsidRPr="00100D5F" w:rsidRDefault="00100D5F" w:rsidP="00100D5F">
            <w:pPr>
              <w:autoSpaceDE w:val="0"/>
              <w:autoSpaceDN w:val="0"/>
              <w:adjustRightInd w:val="0"/>
              <w:jc w:val="center"/>
              <w:rPr>
                <w:rFonts w:ascii="Arial Narrow" w:hAnsi="Arial Narrow" w:cs="Arial Narrow"/>
                <w:color w:val="000000"/>
                <w:sz w:val="17"/>
                <w:szCs w:val="17"/>
              </w:rPr>
            </w:pPr>
          </w:p>
        </w:tc>
        <w:tc>
          <w:tcPr>
            <w:tcW w:w="1104" w:type="dxa"/>
            <w:vMerge/>
            <w:tcBorders>
              <w:left w:val="nil"/>
              <w:bottom w:val="single" w:sz="12" w:space="0" w:color="auto"/>
              <w:right w:val="nil"/>
            </w:tcBorders>
          </w:tcPr>
          <w:p w14:paraId="11D19B58" w14:textId="77777777" w:rsidR="00100D5F" w:rsidRPr="00100D5F" w:rsidRDefault="00100D5F" w:rsidP="00100D5F">
            <w:pPr>
              <w:autoSpaceDE w:val="0"/>
              <w:autoSpaceDN w:val="0"/>
              <w:adjustRightInd w:val="0"/>
              <w:jc w:val="center"/>
              <w:rPr>
                <w:rFonts w:ascii="Arial Narrow" w:hAnsi="Arial Narrow" w:cs="Arial Narrow"/>
                <w:color w:val="000000"/>
                <w:sz w:val="17"/>
                <w:szCs w:val="17"/>
              </w:rPr>
            </w:pPr>
          </w:p>
        </w:tc>
        <w:tc>
          <w:tcPr>
            <w:tcW w:w="2523" w:type="dxa"/>
            <w:tcBorders>
              <w:top w:val="nil"/>
              <w:left w:val="nil"/>
              <w:bottom w:val="single" w:sz="12" w:space="0" w:color="auto"/>
              <w:right w:val="nil"/>
            </w:tcBorders>
          </w:tcPr>
          <w:p w14:paraId="31414733" w14:textId="77777777" w:rsidR="00100D5F" w:rsidRPr="00100D5F" w:rsidRDefault="00100D5F" w:rsidP="00100D5F">
            <w:pPr>
              <w:autoSpaceDE w:val="0"/>
              <w:autoSpaceDN w:val="0"/>
              <w:adjustRightInd w:val="0"/>
              <w:jc w:val="left"/>
              <w:rPr>
                <w:rFonts w:ascii="Arial Narrow" w:hAnsi="Arial Narrow" w:cs="Arial Narrow"/>
                <w:color w:val="000000"/>
                <w:sz w:val="17"/>
                <w:szCs w:val="17"/>
              </w:rPr>
            </w:pPr>
            <w:r w:rsidRPr="00100D5F">
              <w:rPr>
                <w:rFonts w:ascii="Arial Narrow" w:hAnsi="Arial Narrow" w:cs="Arial Narrow"/>
                <w:color w:val="000000"/>
                <w:sz w:val="17"/>
                <w:szCs w:val="17"/>
              </w:rPr>
              <w:t>OECD Pacific</w:t>
            </w:r>
          </w:p>
        </w:tc>
        <w:tc>
          <w:tcPr>
            <w:tcW w:w="3784" w:type="dxa"/>
            <w:tcBorders>
              <w:top w:val="nil"/>
              <w:left w:val="nil"/>
              <w:bottom w:val="single" w:sz="12" w:space="0" w:color="auto"/>
              <w:right w:val="nil"/>
            </w:tcBorders>
          </w:tcPr>
          <w:p w14:paraId="30554D44" w14:textId="77777777" w:rsidR="00100D5F" w:rsidRPr="00100D5F" w:rsidRDefault="00100D5F" w:rsidP="00100D5F">
            <w:pPr>
              <w:autoSpaceDE w:val="0"/>
              <w:autoSpaceDN w:val="0"/>
              <w:adjustRightInd w:val="0"/>
              <w:jc w:val="left"/>
              <w:rPr>
                <w:rFonts w:ascii="Arial Narrow" w:hAnsi="Arial Narrow" w:cs="Arial Narrow"/>
                <w:color w:val="000000"/>
                <w:sz w:val="17"/>
                <w:szCs w:val="17"/>
              </w:rPr>
            </w:pPr>
            <w:r w:rsidRPr="00100D5F">
              <w:rPr>
                <w:rFonts w:ascii="Arial Narrow" w:hAnsi="Arial Narrow" w:cs="Arial Narrow"/>
                <w:color w:val="000000"/>
                <w:sz w:val="17"/>
                <w:szCs w:val="17"/>
              </w:rPr>
              <w:t>Japan, Korea</w:t>
            </w:r>
          </w:p>
        </w:tc>
      </w:tr>
      <w:tr w:rsidR="00100D5F" w:rsidRPr="00100D5F" w14:paraId="35D37A54" w14:textId="77777777" w:rsidTr="00100D5F">
        <w:trPr>
          <w:trHeight w:val="262"/>
        </w:trPr>
        <w:tc>
          <w:tcPr>
            <w:tcW w:w="835" w:type="dxa"/>
            <w:vMerge w:val="restart"/>
            <w:tcBorders>
              <w:top w:val="nil"/>
              <w:left w:val="nil"/>
              <w:right w:val="nil"/>
            </w:tcBorders>
            <w:vAlign w:val="center"/>
          </w:tcPr>
          <w:p w14:paraId="39650FFE" w14:textId="0EA25C71" w:rsidR="00100D5F" w:rsidRPr="00100D5F" w:rsidRDefault="00100D5F" w:rsidP="00100D5F">
            <w:pPr>
              <w:autoSpaceDE w:val="0"/>
              <w:autoSpaceDN w:val="0"/>
              <w:adjustRightInd w:val="0"/>
              <w:jc w:val="left"/>
              <w:rPr>
                <w:rFonts w:ascii="Arial Narrow" w:hAnsi="Arial Narrow" w:cs="Arial Narrow"/>
                <w:color w:val="000000"/>
                <w:sz w:val="17"/>
                <w:szCs w:val="17"/>
              </w:rPr>
            </w:pPr>
            <w:r>
              <w:rPr>
                <w:rFonts w:ascii="Arial Narrow" w:hAnsi="Arial Narrow" w:cs="Arial Narrow"/>
                <w:color w:val="000000"/>
                <w:sz w:val="17"/>
                <w:szCs w:val="17"/>
              </w:rPr>
              <w:t>Non-OECD</w:t>
            </w:r>
          </w:p>
        </w:tc>
        <w:tc>
          <w:tcPr>
            <w:tcW w:w="1104" w:type="dxa"/>
            <w:tcBorders>
              <w:top w:val="nil"/>
              <w:left w:val="nil"/>
              <w:bottom w:val="single" w:sz="12" w:space="0" w:color="auto"/>
              <w:right w:val="nil"/>
            </w:tcBorders>
          </w:tcPr>
          <w:p w14:paraId="752364FA" w14:textId="77777777" w:rsidR="00100D5F" w:rsidRPr="00100D5F" w:rsidRDefault="00100D5F" w:rsidP="00100D5F">
            <w:pPr>
              <w:autoSpaceDE w:val="0"/>
              <w:autoSpaceDN w:val="0"/>
              <w:adjustRightInd w:val="0"/>
              <w:jc w:val="center"/>
              <w:rPr>
                <w:rFonts w:ascii="Arial Narrow" w:hAnsi="Arial Narrow" w:cs="Arial Narrow"/>
                <w:color w:val="000000"/>
                <w:sz w:val="17"/>
                <w:szCs w:val="17"/>
              </w:rPr>
            </w:pPr>
            <w:r w:rsidRPr="00100D5F">
              <w:rPr>
                <w:rFonts w:ascii="Arial Narrow" w:hAnsi="Arial Narrow" w:cs="Arial Narrow"/>
                <w:color w:val="000000"/>
                <w:sz w:val="17"/>
                <w:szCs w:val="17"/>
              </w:rPr>
              <w:t>Other America</w:t>
            </w:r>
          </w:p>
        </w:tc>
        <w:tc>
          <w:tcPr>
            <w:tcW w:w="2523" w:type="dxa"/>
            <w:tcBorders>
              <w:top w:val="nil"/>
              <w:left w:val="nil"/>
              <w:bottom w:val="single" w:sz="12" w:space="0" w:color="auto"/>
              <w:right w:val="nil"/>
            </w:tcBorders>
          </w:tcPr>
          <w:p w14:paraId="69E5C5A0" w14:textId="77777777" w:rsidR="00100D5F" w:rsidRPr="00100D5F" w:rsidRDefault="00100D5F" w:rsidP="00100D5F">
            <w:pPr>
              <w:autoSpaceDE w:val="0"/>
              <w:autoSpaceDN w:val="0"/>
              <w:adjustRightInd w:val="0"/>
              <w:jc w:val="left"/>
              <w:rPr>
                <w:rFonts w:ascii="Arial Narrow" w:hAnsi="Arial Narrow" w:cs="Arial Narrow"/>
                <w:color w:val="000000"/>
                <w:sz w:val="17"/>
                <w:szCs w:val="17"/>
              </w:rPr>
            </w:pPr>
            <w:r w:rsidRPr="00100D5F">
              <w:rPr>
                <w:rFonts w:ascii="Arial Narrow" w:hAnsi="Arial Narrow" w:cs="Arial Narrow"/>
                <w:color w:val="000000"/>
                <w:sz w:val="17"/>
                <w:szCs w:val="17"/>
              </w:rPr>
              <w:t>Other Latin America</w:t>
            </w:r>
          </w:p>
        </w:tc>
        <w:tc>
          <w:tcPr>
            <w:tcW w:w="3784" w:type="dxa"/>
            <w:tcBorders>
              <w:top w:val="nil"/>
              <w:left w:val="nil"/>
              <w:bottom w:val="single" w:sz="12" w:space="0" w:color="auto"/>
              <w:right w:val="nil"/>
            </w:tcBorders>
          </w:tcPr>
          <w:p w14:paraId="2EDB803D" w14:textId="77777777" w:rsidR="00100D5F" w:rsidRPr="00100D5F" w:rsidRDefault="00100D5F" w:rsidP="00100D5F">
            <w:pPr>
              <w:autoSpaceDE w:val="0"/>
              <w:autoSpaceDN w:val="0"/>
              <w:adjustRightInd w:val="0"/>
              <w:jc w:val="left"/>
              <w:rPr>
                <w:rFonts w:ascii="Arial Narrow" w:hAnsi="Arial Narrow" w:cs="Arial Narrow"/>
                <w:color w:val="000000"/>
                <w:sz w:val="17"/>
                <w:szCs w:val="17"/>
              </w:rPr>
            </w:pPr>
            <w:r w:rsidRPr="00100D5F">
              <w:rPr>
                <w:rFonts w:ascii="Arial Narrow" w:hAnsi="Arial Narrow" w:cs="Arial Narrow"/>
                <w:color w:val="000000"/>
                <w:sz w:val="17"/>
                <w:szCs w:val="17"/>
              </w:rPr>
              <w:t>Non-OECD Latin American and Caribbean countries</w:t>
            </w:r>
          </w:p>
        </w:tc>
      </w:tr>
      <w:tr w:rsidR="00100D5F" w:rsidRPr="00331DD0" w14:paraId="4B1CCC97" w14:textId="77777777" w:rsidTr="0075179D">
        <w:trPr>
          <w:trHeight w:val="247"/>
        </w:trPr>
        <w:tc>
          <w:tcPr>
            <w:tcW w:w="835" w:type="dxa"/>
            <w:vMerge/>
            <w:tcBorders>
              <w:left w:val="nil"/>
              <w:right w:val="nil"/>
            </w:tcBorders>
          </w:tcPr>
          <w:p w14:paraId="0D08BE03" w14:textId="77777777" w:rsidR="00100D5F" w:rsidRPr="00100D5F" w:rsidRDefault="00100D5F" w:rsidP="00100D5F">
            <w:pPr>
              <w:autoSpaceDE w:val="0"/>
              <w:autoSpaceDN w:val="0"/>
              <w:adjustRightInd w:val="0"/>
              <w:jc w:val="center"/>
              <w:rPr>
                <w:rFonts w:ascii="Arial Narrow" w:hAnsi="Arial Narrow" w:cs="Arial Narrow"/>
                <w:color w:val="000000"/>
                <w:sz w:val="17"/>
                <w:szCs w:val="17"/>
              </w:rPr>
            </w:pPr>
          </w:p>
        </w:tc>
        <w:tc>
          <w:tcPr>
            <w:tcW w:w="1104" w:type="dxa"/>
            <w:vMerge w:val="restart"/>
            <w:tcBorders>
              <w:top w:val="nil"/>
              <w:left w:val="nil"/>
              <w:right w:val="nil"/>
            </w:tcBorders>
            <w:vAlign w:val="center"/>
          </w:tcPr>
          <w:p w14:paraId="236E363C" w14:textId="77777777" w:rsidR="00100D5F" w:rsidRPr="00100D5F" w:rsidRDefault="00100D5F" w:rsidP="00100D5F">
            <w:pPr>
              <w:autoSpaceDE w:val="0"/>
              <w:autoSpaceDN w:val="0"/>
              <w:adjustRightInd w:val="0"/>
              <w:jc w:val="left"/>
              <w:rPr>
                <w:rFonts w:ascii="Arial Narrow" w:hAnsi="Arial Narrow" w:cs="Arial Narrow"/>
                <w:color w:val="000000"/>
                <w:sz w:val="17"/>
                <w:szCs w:val="17"/>
              </w:rPr>
            </w:pPr>
            <w:r w:rsidRPr="00100D5F">
              <w:rPr>
                <w:rFonts w:ascii="Arial Narrow" w:hAnsi="Arial Narrow" w:cs="Arial Narrow"/>
                <w:color w:val="000000"/>
                <w:sz w:val="17"/>
                <w:szCs w:val="17"/>
              </w:rPr>
              <w:t>Eurasia</w:t>
            </w:r>
          </w:p>
        </w:tc>
        <w:tc>
          <w:tcPr>
            <w:tcW w:w="2523" w:type="dxa"/>
            <w:tcBorders>
              <w:top w:val="nil"/>
              <w:left w:val="nil"/>
              <w:bottom w:val="dotted" w:sz="6" w:space="0" w:color="auto"/>
              <w:right w:val="nil"/>
            </w:tcBorders>
          </w:tcPr>
          <w:p w14:paraId="562357AA" w14:textId="77777777" w:rsidR="00100D5F" w:rsidRPr="00100D5F" w:rsidRDefault="00100D5F" w:rsidP="00100D5F">
            <w:pPr>
              <w:autoSpaceDE w:val="0"/>
              <w:autoSpaceDN w:val="0"/>
              <w:adjustRightInd w:val="0"/>
              <w:jc w:val="left"/>
              <w:rPr>
                <w:rFonts w:ascii="Arial Narrow" w:hAnsi="Arial Narrow" w:cs="Arial Narrow"/>
                <w:color w:val="000000"/>
                <w:sz w:val="17"/>
                <w:szCs w:val="17"/>
              </w:rPr>
            </w:pPr>
            <w:r w:rsidRPr="00100D5F">
              <w:rPr>
                <w:rFonts w:ascii="Arial Narrow" w:hAnsi="Arial Narrow" w:cs="Arial Narrow"/>
                <w:color w:val="000000"/>
                <w:sz w:val="17"/>
                <w:szCs w:val="17"/>
              </w:rPr>
              <w:t>Other EU</w:t>
            </w:r>
          </w:p>
        </w:tc>
        <w:tc>
          <w:tcPr>
            <w:tcW w:w="3784" w:type="dxa"/>
            <w:tcBorders>
              <w:top w:val="nil"/>
              <w:left w:val="nil"/>
              <w:bottom w:val="dotted" w:sz="6" w:space="0" w:color="auto"/>
              <w:right w:val="nil"/>
            </w:tcBorders>
          </w:tcPr>
          <w:p w14:paraId="24E6F39E" w14:textId="77777777" w:rsidR="00100D5F" w:rsidRPr="00100D5F" w:rsidRDefault="00100D5F" w:rsidP="00100D5F">
            <w:pPr>
              <w:autoSpaceDE w:val="0"/>
              <w:autoSpaceDN w:val="0"/>
              <w:adjustRightInd w:val="0"/>
              <w:jc w:val="left"/>
              <w:rPr>
                <w:rFonts w:ascii="Arial Narrow" w:hAnsi="Arial Narrow" w:cs="Arial Narrow"/>
                <w:color w:val="000000"/>
                <w:sz w:val="17"/>
                <w:szCs w:val="17"/>
                <w:lang w:val="fr-FR"/>
              </w:rPr>
            </w:pPr>
            <w:r w:rsidRPr="00100D5F">
              <w:rPr>
                <w:rFonts w:ascii="Arial Narrow" w:hAnsi="Arial Narrow" w:cs="Arial Narrow"/>
                <w:color w:val="000000"/>
                <w:sz w:val="17"/>
                <w:szCs w:val="17"/>
                <w:lang w:val="fr-FR"/>
              </w:rPr>
              <w:t>Bulgaria, Croatia, Cyprus</w:t>
            </w:r>
            <w:r w:rsidRPr="00100D5F">
              <w:rPr>
                <w:rFonts w:ascii="Arial Narrow" w:hAnsi="Arial Narrow" w:cs="Arial Narrow"/>
                <w:color w:val="000000"/>
                <w:sz w:val="17"/>
                <w:szCs w:val="17"/>
                <w:vertAlign w:val="superscript"/>
                <w:lang w:val="fr-FR"/>
              </w:rPr>
              <w:t>2</w:t>
            </w:r>
            <w:r w:rsidRPr="00100D5F">
              <w:rPr>
                <w:rFonts w:ascii="Arial Narrow" w:hAnsi="Arial Narrow" w:cs="Arial Narrow"/>
                <w:color w:val="000000"/>
                <w:sz w:val="17"/>
                <w:szCs w:val="17"/>
                <w:lang w:val="fr-FR"/>
              </w:rPr>
              <w:t xml:space="preserve">, Malta, Romania </w:t>
            </w:r>
          </w:p>
        </w:tc>
      </w:tr>
      <w:tr w:rsidR="00100D5F" w:rsidRPr="00100D5F" w14:paraId="0027EF8A" w14:textId="77777777" w:rsidTr="0075179D">
        <w:trPr>
          <w:trHeight w:val="509"/>
        </w:trPr>
        <w:tc>
          <w:tcPr>
            <w:tcW w:w="835" w:type="dxa"/>
            <w:vMerge/>
            <w:tcBorders>
              <w:left w:val="nil"/>
              <w:right w:val="nil"/>
            </w:tcBorders>
          </w:tcPr>
          <w:p w14:paraId="2AE18EAE" w14:textId="77777777" w:rsidR="00100D5F" w:rsidRPr="00100D5F" w:rsidRDefault="00100D5F" w:rsidP="00100D5F">
            <w:pPr>
              <w:autoSpaceDE w:val="0"/>
              <w:autoSpaceDN w:val="0"/>
              <w:adjustRightInd w:val="0"/>
              <w:jc w:val="center"/>
              <w:rPr>
                <w:rFonts w:ascii="Arial Narrow" w:hAnsi="Arial Narrow" w:cs="Arial Narrow"/>
                <w:color w:val="000000"/>
                <w:sz w:val="17"/>
                <w:szCs w:val="17"/>
                <w:lang w:val="fr-FR"/>
              </w:rPr>
            </w:pPr>
          </w:p>
        </w:tc>
        <w:tc>
          <w:tcPr>
            <w:tcW w:w="1104" w:type="dxa"/>
            <w:vMerge/>
            <w:tcBorders>
              <w:left w:val="nil"/>
              <w:bottom w:val="nil"/>
              <w:right w:val="nil"/>
            </w:tcBorders>
          </w:tcPr>
          <w:p w14:paraId="2A2B6A2D" w14:textId="77777777" w:rsidR="00100D5F" w:rsidRPr="00100D5F" w:rsidRDefault="00100D5F" w:rsidP="00100D5F">
            <w:pPr>
              <w:autoSpaceDE w:val="0"/>
              <w:autoSpaceDN w:val="0"/>
              <w:adjustRightInd w:val="0"/>
              <w:jc w:val="center"/>
              <w:rPr>
                <w:rFonts w:ascii="Arial Narrow" w:hAnsi="Arial Narrow" w:cs="Arial Narrow"/>
                <w:color w:val="000000"/>
                <w:sz w:val="17"/>
                <w:szCs w:val="17"/>
                <w:lang w:val="fr-FR"/>
              </w:rPr>
            </w:pPr>
          </w:p>
        </w:tc>
        <w:tc>
          <w:tcPr>
            <w:tcW w:w="2523" w:type="dxa"/>
            <w:tcBorders>
              <w:top w:val="nil"/>
              <w:left w:val="nil"/>
              <w:bottom w:val="single" w:sz="12" w:space="0" w:color="auto"/>
              <w:right w:val="nil"/>
            </w:tcBorders>
          </w:tcPr>
          <w:p w14:paraId="5E950654" w14:textId="77777777" w:rsidR="00100D5F" w:rsidRPr="00100D5F" w:rsidRDefault="00100D5F" w:rsidP="00100D5F">
            <w:pPr>
              <w:autoSpaceDE w:val="0"/>
              <w:autoSpaceDN w:val="0"/>
              <w:adjustRightInd w:val="0"/>
              <w:jc w:val="left"/>
              <w:rPr>
                <w:rFonts w:ascii="Arial Narrow" w:hAnsi="Arial Narrow" w:cs="Arial Narrow"/>
                <w:color w:val="000000"/>
                <w:sz w:val="17"/>
                <w:szCs w:val="17"/>
              </w:rPr>
            </w:pPr>
            <w:r w:rsidRPr="00100D5F">
              <w:rPr>
                <w:rFonts w:ascii="Arial Narrow" w:hAnsi="Arial Narrow" w:cs="Arial Narrow"/>
                <w:color w:val="000000"/>
                <w:sz w:val="17"/>
                <w:szCs w:val="17"/>
              </w:rPr>
              <w:t>Other Europe and Caspian</w:t>
            </w:r>
          </w:p>
        </w:tc>
        <w:tc>
          <w:tcPr>
            <w:tcW w:w="3784" w:type="dxa"/>
            <w:tcBorders>
              <w:top w:val="nil"/>
              <w:left w:val="nil"/>
              <w:bottom w:val="single" w:sz="12" w:space="0" w:color="auto"/>
              <w:right w:val="nil"/>
            </w:tcBorders>
          </w:tcPr>
          <w:p w14:paraId="1620B762" w14:textId="77777777" w:rsidR="00100D5F" w:rsidRPr="00100D5F" w:rsidRDefault="00100D5F" w:rsidP="00100D5F">
            <w:pPr>
              <w:autoSpaceDE w:val="0"/>
              <w:autoSpaceDN w:val="0"/>
              <w:adjustRightInd w:val="0"/>
              <w:jc w:val="left"/>
              <w:rPr>
                <w:rFonts w:ascii="Arial Narrow" w:hAnsi="Arial Narrow" w:cs="Arial Narrow"/>
                <w:color w:val="000000"/>
                <w:sz w:val="17"/>
                <w:szCs w:val="17"/>
              </w:rPr>
            </w:pPr>
            <w:r w:rsidRPr="00100D5F">
              <w:rPr>
                <w:rFonts w:ascii="Arial Narrow" w:hAnsi="Arial Narrow" w:cs="Arial Narrow"/>
                <w:color w:val="000000"/>
                <w:sz w:val="17"/>
                <w:szCs w:val="17"/>
              </w:rPr>
              <w:t>Non-OECD European and Caspian countries, incl. Russian Federation</w:t>
            </w:r>
          </w:p>
        </w:tc>
      </w:tr>
      <w:tr w:rsidR="00100D5F" w:rsidRPr="00100D5F" w14:paraId="4D44AB4C" w14:textId="77777777" w:rsidTr="0075179D">
        <w:trPr>
          <w:trHeight w:val="567"/>
        </w:trPr>
        <w:tc>
          <w:tcPr>
            <w:tcW w:w="835" w:type="dxa"/>
            <w:vMerge/>
            <w:tcBorders>
              <w:left w:val="nil"/>
              <w:right w:val="nil"/>
            </w:tcBorders>
          </w:tcPr>
          <w:p w14:paraId="171D38CF" w14:textId="77777777" w:rsidR="00100D5F" w:rsidRPr="00100D5F" w:rsidRDefault="00100D5F" w:rsidP="00100D5F">
            <w:pPr>
              <w:autoSpaceDE w:val="0"/>
              <w:autoSpaceDN w:val="0"/>
              <w:adjustRightInd w:val="0"/>
              <w:jc w:val="center"/>
              <w:rPr>
                <w:rFonts w:ascii="Arial Narrow" w:hAnsi="Arial Narrow" w:cs="Arial Narrow"/>
                <w:color w:val="000000"/>
                <w:sz w:val="17"/>
                <w:szCs w:val="17"/>
              </w:rPr>
            </w:pPr>
          </w:p>
        </w:tc>
        <w:tc>
          <w:tcPr>
            <w:tcW w:w="1104" w:type="dxa"/>
            <w:vMerge w:val="restart"/>
            <w:tcBorders>
              <w:top w:val="single" w:sz="12" w:space="0" w:color="auto"/>
              <w:left w:val="nil"/>
              <w:right w:val="nil"/>
            </w:tcBorders>
            <w:vAlign w:val="center"/>
          </w:tcPr>
          <w:p w14:paraId="57190F1A" w14:textId="77777777" w:rsidR="00100D5F" w:rsidRPr="00100D5F" w:rsidRDefault="00100D5F" w:rsidP="00100D5F">
            <w:pPr>
              <w:autoSpaceDE w:val="0"/>
              <w:autoSpaceDN w:val="0"/>
              <w:adjustRightInd w:val="0"/>
              <w:jc w:val="left"/>
              <w:rPr>
                <w:rFonts w:ascii="Arial Narrow" w:hAnsi="Arial Narrow" w:cs="Arial Narrow"/>
                <w:color w:val="000000"/>
                <w:sz w:val="17"/>
                <w:szCs w:val="17"/>
              </w:rPr>
            </w:pPr>
            <w:r w:rsidRPr="00100D5F">
              <w:rPr>
                <w:rFonts w:ascii="Arial Narrow" w:hAnsi="Arial Narrow" w:cs="Arial Narrow"/>
                <w:color w:val="000000"/>
                <w:sz w:val="17"/>
                <w:szCs w:val="17"/>
              </w:rPr>
              <w:t>Middle East and Africa</w:t>
            </w:r>
          </w:p>
        </w:tc>
        <w:tc>
          <w:tcPr>
            <w:tcW w:w="2523" w:type="dxa"/>
            <w:tcBorders>
              <w:top w:val="nil"/>
              <w:left w:val="nil"/>
              <w:bottom w:val="dotted" w:sz="6" w:space="0" w:color="auto"/>
              <w:right w:val="nil"/>
            </w:tcBorders>
          </w:tcPr>
          <w:p w14:paraId="77653F9A" w14:textId="77777777" w:rsidR="00100D5F" w:rsidRPr="00100D5F" w:rsidRDefault="00100D5F" w:rsidP="00100D5F">
            <w:pPr>
              <w:autoSpaceDE w:val="0"/>
              <w:autoSpaceDN w:val="0"/>
              <w:adjustRightInd w:val="0"/>
              <w:jc w:val="left"/>
              <w:rPr>
                <w:rFonts w:ascii="Arial Narrow" w:hAnsi="Arial Narrow" w:cs="Arial Narrow"/>
                <w:color w:val="000000"/>
                <w:sz w:val="17"/>
                <w:szCs w:val="17"/>
              </w:rPr>
            </w:pPr>
            <w:r w:rsidRPr="00100D5F">
              <w:rPr>
                <w:rFonts w:ascii="Arial Narrow" w:hAnsi="Arial Narrow" w:cs="Arial Narrow"/>
                <w:color w:val="000000"/>
                <w:sz w:val="17"/>
                <w:szCs w:val="17"/>
              </w:rPr>
              <w:t>Middle East and North Africa</w:t>
            </w:r>
          </w:p>
        </w:tc>
        <w:tc>
          <w:tcPr>
            <w:tcW w:w="3784" w:type="dxa"/>
            <w:tcBorders>
              <w:top w:val="nil"/>
              <w:left w:val="nil"/>
              <w:bottom w:val="dotted" w:sz="6" w:space="0" w:color="auto"/>
              <w:right w:val="nil"/>
            </w:tcBorders>
          </w:tcPr>
          <w:p w14:paraId="0245DD3A" w14:textId="77777777" w:rsidR="00100D5F" w:rsidRPr="00100D5F" w:rsidRDefault="00100D5F" w:rsidP="00100D5F">
            <w:pPr>
              <w:autoSpaceDE w:val="0"/>
              <w:autoSpaceDN w:val="0"/>
              <w:adjustRightInd w:val="0"/>
              <w:jc w:val="left"/>
              <w:rPr>
                <w:rFonts w:ascii="Arial Narrow" w:hAnsi="Arial Narrow" w:cs="Arial Narrow"/>
                <w:color w:val="000000"/>
                <w:sz w:val="17"/>
                <w:szCs w:val="17"/>
              </w:rPr>
            </w:pPr>
            <w:r w:rsidRPr="00100D5F">
              <w:rPr>
                <w:rFonts w:ascii="Arial Narrow" w:hAnsi="Arial Narrow" w:cs="Arial Narrow"/>
                <w:color w:val="000000"/>
                <w:sz w:val="17"/>
                <w:szCs w:val="17"/>
              </w:rPr>
              <w:t>Algeria, Bahrain, Egypt, Iraq, Islamic Rep. of Iran, Kuwait, Lebanon, Lybia, Morocco, Oman, Qatar, Saudi Arabia, Tunesia, United Arab Emirates, Syrian Arab Rep., Western Sahara, Yemen</w:t>
            </w:r>
          </w:p>
        </w:tc>
      </w:tr>
      <w:tr w:rsidR="00100D5F" w:rsidRPr="00100D5F" w14:paraId="4F13D44E" w14:textId="77777777" w:rsidTr="0075179D">
        <w:trPr>
          <w:trHeight w:val="262"/>
        </w:trPr>
        <w:tc>
          <w:tcPr>
            <w:tcW w:w="835" w:type="dxa"/>
            <w:vMerge/>
            <w:tcBorders>
              <w:left w:val="nil"/>
              <w:right w:val="nil"/>
            </w:tcBorders>
          </w:tcPr>
          <w:p w14:paraId="5E6C6969" w14:textId="77777777" w:rsidR="00100D5F" w:rsidRPr="00100D5F" w:rsidRDefault="00100D5F" w:rsidP="00100D5F">
            <w:pPr>
              <w:autoSpaceDE w:val="0"/>
              <w:autoSpaceDN w:val="0"/>
              <w:adjustRightInd w:val="0"/>
              <w:jc w:val="center"/>
              <w:rPr>
                <w:rFonts w:ascii="Arial Narrow" w:hAnsi="Arial Narrow" w:cs="Arial Narrow"/>
                <w:color w:val="000000"/>
                <w:sz w:val="17"/>
                <w:szCs w:val="17"/>
              </w:rPr>
            </w:pPr>
          </w:p>
        </w:tc>
        <w:tc>
          <w:tcPr>
            <w:tcW w:w="1104" w:type="dxa"/>
            <w:vMerge/>
            <w:tcBorders>
              <w:left w:val="nil"/>
              <w:bottom w:val="nil"/>
              <w:right w:val="nil"/>
            </w:tcBorders>
          </w:tcPr>
          <w:p w14:paraId="0014DA15" w14:textId="77777777" w:rsidR="00100D5F" w:rsidRPr="00100D5F" w:rsidRDefault="00100D5F" w:rsidP="00100D5F">
            <w:pPr>
              <w:autoSpaceDE w:val="0"/>
              <w:autoSpaceDN w:val="0"/>
              <w:adjustRightInd w:val="0"/>
              <w:jc w:val="center"/>
              <w:rPr>
                <w:rFonts w:ascii="Arial Narrow" w:hAnsi="Arial Narrow" w:cs="Arial Narrow"/>
                <w:color w:val="000000"/>
                <w:sz w:val="17"/>
                <w:szCs w:val="17"/>
              </w:rPr>
            </w:pPr>
          </w:p>
        </w:tc>
        <w:tc>
          <w:tcPr>
            <w:tcW w:w="2523" w:type="dxa"/>
            <w:tcBorders>
              <w:top w:val="nil"/>
              <w:left w:val="nil"/>
              <w:bottom w:val="single" w:sz="12" w:space="0" w:color="auto"/>
              <w:right w:val="nil"/>
            </w:tcBorders>
          </w:tcPr>
          <w:p w14:paraId="3AFF118D" w14:textId="77777777" w:rsidR="00100D5F" w:rsidRPr="00100D5F" w:rsidRDefault="00100D5F" w:rsidP="00100D5F">
            <w:pPr>
              <w:autoSpaceDE w:val="0"/>
              <w:autoSpaceDN w:val="0"/>
              <w:adjustRightInd w:val="0"/>
              <w:jc w:val="left"/>
              <w:rPr>
                <w:rFonts w:ascii="Arial Narrow" w:hAnsi="Arial Narrow" w:cs="Arial Narrow"/>
                <w:color w:val="000000"/>
                <w:sz w:val="17"/>
                <w:szCs w:val="17"/>
              </w:rPr>
            </w:pPr>
            <w:r w:rsidRPr="00100D5F">
              <w:rPr>
                <w:rFonts w:ascii="Arial Narrow" w:hAnsi="Arial Narrow" w:cs="Arial Narrow"/>
                <w:color w:val="000000"/>
                <w:sz w:val="17"/>
                <w:szCs w:val="17"/>
              </w:rPr>
              <w:t>Other Africa</w:t>
            </w:r>
          </w:p>
        </w:tc>
        <w:tc>
          <w:tcPr>
            <w:tcW w:w="3784" w:type="dxa"/>
            <w:tcBorders>
              <w:top w:val="nil"/>
              <w:left w:val="nil"/>
              <w:bottom w:val="single" w:sz="12" w:space="0" w:color="auto"/>
              <w:right w:val="nil"/>
            </w:tcBorders>
          </w:tcPr>
          <w:p w14:paraId="6651115C" w14:textId="77777777" w:rsidR="00100D5F" w:rsidRPr="00100D5F" w:rsidRDefault="00100D5F" w:rsidP="00100D5F">
            <w:pPr>
              <w:autoSpaceDE w:val="0"/>
              <w:autoSpaceDN w:val="0"/>
              <w:adjustRightInd w:val="0"/>
              <w:jc w:val="left"/>
              <w:rPr>
                <w:rFonts w:ascii="Arial Narrow" w:hAnsi="Arial Narrow" w:cs="Arial Narrow"/>
                <w:color w:val="000000"/>
                <w:sz w:val="17"/>
                <w:szCs w:val="17"/>
              </w:rPr>
            </w:pPr>
            <w:r w:rsidRPr="00100D5F">
              <w:rPr>
                <w:rFonts w:ascii="Arial Narrow" w:hAnsi="Arial Narrow" w:cs="Arial Narrow"/>
                <w:color w:val="000000"/>
                <w:sz w:val="17"/>
                <w:szCs w:val="17"/>
              </w:rPr>
              <w:t>Sub-Saharan Africa</w:t>
            </w:r>
          </w:p>
        </w:tc>
      </w:tr>
      <w:tr w:rsidR="00100D5F" w:rsidRPr="00100D5F" w14:paraId="75C11F71" w14:textId="77777777" w:rsidTr="0075179D">
        <w:trPr>
          <w:trHeight w:val="247"/>
        </w:trPr>
        <w:tc>
          <w:tcPr>
            <w:tcW w:w="835" w:type="dxa"/>
            <w:vMerge/>
            <w:tcBorders>
              <w:left w:val="nil"/>
              <w:right w:val="nil"/>
            </w:tcBorders>
          </w:tcPr>
          <w:p w14:paraId="46C4A507" w14:textId="77777777" w:rsidR="00100D5F" w:rsidRPr="00100D5F" w:rsidRDefault="00100D5F" w:rsidP="00100D5F">
            <w:pPr>
              <w:autoSpaceDE w:val="0"/>
              <w:autoSpaceDN w:val="0"/>
              <w:adjustRightInd w:val="0"/>
              <w:jc w:val="center"/>
              <w:rPr>
                <w:rFonts w:ascii="Arial Narrow" w:hAnsi="Arial Narrow" w:cs="Arial Narrow"/>
                <w:color w:val="000000"/>
                <w:sz w:val="17"/>
                <w:szCs w:val="17"/>
              </w:rPr>
            </w:pPr>
          </w:p>
        </w:tc>
        <w:tc>
          <w:tcPr>
            <w:tcW w:w="1104" w:type="dxa"/>
            <w:vMerge w:val="restart"/>
            <w:tcBorders>
              <w:top w:val="single" w:sz="12" w:space="0" w:color="auto"/>
              <w:left w:val="nil"/>
              <w:right w:val="nil"/>
            </w:tcBorders>
            <w:vAlign w:val="center"/>
          </w:tcPr>
          <w:p w14:paraId="00FBDE94" w14:textId="77777777" w:rsidR="00100D5F" w:rsidRPr="00100D5F" w:rsidRDefault="00100D5F" w:rsidP="00100D5F">
            <w:pPr>
              <w:autoSpaceDE w:val="0"/>
              <w:autoSpaceDN w:val="0"/>
              <w:adjustRightInd w:val="0"/>
              <w:jc w:val="left"/>
              <w:rPr>
                <w:rFonts w:ascii="Arial Narrow" w:hAnsi="Arial Narrow" w:cs="Arial Narrow"/>
                <w:color w:val="000000"/>
                <w:sz w:val="17"/>
                <w:szCs w:val="17"/>
              </w:rPr>
            </w:pPr>
            <w:r w:rsidRPr="00100D5F">
              <w:rPr>
                <w:rFonts w:ascii="Arial Narrow" w:hAnsi="Arial Narrow" w:cs="Arial Narrow"/>
                <w:color w:val="000000"/>
                <w:sz w:val="17"/>
                <w:szCs w:val="17"/>
              </w:rPr>
              <w:t>Other Asia</w:t>
            </w:r>
          </w:p>
        </w:tc>
        <w:tc>
          <w:tcPr>
            <w:tcW w:w="2523" w:type="dxa"/>
            <w:tcBorders>
              <w:top w:val="nil"/>
              <w:left w:val="nil"/>
              <w:bottom w:val="dotted" w:sz="6" w:space="0" w:color="auto"/>
              <w:right w:val="nil"/>
            </w:tcBorders>
          </w:tcPr>
          <w:p w14:paraId="59968FDB" w14:textId="77777777" w:rsidR="00100D5F" w:rsidRPr="00100D5F" w:rsidRDefault="00100D5F" w:rsidP="00100D5F">
            <w:pPr>
              <w:autoSpaceDE w:val="0"/>
              <w:autoSpaceDN w:val="0"/>
              <w:adjustRightInd w:val="0"/>
              <w:jc w:val="left"/>
              <w:rPr>
                <w:rFonts w:ascii="Arial Narrow" w:hAnsi="Arial Narrow" w:cs="Arial Narrow"/>
                <w:color w:val="000000"/>
                <w:sz w:val="17"/>
                <w:szCs w:val="17"/>
              </w:rPr>
            </w:pPr>
            <w:r w:rsidRPr="00100D5F">
              <w:rPr>
                <w:rFonts w:ascii="Arial Narrow" w:hAnsi="Arial Narrow" w:cs="Arial Narrow"/>
                <w:color w:val="000000"/>
                <w:sz w:val="17"/>
                <w:szCs w:val="17"/>
              </w:rPr>
              <w:t xml:space="preserve">China </w:t>
            </w:r>
          </w:p>
        </w:tc>
        <w:tc>
          <w:tcPr>
            <w:tcW w:w="3784" w:type="dxa"/>
            <w:tcBorders>
              <w:top w:val="nil"/>
              <w:left w:val="nil"/>
              <w:bottom w:val="dotted" w:sz="6" w:space="0" w:color="auto"/>
              <w:right w:val="nil"/>
            </w:tcBorders>
          </w:tcPr>
          <w:p w14:paraId="0019B854" w14:textId="77777777" w:rsidR="00100D5F" w:rsidRPr="00100D5F" w:rsidRDefault="00100D5F" w:rsidP="00100D5F">
            <w:pPr>
              <w:autoSpaceDE w:val="0"/>
              <w:autoSpaceDN w:val="0"/>
              <w:adjustRightInd w:val="0"/>
              <w:jc w:val="left"/>
              <w:rPr>
                <w:rFonts w:ascii="Arial Narrow" w:hAnsi="Arial Narrow" w:cs="Arial Narrow"/>
                <w:color w:val="000000"/>
                <w:sz w:val="17"/>
                <w:szCs w:val="17"/>
              </w:rPr>
            </w:pPr>
            <w:r w:rsidRPr="00100D5F">
              <w:rPr>
                <w:rFonts w:ascii="Arial Narrow" w:hAnsi="Arial Narrow" w:cs="Arial Narrow"/>
                <w:color w:val="000000"/>
                <w:sz w:val="17"/>
                <w:szCs w:val="17"/>
              </w:rPr>
              <w:t>People’s Rep. of China, Hong Kong (China)</w:t>
            </w:r>
          </w:p>
        </w:tc>
      </w:tr>
      <w:tr w:rsidR="00100D5F" w:rsidRPr="00100D5F" w14:paraId="1007B7A5" w14:textId="77777777" w:rsidTr="0075179D">
        <w:trPr>
          <w:trHeight w:val="247"/>
        </w:trPr>
        <w:tc>
          <w:tcPr>
            <w:tcW w:w="835" w:type="dxa"/>
            <w:vMerge/>
            <w:tcBorders>
              <w:left w:val="nil"/>
              <w:right w:val="nil"/>
            </w:tcBorders>
          </w:tcPr>
          <w:p w14:paraId="0CE02359" w14:textId="77777777" w:rsidR="00100D5F" w:rsidRPr="00100D5F" w:rsidRDefault="00100D5F" w:rsidP="00100D5F">
            <w:pPr>
              <w:autoSpaceDE w:val="0"/>
              <w:autoSpaceDN w:val="0"/>
              <w:adjustRightInd w:val="0"/>
              <w:jc w:val="center"/>
              <w:rPr>
                <w:rFonts w:ascii="Arial Narrow" w:hAnsi="Arial Narrow" w:cs="Arial Narrow"/>
                <w:color w:val="000000"/>
                <w:sz w:val="17"/>
                <w:szCs w:val="17"/>
              </w:rPr>
            </w:pPr>
          </w:p>
        </w:tc>
        <w:tc>
          <w:tcPr>
            <w:tcW w:w="1104" w:type="dxa"/>
            <w:vMerge/>
            <w:tcBorders>
              <w:left w:val="nil"/>
              <w:right w:val="nil"/>
            </w:tcBorders>
          </w:tcPr>
          <w:p w14:paraId="0DB8C0D0" w14:textId="77777777" w:rsidR="00100D5F" w:rsidRPr="00100D5F" w:rsidRDefault="00100D5F" w:rsidP="00100D5F">
            <w:pPr>
              <w:autoSpaceDE w:val="0"/>
              <w:autoSpaceDN w:val="0"/>
              <w:adjustRightInd w:val="0"/>
              <w:jc w:val="center"/>
              <w:rPr>
                <w:rFonts w:ascii="Arial Narrow" w:hAnsi="Arial Narrow" w:cs="Arial Narrow"/>
                <w:color w:val="000000"/>
                <w:sz w:val="17"/>
                <w:szCs w:val="17"/>
              </w:rPr>
            </w:pPr>
          </w:p>
        </w:tc>
        <w:tc>
          <w:tcPr>
            <w:tcW w:w="2523" w:type="dxa"/>
            <w:tcBorders>
              <w:top w:val="nil"/>
              <w:left w:val="nil"/>
              <w:bottom w:val="dotted" w:sz="6" w:space="0" w:color="auto"/>
              <w:right w:val="nil"/>
            </w:tcBorders>
          </w:tcPr>
          <w:p w14:paraId="03C996E0" w14:textId="77777777" w:rsidR="00100D5F" w:rsidRPr="00100D5F" w:rsidRDefault="00100D5F" w:rsidP="00100D5F">
            <w:pPr>
              <w:autoSpaceDE w:val="0"/>
              <w:autoSpaceDN w:val="0"/>
              <w:adjustRightInd w:val="0"/>
              <w:jc w:val="left"/>
              <w:rPr>
                <w:rFonts w:ascii="Arial Narrow" w:hAnsi="Arial Narrow" w:cs="Arial Narrow"/>
                <w:color w:val="000000"/>
                <w:sz w:val="17"/>
                <w:szCs w:val="17"/>
              </w:rPr>
            </w:pPr>
            <w:r w:rsidRPr="00100D5F">
              <w:rPr>
                <w:rFonts w:ascii="Arial Narrow" w:hAnsi="Arial Narrow" w:cs="Arial Narrow"/>
                <w:color w:val="000000"/>
                <w:sz w:val="17"/>
                <w:szCs w:val="17"/>
              </w:rPr>
              <w:t>India</w:t>
            </w:r>
          </w:p>
        </w:tc>
        <w:tc>
          <w:tcPr>
            <w:tcW w:w="3784" w:type="dxa"/>
            <w:tcBorders>
              <w:top w:val="nil"/>
              <w:left w:val="nil"/>
              <w:bottom w:val="dotted" w:sz="6" w:space="0" w:color="auto"/>
              <w:right w:val="nil"/>
            </w:tcBorders>
          </w:tcPr>
          <w:p w14:paraId="67ADC266" w14:textId="77777777" w:rsidR="00100D5F" w:rsidRPr="00100D5F" w:rsidRDefault="00100D5F" w:rsidP="00100D5F">
            <w:pPr>
              <w:autoSpaceDE w:val="0"/>
              <w:autoSpaceDN w:val="0"/>
              <w:adjustRightInd w:val="0"/>
              <w:jc w:val="left"/>
              <w:rPr>
                <w:rFonts w:ascii="Arial Narrow" w:hAnsi="Arial Narrow" w:cs="Arial Narrow"/>
                <w:color w:val="000000"/>
                <w:sz w:val="17"/>
                <w:szCs w:val="17"/>
              </w:rPr>
            </w:pPr>
            <w:r w:rsidRPr="00100D5F">
              <w:rPr>
                <w:rFonts w:ascii="Arial Narrow" w:hAnsi="Arial Narrow" w:cs="Arial Narrow"/>
                <w:color w:val="000000"/>
                <w:sz w:val="17"/>
                <w:szCs w:val="17"/>
              </w:rPr>
              <w:t>India</w:t>
            </w:r>
          </w:p>
        </w:tc>
      </w:tr>
      <w:tr w:rsidR="00100D5F" w:rsidRPr="00100D5F" w14:paraId="0AE1AE9D" w14:textId="77777777" w:rsidTr="0075179D">
        <w:trPr>
          <w:trHeight w:val="262"/>
        </w:trPr>
        <w:tc>
          <w:tcPr>
            <w:tcW w:w="835" w:type="dxa"/>
            <w:vMerge/>
            <w:tcBorders>
              <w:left w:val="nil"/>
              <w:bottom w:val="single" w:sz="18" w:space="0" w:color="auto"/>
              <w:right w:val="nil"/>
            </w:tcBorders>
          </w:tcPr>
          <w:p w14:paraId="131D00B2" w14:textId="77777777" w:rsidR="00100D5F" w:rsidRPr="00100D5F" w:rsidRDefault="00100D5F" w:rsidP="00100D5F">
            <w:pPr>
              <w:autoSpaceDE w:val="0"/>
              <w:autoSpaceDN w:val="0"/>
              <w:adjustRightInd w:val="0"/>
              <w:jc w:val="center"/>
              <w:rPr>
                <w:rFonts w:ascii="Arial Narrow" w:hAnsi="Arial Narrow" w:cs="Arial Narrow"/>
                <w:color w:val="000000"/>
                <w:sz w:val="17"/>
                <w:szCs w:val="17"/>
              </w:rPr>
            </w:pPr>
          </w:p>
        </w:tc>
        <w:tc>
          <w:tcPr>
            <w:tcW w:w="1104" w:type="dxa"/>
            <w:vMerge/>
            <w:tcBorders>
              <w:left w:val="nil"/>
              <w:bottom w:val="single" w:sz="18" w:space="0" w:color="auto"/>
              <w:right w:val="nil"/>
            </w:tcBorders>
          </w:tcPr>
          <w:p w14:paraId="5AB078A4" w14:textId="77777777" w:rsidR="00100D5F" w:rsidRPr="00100D5F" w:rsidRDefault="00100D5F" w:rsidP="00100D5F">
            <w:pPr>
              <w:autoSpaceDE w:val="0"/>
              <w:autoSpaceDN w:val="0"/>
              <w:adjustRightInd w:val="0"/>
              <w:jc w:val="center"/>
              <w:rPr>
                <w:rFonts w:ascii="Arial Narrow" w:hAnsi="Arial Narrow" w:cs="Arial Narrow"/>
                <w:color w:val="000000"/>
                <w:sz w:val="17"/>
                <w:szCs w:val="17"/>
              </w:rPr>
            </w:pPr>
          </w:p>
        </w:tc>
        <w:tc>
          <w:tcPr>
            <w:tcW w:w="2523" w:type="dxa"/>
            <w:tcBorders>
              <w:top w:val="nil"/>
              <w:left w:val="nil"/>
              <w:bottom w:val="single" w:sz="18" w:space="0" w:color="auto"/>
              <w:right w:val="nil"/>
            </w:tcBorders>
          </w:tcPr>
          <w:p w14:paraId="3F110C76" w14:textId="77777777" w:rsidR="00100D5F" w:rsidRPr="00100D5F" w:rsidRDefault="00100D5F" w:rsidP="00100D5F">
            <w:pPr>
              <w:autoSpaceDE w:val="0"/>
              <w:autoSpaceDN w:val="0"/>
              <w:adjustRightInd w:val="0"/>
              <w:jc w:val="left"/>
              <w:rPr>
                <w:rFonts w:ascii="Arial Narrow" w:hAnsi="Arial Narrow" w:cs="Arial Narrow"/>
                <w:color w:val="000000"/>
                <w:sz w:val="17"/>
                <w:szCs w:val="17"/>
              </w:rPr>
            </w:pPr>
            <w:r w:rsidRPr="00100D5F">
              <w:rPr>
                <w:rFonts w:ascii="Arial Narrow" w:hAnsi="Arial Narrow" w:cs="Arial Narrow"/>
                <w:color w:val="000000"/>
                <w:sz w:val="17"/>
                <w:szCs w:val="17"/>
              </w:rPr>
              <w:t>Other non-OECD Asia</w:t>
            </w:r>
          </w:p>
        </w:tc>
        <w:tc>
          <w:tcPr>
            <w:tcW w:w="3784" w:type="dxa"/>
            <w:tcBorders>
              <w:top w:val="nil"/>
              <w:left w:val="nil"/>
              <w:bottom w:val="single" w:sz="18" w:space="0" w:color="auto"/>
              <w:right w:val="nil"/>
            </w:tcBorders>
          </w:tcPr>
          <w:p w14:paraId="0C17DF64" w14:textId="77777777" w:rsidR="00100D5F" w:rsidRPr="00100D5F" w:rsidRDefault="00100D5F" w:rsidP="00100D5F">
            <w:pPr>
              <w:autoSpaceDE w:val="0"/>
              <w:autoSpaceDN w:val="0"/>
              <w:adjustRightInd w:val="0"/>
              <w:jc w:val="left"/>
              <w:rPr>
                <w:rFonts w:ascii="Arial Narrow" w:hAnsi="Arial Narrow" w:cs="Arial Narrow"/>
                <w:color w:val="000000"/>
                <w:sz w:val="17"/>
                <w:szCs w:val="17"/>
              </w:rPr>
            </w:pPr>
            <w:r w:rsidRPr="00100D5F">
              <w:rPr>
                <w:rFonts w:ascii="Arial Narrow" w:hAnsi="Arial Narrow" w:cs="Arial Narrow"/>
                <w:color w:val="000000"/>
                <w:sz w:val="17"/>
                <w:szCs w:val="17"/>
              </w:rPr>
              <w:t>Other non-OECD Asian and Pacific countries</w:t>
            </w:r>
          </w:p>
        </w:tc>
      </w:tr>
    </w:tbl>
    <w:p w14:paraId="657245C3" w14:textId="1C2465D0" w:rsidR="004D5A20" w:rsidRPr="00792F4C" w:rsidRDefault="004D5A20" w:rsidP="004D5A20">
      <w:pPr>
        <w:pStyle w:val="Sourcenotes"/>
      </w:pPr>
      <w:r w:rsidRPr="00792F4C">
        <w:rPr>
          <w:i/>
        </w:rPr>
        <w:t>Notes</w:t>
      </w:r>
      <w:r w:rsidRPr="00792F4C">
        <w:t>:</w:t>
      </w:r>
    </w:p>
    <w:p w14:paraId="6BEB453F" w14:textId="77777777" w:rsidR="004D5A20" w:rsidRPr="00AF3245" w:rsidRDefault="004D5A20" w:rsidP="004D5A20">
      <w:pPr>
        <w:pStyle w:val="Sourcenotes"/>
      </w:pPr>
      <w:r w:rsidRPr="00AF3245">
        <w:rPr>
          <w:vertAlign w:val="superscript"/>
        </w:rPr>
        <w:t>1</w:t>
      </w:r>
      <w:r>
        <w:t xml:space="preserve"> </w:t>
      </w:r>
      <w:r w:rsidRPr="00AF3245">
        <w:t>The statistical data for Israel are supplied by and under the responsibility of the relevant Israeli authorities. The use of such data by the OECD is without prejudice to the status of the Golan Heights, East Jerusalem and Israeli settlements in the West Bank under the terms of international law.</w:t>
      </w:r>
    </w:p>
    <w:p w14:paraId="3BCC61F2" w14:textId="77777777" w:rsidR="004D5A20" w:rsidRPr="00AF3245" w:rsidRDefault="004D5A20" w:rsidP="004D5A20">
      <w:pPr>
        <w:pStyle w:val="Sourcenotes"/>
      </w:pPr>
      <w:r w:rsidRPr="00AF3245">
        <w:rPr>
          <w:vertAlign w:val="superscript"/>
        </w:rPr>
        <w:t>2</w:t>
      </w:r>
      <w:r>
        <w:t xml:space="preserve"> </w:t>
      </w:r>
      <w:r w:rsidRPr="00AF3245">
        <w:t>Note by Turkey: The information in this document with reference to “Cyprus” relates to the southern part of the Island. There is no single authority representing both Turkish and Greek Cypriot people on the Island. Turkey recognises the Turkish Republic of Northern Cyprus (TRNC). Until a lasting and equitable solution is found within the context of the United Nations, Turkey shall preserve its position concerning the “Cyprus issue”.</w:t>
      </w:r>
    </w:p>
    <w:p w14:paraId="2AD655A9" w14:textId="77777777" w:rsidR="004D5A20" w:rsidRDefault="004D5A20" w:rsidP="004D5A20">
      <w:pPr>
        <w:pStyle w:val="Sourcenotes"/>
      </w:pPr>
      <w:r w:rsidRPr="00AF3245">
        <w:t>Note by all the European Union Member States of the OECD and the European Union: The Republic of Cyprus is recognised by all members of the United Nations with the exception of Turkey. The information in this document relates to the area under the effective control of the Government of the Republic of Cyprus.</w:t>
      </w:r>
    </w:p>
    <w:p w14:paraId="00EEE348" w14:textId="77777777" w:rsidR="004D5A20" w:rsidRPr="004D5A20" w:rsidRDefault="004D5A20" w:rsidP="004D5A20">
      <w:pPr>
        <w:pStyle w:val="Para0"/>
      </w:pPr>
    </w:p>
    <w:p w14:paraId="0DE88B82" w14:textId="4CA48B72" w:rsidR="00B85666" w:rsidRDefault="00B85666" w:rsidP="00B85666">
      <w:pPr>
        <w:pStyle w:val="Heading7"/>
        <w:pageBreakBefore/>
        <w:numPr>
          <w:ilvl w:val="6"/>
          <w:numId w:val="25"/>
        </w:numPr>
        <w:ind w:firstLine="289"/>
      </w:pPr>
      <w:bookmarkStart w:id="85" w:name="_Ref68183850"/>
      <w:r>
        <w:lastRenderedPageBreak/>
        <w:t xml:space="preserve">Key </w:t>
      </w:r>
      <w:r w:rsidR="008619DC">
        <w:t>projections</w:t>
      </w:r>
      <w:r>
        <w:t xml:space="preserve"> for the </w:t>
      </w:r>
      <w:r w:rsidR="004B33A7">
        <w:t xml:space="preserve">pre-Covid </w:t>
      </w:r>
      <w:r>
        <w:t>baseline projection</w:t>
      </w:r>
      <w:bookmarkEnd w:id="33"/>
      <w:bookmarkEnd w:id="85"/>
      <w:r>
        <w:t xml:space="preserve"> </w:t>
      </w:r>
    </w:p>
    <w:p w14:paraId="6114CE4A" w14:textId="7B1B1B70" w:rsidR="00D6484E" w:rsidRDefault="00D6484E" w:rsidP="00D6484E">
      <w:pPr>
        <w:pStyle w:val="Para0"/>
      </w:pPr>
      <w:r>
        <w:t xml:space="preserve">This Annex presents results for the baseline projection as presented in the </w:t>
      </w:r>
      <w:r>
        <w:rPr>
          <w:i/>
        </w:rPr>
        <w:t xml:space="preserve">Global Material Resources Outlook to 2060 </w:t>
      </w:r>
      <w:sdt>
        <w:sdtPr>
          <w:id w:val="-649597412"/>
          <w:citation/>
        </w:sdtPr>
        <w:sdtEndPr/>
        <w:sdtContent>
          <w:r>
            <w:fldChar w:fldCharType="begin"/>
          </w:r>
          <w:r>
            <w:instrText xml:space="preserve"> CITATION Kappa_g2g98d7d \l 2057 </w:instrText>
          </w:r>
          <w:r>
            <w:fldChar w:fldCharType="separate"/>
          </w:r>
          <w:r w:rsidR="0020320D" w:rsidRPr="0020320D">
            <w:rPr>
              <w:noProof/>
            </w:rPr>
            <w:t>(OECD, 2019</w:t>
          </w:r>
          <w:r w:rsidR="0020320D" w:rsidRPr="0020320D">
            <w:rPr>
              <w:noProof/>
              <w:vertAlign w:val="subscript"/>
            </w:rPr>
            <w:t>[4]</w:t>
          </w:r>
          <w:r w:rsidR="0020320D" w:rsidRPr="0020320D">
            <w:rPr>
              <w:noProof/>
            </w:rPr>
            <w:t>)</w:t>
          </w:r>
          <w:r>
            <w:fldChar w:fldCharType="end"/>
          </w:r>
        </w:sdtContent>
      </w:sdt>
      <w:r>
        <w:t>. The text below is directly reproduced from that report.</w:t>
      </w:r>
    </w:p>
    <w:p w14:paraId="763AD422" w14:textId="3F9FE842" w:rsidR="00D6484E" w:rsidRDefault="00D6484E" w:rsidP="00D6484E">
      <w:pPr>
        <w:pStyle w:val="Para0"/>
      </w:pPr>
      <w:r>
        <w:t xml:space="preserve">World population has been increasing in recent decades and is projected to continue increasing in the coming decades. The central baseline scenario projects global population will reach more than 10 billion people by 2060 (see </w:t>
      </w:r>
      <w:r>
        <w:fldChar w:fldCharType="begin"/>
      </w:r>
      <w:r>
        <w:instrText xml:space="preserve"> REF _Ref6491175 \h  \* MERGEFORMAT </w:instrText>
      </w:r>
      <w:r>
        <w:fldChar w:fldCharType="separate"/>
      </w:r>
      <w:r w:rsidR="00222812" w:rsidRPr="0015357A">
        <w:t>Figure </w:t>
      </w:r>
      <w:r w:rsidR="00222812">
        <w:t>B.</w:t>
      </w:r>
      <w:r w:rsidR="00222812">
        <w:rPr>
          <w:noProof/>
        </w:rPr>
        <w:t>1</w:t>
      </w:r>
      <w:r>
        <w:fldChar w:fldCharType="end"/>
      </w:r>
      <w:r>
        <w:fldChar w:fldCharType="begin"/>
      </w:r>
      <w:r>
        <w:fldChar w:fldCharType="end"/>
      </w:r>
      <w:r>
        <w:t>), drawing on the “medium scenario” of the World Population Prospects</w:t>
      </w:r>
      <w:sdt>
        <w:sdtPr>
          <w:id w:val="1290938961"/>
          <w:citation/>
        </w:sdtPr>
        <w:sdtEndPr/>
        <w:sdtContent>
          <w:r>
            <w:fldChar w:fldCharType="begin"/>
          </w:r>
          <w:r>
            <w:instrText xml:space="preserve"> CITATION Mendeley_4Q__yaJqcyzaDRNgLgQwGgw \l 2057 </w:instrText>
          </w:r>
          <w:r>
            <w:fldChar w:fldCharType="separate"/>
          </w:r>
          <w:bookmarkStart w:id="86" w:name="Mendeley_4Q__yaJqcyzaDRNgLgQwGgw_23"/>
          <w:bookmarkEnd w:id="86"/>
          <w:r w:rsidR="0020320D">
            <w:rPr>
              <w:noProof/>
            </w:rPr>
            <w:t xml:space="preserve"> </w:t>
          </w:r>
          <w:r w:rsidR="0020320D" w:rsidRPr="0020320D">
            <w:rPr>
              <w:noProof/>
            </w:rPr>
            <w:t>(UN, 2017</w:t>
          </w:r>
          <w:r w:rsidR="0020320D" w:rsidRPr="0020320D">
            <w:rPr>
              <w:noProof/>
              <w:vertAlign w:val="subscript"/>
            </w:rPr>
            <w:t>[22]</w:t>
          </w:r>
          <w:r w:rsidR="0020320D" w:rsidRPr="0020320D">
            <w:rPr>
              <w:noProof/>
            </w:rPr>
            <w:t>)</w:t>
          </w:r>
          <w:r>
            <w:fldChar w:fldCharType="end"/>
          </w:r>
        </w:sdtContent>
      </w:sdt>
      <w:r>
        <w:t xml:space="preserve"> and the central scenario of Eurostat projections for European countries</w:t>
      </w:r>
      <w:sdt>
        <w:sdtPr>
          <w:id w:val="-1629390268"/>
          <w:citation/>
        </w:sdtPr>
        <w:sdtEndPr/>
        <w:sdtContent>
          <w:r>
            <w:fldChar w:fldCharType="begin"/>
          </w:r>
          <w:r w:rsidRPr="000F51BE">
            <w:instrText xml:space="preserve"> CITATION Eur18 \l 1036 </w:instrText>
          </w:r>
          <w:r>
            <w:fldChar w:fldCharType="separate"/>
          </w:r>
          <w:r w:rsidR="0020320D">
            <w:rPr>
              <w:noProof/>
            </w:rPr>
            <w:t xml:space="preserve"> </w:t>
          </w:r>
          <w:r w:rsidR="0020320D" w:rsidRPr="0020320D">
            <w:rPr>
              <w:noProof/>
            </w:rPr>
            <w:t>(Eurostat, 2018</w:t>
          </w:r>
          <w:r w:rsidR="0020320D" w:rsidRPr="0020320D">
            <w:rPr>
              <w:noProof/>
              <w:vertAlign w:val="subscript"/>
            </w:rPr>
            <w:t>[23]</w:t>
          </w:r>
          <w:r w:rsidR="0020320D" w:rsidRPr="0020320D">
            <w:rPr>
              <w:noProof/>
            </w:rPr>
            <w:t>)</w:t>
          </w:r>
          <w:r>
            <w:fldChar w:fldCharType="end"/>
          </w:r>
        </w:sdtContent>
      </w:sdt>
      <w:r>
        <w:t>. The pace of population growth is slowing between 2011 and 2060, which contrasts with the past 40 years of strong growth. Over the next decades (between 2017 and 2060), global population is projected to grow by 0.7% per year</w:t>
      </w:r>
      <w:r w:rsidRPr="005E007E">
        <w:t xml:space="preserve"> </w:t>
      </w:r>
      <w:r>
        <w:t>on average, while the growth rate was 1.4% per year during the period 1980-2017.</w:t>
      </w:r>
    </w:p>
    <w:p w14:paraId="49E901BB" w14:textId="07971F0E" w:rsidR="00D6484E" w:rsidRPr="0015357A" w:rsidRDefault="00D6484E" w:rsidP="00D6484E">
      <w:pPr>
        <w:pStyle w:val="Caption"/>
      </w:pPr>
      <w:bookmarkStart w:id="87" w:name="_Ref518028412"/>
      <w:bookmarkStart w:id="88" w:name="_Ref6491175"/>
      <w:bookmarkStart w:id="89" w:name="_Toc518372696"/>
      <w:bookmarkStart w:id="90" w:name="_Toc518563084"/>
      <w:bookmarkStart w:id="91" w:name="_Toc518569520"/>
      <w:bookmarkStart w:id="92" w:name="_Toc518570370"/>
      <w:bookmarkStart w:id="93" w:name="_Toc518657975"/>
      <w:bookmarkStart w:id="94" w:name="_Toc520211565"/>
      <w:bookmarkStart w:id="95" w:name="_Toc520219554"/>
      <w:bookmarkStart w:id="96" w:name="_Toc520305536"/>
      <w:bookmarkStart w:id="97" w:name="_Toc520305655"/>
      <w:bookmarkStart w:id="98" w:name="_Toc520310461"/>
      <w:bookmarkStart w:id="99" w:name="_Toc520729664"/>
      <w:bookmarkStart w:id="100" w:name="_Toc520736506"/>
      <w:bookmarkStart w:id="101" w:name="_Toc520736739"/>
      <w:bookmarkStart w:id="102" w:name="_Toc520801089"/>
      <w:bookmarkStart w:id="103" w:name="_Toc520801857"/>
      <w:bookmarkStart w:id="104" w:name="_Toc520816912"/>
      <w:bookmarkStart w:id="105" w:name="_Toc520825170"/>
      <w:bookmarkStart w:id="106" w:name="_Toc520882574"/>
      <w:bookmarkStart w:id="107" w:name="_Toc520990651"/>
      <w:bookmarkStart w:id="108" w:name="_Toc522616820"/>
      <w:bookmarkStart w:id="109" w:name="_Toc522798928"/>
      <w:bookmarkStart w:id="110" w:name="_Toc525576194"/>
      <w:bookmarkStart w:id="111" w:name="_Toc525661563"/>
      <w:bookmarkStart w:id="112" w:name="_Toc525662247"/>
      <w:bookmarkStart w:id="113" w:name="_Toc525666754"/>
      <w:bookmarkStart w:id="114" w:name="_Toc525736124"/>
      <w:bookmarkStart w:id="115" w:name="_Toc532573982"/>
      <w:bookmarkStart w:id="116" w:name="_Toc37435917"/>
      <w:r w:rsidRPr="0015357A">
        <w:t>Figure </w:t>
      </w:r>
      <w:bookmarkEnd w:id="87"/>
      <w:r>
        <w:fldChar w:fldCharType="begin"/>
      </w:r>
      <w:r>
        <w:instrText xml:space="preserve"> STYLEREF 7 \s </w:instrText>
      </w:r>
      <w:r>
        <w:fldChar w:fldCharType="separate"/>
      </w:r>
      <w:r w:rsidR="00222812">
        <w:rPr>
          <w:noProof/>
        </w:rPr>
        <w:t>B</w:t>
      </w:r>
      <w:r>
        <w:rPr>
          <w:noProof/>
        </w:rPr>
        <w:fldChar w:fldCharType="end"/>
      </w:r>
      <w:r>
        <w:t>.</w:t>
      </w:r>
      <w:r w:rsidR="00331DD0">
        <w:fldChar w:fldCharType="begin"/>
      </w:r>
      <w:r w:rsidR="00331DD0">
        <w:instrText xml:space="preserve"> SEQ Figure_A \* ARABIC \s 7 </w:instrText>
      </w:r>
      <w:r w:rsidR="00331DD0">
        <w:fldChar w:fldCharType="separate"/>
      </w:r>
      <w:r w:rsidR="00222812">
        <w:rPr>
          <w:noProof/>
        </w:rPr>
        <w:t>1</w:t>
      </w:r>
      <w:r w:rsidR="00331DD0">
        <w:rPr>
          <w:noProof/>
        </w:rPr>
        <w:fldChar w:fldCharType="end"/>
      </w:r>
      <w:bookmarkEnd w:id="88"/>
      <w:r w:rsidRPr="0015357A">
        <w:t>. World population is projected to keep growing but less rapidly than in the past</w:t>
      </w:r>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p>
    <w:p w14:paraId="0AF433A3" w14:textId="77777777" w:rsidR="00D6484E" w:rsidRPr="0015357A" w:rsidRDefault="00D6484E" w:rsidP="00D6484E">
      <w:pPr>
        <w:pStyle w:val="CaptionSubtitle"/>
      </w:pPr>
      <w:r w:rsidRPr="0015357A">
        <w:t>Bln people</w:t>
      </w:r>
    </w:p>
    <w:p w14:paraId="556D9961" w14:textId="77777777" w:rsidR="00D6484E" w:rsidRPr="000C1197" w:rsidRDefault="00D6484E" w:rsidP="00D6484E">
      <w:pPr>
        <w:pStyle w:val="Figure"/>
      </w:pPr>
      <w:r>
        <w:rPr>
          <w:noProof/>
          <w:lang w:eastAsia="en-GB"/>
        </w:rPr>
        <w:drawing>
          <wp:inline distT="0" distB="0" distL="0" distR="0" wp14:anchorId="14751D3B" wp14:editId="6BEF24B1">
            <wp:extent cx="5040000" cy="2311200"/>
            <wp:effectExtent l="0" t="0" r="825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worldPopulation.png"/>
                    <pic:cNvPicPr/>
                  </pic:nvPicPr>
                  <pic:blipFill>
                    <a:blip r:embed="rId31">
                      <a:extLst>
                        <a:ext uri="{28A0092B-C50C-407E-A947-70E740481C1C}">
                          <a14:useLocalDpi xmlns:a14="http://schemas.microsoft.com/office/drawing/2010/main" val="0"/>
                        </a:ext>
                      </a:extLst>
                    </a:blip>
                    <a:stretch>
                      <a:fillRect/>
                    </a:stretch>
                  </pic:blipFill>
                  <pic:spPr>
                    <a:xfrm>
                      <a:off x="0" y="0"/>
                      <a:ext cx="5040000" cy="2311200"/>
                    </a:xfrm>
                    <a:prstGeom prst="rect">
                      <a:avLst/>
                    </a:prstGeom>
                  </pic:spPr>
                </pic:pic>
              </a:graphicData>
            </a:graphic>
          </wp:inline>
        </w:drawing>
      </w:r>
    </w:p>
    <w:p w14:paraId="68A1FBAC" w14:textId="72378522" w:rsidR="00D6484E" w:rsidRPr="00961F86" w:rsidRDefault="00D6484E" w:rsidP="00D6484E">
      <w:pPr>
        <w:pStyle w:val="Sourcenotes"/>
      </w:pPr>
      <w:r w:rsidRPr="0000349C">
        <w:rPr>
          <w:i/>
        </w:rPr>
        <w:t>Source</w:t>
      </w:r>
      <w:r w:rsidRPr="00961F86">
        <w:t xml:space="preserve">: </w:t>
      </w:r>
      <w:r>
        <w:t>Own</w:t>
      </w:r>
      <w:r w:rsidRPr="004007AF">
        <w:t xml:space="preserve"> calculation</w:t>
      </w:r>
      <w:r>
        <w:t xml:space="preserve"> from </w:t>
      </w:r>
      <w:r w:rsidRPr="001728D4">
        <w:t>The World Population Prospects: 201</w:t>
      </w:r>
      <w:r>
        <w:t xml:space="preserve">7 </w:t>
      </w:r>
      <w:r w:rsidRPr="001728D4">
        <w:t>Revision</w:t>
      </w:r>
      <w:r>
        <w:t xml:space="preserve"> </w:t>
      </w:r>
      <w:sdt>
        <w:sdtPr>
          <w:id w:val="1878503767"/>
          <w:citation/>
        </w:sdtPr>
        <w:sdtEndPr/>
        <w:sdtContent>
          <w:r>
            <w:fldChar w:fldCharType="begin"/>
          </w:r>
          <w:r w:rsidRPr="000F7050">
            <w:instrText xml:space="preserve"> CITATION Mendeley_4Q__yaJqcyzaDRNgLgQwGgw \l 1036 </w:instrText>
          </w:r>
          <w:r>
            <w:fldChar w:fldCharType="separate"/>
          </w:r>
          <w:bookmarkStart w:id="117" w:name="Mendeley_4Q__yaJqcyzaDRNgLgQwGgw_20"/>
          <w:r w:rsidR="0020320D" w:rsidRPr="0020320D">
            <w:rPr>
              <w:noProof/>
            </w:rPr>
            <w:t>(UN, 2017</w:t>
          </w:r>
          <w:r w:rsidR="0020320D" w:rsidRPr="0020320D">
            <w:rPr>
              <w:noProof/>
              <w:vertAlign w:val="subscript"/>
            </w:rPr>
            <w:t>[22]</w:t>
          </w:r>
          <w:r w:rsidR="0020320D" w:rsidRPr="0020320D">
            <w:rPr>
              <w:noProof/>
            </w:rPr>
            <w:t>)</w:t>
          </w:r>
          <w:bookmarkEnd w:id="117"/>
          <w:r>
            <w:fldChar w:fldCharType="end"/>
          </w:r>
        </w:sdtContent>
      </w:sdt>
      <w:r>
        <w:t xml:space="preserve"> and Eurostat </w:t>
      </w:r>
      <w:sdt>
        <w:sdtPr>
          <w:id w:val="1568913206"/>
          <w:citation/>
        </w:sdtPr>
        <w:sdtEndPr/>
        <w:sdtContent>
          <w:r>
            <w:fldChar w:fldCharType="begin"/>
          </w:r>
          <w:r w:rsidRPr="007F4293">
            <w:instrText xml:space="preserve"> CITATION Eur18 \l 1036 </w:instrText>
          </w:r>
          <w:r>
            <w:fldChar w:fldCharType="separate"/>
          </w:r>
          <w:r w:rsidR="0020320D" w:rsidRPr="0020320D">
            <w:rPr>
              <w:noProof/>
            </w:rPr>
            <w:t>(Eurostat, 2018</w:t>
          </w:r>
          <w:r w:rsidR="0020320D" w:rsidRPr="0020320D">
            <w:rPr>
              <w:noProof/>
              <w:vertAlign w:val="subscript"/>
            </w:rPr>
            <w:t>[23]</w:t>
          </w:r>
          <w:r w:rsidR="0020320D" w:rsidRPr="0020320D">
            <w:rPr>
              <w:noProof/>
            </w:rPr>
            <w:t>)</w:t>
          </w:r>
          <w:r>
            <w:fldChar w:fldCharType="end"/>
          </w:r>
        </w:sdtContent>
      </w:sdt>
      <w:r>
        <w:t>.</w:t>
      </w:r>
    </w:p>
    <w:p w14:paraId="2940E2BB" w14:textId="77777777" w:rsidR="00D6484E" w:rsidRDefault="00D6484E" w:rsidP="00D6484E">
      <w:pPr>
        <w:pStyle w:val="Para0"/>
      </w:pPr>
      <w:r>
        <w:t>This</w:t>
      </w:r>
      <w:bookmarkStart w:id="118" w:name="_Ref507076454"/>
      <w:bookmarkStart w:id="119" w:name="_Toc507084625"/>
      <w:bookmarkStart w:id="120" w:name="_Toc507085775"/>
      <w:bookmarkStart w:id="121" w:name="_Toc507402777"/>
      <w:bookmarkStart w:id="122" w:name="_Toc507402879"/>
      <w:bookmarkStart w:id="123" w:name="_Toc507403013"/>
      <w:bookmarkStart w:id="124" w:name="_Toc507403097"/>
      <w:bookmarkStart w:id="125" w:name="_Toc507403238"/>
      <w:bookmarkStart w:id="126" w:name="_Toc507403322"/>
      <w:bookmarkStart w:id="127" w:name="_Toc507403500"/>
      <w:bookmarkStart w:id="128" w:name="_Toc507403673"/>
      <w:bookmarkStart w:id="129" w:name="_Toc507403739"/>
      <w:bookmarkStart w:id="130" w:name="_Toc507403845"/>
      <w:bookmarkStart w:id="131" w:name="_Toc507404713"/>
      <w:bookmarkStart w:id="132" w:name="_Toc507404908"/>
      <w:bookmarkStart w:id="133" w:name="_Toc513210019"/>
      <w:bookmarkStart w:id="134" w:name="_Toc513821517"/>
      <w:bookmarkStart w:id="135" w:name="_Toc514167284"/>
      <w:bookmarkStart w:id="136" w:name="_Toc514170042"/>
      <w:bookmarkStart w:id="137" w:name="_Toc514243823"/>
      <w:bookmarkStart w:id="138" w:name="_Toc514247840"/>
      <w:bookmarkStart w:id="139" w:name="_Toc514404884"/>
      <w:bookmarkStart w:id="140" w:name="_Toc514422388"/>
      <w:bookmarkStart w:id="141" w:name="_Toc514920659"/>
      <w:bookmarkStart w:id="142" w:name="_Toc514923053"/>
      <w:r>
        <w:t xml:space="preserve"> decline in population growth applies to all countries. However, population growth trends will vary across countries. Some countries with the most advanced demographic transition are projected to even face negative growth (many European countries, Japan, Korea, and China). At the other extreme, Sub-Saharan Africa (grouped with the other parts of Africa and the Middle East in the figure) is projected to experience very high population growth (over 2% per year over 2017-2060). As a result, more than 29% of world population in 2060 is projected to be settled in Africa, compared to 17% in 2017. In contrast, the OECD share shrinks from 14% in 2017 to 17% in 2060.</w:t>
      </w:r>
    </w:p>
    <w:p w14:paraId="3946F354" w14:textId="043EC6A4" w:rsidR="00D6484E" w:rsidRDefault="00D6484E" w:rsidP="00D6484E">
      <w:pPr>
        <w:pStyle w:val="Para0"/>
      </w:pPr>
      <w:r>
        <w:t xml:space="preserve">In the coming decades, the global population is projected to not only increase but also to become wealthier. Living standards (measured as GDP per capita) are projected to increase over the entire period, with most countries </w:t>
      </w:r>
      <w:r w:rsidRPr="00B14FCC">
        <w:rPr>
          <w:rStyle w:val="ParaChar0"/>
        </w:rPr>
        <w:t>gradual</w:t>
      </w:r>
      <w:r>
        <w:rPr>
          <w:rStyle w:val="ParaChar0"/>
        </w:rPr>
        <w:t>ly</w:t>
      </w:r>
      <w:r w:rsidRPr="00B14FCC">
        <w:rPr>
          <w:rStyle w:val="ParaChar0"/>
        </w:rPr>
        <w:t xml:space="preserve"> converg</w:t>
      </w:r>
      <w:r>
        <w:rPr>
          <w:rStyle w:val="ParaChar0"/>
        </w:rPr>
        <w:t>ing</w:t>
      </w:r>
      <w:r w:rsidRPr="00B14FCC">
        <w:rPr>
          <w:rStyle w:val="ParaChar0"/>
        </w:rPr>
        <w:t xml:space="preserve"> towards OECD levels </w:t>
      </w:r>
      <w:r>
        <w:rPr>
          <w:rStyle w:val="ParaChar0"/>
        </w:rPr>
        <w:t>(</w:t>
      </w:r>
      <w:r>
        <w:rPr>
          <w:rStyle w:val="ParaChar0"/>
        </w:rPr>
        <w:fldChar w:fldCharType="begin"/>
      </w:r>
      <w:r>
        <w:rPr>
          <w:rStyle w:val="ParaChar0"/>
        </w:rPr>
        <w:instrText xml:space="preserve"> REF _Ref6491242 \h  \* MERGEFORMAT </w:instrText>
      </w:r>
      <w:r>
        <w:rPr>
          <w:rStyle w:val="ParaChar0"/>
        </w:rPr>
      </w:r>
      <w:r>
        <w:rPr>
          <w:rStyle w:val="ParaChar0"/>
        </w:rPr>
        <w:fldChar w:fldCharType="separate"/>
      </w:r>
      <w:r w:rsidR="00222812">
        <w:t>Figure B.</w:t>
      </w:r>
      <w:r w:rsidR="00222812">
        <w:rPr>
          <w:noProof/>
        </w:rPr>
        <w:t>2</w:t>
      </w:r>
      <w:r>
        <w:rPr>
          <w:rStyle w:val="ParaChar0"/>
        </w:rPr>
        <w:fldChar w:fldCharType="end"/>
      </w:r>
      <w:r>
        <w:rPr>
          <w:rStyle w:val="ParaChar0"/>
        </w:rPr>
        <w:t>)</w:t>
      </w:r>
      <w:r w:rsidRPr="00B14FCC">
        <w:rPr>
          <w:rStyle w:val="ParaChar0"/>
        </w:rPr>
        <w:t xml:space="preserve">. The improvements in living standards </w:t>
      </w:r>
      <w:r>
        <w:rPr>
          <w:rStyle w:val="ParaChar0"/>
        </w:rPr>
        <w:t>over</w:t>
      </w:r>
      <w:r w:rsidRPr="00B14FCC">
        <w:rPr>
          <w:rStyle w:val="ParaChar0"/>
        </w:rPr>
        <w:t xml:space="preserve"> the 2011-2060 projection period (blue bars) are </w:t>
      </w:r>
      <w:r>
        <w:rPr>
          <w:rStyle w:val="ParaChar0"/>
        </w:rPr>
        <w:t>projected to be</w:t>
      </w:r>
      <w:r w:rsidRPr="00B14FCC">
        <w:rPr>
          <w:rStyle w:val="ParaChar0"/>
        </w:rPr>
        <w:t xml:space="preserve"> </w:t>
      </w:r>
      <w:r>
        <w:rPr>
          <w:rStyle w:val="ParaChar0"/>
        </w:rPr>
        <w:t>greater</w:t>
      </w:r>
      <w:r w:rsidRPr="00B14FCC">
        <w:rPr>
          <w:rStyle w:val="ParaChar0"/>
        </w:rPr>
        <w:t xml:space="preserve"> for </w:t>
      </w:r>
      <w:r>
        <w:t xml:space="preserve">countries that currently have lower levels of per-capita GDP (those to the right of the graph, since the figure is sorted by GDP per capita in 2011 in grey). The poorer countries at the beginning of the period are thus projected to show important gains in living standards (including </w:t>
      </w:r>
      <w:r>
        <w:lastRenderedPageBreak/>
        <w:t>Sub-Saharan African countries</w:t>
      </w:r>
      <w:r w:rsidRPr="001320C1">
        <w:rPr>
          <w:rStyle w:val="FootnoteReference"/>
        </w:rPr>
        <w:footnoteReference w:id="16"/>
      </w:r>
      <w:r>
        <w:t xml:space="preserve">, India, and other non-OECD Asian countries). Global income per capita is projected to reach the 2011 OECD level of living standards by 2060. The macroeconomic projections for OECD and G20 countries match the long-term macroeconomic projections of the OECD Economics Department </w:t>
      </w:r>
      <w:sdt>
        <w:sdtPr>
          <w:id w:val="-727373364"/>
          <w:citation/>
        </w:sdtPr>
        <w:sdtEndPr/>
        <w:sdtContent>
          <w:r>
            <w:fldChar w:fldCharType="begin"/>
          </w:r>
          <w:r>
            <w:instrText xml:space="preserve"> CITATION Kappa_f3352d87 \l 2057 </w:instrText>
          </w:r>
          <w:r>
            <w:fldChar w:fldCharType="separate"/>
          </w:r>
          <w:r w:rsidR="0020320D" w:rsidRPr="0020320D">
            <w:rPr>
              <w:noProof/>
            </w:rPr>
            <w:t>(</w:t>
          </w:r>
          <w:bookmarkStart w:id="143" w:name="Kappa_f3352d87_14"/>
          <w:r w:rsidR="0020320D" w:rsidRPr="0020320D">
            <w:rPr>
              <w:noProof/>
            </w:rPr>
            <w:t>Guillemette and Turner, 2018</w:t>
          </w:r>
          <w:r w:rsidR="0020320D" w:rsidRPr="0020320D">
            <w:rPr>
              <w:noProof/>
              <w:vertAlign w:val="subscript"/>
            </w:rPr>
            <w:t>[14]</w:t>
          </w:r>
          <w:r w:rsidR="0020320D" w:rsidRPr="0020320D">
            <w:rPr>
              <w:noProof/>
            </w:rPr>
            <w:t>)</w:t>
          </w:r>
          <w:bookmarkEnd w:id="143"/>
          <w:r>
            <w:fldChar w:fldCharType="end"/>
          </w:r>
        </w:sdtContent>
      </w:sdt>
      <w:r>
        <w:t>. For the remaining countries, projections are provided by the ENV-Growth model.</w:t>
      </w:r>
    </w:p>
    <w:p w14:paraId="71F1BDB9" w14:textId="3D46C63C" w:rsidR="00D6484E" w:rsidRPr="00961F86" w:rsidRDefault="00D6484E" w:rsidP="00D6484E">
      <w:pPr>
        <w:pStyle w:val="Caption"/>
      </w:pPr>
      <w:bookmarkStart w:id="144" w:name="_Ref518028427"/>
      <w:bookmarkStart w:id="145" w:name="_Ref6491242"/>
      <w:bookmarkStart w:id="146" w:name="_Toc518372697"/>
      <w:bookmarkStart w:id="147" w:name="_Toc518563085"/>
      <w:bookmarkStart w:id="148" w:name="_Toc518569521"/>
      <w:bookmarkStart w:id="149" w:name="_Toc518570371"/>
      <w:bookmarkStart w:id="150" w:name="_Toc518657976"/>
      <w:bookmarkStart w:id="151" w:name="_Toc520211566"/>
      <w:bookmarkStart w:id="152" w:name="_Toc520219555"/>
      <w:bookmarkStart w:id="153" w:name="_Toc520305537"/>
      <w:bookmarkStart w:id="154" w:name="_Toc520305656"/>
      <w:bookmarkStart w:id="155" w:name="_Toc520310462"/>
      <w:bookmarkStart w:id="156" w:name="_Toc520729665"/>
      <w:bookmarkStart w:id="157" w:name="_Toc520736507"/>
      <w:bookmarkStart w:id="158" w:name="_Toc520736740"/>
      <w:bookmarkStart w:id="159" w:name="_Toc520801090"/>
      <w:bookmarkStart w:id="160" w:name="_Toc520801858"/>
      <w:bookmarkStart w:id="161" w:name="_Toc520816913"/>
      <w:bookmarkStart w:id="162" w:name="_Toc520825171"/>
      <w:bookmarkStart w:id="163" w:name="_Toc520882575"/>
      <w:bookmarkStart w:id="164" w:name="_Toc520990652"/>
      <w:bookmarkStart w:id="165" w:name="_Toc522616821"/>
      <w:bookmarkStart w:id="166" w:name="_Toc522798929"/>
      <w:bookmarkStart w:id="167" w:name="_Toc525576195"/>
      <w:bookmarkStart w:id="168" w:name="_Toc525661564"/>
      <w:bookmarkStart w:id="169" w:name="_Toc525662248"/>
      <w:bookmarkStart w:id="170" w:name="_Toc525666755"/>
      <w:bookmarkStart w:id="171" w:name="_Toc525736125"/>
      <w:bookmarkStart w:id="172" w:name="_Toc532573983"/>
      <w:bookmarkStart w:id="173" w:name="_Toc37435918"/>
      <w:r>
        <w:t>Figure </w:t>
      </w:r>
      <w:bookmarkEnd w:id="144"/>
      <w:r>
        <w:fldChar w:fldCharType="begin"/>
      </w:r>
      <w:r>
        <w:instrText xml:space="preserve"> STYLEREF 7 \s </w:instrText>
      </w:r>
      <w:r>
        <w:fldChar w:fldCharType="separate"/>
      </w:r>
      <w:r w:rsidR="00222812">
        <w:rPr>
          <w:noProof/>
        </w:rPr>
        <w:t>B</w:t>
      </w:r>
      <w:r>
        <w:rPr>
          <w:noProof/>
        </w:rPr>
        <w:fldChar w:fldCharType="end"/>
      </w:r>
      <w:r>
        <w:t>.</w:t>
      </w:r>
      <w:r w:rsidR="00331DD0">
        <w:fldChar w:fldCharType="begin"/>
      </w:r>
      <w:r w:rsidR="00331DD0">
        <w:instrText xml:space="preserve"> SEQ Figure_A \* ARABIC \s 7 </w:instrText>
      </w:r>
      <w:r w:rsidR="00331DD0">
        <w:fldChar w:fldCharType="separate"/>
      </w:r>
      <w:r w:rsidR="00222812">
        <w:rPr>
          <w:noProof/>
        </w:rPr>
        <w:t>2</w:t>
      </w:r>
      <w:r w:rsidR="00331DD0">
        <w:rPr>
          <w:noProof/>
        </w:rPr>
        <w:fldChar w:fldCharType="end"/>
      </w:r>
      <w:bookmarkEnd w:id="145"/>
      <w:r w:rsidRPr="00961F86">
        <w:t xml:space="preserve">. </w:t>
      </w:r>
      <w:r w:rsidRPr="009368C3">
        <w:t xml:space="preserve">Living standards are projected </w:t>
      </w:r>
      <w:r>
        <w:t>to gradually converge</w:t>
      </w:r>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p>
    <w:p w14:paraId="620844BC" w14:textId="77777777" w:rsidR="00D6484E" w:rsidRPr="00961F86" w:rsidRDefault="00D6484E" w:rsidP="00D6484E">
      <w:pPr>
        <w:pStyle w:val="CaptionSubtitle"/>
        <w:spacing w:after="0"/>
      </w:pPr>
      <w:r>
        <w:t>Real GDP per capita in USD (2011 PPP), sorted by GDP per capita in 2011</w:t>
      </w:r>
    </w:p>
    <w:p w14:paraId="7241DB1A" w14:textId="77777777" w:rsidR="00D6484E" w:rsidRDefault="00D6484E" w:rsidP="00D6484E">
      <w:pPr>
        <w:pStyle w:val="Figure"/>
      </w:pPr>
      <w:r>
        <w:rPr>
          <w:noProof/>
          <w:lang w:eastAsia="en-GB"/>
        </w:rPr>
        <w:drawing>
          <wp:inline distT="0" distB="0" distL="0" distR="0" wp14:anchorId="505F8659" wp14:editId="7BB1DB78">
            <wp:extent cx="5040000" cy="3175200"/>
            <wp:effectExtent l="0" t="0" r="8255" b="6350"/>
            <wp:docPr id="2279" name="Picture 2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9" name="livingStandards.png"/>
                    <pic:cNvPicPr/>
                  </pic:nvPicPr>
                  <pic:blipFill>
                    <a:blip r:embed="rId32">
                      <a:extLst>
                        <a:ext uri="{28A0092B-C50C-407E-A947-70E740481C1C}">
                          <a14:useLocalDpi xmlns:a14="http://schemas.microsoft.com/office/drawing/2010/main" val="0"/>
                        </a:ext>
                      </a:extLst>
                    </a:blip>
                    <a:stretch>
                      <a:fillRect/>
                    </a:stretch>
                  </pic:blipFill>
                  <pic:spPr>
                    <a:xfrm>
                      <a:off x="0" y="0"/>
                      <a:ext cx="5040000" cy="3175200"/>
                    </a:xfrm>
                    <a:prstGeom prst="rect">
                      <a:avLst/>
                    </a:prstGeom>
                  </pic:spPr>
                </pic:pic>
              </a:graphicData>
            </a:graphic>
          </wp:inline>
        </w:drawing>
      </w:r>
    </w:p>
    <w:p w14:paraId="637F697B" w14:textId="77777777" w:rsidR="00D6484E" w:rsidRDefault="00D6484E" w:rsidP="00D6484E">
      <w:pPr>
        <w:pStyle w:val="Sourcenotes"/>
        <w:spacing w:before="0"/>
        <w:rPr>
          <w:i/>
        </w:rPr>
      </w:pPr>
      <w:r>
        <w:rPr>
          <w:i/>
        </w:rPr>
        <w:t xml:space="preserve">Note: </w:t>
      </w:r>
      <w:r>
        <w:t>See Annex A for regional definitions. In particular, OECD EU 4 includes France, Germany, Italy and the United Kingdom. OECD EU 17 includes the other 17 OECD EU member states. Other OECD Eurasia includes the EFTA countries</w:t>
      </w:r>
      <w:r w:rsidRPr="00254181">
        <w:t xml:space="preserve"> as well as </w:t>
      </w:r>
      <w:r>
        <w:t xml:space="preserve">Israel and Turkey. Other EU includes EU member states that are not OECD members. Other Europe includes non-OECD, non-EU European countries excluding Russia. Other Africa includes all of Sub-Saharan Africa excluding South Africa; in the text, the term Other Africa is replaced with Sub-Saharan Africa to improve readability. Other non-OECD Asia includes non-OECD Asian countries excluding China, India, ASEAN and Caspian </w:t>
      </w:r>
      <w:r w:rsidRPr="00254181">
        <w:t>countries</w:t>
      </w:r>
      <w:r>
        <w:t>.</w:t>
      </w:r>
    </w:p>
    <w:p w14:paraId="29FE8966" w14:textId="718D7B87" w:rsidR="00D6484E" w:rsidRDefault="00D6484E" w:rsidP="00D6484E">
      <w:pPr>
        <w:pStyle w:val="Sourcenotes"/>
        <w:spacing w:before="0"/>
      </w:pPr>
      <w:r w:rsidRPr="0000349C">
        <w:rPr>
          <w:i/>
        </w:rPr>
        <w:t>Source</w:t>
      </w:r>
      <w:r w:rsidRPr="00961F86">
        <w:t xml:space="preserve">: </w:t>
      </w:r>
      <w:r>
        <w:t>OECD ENV-Growth model (OECD Environment Directorate) and OECD Economics Department</w:t>
      </w:r>
      <w:sdt>
        <w:sdtPr>
          <w:id w:val="-1183128633"/>
          <w:citation/>
        </w:sdtPr>
        <w:sdtEndPr/>
        <w:sdtContent>
          <w:r>
            <w:fldChar w:fldCharType="begin"/>
          </w:r>
          <w:r w:rsidRPr="00254181">
            <w:instrText xml:space="preserve"> CITATION Kappa_f3352d87 \l 1036 </w:instrText>
          </w:r>
          <w:r>
            <w:fldChar w:fldCharType="separate"/>
          </w:r>
          <w:r w:rsidR="0020320D">
            <w:rPr>
              <w:noProof/>
            </w:rPr>
            <w:t xml:space="preserve"> </w:t>
          </w:r>
          <w:r w:rsidR="0020320D" w:rsidRPr="0020320D">
            <w:rPr>
              <w:noProof/>
            </w:rPr>
            <w:t>(Guillemette and Turner, 2018</w:t>
          </w:r>
          <w:r w:rsidR="0020320D" w:rsidRPr="0020320D">
            <w:rPr>
              <w:noProof/>
              <w:vertAlign w:val="subscript"/>
            </w:rPr>
            <w:t>[14]</w:t>
          </w:r>
          <w:r w:rsidR="0020320D" w:rsidRPr="0020320D">
            <w:rPr>
              <w:noProof/>
            </w:rPr>
            <w:t>)</w:t>
          </w:r>
          <w:r>
            <w:fldChar w:fldCharType="end"/>
          </w:r>
        </w:sdtContent>
      </w:sdt>
      <w:r>
        <w:t>.</w:t>
      </w:r>
    </w:p>
    <w:p w14:paraId="24E9CF3F" w14:textId="77777777" w:rsidR="00D6484E" w:rsidRDefault="00D6484E" w:rsidP="00D6484E">
      <w:pPr>
        <w:pStyle w:val="Para0"/>
      </w:pPr>
      <w:r w:rsidRPr="00961F86">
        <w:t xml:space="preserve"> </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t>Two categories of countries deviate from this pattern. Countries that are fossil-fuel exporters are projected to underperform compared to the standard pattern, as fossil fuel revenues do not grow as rapidly as other contributing factors to GDP. Countries in this category include the Russian Federation (hereafter Russia), Brazil and Middle Eastern countries. In contrast, European countries that are currently in a phase of integration to the European Union (EU), especially those labelled as “Other EU”</w:t>
      </w:r>
      <w:r w:rsidRPr="001320C1">
        <w:rPr>
          <w:rStyle w:val="FootnoteReference"/>
        </w:rPr>
        <w:footnoteReference w:id="17"/>
      </w:r>
      <w:r>
        <w:t>, are projected to overperform.</w:t>
      </w:r>
    </w:p>
    <w:p w14:paraId="38C0586A" w14:textId="0584F167" w:rsidR="00D6484E" w:rsidRDefault="00D6484E" w:rsidP="00D6484E">
      <w:pPr>
        <w:pStyle w:val="Para0"/>
      </w:pPr>
      <w:r>
        <w:lastRenderedPageBreak/>
        <w:t xml:space="preserve">Living standards in developing economies will still be far from those of OECD economies at the end of the time horizon, despite this convergence </w:t>
      </w:r>
      <w:r w:rsidDel="00156740">
        <w:t>process</w:t>
      </w:r>
      <w:r>
        <w:t xml:space="preserve">. </w:t>
      </w:r>
      <w:bookmarkStart w:id="174" w:name="_Toc505336883"/>
      <w:bookmarkStart w:id="175" w:name="_Toc505363228"/>
      <w:r>
        <w:t xml:space="preserve">This can be seen in </w:t>
      </w:r>
      <w:r>
        <w:fldChar w:fldCharType="begin"/>
      </w:r>
      <w:r>
        <w:instrText xml:space="preserve"> REF _Ref6491242 \h  \* MERGEFORMAT </w:instrText>
      </w:r>
      <w:r>
        <w:fldChar w:fldCharType="separate"/>
      </w:r>
      <w:r w:rsidR="00222812">
        <w:t>Figure B.</w:t>
      </w:r>
      <w:r w:rsidR="00222812">
        <w:rPr>
          <w:noProof/>
        </w:rPr>
        <w:t>2</w:t>
      </w:r>
      <w:r>
        <w:fldChar w:fldCharType="end"/>
      </w:r>
      <w:r>
        <w:t>, which presents real GDP per capita in 2060 by region (shown as stacked bars in 2060, while the OECD average is presented as a horizontal line). Some countries are projected</w:t>
      </w:r>
      <w:r w:rsidRPr="00E86E61">
        <w:t xml:space="preserve"> </w:t>
      </w:r>
      <w:r>
        <w:t>to not even have reached 2011 OECD levels by 2060; these include countries in Latin America, Other non-OECD Asia, and Sub-Saharan Africa. Mexico,</w:t>
      </w:r>
      <w:r w:rsidRPr="00D15119">
        <w:t xml:space="preserve"> </w:t>
      </w:r>
      <w:r>
        <w:t>North Africa, Russia and India are projected to reach in 2060 a level close to the 2011 OECD living standards.</w:t>
      </w:r>
    </w:p>
    <w:p w14:paraId="460C9AA5" w14:textId="4C632C71" w:rsidR="00D6484E" w:rsidRDefault="00D6484E" w:rsidP="00D6484E">
      <w:pPr>
        <w:pStyle w:val="Para0"/>
      </w:pPr>
      <w:bookmarkStart w:id="176" w:name="_Ref505360324"/>
      <w:bookmarkStart w:id="177" w:name="_Toc505363230"/>
      <w:bookmarkStart w:id="178" w:name="_Toc505449377"/>
      <w:bookmarkEnd w:id="174"/>
      <w:bookmarkEnd w:id="175"/>
      <w:r w:rsidRPr="001F03A3">
        <w:t xml:space="preserve">As a result of increasing population and living standards, global GDP increases, as shown in </w:t>
      </w:r>
      <w:r>
        <w:t xml:space="preserve">Panel A of </w:t>
      </w:r>
      <w:r>
        <w:fldChar w:fldCharType="begin"/>
      </w:r>
      <w:r>
        <w:instrText xml:space="preserve"> REF _Ref6491263 \h  \* MERGEFORMAT </w:instrText>
      </w:r>
      <w:r>
        <w:fldChar w:fldCharType="separate"/>
      </w:r>
      <w:r w:rsidR="00222812">
        <w:t>Figure B.</w:t>
      </w:r>
      <w:r w:rsidR="00222812">
        <w:rPr>
          <w:noProof/>
        </w:rPr>
        <w:t>3</w:t>
      </w:r>
      <w:r>
        <w:fldChar w:fldCharType="end"/>
      </w:r>
      <w:r w:rsidRPr="001F03A3">
        <w:t>. GDP increases in all regions, even in countries where population is declining, since the growth of GDP per capita has a larger impact than population changes.</w:t>
      </w:r>
    </w:p>
    <w:p w14:paraId="6C95985C" w14:textId="77777777" w:rsidR="00D6484E" w:rsidRDefault="00D6484E" w:rsidP="00D6484E">
      <w:pPr>
        <w:pStyle w:val="Para0"/>
      </w:pPr>
      <w:r>
        <w:t>The share of OECD countries in global GDP in 2060 is projected to fall to 31% from 48% in 2011 (from 61% in 2000). This is explained by the large increase in the share of the Asian developing economies, and – to a lesser extent – Sub-Saharan African countries. Other regions, such as the Middle East, Other America (i.e. non-OECD Latin America) and the Eurasia group of countries are not projected to see their share in global GDP increase significantly. This pattern results from the fact that countries with more dynamic demographic changes, especially faster growing populations, are also countries with high gains in GDP per capita, so their shares in world total GDP increase substantially. It therefore appears that projected trends of GDP per capita and population growth generally move together.</w:t>
      </w:r>
      <w:r w:rsidRPr="00521FC1">
        <w:t xml:space="preserve"> </w:t>
      </w:r>
    </w:p>
    <w:p w14:paraId="4202FB41" w14:textId="7ADD2E34" w:rsidR="00D6484E" w:rsidRDefault="00D6484E" w:rsidP="00D6484E">
      <w:pPr>
        <w:pStyle w:val="Para0"/>
      </w:pPr>
      <w:r>
        <w:t xml:space="preserve">The central baseline scenario projects that the global GDP growth rate will slow down and stabilise just below 2.5% after 2030, as shown in Panel B of </w:t>
      </w:r>
      <w:r>
        <w:fldChar w:fldCharType="begin"/>
      </w:r>
      <w:r>
        <w:instrText xml:space="preserve"> REF _Ref6491263 \h  \* MERGEFORMAT </w:instrText>
      </w:r>
      <w:r>
        <w:fldChar w:fldCharType="separate"/>
      </w:r>
      <w:r w:rsidR="00222812">
        <w:t>Figure B.</w:t>
      </w:r>
      <w:r w:rsidR="00222812">
        <w:rPr>
          <w:noProof/>
        </w:rPr>
        <w:t>3</w:t>
      </w:r>
      <w:r>
        <w:fldChar w:fldCharType="end"/>
      </w:r>
      <w:r>
        <w:t>. While India and large parts of Sub-Saharan Africa are projected to record high growth rates and then become important drivers of world growth in the 2020-2040 period, the projected slowdown of the Chinese economy after 2025 dominates. From around 2040, the most dynamic region is projected to be Sub-Saharan Africa, but its increasing share in world GDP growth is not sufficient to counterbalance the slowdown of China’s economic growth in this scenario.</w:t>
      </w:r>
    </w:p>
    <w:p w14:paraId="076DD3F1" w14:textId="0D9F1B73" w:rsidR="00D6484E" w:rsidRPr="00961F86" w:rsidRDefault="00D6484E" w:rsidP="00D6484E">
      <w:pPr>
        <w:pStyle w:val="Caption"/>
      </w:pPr>
      <w:bookmarkStart w:id="179" w:name="_Ref518028461"/>
      <w:bookmarkStart w:id="180" w:name="_Ref6491263"/>
      <w:bookmarkStart w:id="181" w:name="_Toc518372698"/>
      <w:bookmarkStart w:id="182" w:name="_Toc520825172"/>
      <w:bookmarkStart w:id="183" w:name="_Toc518563086"/>
      <w:bookmarkStart w:id="184" w:name="_Toc518569522"/>
      <w:bookmarkStart w:id="185" w:name="_Toc518570372"/>
      <w:bookmarkStart w:id="186" w:name="_Toc518657977"/>
      <w:bookmarkStart w:id="187" w:name="_Toc520211567"/>
      <w:bookmarkStart w:id="188" w:name="_Toc520219556"/>
      <w:bookmarkStart w:id="189" w:name="_Toc520305538"/>
      <w:bookmarkStart w:id="190" w:name="_Toc520305657"/>
      <w:bookmarkStart w:id="191" w:name="_Toc520310463"/>
      <w:bookmarkStart w:id="192" w:name="_Toc520729666"/>
      <w:bookmarkStart w:id="193" w:name="_Toc520736508"/>
      <w:bookmarkStart w:id="194" w:name="_Toc520736741"/>
      <w:bookmarkStart w:id="195" w:name="_Toc520801091"/>
      <w:bookmarkStart w:id="196" w:name="_Toc520801859"/>
      <w:bookmarkStart w:id="197" w:name="_Toc520882576"/>
      <w:bookmarkStart w:id="198" w:name="_Toc520990653"/>
      <w:bookmarkStart w:id="199" w:name="_Toc522616822"/>
      <w:bookmarkStart w:id="200" w:name="_Toc522798930"/>
      <w:bookmarkStart w:id="201" w:name="_Toc525576196"/>
      <w:bookmarkStart w:id="202" w:name="_Toc525661565"/>
      <w:bookmarkStart w:id="203" w:name="_Toc525662249"/>
      <w:bookmarkStart w:id="204" w:name="_Toc525666756"/>
      <w:bookmarkStart w:id="205" w:name="_Toc525736126"/>
      <w:bookmarkStart w:id="206" w:name="_Toc532573984"/>
      <w:bookmarkStart w:id="207" w:name="_Toc37435919"/>
      <w:bookmarkStart w:id="208" w:name="_Toc520816914"/>
      <w:r>
        <w:t>Figure </w:t>
      </w:r>
      <w:bookmarkEnd w:id="179"/>
      <w:r>
        <w:fldChar w:fldCharType="begin"/>
      </w:r>
      <w:r>
        <w:instrText xml:space="preserve"> STYLEREF 7 \s </w:instrText>
      </w:r>
      <w:r>
        <w:fldChar w:fldCharType="separate"/>
      </w:r>
      <w:r w:rsidR="00222812">
        <w:rPr>
          <w:noProof/>
        </w:rPr>
        <w:t>B</w:t>
      </w:r>
      <w:r>
        <w:rPr>
          <w:noProof/>
        </w:rPr>
        <w:fldChar w:fldCharType="end"/>
      </w:r>
      <w:r>
        <w:t>.</w:t>
      </w:r>
      <w:r w:rsidR="00331DD0">
        <w:fldChar w:fldCharType="begin"/>
      </w:r>
      <w:r w:rsidR="00331DD0">
        <w:instrText xml:space="preserve"> SEQ Figure_A \* ARABIC \s 7 </w:instrText>
      </w:r>
      <w:r w:rsidR="00331DD0">
        <w:fldChar w:fldCharType="separate"/>
      </w:r>
      <w:r w:rsidR="00222812">
        <w:rPr>
          <w:noProof/>
        </w:rPr>
        <w:t>3</w:t>
      </w:r>
      <w:r w:rsidR="00331DD0">
        <w:rPr>
          <w:noProof/>
        </w:rPr>
        <w:fldChar w:fldCharType="end"/>
      </w:r>
      <w:bookmarkEnd w:id="180"/>
      <w:r w:rsidRPr="00961F86">
        <w:t xml:space="preserve">. </w:t>
      </w:r>
      <w:r>
        <w:t>Emerging economies drive the projected global GDP growth</w:t>
      </w:r>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p>
    <w:bookmarkEnd w:id="208"/>
    <w:p w14:paraId="1B688A89" w14:textId="77777777" w:rsidR="00D6484E" w:rsidRDefault="00D6484E" w:rsidP="00D6484E">
      <w:pPr>
        <w:pStyle w:val="CaptionSubtitle"/>
      </w:pPr>
      <w:r>
        <w:t xml:space="preserve">Panel A. Real GDP by aggregate region in tln USD (2011 PPP) </w:t>
      </w:r>
    </w:p>
    <w:p w14:paraId="14977646" w14:textId="77777777" w:rsidR="00D6484E" w:rsidRDefault="00D6484E" w:rsidP="00D6484E">
      <w:pPr>
        <w:pStyle w:val="Figure"/>
      </w:pPr>
      <w:r>
        <w:t xml:space="preserve"> </w:t>
      </w:r>
      <w:r>
        <w:rPr>
          <w:noProof/>
          <w:lang w:eastAsia="en-GB"/>
        </w:rPr>
        <w:drawing>
          <wp:inline distT="0" distB="0" distL="0" distR="0" wp14:anchorId="713D944F" wp14:editId="626F9581">
            <wp:extent cx="5040000" cy="2311200"/>
            <wp:effectExtent l="0" t="0" r="825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gdpAtConstantPPP.png"/>
                    <pic:cNvPicPr/>
                  </pic:nvPicPr>
                  <pic:blipFill>
                    <a:blip r:embed="rId33">
                      <a:extLst>
                        <a:ext uri="{28A0092B-C50C-407E-A947-70E740481C1C}">
                          <a14:useLocalDpi xmlns:a14="http://schemas.microsoft.com/office/drawing/2010/main" val="0"/>
                        </a:ext>
                      </a:extLst>
                    </a:blip>
                    <a:stretch>
                      <a:fillRect/>
                    </a:stretch>
                  </pic:blipFill>
                  <pic:spPr>
                    <a:xfrm>
                      <a:off x="0" y="0"/>
                      <a:ext cx="5040000" cy="2311200"/>
                    </a:xfrm>
                    <a:prstGeom prst="rect">
                      <a:avLst/>
                    </a:prstGeom>
                  </pic:spPr>
                </pic:pic>
              </a:graphicData>
            </a:graphic>
          </wp:inline>
        </w:drawing>
      </w:r>
    </w:p>
    <w:p w14:paraId="11A1205E" w14:textId="77777777" w:rsidR="00D6484E" w:rsidRPr="00961F86" w:rsidRDefault="00D6484E" w:rsidP="00D6484E">
      <w:pPr>
        <w:pStyle w:val="CaptionSubtitle"/>
        <w:spacing w:before="120"/>
      </w:pPr>
      <w:r>
        <w:lastRenderedPageBreak/>
        <w:t>Panel B. Regional composition of global GDP growth in percentage</w:t>
      </w:r>
    </w:p>
    <w:p w14:paraId="6D636DD1" w14:textId="77777777" w:rsidR="00D6484E" w:rsidRPr="00C154E2" w:rsidRDefault="00D6484E" w:rsidP="00D6484E">
      <w:pPr>
        <w:pStyle w:val="Figure"/>
      </w:pPr>
      <w:r>
        <w:rPr>
          <w:noProof/>
          <w:lang w:eastAsia="en-GB"/>
        </w:rPr>
        <w:drawing>
          <wp:inline distT="0" distB="0" distL="0" distR="0" wp14:anchorId="6DC76AF9" wp14:editId="165FCEFE">
            <wp:extent cx="5040000" cy="2311200"/>
            <wp:effectExtent l="0" t="0" r="825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contributionToTheGdpByCustomMacroRegion.png"/>
                    <pic:cNvPicPr/>
                  </pic:nvPicPr>
                  <pic:blipFill>
                    <a:blip r:embed="rId34">
                      <a:extLst>
                        <a:ext uri="{28A0092B-C50C-407E-A947-70E740481C1C}">
                          <a14:useLocalDpi xmlns:a14="http://schemas.microsoft.com/office/drawing/2010/main" val="0"/>
                        </a:ext>
                      </a:extLst>
                    </a:blip>
                    <a:stretch>
                      <a:fillRect/>
                    </a:stretch>
                  </pic:blipFill>
                  <pic:spPr>
                    <a:xfrm>
                      <a:off x="0" y="0"/>
                      <a:ext cx="5040000" cy="2311200"/>
                    </a:xfrm>
                    <a:prstGeom prst="rect">
                      <a:avLst/>
                    </a:prstGeom>
                  </pic:spPr>
                </pic:pic>
              </a:graphicData>
            </a:graphic>
          </wp:inline>
        </w:drawing>
      </w:r>
    </w:p>
    <w:p w14:paraId="1A78E98F" w14:textId="77777777" w:rsidR="00D6484E" w:rsidRDefault="00D6484E" w:rsidP="00D6484E">
      <w:pPr>
        <w:pStyle w:val="Sourcenotes"/>
        <w:rPr>
          <w:i/>
        </w:rPr>
      </w:pPr>
      <w:r w:rsidRPr="00046D6D">
        <w:rPr>
          <w:i/>
        </w:rPr>
        <w:t>Note:</w:t>
      </w:r>
      <w:r w:rsidRPr="00046D6D">
        <w:t xml:space="preserve"> Panel B uses a custom aggregation of regions to highlight the contribution of China and India.</w:t>
      </w:r>
    </w:p>
    <w:p w14:paraId="2BA4C587" w14:textId="77777777" w:rsidR="00D6484E" w:rsidRPr="001F03A3" w:rsidRDefault="00D6484E" w:rsidP="00D6484E">
      <w:pPr>
        <w:pStyle w:val="Sourcenotes"/>
      </w:pPr>
      <w:r w:rsidRPr="0000349C">
        <w:rPr>
          <w:i/>
        </w:rPr>
        <w:t>Source</w:t>
      </w:r>
      <w:r w:rsidRPr="00961F86">
        <w:t xml:space="preserve">: </w:t>
      </w:r>
      <w:r>
        <w:t>OECD ENV-Linkages model; short-term forecasts by OECD Economics Department (as of Summer 2018) and IMF (as of Spring 2018).</w:t>
      </w:r>
    </w:p>
    <w:p w14:paraId="6B3A96D2" w14:textId="77777777" w:rsidR="00D6484E" w:rsidRDefault="00D6484E" w:rsidP="00D6484E">
      <w:pPr>
        <w:pStyle w:val="Para0"/>
      </w:pPr>
      <w:bookmarkStart w:id="209" w:name="_Toc530652100"/>
      <w:bookmarkStart w:id="210" w:name="_Toc530653365"/>
      <w:bookmarkStart w:id="211" w:name="_Toc530652111"/>
      <w:bookmarkStart w:id="212" w:name="_Toc530653376"/>
      <w:bookmarkStart w:id="213" w:name="_Toc530652112"/>
      <w:bookmarkStart w:id="214" w:name="_Toc530653377"/>
      <w:bookmarkStart w:id="215" w:name="_Toc530652113"/>
      <w:bookmarkStart w:id="216" w:name="_Toc530653378"/>
      <w:bookmarkStart w:id="217" w:name="_Toc530652115"/>
      <w:bookmarkStart w:id="218" w:name="_Toc530653380"/>
      <w:bookmarkStart w:id="219" w:name="_Toc518560738"/>
      <w:bookmarkStart w:id="220" w:name="_Toc518562880"/>
      <w:bookmarkStart w:id="221" w:name="_Toc518564959"/>
      <w:bookmarkStart w:id="222" w:name="_Toc518569316"/>
      <w:bookmarkStart w:id="223" w:name="_Toc518569590"/>
      <w:bookmarkStart w:id="224" w:name="_Toc518572688"/>
      <w:bookmarkStart w:id="225" w:name="_Toc518572886"/>
      <w:bookmarkStart w:id="226" w:name="_Toc518575235"/>
      <w:bookmarkStart w:id="227" w:name="_Toc518575733"/>
      <w:bookmarkStart w:id="228" w:name="_Toc518576171"/>
      <w:bookmarkStart w:id="229" w:name="_Toc514247404"/>
      <w:bookmarkStart w:id="230" w:name="_Toc514247406"/>
      <w:bookmarkStart w:id="231" w:name="_Toc514247407"/>
      <w:bookmarkStart w:id="232" w:name="_Toc506887022"/>
      <w:bookmarkStart w:id="233" w:name="_Toc506547696"/>
      <w:bookmarkStart w:id="234" w:name="_Toc506556165"/>
      <w:bookmarkStart w:id="235" w:name="_Toc506556225"/>
      <w:bookmarkStart w:id="236" w:name="_Toc506556678"/>
      <w:bookmarkStart w:id="237" w:name="_Toc506559613"/>
      <w:bookmarkStart w:id="238" w:name="_Toc506560091"/>
      <w:bookmarkStart w:id="239" w:name="_Toc506560480"/>
      <w:bookmarkStart w:id="240" w:name="_Toc506560689"/>
      <w:bookmarkStart w:id="241" w:name="_Toc506561368"/>
      <w:bookmarkStart w:id="242" w:name="_Toc506561877"/>
      <w:bookmarkStart w:id="243" w:name="_Toc506562200"/>
      <w:bookmarkStart w:id="244" w:name="_Toc506564274"/>
      <w:bookmarkStart w:id="245" w:name="_Toc506569289"/>
      <w:bookmarkStart w:id="246" w:name="_Toc506570008"/>
      <w:bookmarkStart w:id="247" w:name="_Toc506570080"/>
      <w:bookmarkStart w:id="248" w:name="_Toc506570152"/>
      <w:bookmarkStart w:id="249" w:name="_Toc506570223"/>
      <w:bookmarkStart w:id="250" w:name="_Toc506571388"/>
      <w:bookmarkStart w:id="251" w:name="_Toc506792722"/>
      <w:bookmarkStart w:id="252" w:name="_Toc506792795"/>
      <w:bookmarkStart w:id="253" w:name="_Toc506793288"/>
      <w:bookmarkStart w:id="254" w:name="_Toc506793412"/>
      <w:bookmarkEnd w:id="176"/>
      <w:bookmarkEnd w:id="177"/>
      <w:bookmarkEnd w:id="17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r>
        <w:t>An increase in GDP</w:t>
      </w:r>
      <w:r w:rsidRPr="00B06840">
        <w:t xml:space="preserve"> does not mean that the proportion of each good </w:t>
      </w:r>
      <w:r>
        <w:t xml:space="preserve">produced and </w:t>
      </w:r>
      <w:r w:rsidRPr="00B06840">
        <w:t>consumed remains constant</w:t>
      </w:r>
      <w:r>
        <w:t>. The structure of the economy evolves because living standards</w:t>
      </w:r>
      <w:r w:rsidRPr="00230BBB">
        <w:t xml:space="preserve"> </w:t>
      </w:r>
      <w:r>
        <w:t>transform preferences; because society is changing with increasing ageing and urbanisation</w:t>
      </w:r>
      <w:r w:rsidRPr="00B06840" w:rsidDel="00DC61C7">
        <w:t xml:space="preserve">, </w:t>
      </w:r>
      <w:r>
        <w:t xml:space="preserve">and also because the nature of </w:t>
      </w:r>
      <w:r w:rsidDel="00CB3362">
        <w:t xml:space="preserve">production </w:t>
      </w:r>
      <w:r>
        <w:t>is evolving, relying more on research and development (</w:t>
      </w:r>
      <w:r w:rsidRPr="003A4AAA">
        <w:t>R&amp;D</w:t>
      </w:r>
      <w:r>
        <w:t>) and services</w:t>
      </w:r>
      <w:r w:rsidRPr="001320C1">
        <w:rPr>
          <w:rStyle w:val="FootnoteReference"/>
        </w:rPr>
        <w:footnoteReference w:id="18"/>
      </w:r>
      <w:r>
        <w:t xml:space="preserve"> expenses. In particular, the model projects an increasing demand for services by households, government and firms. </w:t>
      </w:r>
    </w:p>
    <w:p w14:paraId="41B8DAC5" w14:textId="77777777" w:rsidR="00D6484E" w:rsidRDefault="00D6484E" w:rsidP="00D6484E">
      <w:pPr>
        <w:pStyle w:val="Para0"/>
      </w:pPr>
    </w:p>
    <w:p w14:paraId="6BAD815E" w14:textId="77777777" w:rsidR="00D6484E" w:rsidRDefault="00D6484E" w:rsidP="00D6484E">
      <w:pPr>
        <w:pStyle w:val="Para0"/>
      </w:pPr>
      <w:r>
        <w:t>As income per capita increases, f</w:t>
      </w:r>
      <w:r w:rsidRPr="005D2C7F">
        <w:t>inal demand patterns</w:t>
      </w:r>
      <w:r w:rsidRPr="005D2C7F" w:rsidDel="005D2C7F">
        <w:t xml:space="preserve"> </w:t>
      </w:r>
      <w:r>
        <w:t>change. T</w:t>
      </w:r>
      <w:r w:rsidRPr="001E4545">
        <w:t>he share of necessary commodities</w:t>
      </w:r>
      <w:r>
        <w:t xml:space="preserve"> (</w:t>
      </w:r>
      <w:r w:rsidRPr="001E4545">
        <w:t xml:space="preserve">food </w:t>
      </w:r>
      <w:r>
        <w:t>and</w:t>
      </w:r>
      <w:r w:rsidRPr="001E4545">
        <w:t xml:space="preserve"> agricultural products</w:t>
      </w:r>
      <w:r>
        <w:t>) in total expenditure</w:t>
      </w:r>
      <w:r w:rsidRPr="001E4545">
        <w:t xml:space="preserve"> </w:t>
      </w:r>
      <w:r>
        <w:t xml:space="preserve">decreases, </w:t>
      </w:r>
      <w:r w:rsidRPr="001E4545">
        <w:t xml:space="preserve">while the share of </w:t>
      </w:r>
      <w:r>
        <w:t xml:space="preserve">luxury </w:t>
      </w:r>
      <w:r w:rsidRPr="001E4545">
        <w:t>goods</w:t>
      </w:r>
      <w:r>
        <w:t xml:space="preserve"> – such as</w:t>
      </w:r>
      <w:r w:rsidRPr="001E4545">
        <w:t xml:space="preserve"> recreational and leisure activities and </w:t>
      </w:r>
      <w:r w:rsidRPr="00765E18">
        <w:rPr>
          <w:i/>
        </w:rPr>
        <w:t>other services</w:t>
      </w:r>
      <w:r>
        <w:t xml:space="preserve"> (including health and education)</w:t>
      </w:r>
      <w:r w:rsidRPr="001E4545">
        <w:t xml:space="preserve"> </w:t>
      </w:r>
      <w:r>
        <w:t xml:space="preserve">– </w:t>
      </w:r>
      <w:r w:rsidRPr="001E4545">
        <w:t>increase</w:t>
      </w:r>
      <w:r>
        <w:t>s</w:t>
      </w:r>
      <w:r w:rsidRPr="001E4545">
        <w:t>.</w:t>
      </w:r>
      <w:r>
        <w:t xml:space="preserve"> This conventional effect is reinforced in the central baseline scenario by the assumption that</w:t>
      </w:r>
      <w:r w:rsidRPr="001E4545">
        <w:t xml:space="preserve"> </w:t>
      </w:r>
      <w:r>
        <w:t xml:space="preserve">in emerging and developing economies preferences gradually shift towards OECD standards. This includes changes in the size and direction of government expenditures, as well as shifts in household expenditures towards services. These preference shifts are partially driven by income growth, but also reflect the projected further digitalisation of the economy. </w:t>
      </w:r>
    </w:p>
    <w:p w14:paraId="7A48F020" w14:textId="77777777" w:rsidR="00D6484E" w:rsidRDefault="00D6484E" w:rsidP="00D6484E">
      <w:pPr>
        <w:pStyle w:val="Para0"/>
      </w:pPr>
      <w:r>
        <w:t xml:space="preserve">The share of manufacturing goods in households’ total expenditures is projected to decline slightly, but more importantly, expenditures on durable and equipment goods are projected to change. For example, they will shift away from equipment and paper, towards more electronics and vehicles. </w:t>
      </w:r>
    </w:p>
    <w:p w14:paraId="5B30FAED" w14:textId="77777777" w:rsidR="00D6484E" w:rsidRDefault="00D6484E" w:rsidP="00D6484E">
      <w:pPr>
        <w:pStyle w:val="Para0"/>
      </w:pPr>
      <w:r>
        <w:t xml:space="preserve">Similar trends in the composition of government and investment expenditures are also projected, which include increasing shares of education and </w:t>
      </w:r>
      <w:r w:rsidRPr="003A4AAA">
        <w:t>R&amp;D</w:t>
      </w:r>
      <w:r>
        <w:t xml:space="preserve"> expenditures. </w:t>
      </w:r>
    </w:p>
    <w:p w14:paraId="01174752" w14:textId="624380F4" w:rsidR="00D6484E" w:rsidRDefault="00D6484E" w:rsidP="00D6484E">
      <w:pPr>
        <w:pStyle w:val="Para0"/>
      </w:pPr>
      <w:r>
        <w:t>Ageing</w:t>
      </w:r>
      <w:r w:rsidRPr="00EB47AB">
        <w:t xml:space="preserve"> </w:t>
      </w:r>
      <w:r>
        <w:t xml:space="preserve">also induces a </w:t>
      </w:r>
      <w:r w:rsidRPr="00EB47AB">
        <w:t xml:space="preserve">shift of </w:t>
      </w:r>
      <w:r w:rsidRPr="00677150">
        <w:t>household</w:t>
      </w:r>
      <w:r>
        <w:t xml:space="preserve"> and government</w:t>
      </w:r>
      <w:r w:rsidRPr="00EB47AB">
        <w:t xml:space="preserve"> demand towards more </w:t>
      </w:r>
      <w:r>
        <w:t xml:space="preserve">services, not least for </w:t>
      </w:r>
      <w:r w:rsidRPr="00EB47AB">
        <w:t>health and other long</w:t>
      </w:r>
      <w:r>
        <w:t>-</w:t>
      </w:r>
      <w:r w:rsidRPr="00EB47AB">
        <w:t>term elderly care expenditures</w:t>
      </w:r>
      <w:r>
        <w:t>. Even if p</w:t>
      </w:r>
      <w:r w:rsidRPr="00752C1E">
        <w:t>ublic and private spending on health and long-term care vary considerably across countries</w:t>
      </w:r>
      <w:r>
        <w:t>,</w:t>
      </w:r>
      <w:r w:rsidRPr="00752C1E">
        <w:t xml:space="preserve"> they are all projected to increase in </w:t>
      </w:r>
      <w:r>
        <w:t xml:space="preserve">the </w:t>
      </w:r>
      <w:r w:rsidRPr="00752C1E">
        <w:t xml:space="preserve">future </w:t>
      </w:r>
      <w:sdt>
        <w:sdtPr>
          <w:id w:val="-1545207739"/>
          <w:citation/>
        </w:sdtPr>
        <w:sdtEndPr/>
        <w:sdtContent>
          <w:r w:rsidRPr="00A920D6">
            <w:fldChar w:fldCharType="begin"/>
          </w:r>
          <w:r w:rsidRPr="00360738">
            <w:instrText xml:space="preserve"> CITATION Mendeley_c2S2mmiKmTmwALYKIjXJlQ \l 1036 </w:instrText>
          </w:r>
          <w:r w:rsidRPr="00A920D6">
            <w:fldChar w:fldCharType="separate"/>
          </w:r>
          <w:bookmarkStart w:id="255" w:name="Mendeley_c2S2mmiKmTmwALYKIjXJlQ_27"/>
          <w:bookmarkStart w:id="256" w:name="Mendeley_c2S2mmiKmTmwALYKIjXJlQ_28"/>
          <w:r w:rsidR="0020320D" w:rsidRPr="0020320D">
            <w:rPr>
              <w:noProof/>
            </w:rPr>
            <w:t>(de la Maisonneuve and Oliveira Martins, 2014</w:t>
          </w:r>
          <w:r w:rsidR="0020320D" w:rsidRPr="0020320D">
            <w:rPr>
              <w:noProof/>
              <w:vertAlign w:val="subscript"/>
            </w:rPr>
            <w:t>[24]</w:t>
          </w:r>
          <w:r w:rsidR="0020320D" w:rsidRPr="0020320D">
            <w:rPr>
              <w:noProof/>
            </w:rPr>
            <w:t>)</w:t>
          </w:r>
          <w:bookmarkEnd w:id="255"/>
          <w:bookmarkEnd w:id="256"/>
          <w:r w:rsidRPr="00A920D6">
            <w:fldChar w:fldCharType="end"/>
          </w:r>
        </w:sdtContent>
      </w:sdt>
      <w:r w:rsidRPr="00752C1E">
        <w:t>.</w:t>
      </w:r>
      <w:r>
        <w:t xml:space="preserve"> The </w:t>
      </w:r>
      <w:r w:rsidRPr="00752C1E">
        <w:t xml:space="preserve">projected </w:t>
      </w:r>
      <w:r>
        <w:t xml:space="preserve">increase of health and </w:t>
      </w:r>
      <w:r>
        <w:lastRenderedPageBreak/>
        <w:t>long-term care spending is driven by a combination of ageing and other demographic factors, as well as</w:t>
      </w:r>
      <w:r w:rsidRPr="00752C1E">
        <w:t xml:space="preserve"> the</w:t>
      </w:r>
      <w:r>
        <w:t xml:space="preserve"> increase in income per capita and technical progress</w:t>
      </w:r>
      <w:sdt>
        <w:sdtPr>
          <w:id w:val="-1717581510"/>
          <w:citation/>
        </w:sdtPr>
        <w:sdtEndPr/>
        <w:sdtContent>
          <w:r>
            <w:fldChar w:fldCharType="begin"/>
          </w:r>
          <w:r>
            <w:instrText xml:space="preserve"> CITATION Mendeley_c2S2mmiKmTmwALYKIjXJlQ \l 2057 </w:instrText>
          </w:r>
          <w:r>
            <w:fldChar w:fldCharType="separate"/>
          </w:r>
          <w:r w:rsidR="0020320D">
            <w:rPr>
              <w:noProof/>
            </w:rPr>
            <w:t xml:space="preserve"> </w:t>
          </w:r>
          <w:r w:rsidR="0020320D" w:rsidRPr="0020320D">
            <w:rPr>
              <w:noProof/>
            </w:rPr>
            <w:t>(de la Maisonneuve and Oliveira Martins, 2014</w:t>
          </w:r>
          <w:r w:rsidR="0020320D" w:rsidRPr="0020320D">
            <w:rPr>
              <w:noProof/>
              <w:vertAlign w:val="subscript"/>
            </w:rPr>
            <w:t>[24]</w:t>
          </w:r>
          <w:r w:rsidR="0020320D" w:rsidRPr="0020320D">
            <w:rPr>
              <w:noProof/>
            </w:rPr>
            <w:t>)</w:t>
          </w:r>
          <w:r>
            <w:fldChar w:fldCharType="end"/>
          </w:r>
        </w:sdtContent>
      </w:sdt>
      <w:r>
        <w:t>. Regardless</w:t>
      </w:r>
      <w:r w:rsidRPr="00752C1E">
        <w:t xml:space="preserve"> of the drivers, the</w:t>
      </w:r>
      <w:r>
        <w:t xml:space="preserve"> result is an increase in the demand for the “</w:t>
      </w:r>
      <w:r w:rsidRPr="00046D6D">
        <w:t>other services</w:t>
      </w:r>
      <w:r w:rsidRPr="0020156D">
        <w:t>”</w:t>
      </w:r>
      <w:r>
        <w:t xml:space="preserve"> category,</w:t>
      </w:r>
      <w:r w:rsidDel="00B51627">
        <w:t xml:space="preserve"> which </w:t>
      </w:r>
      <w:r>
        <w:t>includes</w:t>
      </w:r>
      <w:r w:rsidDel="00B51627">
        <w:t xml:space="preserve"> </w:t>
      </w:r>
      <w:r>
        <w:t>health care as well as education and public services</w:t>
      </w:r>
      <w:r w:rsidDel="00B51627">
        <w:t>.</w:t>
      </w:r>
    </w:p>
    <w:p w14:paraId="7517B382" w14:textId="66F84B0F" w:rsidR="00D6484E" w:rsidRDefault="00D6484E" w:rsidP="00D6484E">
      <w:pPr>
        <w:pStyle w:val="Para0"/>
      </w:pPr>
      <w:r>
        <w:t>The changes in demand patterns are not only driven by modifications of final demand by households and governments, and for investment, but also by changes in intermediate demand, i.e. demand for produced goods and services by firms. This is reflected in</w:t>
      </w:r>
      <w:r w:rsidRPr="003A4AAA">
        <w:t xml:space="preserve"> an intensification of services </w:t>
      </w:r>
      <w:r>
        <w:t xml:space="preserve">as </w:t>
      </w:r>
      <w:r w:rsidRPr="003A4AAA">
        <w:t xml:space="preserve">inputs </w:t>
      </w:r>
      <w:r w:rsidRPr="00091401">
        <w:t xml:space="preserve">to all sectors </w:t>
      </w:r>
      <w:r>
        <w:t xml:space="preserve">(including </w:t>
      </w:r>
      <w:r w:rsidRPr="00091401">
        <w:t>manufacturing processes</w:t>
      </w:r>
      <w:r>
        <w:t>), known as the “</w:t>
      </w:r>
      <w:r w:rsidRPr="00825B13">
        <w:rPr>
          <w:i/>
        </w:rPr>
        <w:t>servitisation of manufacturing</w:t>
      </w:r>
      <w:r>
        <w:t>”</w:t>
      </w:r>
      <w:sdt>
        <w:sdtPr>
          <w:id w:val="1106229918"/>
          <w:citation/>
        </w:sdtPr>
        <w:sdtEndPr/>
        <w:sdtContent>
          <w:r>
            <w:fldChar w:fldCharType="begin"/>
          </w:r>
          <w:r>
            <w:instrText xml:space="preserve"> CITATION Mendeley_HC2qBJRUvTSij9lAN7YBUQ \l 2057 </w:instrText>
          </w:r>
          <w:r>
            <w:fldChar w:fldCharType="separate"/>
          </w:r>
          <w:r w:rsidR="0020320D">
            <w:rPr>
              <w:noProof/>
            </w:rPr>
            <w:t xml:space="preserve"> </w:t>
          </w:r>
          <w:r w:rsidR="0020320D" w:rsidRPr="0020320D">
            <w:rPr>
              <w:noProof/>
            </w:rPr>
            <w:t>(</w:t>
          </w:r>
          <w:bookmarkStart w:id="257" w:name="Mendeley_HC2qBJRUvTSij9lAN7YBUQ_25"/>
          <w:r w:rsidR="0020320D" w:rsidRPr="0020320D">
            <w:rPr>
              <w:noProof/>
            </w:rPr>
            <w:t>Pilat and Nolan, 2016</w:t>
          </w:r>
          <w:r w:rsidR="0020320D" w:rsidRPr="0020320D">
            <w:rPr>
              <w:noProof/>
              <w:vertAlign w:val="subscript"/>
            </w:rPr>
            <w:t>[25]</w:t>
          </w:r>
          <w:r w:rsidR="0020320D" w:rsidRPr="0020320D">
            <w:rPr>
              <w:noProof/>
            </w:rPr>
            <w:t>)</w:t>
          </w:r>
          <w:bookmarkEnd w:id="257"/>
          <w:r>
            <w:fldChar w:fldCharType="end"/>
          </w:r>
        </w:sdtContent>
      </w:sdt>
      <w:r>
        <w:t xml:space="preserve">. Both servitisation of manufacturing and service digitalisation </w:t>
      </w:r>
      <w:r w:rsidRPr="003A4AAA">
        <w:t xml:space="preserve">result from </w:t>
      </w:r>
      <w:r>
        <w:t xml:space="preserve">the </w:t>
      </w:r>
      <w:r w:rsidRPr="005528DD">
        <w:t>Information and Communication Technology</w:t>
      </w:r>
      <w:r>
        <w:t xml:space="preserve"> (ICT)</w:t>
      </w:r>
      <w:r w:rsidRPr="003A4AAA">
        <w:t xml:space="preserve"> revolution</w:t>
      </w:r>
      <w:r>
        <w:t>,</w:t>
      </w:r>
      <w:r w:rsidRPr="003A4AAA" w:rsidDel="003D343B">
        <w:t xml:space="preserve"> </w:t>
      </w:r>
      <w:r>
        <w:t xml:space="preserve">the </w:t>
      </w:r>
      <w:r w:rsidRPr="003A4AAA">
        <w:t>intensification of R&amp;D expenses</w:t>
      </w:r>
      <w:r>
        <w:t>, and the growth of the sharing economy</w:t>
      </w:r>
      <w:r w:rsidRPr="003A4AAA">
        <w:t>.</w:t>
      </w:r>
      <w:r w:rsidRPr="001320C1">
        <w:rPr>
          <w:rStyle w:val="FootnoteReference"/>
        </w:rPr>
        <w:footnoteReference w:id="19"/>
      </w:r>
    </w:p>
    <w:p w14:paraId="294E6E33" w14:textId="77777777" w:rsidR="00D6484E" w:rsidRPr="00387118" w:rsidRDefault="00D6484E" w:rsidP="00D6484E">
      <w:pPr>
        <w:pStyle w:val="Para0"/>
      </w:pPr>
      <w:r>
        <w:t xml:space="preserve">This intensification of services in the economy goes further: it includes the shift in business models towards more and more services. The business of car companies for instance is increasingly geared towards services such as insurance, credit, and maintenance. </w:t>
      </w:r>
    </w:p>
    <w:p w14:paraId="40E6762A" w14:textId="48F33C13" w:rsidR="00D6484E" w:rsidRDefault="00D6484E" w:rsidP="00D6484E">
      <w:pPr>
        <w:pStyle w:val="Para0"/>
      </w:pPr>
      <w:r>
        <w:t xml:space="preserve">The main consequence of this structural transformation is that the </w:t>
      </w:r>
      <w:r w:rsidRPr="00091401">
        <w:t>services sectors</w:t>
      </w:r>
      <w:r>
        <w:t>, and especially the b</w:t>
      </w:r>
      <w:r w:rsidRPr="00833EBE">
        <w:t>usiness services</w:t>
      </w:r>
      <w:r>
        <w:t xml:space="preserve"> sector,</w:t>
      </w:r>
      <w:r w:rsidRPr="00091401">
        <w:t xml:space="preserve"> </w:t>
      </w:r>
      <w:r>
        <w:t xml:space="preserve">are projected to </w:t>
      </w:r>
      <w:r w:rsidRPr="00091401">
        <w:t>grow faster than the rest of the economy</w:t>
      </w:r>
      <w:r>
        <w:t xml:space="preserve"> in all countries over the period 2011-2060</w:t>
      </w:r>
      <w:r w:rsidRPr="00091401">
        <w:t xml:space="preserve"> (</w:t>
      </w:r>
      <w:r>
        <w:fldChar w:fldCharType="begin"/>
      </w:r>
      <w:r>
        <w:instrText xml:space="preserve"> REF _Ref6491312 \h  \* MERGEFORMAT </w:instrText>
      </w:r>
      <w:r>
        <w:fldChar w:fldCharType="separate"/>
      </w:r>
      <w:r w:rsidR="00222812">
        <w:t>Figure B.</w:t>
      </w:r>
      <w:r w:rsidR="00222812">
        <w:rPr>
          <w:noProof/>
        </w:rPr>
        <w:t>4</w:t>
      </w:r>
      <w:r>
        <w:fldChar w:fldCharType="end"/>
      </w:r>
      <w:r w:rsidRPr="00091401">
        <w:t>).</w:t>
      </w:r>
      <w:r>
        <w:t xml:space="preserve"> </w:t>
      </w:r>
    </w:p>
    <w:p w14:paraId="645008B7" w14:textId="3CFE72F3" w:rsidR="00D6484E" w:rsidRPr="00961F86" w:rsidRDefault="00D6484E" w:rsidP="00D6484E">
      <w:pPr>
        <w:pStyle w:val="Caption"/>
      </w:pPr>
      <w:bookmarkStart w:id="258" w:name="_Ref520991546"/>
      <w:bookmarkStart w:id="259" w:name="_Ref6491312"/>
      <w:bookmarkStart w:id="260" w:name="_Toc522616824"/>
      <w:bookmarkStart w:id="261" w:name="_Toc522798932"/>
      <w:bookmarkStart w:id="262" w:name="_Toc525576198"/>
      <w:bookmarkStart w:id="263" w:name="_Toc525661567"/>
      <w:bookmarkStart w:id="264" w:name="_Toc525662251"/>
      <w:bookmarkStart w:id="265" w:name="_Toc525666758"/>
      <w:bookmarkStart w:id="266" w:name="_Toc525736128"/>
      <w:bookmarkStart w:id="267" w:name="_Toc532573985"/>
      <w:bookmarkStart w:id="268" w:name="_Toc37435920"/>
      <w:r>
        <w:t>Figure </w:t>
      </w:r>
      <w:bookmarkEnd w:id="258"/>
      <w:r>
        <w:fldChar w:fldCharType="begin"/>
      </w:r>
      <w:r>
        <w:instrText xml:space="preserve"> STYLEREF 7 \s </w:instrText>
      </w:r>
      <w:r>
        <w:fldChar w:fldCharType="separate"/>
      </w:r>
      <w:r w:rsidR="00222812">
        <w:rPr>
          <w:noProof/>
        </w:rPr>
        <w:t>B</w:t>
      </w:r>
      <w:r>
        <w:rPr>
          <w:noProof/>
        </w:rPr>
        <w:fldChar w:fldCharType="end"/>
      </w:r>
      <w:r>
        <w:t>.</w:t>
      </w:r>
      <w:r w:rsidR="00331DD0">
        <w:fldChar w:fldCharType="begin"/>
      </w:r>
      <w:r w:rsidR="00331DD0">
        <w:instrText xml:space="preserve"> SEQ Figure_A \* ARABIC \s 7 </w:instrText>
      </w:r>
      <w:r w:rsidR="00331DD0">
        <w:fldChar w:fldCharType="separate"/>
      </w:r>
      <w:r w:rsidR="00222812">
        <w:rPr>
          <w:noProof/>
        </w:rPr>
        <w:t>4</w:t>
      </w:r>
      <w:r w:rsidR="00331DD0">
        <w:rPr>
          <w:noProof/>
        </w:rPr>
        <w:fldChar w:fldCharType="end"/>
      </w:r>
      <w:bookmarkEnd w:id="259"/>
      <w:r w:rsidRPr="00961F86">
        <w:t xml:space="preserve">. </w:t>
      </w:r>
      <w:r w:rsidDel="009A3C5E">
        <w:t xml:space="preserve">Demand for services </w:t>
      </w:r>
      <w:r>
        <w:t>is</w:t>
      </w:r>
      <w:r w:rsidDel="009A3C5E">
        <w:t xml:space="preserve"> projected to increase more than </w:t>
      </w:r>
      <w:r>
        <w:t xml:space="preserve">the </w:t>
      </w:r>
      <w:r w:rsidDel="009A3C5E">
        <w:t>economy-wide average</w:t>
      </w:r>
      <w:bookmarkEnd w:id="260"/>
      <w:bookmarkEnd w:id="261"/>
      <w:bookmarkEnd w:id="262"/>
      <w:bookmarkEnd w:id="263"/>
      <w:bookmarkEnd w:id="264"/>
      <w:bookmarkEnd w:id="265"/>
      <w:bookmarkEnd w:id="266"/>
      <w:bookmarkEnd w:id="267"/>
      <w:bookmarkEnd w:id="268"/>
    </w:p>
    <w:p w14:paraId="6D6B3E0D" w14:textId="77777777" w:rsidR="00D6484E" w:rsidRDefault="00D6484E" w:rsidP="00D6484E">
      <w:pPr>
        <w:pStyle w:val="CaptionSubtitle"/>
      </w:pPr>
      <w:r>
        <w:t xml:space="preserve">Panel A: OECD </w:t>
      </w:r>
      <w:r w:rsidRPr="00601E18">
        <w:rPr>
          <w:szCs w:val="18"/>
        </w:rPr>
        <w:t>aggregate</w:t>
      </w:r>
      <w:r>
        <w:rPr>
          <w:szCs w:val="18"/>
        </w:rPr>
        <w:t xml:space="preserve"> (sorted by total growth over 2011-2060)</w:t>
      </w:r>
    </w:p>
    <w:p w14:paraId="4638764D" w14:textId="77777777" w:rsidR="00D6484E" w:rsidRDefault="00D6484E" w:rsidP="00D6484E">
      <w:pPr>
        <w:pStyle w:val="Figure"/>
      </w:pPr>
      <w:r>
        <w:rPr>
          <w:noProof/>
          <w:lang w:eastAsia="en-GB"/>
        </w:rPr>
        <w:drawing>
          <wp:inline distT="0" distB="0" distL="0" distR="0" wp14:anchorId="7494958D" wp14:editId="033A33AB">
            <wp:extent cx="5040000" cy="3175200"/>
            <wp:effectExtent l="0" t="0" r="8255" b="6350"/>
            <wp:docPr id="2270" name="Picture 2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 name="shareSectorInEconomyAndGrowth-OECD.png"/>
                    <pic:cNvPicPr/>
                  </pic:nvPicPr>
                  <pic:blipFill>
                    <a:blip r:embed="rId35">
                      <a:extLst>
                        <a:ext uri="{28A0092B-C50C-407E-A947-70E740481C1C}">
                          <a14:useLocalDpi xmlns:a14="http://schemas.microsoft.com/office/drawing/2010/main" val="0"/>
                        </a:ext>
                      </a:extLst>
                    </a:blip>
                    <a:stretch>
                      <a:fillRect/>
                    </a:stretch>
                  </pic:blipFill>
                  <pic:spPr>
                    <a:xfrm>
                      <a:off x="0" y="0"/>
                      <a:ext cx="5040000" cy="3175200"/>
                    </a:xfrm>
                    <a:prstGeom prst="rect">
                      <a:avLst/>
                    </a:prstGeom>
                  </pic:spPr>
                </pic:pic>
              </a:graphicData>
            </a:graphic>
          </wp:inline>
        </w:drawing>
      </w:r>
    </w:p>
    <w:p w14:paraId="7F1F524B" w14:textId="77777777" w:rsidR="00D6484E" w:rsidRDefault="00D6484E" w:rsidP="00D6484E">
      <w:pPr>
        <w:pStyle w:val="CaptionSubtitle"/>
      </w:pPr>
      <w:r>
        <w:lastRenderedPageBreak/>
        <w:t xml:space="preserve">Panel B: </w:t>
      </w:r>
      <w:r w:rsidRPr="00601E18">
        <w:rPr>
          <w:sz w:val="20"/>
        </w:rPr>
        <w:t>Non</w:t>
      </w:r>
      <w:r>
        <w:t>-OECD aggregate</w:t>
      </w:r>
      <w:r w:rsidRPr="008F7F6E">
        <w:t xml:space="preserve"> </w:t>
      </w:r>
    </w:p>
    <w:p w14:paraId="6FA4FDC8" w14:textId="77777777" w:rsidR="00D6484E" w:rsidRPr="007E4BEF" w:rsidRDefault="00D6484E" w:rsidP="00D6484E">
      <w:pPr>
        <w:pStyle w:val="Figure"/>
        <w:rPr>
          <w:lang w:eastAsia="en-GB"/>
        </w:rPr>
      </w:pPr>
      <w:r>
        <w:rPr>
          <w:noProof/>
          <w:lang w:eastAsia="en-GB"/>
        </w:rPr>
        <w:drawing>
          <wp:inline distT="0" distB="0" distL="0" distR="0" wp14:anchorId="6ADCDAE5" wp14:editId="35C670BD">
            <wp:extent cx="5040000" cy="3175200"/>
            <wp:effectExtent l="0" t="0" r="825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hareSectorInEconomyAndGrowth-NONOECD.png"/>
                    <pic:cNvPicPr/>
                  </pic:nvPicPr>
                  <pic:blipFill>
                    <a:blip r:embed="rId36">
                      <a:extLst>
                        <a:ext uri="{28A0092B-C50C-407E-A947-70E740481C1C}">
                          <a14:useLocalDpi xmlns:a14="http://schemas.microsoft.com/office/drawing/2010/main" val="0"/>
                        </a:ext>
                      </a:extLst>
                    </a:blip>
                    <a:stretch>
                      <a:fillRect/>
                    </a:stretch>
                  </pic:blipFill>
                  <pic:spPr>
                    <a:xfrm>
                      <a:off x="0" y="0"/>
                      <a:ext cx="5040000" cy="3175200"/>
                    </a:xfrm>
                    <a:prstGeom prst="rect">
                      <a:avLst/>
                    </a:prstGeom>
                  </pic:spPr>
                </pic:pic>
              </a:graphicData>
            </a:graphic>
          </wp:inline>
        </w:drawing>
      </w:r>
    </w:p>
    <w:p w14:paraId="27A8C949" w14:textId="77777777" w:rsidR="00D6484E" w:rsidRPr="00961F86" w:rsidRDefault="00D6484E" w:rsidP="00D6484E">
      <w:pPr>
        <w:pStyle w:val="Sourcenotes"/>
      </w:pPr>
      <w:r w:rsidRPr="0000349C">
        <w:rPr>
          <w:i/>
        </w:rPr>
        <w:t>Source</w:t>
      </w:r>
      <w:r w:rsidRPr="00961F86">
        <w:t xml:space="preserve">: </w:t>
      </w:r>
      <w:r>
        <w:t>OECD ENV-Linkages model.</w:t>
      </w:r>
    </w:p>
    <w:p w14:paraId="113EB117" w14:textId="77777777" w:rsidR="00D6484E" w:rsidRDefault="00D6484E" w:rsidP="00D6484E">
      <w:pPr>
        <w:pStyle w:val="Para0"/>
      </w:pPr>
      <w:bookmarkStart w:id="269" w:name="_Toc520991894"/>
      <w:bookmarkStart w:id="270" w:name="_Toc520991895"/>
      <w:bookmarkStart w:id="271" w:name="_Toc520991896"/>
      <w:bookmarkStart w:id="272" w:name="_Toc520991897"/>
      <w:bookmarkStart w:id="273" w:name="_Toc520991898"/>
      <w:bookmarkStart w:id="274" w:name="_Toc520991899"/>
      <w:bookmarkStart w:id="275" w:name="_Toc520991900"/>
      <w:bookmarkStart w:id="276" w:name="_Toc517971824"/>
      <w:bookmarkStart w:id="277" w:name="_Toc517973129"/>
      <w:bookmarkStart w:id="278" w:name="_Toc517973722"/>
      <w:bookmarkStart w:id="279" w:name="_Toc517974262"/>
      <w:bookmarkStart w:id="280" w:name="_Toc517971825"/>
      <w:bookmarkStart w:id="281" w:name="_Toc517973130"/>
      <w:bookmarkStart w:id="282" w:name="_Toc517973723"/>
      <w:bookmarkStart w:id="283" w:name="_Toc517974263"/>
      <w:bookmarkStart w:id="284" w:name="_Toc517971826"/>
      <w:bookmarkStart w:id="285" w:name="_Toc517973131"/>
      <w:bookmarkStart w:id="286" w:name="_Toc517973724"/>
      <w:bookmarkStart w:id="287" w:name="_Toc517974264"/>
      <w:bookmarkStart w:id="288" w:name="_Toc517971827"/>
      <w:bookmarkStart w:id="289" w:name="_Toc517973132"/>
      <w:bookmarkStart w:id="290" w:name="_Toc517973725"/>
      <w:bookmarkStart w:id="291" w:name="_Toc517974265"/>
      <w:bookmarkStart w:id="292" w:name="_Toc517971828"/>
      <w:bookmarkStart w:id="293" w:name="_Toc517973133"/>
      <w:bookmarkStart w:id="294" w:name="_Toc517973726"/>
      <w:bookmarkStart w:id="295" w:name="_Toc517974266"/>
      <w:bookmarkStart w:id="296" w:name="_Toc517971829"/>
      <w:bookmarkStart w:id="297" w:name="_Toc517973134"/>
      <w:bookmarkStart w:id="298" w:name="_Toc517973727"/>
      <w:bookmarkStart w:id="299" w:name="_Toc517974267"/>
      <w:bookmarkStart w:id="300" w:name="_Toc517971830"/>
      <w:bookmarkStart w:id="301" w:name="_Toc517973135"/>
      <w:bookmarkStart w:id="302" w:name="_Toc517973728"/>
      <w:bookmarkStart w:id="303" w:name="_Toc517974268"/>
      <w:bookmarkStart w:id="304" w:name="_Toc517971831"/>
      <w:bookmarkStart w:id="305" w:name="_Toc517973136"/>
      <w:bookmarkStart w:id="306" w:name="_Toc517973729"/>
      <w:bookmarkStart w:id="307" w:name="_Toc517974269"/>
      <w:bookmarkStart w:id="308" w:name="_Toc517971832"/>
      <w:bookmarkStart w:id="309" w:name="_Toc517973137"/>
      <w:bookmarkStart w:id="310" w:name="_Toc517973730"/>
      <w:bookmarkStart w:id="311" w:name="_Toc517974270"/>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r>
        <w:t>In contrast</w:t>
      </w:r>
      <w:r w:rsidRPr="00091401">
        <w:t xml:space="preserve">, the output of the </w:t>
      </w:r>
      <w:r>
        <w:t>f</w:t>
      </w:r>
      <w:r w:rsidRPr="00091401">
        <w:t>ossil fuel and mining sector</w:t>
      </w:r>
      <w:r>
        <w:t>s</w:t>
      </w:r>
      <w:r w:rsidRPr="00091401">
        <w:t>, as well as of energy intensive industries</w:t>
      </w:r>
      <w:r w:rsidRPr="001320C1">
        <w:rPr>
          <w:rStyle w:val="FootnoteReference"/>
        </w:rPr>
        <w:footnoteReference w:id="20"/>
      </w:r>
      <w:r w:rsidRPr="00091401">
        <w:t xml:space="preserve"> is projected to increase less than the economy-wide average, mainly in OECD countries but also in emerging economies. </w:t>
      </w:r>
      <w:r>
        <w:t xml:space="preserve">Similarly, the share of food and agricultural goods in total </w:t>
      </w:r>
      <w:r w:rsidRPr="00A433C2">
        <w:t xml:space="preserve">expenditures </w:t>
      </w:r>
      <w:r>
        <w:t>is projected to diminish significantly. However, the global demand for these goods is still projected to increase by almost 80% by 2060 compared with 2011 levels: agricultural and food expenditures increase, but less rapidly than expenditures on other goods and services.</w:t>
      </w:r>
    </w:p>
    <w:p w14:paraId="2D1C8258" w14:textId="2323E113" w:rsidR="00D6484E" w:rsidRDefault="00D6484E" w:rsidP="00D6484E">
      <w:pPr>
        <w:pStyle w:val="Para0"/>
      </w:pPr>
      <w:r>
        <w:t>The GDP changes described above are largely driven by the evolution of the main primary factors of production (capital and labour) as well as by technical progress. These changes can come from a wide range of drivers, including continued efforts to optimise existing production processes, adopting new business models, and the spreading of best available techniques. The change in GDP per capita can be broken down into changes in employment levels, in labour efficiency and in the amount of capital per worker (</w:t>
      </w:r>
      <w:r>
        <w:fldChar w:fldCharType="begin"/>
      </w:r>
      <w:r>
        <w:instrText xml:space="preserve"> REF _Ref6491337 \h  \* MERGEFORMAT </w:instrText>
      </w:r>
      <w:r>
        <w:fldChar w:fldCharType="separate"/>
      </w:r>
      <w:r w:rsidR="00222812">
        <w:t>Figure B.</w:t>
      </w:r>
      <w:r w:rsidR="00222812">
        <w:rPr>
          <w:noProof/>
        </w:rPr>
        <w:t>5</w:t>
      </w:r>
      <w:r>
        <w:fldChar w:fldCharType="end"/>
      </w:r>
      <w:r>
        <w:t xml:space="preserve">). </w:t>
      </w:r>
    </w:p>
    <w:p w14:paraId="39C12C48" w14:textId="499643D5" w:rsidR="00D6484E" w:rsidRDefault="00D6484E" w:rsidP="00D6484E">
      <w:pPr>
        <w:pStyle w:val="Para0"/>
      </w:pPr>
      <w:r>
        <w:t xml:space="preserve">Changes in labour efficiency have the strongest influence on per-capita GDP growth. Long run labour efficiency gains are assumed to be driven by country-specific progress in education levels, investment in innovation, and improvement in the quality of institutions and market regulations, as </w:t>
      </w:r>
      <w:r>
        <w:lastRenderedPageBreak/>
        <w:t>well as other determinants.</w:t>
      </w:r>
      <w:r w:rsidRPr="009338A3">
        <w:rPr>
          <w:rStyle w:val="FootnoteReference"/>
        </w:rPr>
        <w:footnoteReference w:id="21"/>
      </w:r>
      <w:r>
        <w:t xml:space="preserve"> As shown in </w:t>
      </w:r>
      <w:r>
        <w:fldChar w:fldCharType="begin"/>
      </w:r>
      <w:r>
        <w:instrText xml:space="preserve"> REF _Ref6491337 \h  \* MERGEFORMAT </w:instrText>
      </w:r>
      <w:r>
        <w:fldChar w:fldCharType="separate"/>
      </w:r>
      <w:r w:rsidR="00222812">
        <w:t>Figure B.</w:t>
      </w:r>
      <w:r w:rsidR="00222812">
        <w:rPr>
          <w:noProof/>
        </w:rPr>
        <w:t>5</w:t>
      </w:r>
      <w:r>
        <w:fldChar w:fldCharType="end"/>
      </w:r>
      <w:r>
        <w:t>, and in accordance with traditional growth theory,</w:t>
      </w:r>
      <w:r w:rsidRPr="001320C1">
        <w:rPr>
          <w:rStyle w:val="FootnoteReference"/>
        </w:rPr>
        <w:footnoteReference w:id="22"/>
      </w:r>
      <w:r>
        <w:t xml:space="preserve"> in the long run the gains in living standards (diamond marks) converge.</w:t>
      </w:r>
    </w:p>
    <w:p w14:paraId="42CC967B" w14:textId="728B2875" w:rsidR="00D6484E" w:rsidRDefault="00D6484E" w:rsidP="00D6484E">
      <w:pPr>
        <w:pStyle w:val="Para0"/>
      </w:pPr>
      <w:r>
        <w:t xml:space="preserve">However, in the short and medium run (2011-2030), the process of catching up through increases in capital-to-output ratios plays a non-negligible role. This mechanism is visible in </w:t>
      </w:r>
      <w:r>
        <w:fldChar w:fldCharType="begin"/>
      </w:r>
      <w:r>
        <w:instrText xml:space="preserve"> REF _Ref6491337 \h  \* MERGEFORMAT </w:instrText>
      </w:r>
      <w:r>
        <w:fldChar w:fldCharType="separate"/>
      </w:r>
      <w:r w:rsidR="00222812">
        <w:t>Figure B.</w:t>
      </w:r>
      <w:r w:rsidR="00222812">
        <w:rPr>
          <w:noProof/>
        </w:rPr>
        <w:t>5</w:t>
      </w:r>
      <w:r>
        <w:fldChar w:fldCharType="end"/>
      </w:r>
      <w:r>
        <w:t xml:space="preserve"> as a high contribution to GDP by increases in capital per worker. A relative shortage of capital implies that investments are the major source of economic growth, especially in emerging economies. In contrast, investment is slowing down in more advanced economies, not only because equipment and infrastructure expenditures have largely already been undertaken, but also due to the reduction of saving rates that characterise these ageing societies.</w:t>
      </w:r>
    </w:p>
    <w:p w14:paraId="3DB5BBBC" w14:textId="77777777" w:rsidR="00D6484E" w:rsidRDefault="00D6484E" w:rsidP="00D6484E">
      <w:pPr>
        <w:pStyle w:val="Para0"/>
      </w:pPr>
      <w:r>
        <w:t xml:space="preserve">Furthermore, in the short and medium term employment rates fluctuate and influence the dynamics of GDP per capita. In many regions, employment growth makes a positive contribution to growth, but in countries with significant ageing, employment changes become a drag on economic growth, as the share of the working age population in the overall population declines. </w:t>
      </w:r>
    </w:p>
    <w:p w14:paraId="7FEFE6F9" w14:textId="77777777" w:rsidR="00D6484E" w:rsidRDefault="00D6484E" w:rsidP="00D6484E">
      <w:bookmarkStart w:id="312" w:name="_Ref530574544"/>
      <w:r>
        <w:rPr>
          <w:b/>
          <w:bCs/>
        </w:rPr>
        <w:br w:type="page"/>
      </w:r>
    </w:p>
    <w:p w14:paraId="317CC9D5" w14:textId="2D3BC8EA" w:rsidR="00D6484E" w:rsidRPr="00961F86" w:rsidRDefault="00D6484E" w:rsidP="00D6484E">
      <w:pPr>
        <w:pStyle w:val="Caption"/>
      </w:pPr>
      <w:bookmarkStart w:id="313" w:name="_Ref530574395"/>
      <w:bookmarkStart w:id="314" w:name="_Ref6491337"/>
      <w:bookmarkStart w:id="315" w:name="_Toc532573987"/>
      <w:bookmarkStart w:id="316" w:name="_Toc37435921"/>
      <w:bookmarkEnd w:id="312"/>
      <w:r>
        <w:lastRenderedPageBreak/>
        <w:t>Figure </w:t>
      </w:r>
      <w:bookmarkEnd w:id="313"/>
      <w:r>
        <w:fldChar w:fldCharType="begin"/>
      </w:r>
      <w:r>
        <w:instrText xml:space="preserve"> STYLEREF 7 \s </w:instrText>
      </w:r>
      <w:r>
        <w:fldChar w:fldCharType="separate"/>
      </w:r>
      <w:r w:rsidR="00222812">
        <w:rPr>
          <w:noProof/>
        </w:rPr>
        <w:t>B</w:t>
      </w:r>
      <w:r>
        <w:rPr>
          <w:noProof/>
        </w:rPr>
        <w:fldChar w:fldCharType="end"/>
      </w:r>
      <w:r>
        <w:t>.</w:t>
      </w:r>
      <w:r w:rsidR="00331DD0">
        <w:fldChar w:fldCharType="begin"/>
      </w:r>
      <w:r w:rsidR="00331DD0">
        <w:instrText xml:space="preserve"> SEQ Figure_A \* ARABIC \s 7 </w:instrText>
      </w:r>
      <w:r w:rsidR="00331DD0">
        <w:fldChar w:fldCharType="separate"/>
      </w:r>
      <w:r w:rsidR="00222812">
        <w:rPr>
          <w:noProof/>
        </w:rPr>
        <w:t>5</w:t>
      </w:r>
      <w:r w:rsidR="00331DD0">
        <w:rPr>
          <w:noProof/>
        </w:rPr>
        <w:fldChar w:fldCharType="end"/>
      </w:r>
      <w:bookmarkEnd w:id="314"/>
      <w:r w:rsidRPr="00961F86">
        <w:t xml:space="preserve">. </w:t>
      </w:r>
      <w:r>
        <w:t>Labour efficiency and capital supply drive per-capita GDP growth</w:t>
      </w:r>
      <w:bookmarkEnd w:id="315"/>
      <w:bookmarkEnd w:id="316"/>
    </w:p>
    <w:p w14:paraId="1B57AF19" w14:textId="77777777" w:rsidR="00D6484E" w:rsidRPr="00961F86" w:rsidRDefault="00D6484E" w:rsidP="00D6484E">
      <w:pPr>
        <w:pStyle w:val="CaptionSubtitle"/>
      </w:pPr>
      <w:r>
        <w:t>Annual growth rates in percentages</w:t>
      </w:r>
    </w:p>
    <w:p w14:paraId="0DE506D6" w14:textId="77777777" w:rsidR="00D6484E" w:rsidRDefault="00D6484E" w:rsidP="00D6484E">
      <w:pPr>
        <w:pStyle w:val="Figure"/>
      </w:pPr>
      <w:r>
        <w:rPr>
          <w:noProof/>
          <w:lang w:eastAsia="en-GB"/>
        </w:rPr>
        <w:drawing>
          <wp:inline distT="0" distB="0" distL="0" distR="0" wp14:anchorId="18DFE2A5" wp14:editId="6006A191">
            <wp:extent cx="5040000" cy="3175200"/>
            <wp:effectExtent l="0" t="0" r="8255" b="6350"/>
            <wp:docPr id="2281" name="Picture 2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1" name="labourProductivityAndCapitalSupply.png"/>
                    <pic:cNvPicPr/>
                  </pic:nvPicPr>
                  <pic:blipFill>
                    <a:blip r:embed="rId37">
                      <a:extLst>
                        <a:ext uri="{28A0092B-C50C-407E-A947-70E740481C1C}">
                          <a14:useLocalDpi xmlns:a14="http://schemas.microsoft.com/office/drawing/2010/main" val="0"/>
                        </a:ext>
                      </a:extLst>
                    </a:blip>
                    <a:stretch>
                      <a:fillRect/>
                    </a:stretch>
                  </pic:blipFill>
                  <pic:spPr>
                    <a:xfrm>
                      <a:off x="0" y="0"/>
                      <a:ext cx="5040000" cy="3175200"/>
                    </a:xfrm>
                    <a:prstGeom prst="rect">
                      <a:avLst/>
                    </a:prstGeom>
                  </pic:spPr>
                </pic:pic>
              </a:graphicData>
            </a:graphic>
          </wp:inline>
        </w:drawing>
      </w:r>
    </w:p>
    <w:p w14:paraId="2643EE6D" w14:textId="77777777" w:rsidR="00D6484E" w:rsidRDefault="00D6484E" w:rsidP="00D6484E">
      <w:pPr>
        <w:pStyle w:val="Sourcenotes"/>
      </w:pPr>
      <w:r w:rsidRPr="0000349C">
        <w:rPr>
          <w:i/>
        </w:rPr>
        <w:t>Note</w:t>
      </w:r>
      <w:r w:rsidRPr="00961F86">
        <w:t xml:space="preserve">: </w:t>
      </w:r>
      <w:r>
        <w:t>The changes in the GDP per capita in market exchange rates (y) are decomposed in three components: (i) the change in employment rate (ER), (ii) the change in capital per worker (where capital is defined in a broad way including land and natural resources) (k), and, as a residual factor, (iii) the change in labour efficiency (A). Changes in GDP (in market exchange rates) can be decomposed as in the following formula:</w:t>
      </w:r>
    </w:p>
    <w:p w14:paraId="171E854C" w14:textId="77777777" w:rsidR="00D6484E" w:rsidRDefault="00D6484E" w:rsidP="00D6484E">
      <w:pPr>
        <w:pStyle w:val="Sourcenotes"/>
      </w:pPr>
      <w:r>
        <w:t xml:space="preserve">, where </w:t>
      </w:r>
      <w:r w:rsidRPr="00CB6D06">
        <w:rPr>
          <w:rFonts w:ascii="Symbol" w:hAnsi="Symbol"/>
        </w:rPr>
        <w:t></w:t>
      </w:r>
      <w:r>
        <w:rPr>
          <w:rFonts w:ascii="Symbol" w:hAnsi="Symbol"/>
        </w:rPr>
        <w:t></w:t>
      </w:r>
      <w:r w:rsidRPr="00715D15">
        <w:t xml:space="preserve"> </w:t>
      </w:r>
      <w:r>
        <w:t>is the share of labour income in GDP.</w:t>
      </w:r>
      <w:r w:rsidRPr="006B21C1">
        <w:t xml:space="preserve"> </w:t>
      </w:r>
      <w:r>
        <w:t>The GDP per capita growth rate in market exchange rates differs from the one in PPP exchange rates as the weights of different countries in regional aggregates differ.</w:t>
      </w:r>
    </w:p>
    <w:p w14:paraId="08EC62D8" w14:textId="043683B3" w:rsidR="00D6484E" w:rsidRDefault="00D6484E" w:rsidP="00D6484E">
      <w:pPr>
        <w:pStyle w:val="Sourcenotes"/>
      </w:pPr>
      <w:r w:rsidRPr="0000349C">
        <w:rPr>
          <w:i/>
        </w:rPr>
        <w:t>Source</w:t>
      </w:r>
      <w:r w:rsidRPr="00961F86">
        <w:t xml:space="preserve">: </w:t>
      </w:r>
      <w:r>
        <w:t>OECD ENV-Growth model (OECD Environment Directorate) and OECD Economics Department</w:t>
      </w:r>
      <w:sdt>
        <w:sdtPr>
          <w:id w:val="1651097426"/>
          <w:citation/>
        </w:sdtPr>
        <w:sdtEndPr/>
        <w:sdtContent>
          <w:r>
            <w:fldChar w:fldCharType="begin"/>
          </w:r>
          <w:r w:rsidRPr="00AA6A8B">
            <w:instrText xml:space="preserve"> CITATION Kappa_f3352d87 \l 1036 </w:instrText>
          </w:r>
          <w:r>
            <w:fldChar w:fldCharType="separate"/>
          </w:r>
          <w:r w:rsidR="0020320D">
            <w:rPr>
              <w:noProof/>
            </w:rPr>
            <w:t xml:space="preserve"> </w:t>
          </w:r>
          <w:r w:rsidR="0020320D" w:rsidRPr="0020320D">
            <w:rPr>
              <w:noProof/>
            </w:rPr>
            <w:t>(Guillemette and Turner, 2018</w:t>
          </w:r>
          <w:r w:rsidR="0020320D" w:rsidRPr="0020320D">
            <w:rPr>
              <w:noProof/>
              <w:vertAlign w:val="subscript"/>
            </w:rPr>
            <w:t>[14]</w:t>
          </w:r>
          <w:r w:rsidR="0020320D" w:rsidRPr="0020320D">
            <w:rPr>
              <w:noProof/>
            </w:rPr>
            <w:t>)</w:t>
          </w:r>
          <w:r>
            <w:fldChar w:fldCharType="end"/>
          </w:r>
        </w:sdtContent>
      </w:sdt>
      <w:r>
        <w:t>.</w:t>
      </w:r>
    </w:p>
    <w:p w14:paraId="6F98AEB7" w14:textId="77777777" w:rsidR="00D6484E" w:rsidRDefault="00D6484E" w:rsidP="00D6484E">
      <w:pPr>
        <w:pStyle w:val="Para0"/>
      </w:pPr>
      <w:r w:rsidRPr="00E569C1">
        <w:t>Economic growth is thus characterised by changes in production technologies, which drive changes in the input structure (e.g. substitution of production inputs, labour or capital).</w:t>
      </w:r>
      <w:r w:rsidRPr="00616577">
        <w:rPr>
          <w:vertAlign w:val="superscript"/>
        </w:rPr>
        <w:footnoteReference w:id="23"/>
      </w:r>
      <w:r w:rsidRPr="00616577">
        <w:rPr>
          <w:vertAlign w:val="superscript"/>
        </w:rPr>
        <w:t>,</w:t>
      </w:r>
      <w:r w:rsidRPr="00616577">
        <w:rPr>
          <w:vertAlign w:val="superscript"/>
        </w:rPr>
        <w:footnoteReference w:id="24"/>
      </w:r>
      <w:r w:rsidRPr="00E569C1">
        <w:t xml:space="preserve"> Such shifts in the input structure of production are not new – during the industrial revolution, for example, machines used to automate production reduced the need for labour. More recently, the increasing efficiency of cars has led to a lower use of fuel to</w:t>
      </w:r>
      <w:r>
        <w:t xml:space="preserve"> travel the same distance, as well as a substitution between different types of fuels (e.g. ethanol instead of gasoline).</w:t>
      </w:r>
    </w:p>
    <w:p w14:paraId="4F738FCD" w14:textId="03FA6918" w:rsidR="00D6484E" w:rsidRDefault="00D6484E" w:rsidP="00D6484E">
      <w:pPr>
        <w:pStyle w:val="Para0"/>
      </w:pPr>
      <w:r>
        <w:t xml:space="preserve">The production of manufacturing goods is an interesting example of these production changes. </w:t>
      </w:r>
      <w:r>
        <w:fldChar w:fldCharType="begin"/>
      </w:r>
      <w:r>
        <w:instrText xml:space="preserve"> REF _Ref6491392 \h  \* MERGEFORMAT </w:instrText>
      </w:r>
      <w:r>
        <w:fldChar w:fldCharType="separate"/>
      </w:r>
      <w:r w:rsidR="00222812">
        <w:t>Table B.</w:t>
      </w:r>
      <w:r w:rsidR="00222812">
        <w:rPr>
          <w:noProof/>
        </w:rPr>
        <w:t>1</w:t>
      </w:r>
      <w:r>
        <w:fldChar w:fldCharType="end"/>
      </w:r>
      <w:r>
        <w:t xml:space="preserve"> illustrates changes over time in the cost structure of aggregate manufacturing good </w:t>
      </w:r>
      <w:r>
        <w:lastRenderedPageBreak/>
        <w:t>production, for OECD and non-OECD countries. Inputs of services increase, reflecting the servitisation phenomenon described above, while other inputs of goods and services –including extracted materials – decrease. Labour</w:t>
      </w:r>
      <w:r w:rsidDel="007405F0">
        <w:t xml:space="preserve"> </w:t>
      </w:r>
      <w:r>
        <w:t xml:space="preserve">costs also increase, due to wage increases relative to the marginal cost of production (not shown here). </w:t>
      </w:r>
    </w:p>
    <w:p w14:paraId="1F6085EA" w14:textId="77777777" w:rsidR="00D6484E" w:rsidRDefault="00D6484E" w:rsidP="00D6484E">
      <w:pPr>
        <w:pStyle w:val="Para0"/>
      </w:pPr>
      <w:r>
        <w:t>In both OECD and non-OECD countries, unit production costs are projected to decline, reflecting higher productivity resulting from technical progress. However, this effect is stronger in non-OECD countries, where a higher rate of convergence also leads to more marked changes in productivity over time. In all regions, production costs shift away from industrial inputs towards more services.</w:t>
      </w:r>
      <w:r w:rsidRPr="001320C1">
        <w:rPr>
          <w:rStyle w:val="FootnoteReference"/>
        </w:rPr>
        <w:footnoteReference w:id="25"/>
      </w:r>
    </w:p>
    <w:p w14:paraId="54FE1EB3" w14:textId="1463AC6E" w:rsidR="00D6484E" w:rsidRDefault="00D6484E" w:rsidP="00D6484E">
      <w:pPr>
        <w:pStyle w:val="Caption"/>
      </w:pPr>
      <w:bookmarkStart w:id="317" w:name="_Ref6491392"/>
      <w:bookmarkStart w:id="318" w:name="_Toc520211549"/>
      <w:bookmarkStart w:id="319" w:name="_Toc520219617"/>
      <w:bookmarkStart w:id="320" w:name="_Toc520816979"/>
      <w:bookmarkStart w:id="321" w:name="_Toc520825237"/>
      <w:bookmarkStart w:id="322" w:name="_Toc520882557"/>
      <w:bookmarkStart w:id="323" w:name="_Toc520990720"/>
      <w:bookmarkStart w:id="324" w:name="_Toc522616884"/>
      <w:bookmarkStart w:id="325" w:name="_Toc522798911"/>
      <w:bookmarkStart w:id="326" w:name="_Toc525576262"/>
      <w:bookmarkStart w:id="327" w:name="_Toc525736106"/>
      <w:bookmarkStart w:id="328" w:name="_Toc532573955"/>
      <w:bookmarkStart w:id="329" w:name="_Toc37435889"/>
      <w:bookmarkStart w:id="330" w:name="_Ref519021776"/>
      <w:r>
        <w:t>Table </w:t>
      </w:r>
      <w:r w:rsidR="00331DD0">
        <w:fldChar w:fldCharType="begin"/>
      </w:r>
      <w:r w:rsidR="00331DD0">
        <w:instrText xml:space="preserve"> ST</w:instrText>
      </w:r>
      <w:r w:rsidR="00331DD0">
        <w:instrText xml:space="preserve">YLEREF 7 \s </w:instrText>
      </w:r>
      <w:r w:rsidR="00331DD0">
        <w:fldChar w:fldCharType="separate"/>
      </w:r>
      <w:r w:rsidR="00222812">
        <w:rPr>
          <w:noProof/>
        </w:rPr>
        <w:t>B</w:t>
      </w:r>
      <w:r w:rsidR="00331DD0">
        <w:rPr>
          <w:noProof/>
        </w:rPr>
        <w:fldChar w:fldCharType="end"/>
      </w:r>
      <w:r>
        <w:t>.</w:t>
      </w:r>
      <w:r w:rsidR="00331DD0">
        <w:fldChar w:fldCharType="begin"/>
      </w:r>
      <w:r w:rsidR="00331DD0">
        <w:instrText xml:space="preserve"> SEQ Table_A \* ARABIC \s 7 </w:instrText>
      </w:r>
      <w:r w:rsidR="00331DD0">
        <w:fldChar w:fldCharType="separate"/>
      </w:r>
      <w:r w:rsidR="00222812">
        <w:rPr>
          <w:noProof/>
        </w:rPr>
        <w:t>1</w:t>
      </w:r>
      <w:r w:rsidR="00331DD0">
        <w:rPr>
          <w:noProof/>
        </w:rPr>
        <w:fldChar w:fldCharType="end"/>
      </w:r>
      <w:bookmarkEnd w:id="317"/>
      <w:r>
        <w:t>. Input composition for the production of manufacturing goods</w:t>
      </w:r>
      <w:bookmarkEnd w:id="318"/>
      <w:bookmarkEnd w:id="319"/>
      <w:bookmarkEnd w:id="320"/>
      <w:bookmarkEnd w:id="321"/>
      <w:bookmarkEnd w:id="322"/>
      <w:bookmarkEnd w:id="323"/>
      <w:bookmarkEnd w:id="324"/>
      <w:bookmarkEnd w:id="325"/>
      <w:bookmarkEnd w:id="326"/>
      <w:bookmarkEnd w:id="327"/>
      <w:bookmarkEnd w:id="328"/>
      <w:bookmarkEnd w:id="329"/>
    </w:p>
    <w:p w14:paraId="33EC97D0" w14:textId="77777777" w:rsidR="00D6484E" w:rsidRDefault="00D6484E" w:rsidP="00D6484E">
      <w:pPr>
        <w:pStyle w:val="CaptionSubtitle"/>
      </w:pPr>
      <w:r>
        <w:t>Share of components in production costs of manufacturing goods</w:t>
      </w:r>
    </w:p>
    <w:bookmarkEnd w:id="330"/>
    <w:tbl>
      <w:tblPr>
        <w:tblStyle w:val="OECD"/>
        <w:tblW w:w="0" w:type="auto"/>
        <w:tblLook w:val="04A0" w:firstRow="1" w:lastRow="0" w:firstColumn="1" w:lastColumn="0" w:noHBand="0" w:noVBand="1"/>
      </w:tblPr>
      <w:tblGrid>
        <w:gridCol w:w="1418"/>
        <w:gridCol w:w="3526"/>
        <w:gridCol w:w="527"/>
        <w:gridCol w:w="527"/>
        <w:gridCol w:w="527"/>
        <w:gridCol w:w="527"/>
        <w:gridCol w:w="527"/>
        <w:gridCol w:w="527"/>
      </w:tblGrid>
      <w:tr w:rsidR="00D6484E" w:rsidRPr="00794873" w14:paraId="067C346F" w14:textId="77777777" w:rsidTr="00B621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1688D7CA" w14:textId="77777777" w:rsidR="00D6484E" w:rsidRPr="00794873" w:rsidRDefault="00D6484E" w:rsidP="00B62115">
            <w:pPr>
              <w:pStyle w:val="TableColumn"/>
            </w:pPr>
          </w:p>
        </w:tc>
        <w:tc>
          <w:tcPr>
            <w:tcW w:w="3526" w:type="dxa"/>
            <w:shd w:val="clear" w:color="auto" w:fill="auto"/>
          </w:tcPr>
          <w:p w14:paraId="1ACB0FF7" w14:textId="77777777" w:rsidR="00D6484E" w:rsidRDefault="00D6484E" w:rsidP="00B62115">
            <w:pPr>
              <w:pStyle w:val="TableColumn"/>
              <w:cnfStyle w:val="100000000000" w:firstRow="1" w:lastRow="0" w:firstColumn="0" w:lastColumn="0" w:oddVBand="0" w:evenVBand="0" w:oddHBand="0" w:evenHBand="0" w:firstRowFirstColumn="0" w:firstRowLastColumn="0" w:lastRowFirstColumn="0" w:lastRowLastColumn="0"/>
            </w:pPr>
          </w:p>
        </w:tc>
        <w:tc>
          <w:tcPr>
            <w:tcW w:w="0" w:type="auto"/>
            <w:gridSpan w:val="3"/>
            <w:shd w:val="clear" w:color="auto" w:fill="auto"/>
          </w:tcPr>
          <w:p w14:paraId="7B303751" w14:textId="77777777" w:rsidR="00D6484E" w:rsidRDefault="00D6484E" w:rsidP="00B62115">
            <w:pPr>
              <w:pStyle w:val="TableColumn"/>
              <w:cnfStyle w:val="100000000000" w:firstRow="1" w:lastRow="0" w:firstColumn="0" w:lastColumn="0" w:oddVBand="0" w:evenVBand="0" w:oddHBand="0" w:evenHBand="0" w:firstRowFirstColumn="0" w:firstRowLastColumn="0" w:lastRowFirstColumn="0" w:lastRowLastColumn="0"/>
            </w:pPr>
            <w:r>
              <w:t>OECD</w:t>
            </w:r>
          </w:p>
        </w:tc>
        <w:tc>
          <w:tcPr>
            <w:tcW w:w="0" w:type="auto"/>
            <w:gridSpan w:val="3"/>
            <w:shd w:val="clear" w:color="auto" w:fill="auto"/>
          </w:tcPr>
          <w:p w14:paraId="03C70E4C" w14:textId="77777777" w:rsidR="00D6484E" w:rsidRDefault="00D6484E" w:rsidP="00B62115">
            <w:pPr>
              <w:pStyle w:val="TableColumn"/>
              <w:cnfStyle w:val="100000000000" w:firstRow="1" w:lastRow="0" w:firstColumn="0" w:lastColumn="0" w:oddVBand="0" w:evenVBand="0" w:oddHBand="0" w:evenHBand="0" w:firstRowFirstColumn="0" w:firstRowLastColumn="0" w:lastRowFirstColumn="0" w:lastRowLastColumn="0"/>
            </w:pPr>
            <w:r>
              <w:t>Non-OECD</w:t>
            </w:r>
          </w:p>
        </w:tc>
      </w:tr>
      <w:tr w:rsidR="00D6484E" w14:paraId="7C7452A9" w14:textId="77777777" w:rsidTr="00B621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top w:val="nil"/>
              <w:bottom w:val="single" w:sz="4" w:space="0" w:color="auto"/>
            </w:tcBorders>
            <w:shd w:val="clear" w:color="auto" w:fill="auto"/>
            <w:hideMark/>
          </w:tcPr>
          <w:p w14:paraId="65F429FD" w14:textId="77777777" w:rsidR="00D6484E" w:rsidRDefault="00D6484E" w:rsidP="00B62115">
            <w:pPr>
              <w:pStyle w:val="TableRow"/>
              <w:rPr>
                <w:sz w:val="16"/>
              </w:rPr>
            </w:pPr>
          </w:p>
        </w:tc>
        <w:tc>
          <w:tcPr>
            <w:tcW w:w="3526" w:type="dxa"/>
            <w:tcBorders>
              <w:top w:val="nil"/>
              <w:bottom w:val="single" w:sz="4" w:space="0" w:color="auto"/>
            </w:tcBorders>
            <w:shd w:val="clear" w:color="auto" w:fill="auto"/>
          </w:tcPr>
          <w:p w14:paraId="62FBBA6E" w14:textId="77777777" w:rsidR="00D6484E" w:rsidRDefault="00D6484E" w:rsidP="00B62115">
            <w:pPr>
              <w:pStyle w:val="TableRow"/>
              <w:cnfStyle w:val="000000100000" w:firstRow="0" w:lastRow="0" w:firstColumn="0" w:lastColumn="0" w:oddVBand="0" w:evenVBand="0" w:oddHBand="1" w:evenHBand="0" w:firstRowFirstColumn="0" w:firstRowLastColumn="0" w:lastRowFirstColumn="0" w:lastRowLastColumn="0"/>
            </w:pPr>
          </w:p>
        </w:tc>
        <w:tc>
          <w:tcPr>
            <w:tcW w:w="0" w:type="auto"/>
            <w:tcBorders>
              <w:top w:val="nil"/>
              <w:bottom w:val="single" w:sz="4" w:space="0" w:color="auto"/>
            </w:tcBorders>
            <w:shd w:val="clear" w:color="auto" w:fill="auto"/>
            <w:hideMark/>
          </w:tcPr>
          <w:p w14:paraId="6E2C00E6" w14:textId="77777777" w:rsidR="00D6484E" w:rsidRDefault="00D6484E" w:rsidP="00B62115">
            <w:pPr>
              <w:pStyle w:val="TableColumn"/>
              <w:cnfStyle w:val="000000100000" w:firstRow="0" w:lastRow="0" w:firstColumn="0" w:lastColumn="0" w:oddVBand="0" w:evenVBand="0" w:oddHBand="1" w:evenHBand="0" w:firstRowFirstColumn="0" w:firstRowLastColumn="0" w:lastRowFirstColumn="0" w:lastRowLastColumn="0"/>
            </w:pPr>
            <w:r>
              <w:t>2011</w:t>
            </w:r>
          </w:p>
        </w:tc>
        <w:tc>
          <w:tcPr>
            <w:tcW w:w="0" w:type="auto"/>
            <w:tcBorders>
              <w:top w:val="nil"/>
              <w:bottom w:val="single" w:sz="4" w:space="0" w:color="auto"/>
            </w:tcBorders>
            <w:shd w:val="clear" w:color="auto" w:fill="auto"/>
            <w:hideMark/>
          </w:tcPr>
          <w:p w14:paraId="292B69D2" w14:textId="77777777" w:rsidR="00D6484E" w:rsidRDefault="00D6484E" w:rsidP="00B62115">
            <w:pPr>
              <w:pStyle w:val="TableColumn"/>
              <w:cnfStyle w:val="000000100000" w:firstRow="0" w:lastRow="0" w:firstColumn="0" w:lastColumn="0" w:oddVBand="0" w:evenVBand="0" w:oddHBand="1" w:evenHBand="0" w:firstRowFirstColumn="0" w:firstRowLastColumn="0" w:lastRowFirstColumn="0" w:lastRowLastColumn="0"/>
            </w:pPr>
            <w:r>
              <w:t>2030</w:t>
            </w:r>
          </w:p>
        </w:tc>
        <w:tc>
          <w:tcPr>
            <w:tcW w:w="0" w:type="auto"/>
            <w:tcBorders>
              <w:top w:val="nil"/>
              <w:bottom w:val="single" w:sz="4" w:space="0" w:color="auto"/>
            </w:tcBorders>
            <w:shd w:val="clear" w:color="auto" w:fill="auto"/>
            <w:hideMark/>
          </w:tcPr>
          <w:p w14:paraId="01877748" w14:textId="77777777" w:rsidR="00D6484E" w:rsidRDefault="00D6484E" w:rsidP="00B62115">
            <w:pPr>
              <w:pStyle w:val="TableColumn"/>
              <w:cnfStyle w:val="000000100000" w:firstRow="0" w:lastRow="0" w:firstColumn="0" w:lastColumn="0" w:oddVBand="0" w:evenVBand="0" w:oddHBand="1" w:evenHBand="0" w:firstRowFirstColumn="0" w:firstRowLastColumn="0" w:lastRowFirstColumn="0" w:lastRowLastColumn="0"/>
            </w:pPr>
            <w:r>
              <w:t>2060</w:t>
            </w:r>
          </w:p>
        </w:tc>
        <w:tc>
          <w:tcPr>
            <w:tcW w:w="0" w:type="auto"/>
            <w:tcBorders>
              <w:top w:val="nil"/>
              <w:bottom w:val="single" w:sz="4" w:space="0" w:color="auto"/>
            </w:tcBorders>
            <w:shd w:val="clear" w:color="auto" w:fill="auto"/>
            <w:hideMark/>
          </w:tcPr>
          <w:p w14:paraId="44F7BE67" w14:textId="77777777" w:rsidR="00D6484E" w:rsidRDefault="00D6484E" w:rsidP="00B62115">
            <w:pPr>
              <w:pStyle w:val="TableColumn"/>
              <w:cnfStyle w:val="000000100000" w:firstRow="0" w:lastRow="0" w:firstColumn="0" w:lastColumn="0" w:oddVBand="0" w:evenVBand="0" w:oddHBand="1" w:evenHBand="0" w:firstRowFirstColumn="0" w:firstRowLastColumn="0" w:lastRowFirstColumn="0" w:lastRowLastColumn="0"/>
            </w:pPr>
            <w:r>
              <w:t>2011</w:t>
            </w:r>
          </w:p>
        </w:tc>
        <w:tc>
          <w:tcPr>
            <w:tcW w:w="0" w:type="auto"/>
            <w:tcBorders>
              <w:top w:val="nil"/>
              <w:bottom w:val="single" w:sz="4" w:space="0" w:color="auto"/>
            </w:tcBorders>
            <w:shd w:val="clear" w:color="auto" w:fill="auto"/>
            <w:hideMark/>
          </w:tcPr>
          <w:p w14:paraId="6F504690" w14:textId="77777777" w:rsidR="00D6484E" w:rsidRDefault="00D6484E" w:rsidP="00B62115">
            <w:pPr>
              <w:pStyle w:val="TableColumn"/>
              <w:cnfStyle w:val="000000100000" w:firstRow="0" w:lastRow="0" w:firstColumn="0" w:lastColumn="0" w:oddVBand="0" w:evenVBand="0" w:oddHBand="1" w:evenHBand="0" w:firstRowFirstColumn="0" w:firstRowLastColumn="0" w:lastRowFirstColumn="0" w:lastRowLastColumn="0"/>
            </w:pPr>
            <w:r>
              <w:t>2030</w:t>
            </w:r>
          </w:p>
        </w:tc>
        <w:tc>
          <w:tcPr>
            <w:tcW w:w="0" w:type="auto"/>
            <w:tcBorders>
              <w:top w:val="nil"/>
              <w:bottom w:val="single" w:sz="4" w:space="0" w:color="auto"/>
            </w:tcBorders>
            <w:shd w:val="clear" w:color="auto" w:fill="auto"/>
            <w:hideMark/>
          </w:tcPr>
          <w:p w14:paraId="75B0031C" w14:textId="77777777" w:rsidR="00D6484E" w:rsidRDefault="00D6484E" w:rsidP="00B62115">
            <w:pPr>
              <w:pStyle w:val="TableColumn"/>
              <w:cnfStyle w:val="000000100000" w:firstRow="0" w:lastRow="0" w:firstColumn="0" w:lastColumn="0" w:oddVBand="0" w:evenVBand="0" w:oddHBand="1" w:evenHBand="0" w:firstRowFirstColumn="0" w:firstRowLastColumn="0" w:lastRowFirstColumn="0" w:lastRowLastColumn="0"/>
            </w:pPr>
            <w:r>
              <w:t>2060</w:t>
            </w:r>
          </w:p>
        </w:tc>
      </w:tr>
      <w:tr w:rsidR="00D6484E" w14:paraId="13DB548C" w14:textId="77777777" w:rsidTr="00B6211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44" w:type="dxa"/>
            <w:gridSpan w:val="2"/>
            <w:tcBorders>
              <w:top w:val="single" w:sz="4" w:space="0" w:color="auto"/>
            </w:tcBorders>
            <w:shd w:val="clear" w:color="auto" w:fill="EDF0F7"/>
          </w:tcPr>
          <w:p w14:paraId="15942997" w14:textId="77777777" w:rsidR="00D6484E" w:rsidRDefault="00D6484E" w:rsidP="00B62115">
            <w:pPr>
              <w:pStyle w:val="TableRow"/>
            </w:pPr>
            <w:r w:rsidRPr="004C7BE1" w:rsidDel="00BD3DF1">
              <w:t>Price evolution</w:t>
            </w:r>
            <w:r>
              <w:t xml:space="preserve"> (index 2011 = 1)</w:t>
            </w:r>
          </w:p>
        </w:tc>
        <w:tc>
          <w:tcPr>
            <w:tcW w:w="0" w:type="auto"/>
            <w:tcBorders>
              <w:top w:val="single" w:sz="4" w:space="0" w:color="auto"/>
            </w:tcBorders>
            <w:shd w:val="clear" w:color="auto" w:fill="EDF0F7"/>
            <w:hideMark/>
          </w:tcPr>
          <w:p w14:paraId="700C33A2" w14:textId="77777777" w:rsidR="00D6484E" w:rsidRDefault="00D6484E" w:rsidP="00B62115">
            <w:pPr>
              <w:pStyle w:val="TableCell"/>
              <w:cnfStyle w:val="000000010000" w:firstRow="0" w:lastRow="0" w:firstColumn="0" w:lastColumn="0" w:oddVBand="0" w:evenVBand="0" w:oddHBand="0" w:evenHBand="1" w:firstRowFirstColumn="0" w:firstRowLastColumn="0" w:lastRowFirstColumn="0" w:lastRowLastColumn="0"/>
            </w:pPr>
            <w:r>
              <w:t>1.00</w:t>
            </w:r>
          </w:p>
        </w:tc>
        <w:tc>
          <w:tcPr>
            <w:tcW w:w="0" w:type="auto"/>
            <w:tcBorders>
              <w:top w:val="single" w:sz="4" w:space="0" w:color="auto"/>
            </w:tcBorders>
            <w:shd w:val="clear" w:color="auto" w:fill="EDF0F7"/>
            <w:hideMark/>
          </w:tcPr>
          <w:p w14:paraId="1F25CD62" w14:textId="77777777" w:rsidR="00D6484E" w:rsidRDefault="00D6484E" w:rsidP="00B62115">
            <w:pPr>
              <w:pStyle w:val="TableCell"/>
              <w:cnfStyle w:val="000000010000" w:firstRow="0" w:lastRow="0" w:firstColumn="0" w:lastColumn="0" w:oddVBand="0" w:evenVBand="0" w:oddHBand="0" w:evenHBand="1" w:firstRowFirstColumn="0" w:firstRowLastColumn="0" w:lastRowFirstColumn="0" w:lastRowLastColumn="0"/>
            </w:pPr>
            <w:r>
              <w:t>1.00</w:t>
            </w:r>
          </w:p>
        </w:tc>
        <w:tc>
          <w:tcPr>
            <w:tcW w:w="0" w:type="auto"/>
            <w:tcBorders>
              <w:top w:val="single" w:sz="4" w:space="0" w:color="auto"/>
            </w:tcBorders>
            <w:shd w:val="clear" w:color="auto" w:fill="EDF0F7"/>
            <w:hideMark/>
          </w:tcPr>
          <w:p w14:paraId="0844E213" w14:textId="77777777" w:rsidR="00D6484E" w:rsidRDefault="00D6484E" w:rsidP="00B62115">
            <w:pPr>
              <w:pStyle w:val="TableCell"/>
              <w:cnfStyle w:val="000000010000" w:firstRow="0" w:lastRow="0" w:firstColumn="0" w:lastColumn="0" w:oddVBand="0" w:evenVBand="0" w:oddHBand="0" w:evenHBand="1" w:firstRowFirstColumn="0" w:firstRowLastColumn="0" w:lastRowFirstColumn="0" w:lastRowLastColumn="0"/>
            </w:pPr>
            <w:r>
              <w:t>0.99</w:t>
            </w:r>
          </w:p>
        </w:tc>
        <w:tc>
          <w:tcPr>
            <w:tcW w:w="0" w:type="auto"/>
            <w:tcBorders>
              <w:top w:val="single" w:sz="4" w:space="0" w:color="auto"/>
            </w:tcBorders>
            <w:shd w:val="clear" w:color="auto" w:fill="EDF0F7"/>
            <w:hideMark/>
          </w:tcPr>
          <w:p w14:paraId="55A1B297" w14:textId="77777777" w:rsidR="00D6484E" w:rsidRDefault="00D6484E" w:rsidP="00B62115">
            <w:pPr>
              <w:pStyle w:val="TableCell"/>
              <w:cnfStyle w:val="000000010000" w:firstRow="0" w:lastRow="0" w:firstColumn="0" w:lastColumn="0" w:oddVBand="0" w:evenVBand="0" w:oddHBand="0" w:evenHBand="1" w:firstRowFirstColumn="0" w:firstRowLastColumn="0" w:lastRowFirstColumn="0" w:lastRowLastColumn="0"/>
            </w:pPr>
            <w:r>
              <w:t>1.00</w:t>
            </w:r>
          </w:p>
        </w:tc>
        <w:tc>
          <w:tcPr>
            <w:tcW w:w="0" w:type="auto"/>
            <w:tcBorders>
              <w:top w:val="single" w:sz="4" w:space="0" w:color="auto"/>
            </w:tcBorders>
            <w:shd w:val="clear" w:color="auto" w:fill="EDF0F7"/>
            <w:hideMark/>
          </w:tcPr>
          <w:p w14:paraId="374D33D5" w14:textId="77777777" w:rsidR="00D6484E" w:rsidRDefault="00D6484E" w:rsidP="00B62115">
            <w:pPr>
              <w:pStyle w:val="TableCell"/>
              <w:cnfStyle w:val="000000010000" w:firstRow="0" w:lastRow="0" w:firstColumn="0" w:lastColumn="0" w:oddVBand="0" w:evenVBand="0" w:oddHBand="0" w:evenHBand="1" w:firstRowFirstColumn="0" w:firstRowLastColumn="0" w:lastRowFirstColumn="0" w:lastRowLastColumn="0"/>
            </w:pPr>
            <w:r>
              <w:t>0.91</w:t>
            </w:r>
          </w:p>
        </w:tc>
        <w:tc>
          <w:tcPr>
            <w:tcW w:w="0" w:type="auto"/>
            <w:tcBorders>
              <w:top w:val="single" w:sz="4" w:space="0" w:color="auto"/>
            </w:tcBorders>
            <w:shd w:val="clear" w:color="auto" w:fill="EDF0F7"/>
            <w:hideMark/>
          </w:tcPr>
          <w:p w14:paraId="27CA3837" w14:textId="77777777" w:rsidR="00D6484E" w:rsidRDefault="00D6484E" w:rsidP="00B62115">
            <w:pPr>
              <w:pStyle w:val="TableCell"/>
              <w:cnfStyle w:val="000000010000" w:firstRow="0" w:lastRow="0" w:firstColumn="0" w:lastColumn="0" w:oddVBand="0" w:evenVBand="0" w:oddHBand="0" w:evenHBand="1" w:firstRowFirstColumn="0" w:firstRowLastColumn="0" w:lastRowFirstColumn="0" w:lastRowLastColumn="0"/>
            </w:pPr>
            <w:r>
              <w:t>0.84</w:t>
            </w:r>
          </w:p>
        </w:tc>
      </w:tr>
      <w:tr w:rsidR="00D6484E" w14:paraId="5ADC32A4" w14:textId="77777777" w:rsidTr="00B621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vMerge w:val="restart"/>
            <w:shd w:val="clear" w:color="auto" w:fill="auto"/>
          </w:tcPr>
          <w:p w14:paraId="60474C09" w14:textId="77777777" w:rsidR="00D6484E" w:rsidRDefault="00D6484E" w:rsidP="00B62115">
            <w:pPr>
              <w:pStyle w:val="TableRow"/>
            </w:pPr>
            <w:r>
              <w:t>Input Composition</w:t>
            </w:r>
          </w:p>
          <w:p w14:paraId="2A3CD28F" w14:textId="77777777" w:rsidR="00D6484E" w:rsidRDefault="00D6484E" w:rsidP="00B62115">
            <w:pPr>
              <w:pStyle w:val="TableRow"/>
            </w:pPr>
            <w:r>
              <w:t>of production</w:t>
            </w:r>
          </w:p>
        </w:tc>
        <w:tc>
          <w:tcPr>
            <w:tcW w:w="3526" w:type="dxa"/>
            <w:shd w:val="clear" w:color="auto" w:fill="auto"/>
          </w:tcPr>
          <w:p w14:paraId="7A6670E4" w14:textId="77777777" w:rsidR="00D6484E" w:rsidRPr="008E07D8" w:rsidRDefault="00D6484E" w:rsidP="00B62115">
            <w:pPr>
              <w:pStyle w:val="TableRow"/>
              <w:cnfStyle w:val="000000100000" w:firstRow="0" w:lastRow="0" w:firstColumn="0" w:lastColumn="0" w:oddVBand="0" w:evenVBand="0" w:oddHBand="1" w:evenHBand="0" w:firstRowFirstColumn="0" w:firstRowLastColumn="0" w:lastRowFirstColumn="0" w:lastRowLastColumn="0"/>
            </w:pPr>
            <w:r w:rsidRPr="004C7BE1">
              <w:t>Capital and resources</w:t>
            </w:r>
          </w:p>
        </w:tc>
        <w:tc>
          <w:tcPr>
            <w:tcW w:w="0" w:type="auto"/>
            <w:shd w:val="clear" w:color="auto" w:fill="auto"/>
            <w:hideMark/>
          </w:tcPr>
          <w:p w14:paraId="4705DCD4" w14:textId="77777777" w:rsidR="00D6484E" w:rsidRDefault="00D6484E" w:rsidP="00B62115">
            <w:pPr>
              <w:pStyle w:val="TableCell"/>
              <w:cnfStyle w:val="000000100000" w:firstRow="0" w:lastRow="0" w:firstColumn="0" w:lastColumn="0" w:oddVBand="0" w:evenVBand="0" w:oddHBand="1" w:evenHBand="0" w:firstRowFirstColumn="0" w:firstRowLastColumn="0" w:lastRowFirstColumn="0" w:lastRowLastColumn="0"/>
            </w:pPr>
            <w:r w:rsidRPr="008E07D8">
              <w:t>12%</w:t>
            </w:r>
          </w:p>
        </w:tc>
        <w:tc>
          <w:tcPr>
            <w:tcW w:w="0" w:type="auto"/>
            <w:shd w:val="clear" w:color="auto" w:fill="auto"/>
            <w:hideMark/>
          </w:tcPr>
          <w:p w14:paraId="46F5908D" w14:textId="77777777" w:rsidR="00D6484E" w:rsidRDefault="00D6484E" w:rsidP="00B62115">
            <w:pPr>
              <w:pStyle w:val="TableCell"/>
              <w:cnfStyle w:val="000000100000" w:firstRow="0" w:lastRow="0" w:firstColumn="0" w:lastColumn="0" w:oddVBand="0" w:evenVBand="0" w:oddHBand="1" w:evenHBand="0" w:firstRowFirstColumn="0" w:firstRowLastColumn="0" w:lastRowFirstColumn="0" w:lastRowLastColumn="0"/>
            </w:pPr>
            <w:r w:rsidRPr="008E07D8">
              <w:t>11%</w:t>
            </w:r>
          </w:p>
        </w:tc>
        <w:tc>
          <w:tcPr>
            <w:tcW w:w="0" w:type="auto"/>
            <w:shd w:val="clear" w:color="auto" w:fill="auto"/>
            <w:hideMark/>
          </w:tcPr>
          <w:p w14:paraId="55B73B67" w14:textId="77777777" w:rsidR="00D6484E" w:rsidRDefault="00D6484E" w:rsidP="00B62115">
            <w:pPr>
              <w:pStyle w:val="TableCell"/>
              <w:cnfStyle w:val="000000100000" w:firstRow="0" w:lastRow="0" w:firstColumn="0" w:lastColumn="0" w:oddVBand="0" w:evenVBand="0" w:oddHBand="1" w:evenHBand="0" w:firstRowFirstColumn="0" w:firstRowLastColumn="0" w:lastRowFirstColumn="0" w:lastRowLastColumn="0"/>
            </w:pPr>
            <w:r w:rsidRPr="008E07D8">
              <w:t>12%</w:t>
            </w:r>
          </w:p>
        </w:tc>
        <w:tc>
          <w:tcPr>
            <w:tcW w:w="0" w:type="auto"/>
            <w:shd w:val="clear" w:color="auto" w:fill="auto"/>
            <w:hideMark/>
          </w:tcPr>
          <w:p w14:paraId="716EB183" w14:textId="77777777" w:rsidR="00D6484E" w:rsidRDefault="00D6484E" w:rsidP="00B62115">
            <w:pPr>
              <w:pStyle w:val="TableCell"/>
              <w:cnfStyle w:val="000000100000" w:firstRow="0" w:lastRow="0" w:firstColumn="0" w:lastColumn="0" w:oddVBand="0" w:evenVBand="0" w:oddHBand="1" w:evenHBand="0" w:firstRowFirstColumn="0" w:firstRowLastColumn="0" w:lastRowFirstColumn="0" w:lastRowLastColumn="0"/>
            </w:pPr>
            <w:r w:rsidRPr="00DA4EF0">
              <w:t>12%</w:t>
            </w:r>
          </w:p>
        </w:tc>
        <w:tc>
          <w:tcPr>
            <w:tcW w:w="0" w:type="auto"/>
            <w:shd w:val="clear" w:color="auto" w:fill="auto"/>
            <w:hideMark/>
          </w:tcPr>
          <w:p w14:paraId="3E9CD94A" w14:textId="77777777" w:rsidR="00D6484E" w:rsidRDefault="00D6484E" w:rsidP="00B62115">
            <w:pPr>
              <w:pStyle w:val="TableCell"/>
              <w:cnfStyle w:val="000000100000" w:firstRow="0" w:lastRow="0" w:firstColumn="0" w:lastColumn="0" w:oddVBand="0" w:evenVBand="0" w:oddHBand="1" w:evenHBand="0" w:firstRowFirstColumn="0" w:firstRowLastColumn="0" w:lastRowFirstColumn="0" w:lastRowLastColumn="0"/>
            </w:pPr>
            <w:r w:rsidRPr="00DA4EF0">
              <w:t>9%</w:t>
            </w:r>
          </w:p>
        </w:tc>
        <w:tc>
          <w:tcPr>
            <w:tcW w:w="0" w:type="auto"/>
            <w:shd w:val="clear" w:color="auto" w:fill="auto"/>
            <w:hideMark/>
          </w:tcPr>
          <w:p w14:paraId="2248B889" w14:textId="77777777" w:rsidR="00D6484E" w:rsidRDefault="00D6484E" w:rsidP="00B62115">
            <w:pPr>
              <w:pStyle w:val="TableCell"/>
              <w:cnfStyle w:val="000000100000" w:firstRow="0" w:lastRow="0" w:firstColumn="0" w:lastColumn="0" w:oddVBand="0" w:evenVBand="0" w:oddHBand="1" w:evenHBand="0" w:firstRowFirstColumn="0" w:firstRowLastColumn="0" w:lastRowFirstColumn="0" w:lastRowLastColumn="0"/>
            </w:pPr>
            <w:r>
              <w:t>10</w:t>
            </w:r>
            <w:r w:rsidRPr="00DA4EF0">
              <w:t>%</w:t>
            </w:r>
          </w:p>
        </w:tc>
      </w:tr>
      <w:tr w:rsidR="00D6484E" w14:paraId="31B5D91A" w14:textId="77777777" w:rsidTr="00B6211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vMerge/>
            <w:shd w:val="clear" w:color="auto" w:fill="auto"/>
          </w:tcPr>
          <w:p w14:paraId="4C8F935F" w14:textId="77777777" w:rsidR="00D6484E" w:rsidRDefault="00D6484E" w:rsidP="00B62115">
            <w:pPr>
              <w:pStyle w:val="TableRow"/>
            </w:pPr>
          </w:p>
        </w:tc>
        <w:tc>
          <w:tcPr>
            <w:tcW w:w="3526" w:type="dxa"/>
            <w:shd w:val="clear" w:color="auto" w:fill="EDF0F7"/>
          </w:tcPr>
          <w:p w14:paraId="3B157C87" w14:textId="77777777" w:rsidR="00D6484E" w:rsidRPr="008E07D8" w:rsidRDefault="00D6484E" w:rsidP="00B62115">
            <w:pPr>
              <w:pStyle w:val="TableRow"/>
              <w:cnfStyle w:val="000000010000" w:firstRow="0" w:lastRow="0" w:firstColumn="0" w:lastColumn="0" w:oddVBand="0" w:evenVBand="0" w:oddHBand="0" w:evenHBand="1" w:firstRowFirstColumn="0" w:firstRowLastColumn="0" w:lastRowFirstColumn="0" w:lastRowLastColumn="0"/>
            </w:pPr>
            <w:r w:rsidRPr="004C7BE1">
              <w:t>Labour</w:t>
            </w:r>
          </w:p>
        </w:tc>
        <w:tc>
          <w:tcPr>
            <w:tcW w:w="0" w:type="auto"/>
            <w:shd w:val="clear" w:color="auto" w:fill="EDF0F7"/>
            <w:hideMark/>
          </w:tcPr>
          <w:p w14:paraId="425718CA" w14:textId="77777777" w:rsidR="00D6484E" w:rsidRDefault="00D6484E" w:rsidP="00B62115">
            <w:pPr>
              <w:pStyle w:val="TableCell"/>
              <w:cnfStyle w:val="000000010000" w:firstRow="0" w:lastRow="0" w:firstColumn="0" w:lastColumn="0" w:oddVBand="0" w:evenVBand="0" w:oddHBand="0" w:evenHBand="1" w:firstRowFirstColumn="0" w:firstRowLastColumn="0" w:lastRowFirstColumn="0" w:lastRowLastColumn="0"/>
            </w:pPr>
            <w:r w:rsidRPr="008E07D8">
              <w:t>18%</w:t>
            </w:r>
          </w:p>
        </w:tc>
        <w:tc>
          <w:tcPr>
            <w:tcW w:w="0" w:type="auto"/>
            <w:shd w:val="clear" w:color="auto" w:fill="EDF0F7"/>
            <w:hideMark/>
          </w:tcPr>
          <w:p w14:paraId="225EDDBE" w14:textId="77777777" w:rsidR="00D6484E" w:rsidRDefault="00D6484E" w:rsidP="00B62115">
            <w:pPr>
              <w:pStyle w:val="TableCell"/>
              <w:cnfStyle w:val="000000010000" w:firstRow="0" w:lastRow="0" w:firstColumn="0" w:lastColumn="0" w:oddVBand="0" w:evenVBand="0" w:oddHBand="0" w:evenHBand="1" w:firstRowFirstColumn="0" w:firstRowLastColumn="0" w:lastRowFirstColumn="0" w:lastRowLastColumn="0"/>
            </w:pPr>
            <w:r w:rsidRPr="008E07D8">
              <w:t>19%</w:t>
            </w:r>
          </w:p>
        </w:tc>
        <w:tc>
          <w:tcPr>
            <w:tcW w:w="0" w:type="auto"/>
            <w:shd w:val="clear" w:color="auto" w:fill="EDF0F7"/>
            <w:hideMark/>
          </w:tcPr>
          <w:p w14:paraId="2C6D8C21" w14:textId="77777777" w:rsidR="00D6484E" w:rsidRDefault="00D6484E" w:rsidP="00B62115">
            <w:pPr>
              <w:pStyle w:val="TableCell"/>
              <w:cnfStyle w:val="000000010000" w:firstRow="0" w:lastRow="0" w:firstColumn="0" w:lastColumn="0" w:oddVBand="0" w:evenVBand="0" w:oddHBand="0" w:evenHBand="1" w:firstRowFirstColumn="0" w:firstRowLastColumn="0" w:lastRowFirstColumn="0" w:lastRowLastColumn="0"/>
            </w:pPr>
            <w:r w:rsidRPr="008E07D8">
              <w:t>1</w:t>
            </w:r>
            <w:r>
              <w:t>7</w:t>
            </w:r>
            <w:r w:rsidRPr="008E07D8">
              <w:t>%</w:t>
            </w:r>
          </w:p>
        </w:tc>
        <w:tc>
          <w:tcPr>
            <w:tcW w:w="0" w:type="auto"/>
            <w:shd w:val="clear" w:color="auto" w:fill="EDF0F7"/>
            <w:hideMark/>
          </w:tcPr>
          <w:p w14:paraId="01A59A1F" w14:textId="77777777" w:rsidR="00D6484E" w:rsidRDefault="00D6484E" w:rsidP="00B62115">
            <w:pPr>
              <w:pStyle w:val="TableCell"/>
              <w:cnfStyle w:val="000000010000" w:firstRow="0" w:lastRow="0" w:firstColumn="0" w:lastColumn="0" w:oddVBand="0" w:evenVBand="0" w:oddHBand="0" w:evenHBand="1" w:firstRowFirstColumn="0" w:firstRowLastColumn="0" w:lastRowFirstColumn="0" w:lastRowLastColumn="0"/>
            </w:pPr>
            <w:r w:rsidRPr="00DA4EF0">
              <w:t>11%</w:t>
            </w:r>
          </w:p>
        </w:tc>
        <w:tc>
          <w:tcPr>
            <w:tcW w:w="0" w:type="auto"/>
            <w:shd w:val="clear" w:color="auto" w:fill="EDF0F7"/>
            <w:hideMark/>
          </w:tcPr>
          <w:p w14:paraId="4916395B" w14:textId="77777777" w:rsidR="00D6484E" w:rsidRDefault="00D6484E" w:rsidP="00B62115">
            <w:pPr>
              <w:pStyle w:val="TableCell"/>
              <w:cnfStyle w:val="000000010000" w:firstRow="0" w:lastRow="0" w:firstColumn="0" w:lastColumn="0" w:oddVBand="0" w:evenVBand="0" w:oddHBand="0" w:evenHBand="1" w:firstRowFirstColumn="0" w:firstRowLastColumn="0" w:lastRowFirstColumn="0" w:lastRowLastColumn="0"/>
            </w:pPr>
            <w:r w:rsidRPr="00DA4EF0">
              <w:t>1</w:t>
            </w:r>
            <w:r>
              <w:t>4</w:t>
            </w:r>
            <w:r w:rsidRPr="00DA4EF0">
              <w:t>%</w:t>
            </w:r>
          </w:p>
        </w:tc>
        <w:tc>
          <w:tcPr>
            <w:tcW w:w="0" w:type="auto"/>
            <w:shd w:val="clear" w:color="auto" w:fill="EDF0F7"/>
            <w:hideMark/>
          </w:tcPr>
          <w:p w14:paraId="74A32455" w14:textId="77777777" w:rsidR="00D6484E" w:rsidRDefault="00D6484E" w:rsidP="00B62115">
            <w:pPr>
              <w:pStyle w:val="TableCell"/>
              <w:cnfStyle w:val="000000010000" w:firstRow="0" w:lastRow="0" w:firstColumn="0" w:lastColumn="0" w:oddVBand="0" w:evenVBand="0" w:oddHBand="0" w:evenHBand="1" w:firstRowFirstColumn="0" w:firstRowLastColumn="0" w:lastRowFirstColumn="0" w:lastRowLastColumn="0"/>
            </w:pPr>
            <w:r w:rsidRPr="00DA4EF0">
              <w:t>1</w:t>
            </w:r>
            <w:r>
              <w:t>4</w:t>
            </w:r>
            <w:r w:rsidRPr="00DA4EF0">
              <w:t>%</w:t>
            </w:r>
          </w:p>
        </w:tc>
      </w:tr>
      <w:tr w:rsidR="00D6484E" w14:paraId="0E492666" w14:textId="77777777" w:rsidTr="00B621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vMerge/>
            <w:shd w:val="clear" w:color="auto" w:fill="auto"/>
          </w:tcPr>
          <w:p w14:paraId="2856769D" w14:textId="77777777" w:rsidR="00D6484E" w:rsidRDefault="00D6484E" w:rsidP="00B62115">
            <w:pPr>
              <w:pStyle w:val="TableRow"/>
            </w:pPr>
          </w:p>
        </w:tc>
        <w:tc>
          <w:tcPr>
            <w:tcW w:w="3526" w:type="dxa"/>
            <w:shd w:val="clear" w:color="auto" w:fill="auto"/>
          </w:tcPr>
          <w:p w14:paraId="18113968" w14:textId="77777777" w:rsidR="00D6484E" w:rsidRPr="008E07D8" w:rsidRDefault="00D6484E" w:rsidP="00B62115">
            <w:pPr>
              <w:pStyle w:val="TableRow"/>
              <w:cnfStyle w:val="000000100000" w:firstRow="0" w:lastRow="0" w:firstColumn="0" w:lastColumn="0" w:oddVBand="0" w:evenVBand="0" w:oddHBand="1" w:evenHBand="0" w:firstRowFirstColumn="0" w:firstRowLastColumn="0" w:lastRowFirstColumn="0" w:lastRowLastColumn="0"/>
            </w:pPr>
            <w:r>
              <w:t>Agricultural inputs</w:t>
            </w:r>
          </w:p>
        </w:tc>
        <w:tc>
          <w:tcPr>
            <w:tcW w:w="0" w:type="auto"/>
            <w:shd w:val="clear" w:color="auto" w:fill="auto"/>
            <w:hideMark/>
          </w:tcPr>
          <w:p w14:paraId="67D4127C" w14:textId="77777777" w:rsidR="00D6484E" w:rsidRDefault="00D6484E" w:rsidP="00B62115">
            <w:pPr>
              <w:pStyle w:val="TableCell"/>
              <w:cnfStyle w:val="000000100000" w:firstRow="0" w:lastRow="0" w:firstColumn="0" w:lastColumn="0" w:oddVBand="0" w:evenVBand="0" w:oddHBand="1" w:evenHBand="0" w:firstRowFirstColumn="0" w:firstRowLastColumn="0" w:lastRowFirstColumn="0" w:lastRowLastColumn="0"/>
            </w:pPr>
            <w:r w:rsidRPr="008E07D8">
              <w:t>3%</w:t>
            </w:r>
          </w:p>
        </w:tc>
        <w:tc>
          <w:tcPr>
            <w:tcW w:w="0" w:type="auto"/>
            <w:shd w:val="clear" w:color="auto" w:fill="auto"/>
            <w:hideMark/>
          </w:tcPr>
          <w:p w14:paraId="4DD618BB" w14:textId="77777777" w:rsidR="00D6484E" w:rsidRDefault="00D6484E" w:rsidP="00B62115">
            <w:pPr>
              <w:pStyle w:val="TableCell"/>
              <w:cnfStyle w:val="000000100000" w:firstRow="0" w:lastRow="0" w:firstColumn="0" w:lastColumn="0" w:oddVBand="0" w:evenVBand="0" w:oddHBand="1" w:evenHBand="0" w:firstRowFirstColumn="0" w:firstRowLastColumn="0" w:lastRowFirstColumn="0" w:lastRowLastColumn="0"/>
            </w:pPr>
            <w:r w:rsidRPr="008E07D8">
              <w:t>4%</w:t>
            </w:r>
          </w:p>
        </w:tc>
        <w:tc>
          <w:tcPr>
            <w:tcW w:w="0" w:type="auto"/>
            <w:shd w:val="clear" w:color="auto" w:fill="auto"/>
            <w:hideMark/>
          </w:tcPr>
          <w:p w14:paraId="297F972D" w14:textId="77777777" w:rsidR="00D6484E" w:rsidRDefault="00D6484E" w:rsidP="00B62115">
            <w:pPr>
              <w:pStyle w:val="TableCell"/>
              <w:cnfStyle w:val="000000100000" w:firstRow="0" w:lastRow="0" w:firstColumn="0" w:lastColumn="0" w:oddVBand="0" w:evenVBand="0" w:oddHBand="1" w:evenHBand="0" w:firstRowFirstColumn="0" w:firstRowLastColumn="0" w:lastRowFirstColumn="0" w:lastRowLastColumn="0"/>
            </w:pPr>
            <w:r>
              <w:t>3</w:t>
            </w:r>
            <w:r w:rsidRPr="008E07D8">
              <w:t>%</w:t>
            </w:r>
          </w:p>
        </w:tc>
        <w:tc>
          <w:tcPr>
            <w:tcW w:w="0" w:type="auto"/>
            <w:shd w:val="clear" w:color="auto" w:fill="auto"/>
            <w:hideMark/>
          </w:tcPr>
          <w:p w14:paraId="1ED759A3" w14:textId="77777777" w:rsidR="00D6484E" w:rsidRDefault="00D6484E" w:rsidP="00B62115">
            <w:pPr>
              <w:pStyle w:val="TableCell"/>
              <w:cnfStyle w:val="000000100000" w:firstRow="0" w:lastRow="0" w:firstColumn="0" w:lastColumn="0" w:oddVBand="0" w:evenVBand="0" w:oddHBand="1" w:evenHBand="0" w:firstRowFirstColumn="0" w:firstRowLastColumn="0" w:lastRowFirstColumn="0" w:lastRowLastColumn="0"/>
            </w:pPr>
            <w:r w:rsidRPr="00DA4EF0">
              <w:t>7%</w:t>
            </w:r>
          </w:p>
        </w:tc>
        <w:tc>
          <w:tcPr>
            <w:tcW w:w="0" w:type="auto"/>
            <w:shd w:val="clear" w:color="auto" w:fill="auto"/>
            <w:hideMark/>
          </w:tcPr>
          <w:p w14:paraId="46969636" w14:textId="77777777" w:rsidR="00D6484E" w:rsidRDefault="00D6484E" w:rsidP="00B62115">
            <w:pPr>
              <w:pStyle w:val="TableCell"/>
              <w:cnfStyle w:val="000000100000" w:firstRow="0" w:lastRow="0" w:firstColumn="0" w:lastColumn="0" w:oddVBand="0" w:evenVBand="0" w:oddHBand="1" w:evenHBand="0" w:firstRowFirstColumn="0" w:firstRowLastColumn="0" w:lastRowFirstColumn="0" w:lastRowLastColumn="0"/>
            </w:pPr>
            <w:r>
              <w:t>7</w:t>
            </w:r>
            <w:r w:rsidRPr="00DA4EF0">
              <w:t>%</w:t>
            </w:r>
          </w:p>
        </w:tc>
        <w:tc>
          <w:tcPr>
            <w:tcW w:w="0" w:type="auto"/>
            <w:shd w:val="clear" w:color="auto" w:fill="auto"/>
            <w:hideMark/>
          </w:tcPr>
          <w:p w14:paraId="1A0D60D9" w14:textId="77777777" w:rsidR="00D6484E" w:rsidRDefault="00D6484E" w:rsidP="00B62115">
            <w:pPr>
              <w:pStyle w:val="TableCell"/>
              <w:cnfStyle w:val="000000100000" w:firstRow="0" w:lastRow="0" w:firstColumn="0" w:lastColumn="0" w:oddVBand="0" w:evenVBand="0" w:oddHBand="1" w:evenHBand="0" w:firstRowFirstColumn="0" w:firstRowLastColumn="0" w:lastRowFirstColumn="0" w:lastRowLastColumn="0"/>
            </w:pPr>
            <w:r w:rsidRPr="00DA4EF0">
              <w:t>8%</w:t>
            </w:r>
          </w:p>
        </w:tc>
      </w:tr>
      <w:tr w:rsidR="00D6484E" w14:paraId="414D44A1" w14:textId="77777777" w:rsidTr="00B6211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vMerge/>
            <w:shd w:val="clear" w:color="auto" w:fill="auto"/>
          </w:tcPr>
          <w:p w14:paraId="2752C80F" w14:textId="77777777" w:rsidR="00D6484E" w:rsidRDefault="00D6484E" w:rsidP="00B62115">
            <w:pPr>
              <w:pStyle w:val="TableRow"/>
            </w:pPr>
          </w:p>
        </w:tc>
        <w:tc>
          <w:tcPr>
            <w:tcW w:w="3526" w:type="dxa"/>
            <w:shd w:val="clear" w:color="auto" w:fill="EDF0F7"/>
          </w:tcPr>
          <w:p w14:paraId="2DD1B959" w14:textId="77777777" w:rsidR="00D6484E" w:rsidRPr="008E07D8" w:rsidRDefault="00D6484E" w:rsidP="00B62115">
            <w:pPr>
              <w:pStyle w:val="TableRow"/>
              <w:cnfStyle w:val="000000010000" w:firstRow="0" w:lastRow="0" w:firstColumn="0" w:lastColumn="0" w:oddVBand="0" w:evenVBand="0" w:oddHBand="0" w:evenHBand="1" w:firstRowFirstColumn="0" w:firstRowLastColumn="0" w:lastRowFirstColumn="0" w:lastRowLastColumn="0"/>
            </w:pPr>
            <w:r>
              <w:t>Industrial inputs</w:t>
            </w:r>
          </w:p>
        </w:tc>
        <w:tc>
          <w:tcPr>
            <w:tcW w:w="0" w:type="auto"/>
            <w:shd w:val="clear" w:color="auto" w:fill="EDF0F7"/>
            <w:hideMark/>
          </w:tcPr>
          <w:p w14:paraId="61C05343" w14:textId="77777777" w:rsidR="00D6484E" w:rsidRDefault="00D6484E" w:rsidP="00B62115">
            <w:pPr>
              <w:pStyle w:val="TableCell"/>
              <w:cnfStyle w:val="000000010000" w:firstRow="0" w:lastRow="0" w:firstColumn="0" w:lastColumn="0" w:oddVBand="0" w:evenVBand="0" w:oddHBand="0" w:evenHBand="1" w:firstRowFirstColumn="0" w:firstRowLastColumn="0" w:lastRowFirstColumn="0" w:lastRowLastColumn="0"/>
            </w:pPr>
            <w:r w:rsidRPr="008E07D8">
              <w:t>48%</w:t>
            </w:r>
          </w:p>
        </w:tc>
        <w:tc>
          <w:tcPr>
            <w:tcW w:w="0" w:type="auto"/>
            <w:shd w:val="clear" w:color="auto" w:fill="EDF0F7"/>
            <w:hideMark/>
          </w:tcPr>
          <w:p w14:paraId="2A471991" w14:textId="77777777" w:rsidR="00D6484E" w:rsidRDefault="00D6484E" w:rsidP="00B62115">
            <w:pPr>
              <w:pStyle w:val="TableCell"/>
              <w:cnfStyle w:val="000000010000" w:firstRow="0" w:lastRow="0" w:firstColumn="0" w:lastColumn="0" w:oddVBand="0" w:evenVBand="0" w:oddHBand="0" w:evenHBand="1" w:firstRowFirstColumn="0" w:firstRowLastColumn="0" w:lastRowFirstColumn="0" w:lastRowLastColumn="0"/>
            </w:pPr>
            <w:r w:rsidRPr="008E07D8">
              <w:t>4</w:t>
            </w:r>
            <w:r>
              <w:t>6</w:t>
            </w:r>
            <w:r w:rsidRPr="008E07D8">
              <w:t>%</w:t>
            </w:r>
          </w:p>
        </w:tc>
        <w:tc>
          <w:tcPr>
            <w:tcW w:w="0" w:type="auto"/>
            <w:shd w:val="clear" w:color="auto" w:fill="EDF0F7"/>
            <w:hideMark/>
          </w:tcPr>
          <w:p w14:paraId="04AC9C8E" w14:textId="77777777" w:rsidR="00D6484E" w:rsidRDefault="00D6484E" w:rsidP="00B62115">
            <w:pPr>
              <w:pStyle w:val="TableCell"/>
              <w:cnfStyle w:val="000000010000" w:firstRow="0" w:lastRow="0" w:firstColumn="0" w:lastColumn="0" w:oddVBand="0" w:evenVBand="0" w:oddHBand="0" w:evenHBand="1" w:firstRowFirstColumn="0" w:firstRowLastColumn="0" w:lastRowFirstColumn="0" w:lastRowLastColumn="0"/>
            </w:pPr>
            <w:r>
              <w:t>40</w:t>
            </w:r>
            <w:r w:rsidRPr="008E07D8">
              <w:t>%</w:t>
            </w:r>
          </w:p>
        </w:tc>
        <w:tc>
          <w:tcPr>
            <w:tcW w:w="0" w:type="auto"/>
            <w:shd w:val="clear" w:color="auto" w:fill="EDF0F7"/>
            <w:hideMark/>
          </w:tcPr>
          <w:p w14:paraId="6CFEB4FF" w14:textId="77777777" w:rsidR="00D6484E" w:rsidRDefault="00D6484E" w:rsidP="00B62115">
            <w:pPr>
              <w:pStyle w:val="TableCell"/>
              <w:cnfStyle w:val="000000010000" w:firstRow="0" w:lastRow="0" w:firstColumn="0" w:lastColumn="0" w:oddVBand="0" w:evenVBand="0" w:oddHBand="0" w:evenHBand="1" w:firstRowFirstColumn="0" w:firstRowLastColumn="0" w:lastRowFirstColumn="0" w:lastRowLastColumn="0"/>
            </w:pPr>
            <w:r w:rsidRPr="00DA4EF0">
              <w:t>56%</w:t>
            </w:r>
          </w:p>
        </w:tc>
        <w:tc>
          <w:tcPr>
            <w:tcW w:w="0" w:type="auto"/>
            <w:shd w:val="clear" w:color="auto" w:fill="EDF0F7"/>
            <w:hideMark/>
          </w:tcPr>
          <w:p w14:paraId="02728A6F" w14:textId="77777777" w:rsidR="00D6484E" w:rsidRDefault="00D6484E" w:rsidP="00B62115">
            <w:pPr>
              <w:pStyle w:val="TableCell"/>
              <w:cnfStyle w:val="000000010000" w:firstRow="0" w:lastRow="0" w:firstColumn="0" w:lastColumn="0" w:oddVBand="0" w:evenVBand="0" w:oddHBand="0" w:evenHBand="1" w:firstRowFirstColumn="0" w:firstRowLastColumn="0" w:lastRowFirstColumn="0" w:lastRowLastColumn="0"/>
            </w:pPr>
            <w:r w:rsidRPr="00DA4EF0">
              <w:t>54%</w:t>
            </w:r>
          </w:p>
        </w:tc>
        <w:tc>
          <w:tcPr>
            <w:tcW w:w="0" w:type="auto"/>
            <w:shd w:val="clear" w:color="auto" w:fill="EDF0F7"/>
            <w:hideMark/>
          </w:tcPr>
          <w:p w14:paraId="7F357819" w14:textId="77777777" w:rsidR="00D6484E" w:rsidRDefault="00D6484E" w:rsidP="00B62115">
            <w:pPr>
              <w:pStyle w:val="TableCell"/>
              <w:cnfStyle w:val="000000010000" w:firstRow="0" w:lastRow="0" w:firstColumn="0" w:lastColumn="0" w:oddVBand="0" w:evenVBand="0" w:oddHBand="0" w:evenHBand="1" w:firstRowFirstColumn="0" w:firstRowLastColumn="0" w:lastRowFirstColumn="0" w:lastRowLastColumn="0"/>
            </w:pPr>
            <w:r w:rsidRPr="00DA4EF0">
              <w:t>4</w:t>
            </w:r>
            <w:r>
              <w:t>9</w:t>
            </w:r>
            <w:r w:rsidRPr="00DA4EF0">
              <w:t>%</w:t>
            </w:r>
          </w:p>
        </w:tc>
      </w:tr>
      <w:tr w:rsidR="00D6484E" w14:paraId="567528F4" w14:textId="77777777" w:rsidTr="00B621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vMerge/>
            <w:shd w:val="clear" w:color="auto" w:fill="auto"/>
          </w:tcPr>
          <w:p w14:paraId="4C4EB479" w14:textId="77777777" w:rsidR="00D6484E" w:rsidRDefault="00D6484E" w:rsidP="00B62115">
            <w:pPr>
              <w:pStyle w:val="TableRow"/>
            </w:pPr>
          </w:p>
        </w:tc>
        <w:tc>
          <w:tcPr>
            <w:tcW w:w="3526" w:type="dxa"/>
            <w:shd w:val="clear" w:color="auto" w:fill="auto"/>
          </w:tcPr>
          <w:p w14:paraId="026E5396" w14:textId="77777777" w:rsidR="00D6484E" w:rsidRPr="008E07D8" w:rsidRDefault="00D6484E" w:rsidP="00B62115">
            <w:pPr>
              <w:pStyle w:val="TableRow"/>
              <w:cnfStyle w:val="000000100000" w:firstRow="0" w:lastRow="0" w:firstColumn="0" w:lastColumn="0" w:oddVBand="0" w:evenVBand="0" w:oddHBand="1" w:evenHBand="0" w:firstRowFirstColumn="0" w:firstRowLastColumn="0" w:lastRowFirstColumn="0" w:lastRowLastColumn="0"/>
            </w:pPr>
            <w:r>
              <w:t>Services inputs</w:t>
            </w:r>
          </w:p>
        </w:tc>
        <w:tc>
          <w:tcPr>
            <w:tcW w:w="0" w:type="auto"/>
            <w:shd w:val="clear" w:color="auto" w:fill="auto"/>
            <w:hideMark/>
          </w:tcPr>
          <w:p w14:paraId="5D895BDC" w14:textId="77777777" w:rsidR="00D6484E" w:rsidRDefault="00D6484E" w:rsidP="00B62115">
            <w:pPr>
              <w:pStyle w:val="TableCell"/>
              <w:cnfStyle w:val="000000100000" w:firstRow="0" w:lastRow="0" w:firstColumn="0" w:lastColumn="0" w:oddVBand="0" w:evenVBand="0" w:oddHBand="1" w:evenHBand="0" w:firstRowFirstColumn="0" w:firstRowLastColumn="0" w:lastRowFirstColumn="0" w:lastRowLastColumn="0"/>
            </w:pPr>
            <w:r w:rsidRPr="008E07D8">
              <w:t>19%</w:t>
            </w:r>
          </w:p>
        </w:tc>
        <w:tc>
          <w:tcPr>
            <w:tcW w:w="0" w:type="auto"/>
            <w:shd w:val="clear" w:color="auto" w:fill="auto"/>
            <w:hideMark/>
          </w:tcPr>
          <w:p w14:paraId="7995F3DE" w14:textId="77777777" w:rsidR="00D6484E" w:rsidRDefault="00D6484E" w:rsidP="00B62115">
            <w:pPr>
              <w:pStyle w:val="TableCell"/>
              <w:cnfStyle w:val="000000100000" w:firstRow="0" w:lastRow="0" w:firstColumn="0" w:lastColumn="0" w:oddVBand="0" w:evenVBand="0" w:oddHBand="1" w:evenHBand="0" w:firstRowFirstColumn="0" w:firstRowLastColumn="0" w:lastRowFirstColumn="0" w:lastRowLastColumn="0"/>
            </w:pPr>
            <w:r w:rsidRPr="008E07D8">
              <w:t>21%</w:t>
            </w:r>
          </w:p>
        </w:tc>
        <w:tc>
          <w:tcPr>
            <w:tcW w:w="0" w:type="auto"/>
            <w:shd w:val="clear" w:color="auto" w:fill="auto"/>
            <w:hideMark/>
          </w:tcPr>
          <w:p w14:paraId="08B9808A" w14:textId="77777777" w:rsidR="00D6484E" w:rsidRDefault="00D6484E" w:rsidP="00B62115">
            <w:pPr>
              <w:pStyle w:val="TableCell"/>
              <w:cnfStyle w:val="000000100000" w:firstRow="0" w:lastRow="0" w:firstColumn="0" w:lastColumn="0" w:oddVBand="0" w:evenVBand="0" w:oddHBand="1" w:evenHBand="0" w:firstRowFirstColumn="0" w:firstRowLastColumn="0" w:lastRowFirstColumn="0" w:lastRowLastColumn="0"/>
            </w:pPr>
            <w:r w:rsidRPr="008E07D8">
              <w:t>27%</w:t>
            </w:r>
          </w:p>
        </w:tc>
        <w:tc>
          <w:tcPr>
            <w:tcW w:w="0" w:type="auto"/>
            <w:shd w:val="clear" w:color="auto" w:fill="auto"/>
            <w:hideMark/>
          </w:tcPr>
          <w:p w14:paraId="4F84EF65" w14:textId="77777777" w:rsidR="00D6484E" w:rsidRDefault="00D6484E" w:rsidP="00B62115">
            <w:pPr>
              <w:pStyle w:val="TableCell"/>
              <w:cnfStyle w:val="000000100000" w:firstRow="0" w:lastRow="0" w:firstColumn="0" w:lastColumn="0" w:oddVBand="0" w:evenVBand="0" w:oddHBand="1" w:evenHBand="0" w:firstRowFirstColumn="0" w:firstRowLastColumn="0" w:lastRowFirstColumn="0" w:lastRowLastColumn="0"/>
            </w:pPr>
            <w:r w:rsidRPr="00DA4EF0">
              <w:t>14%</w:t>
            </w:r>
          </w:p>
        </w:tc>
        <w:tc>
          <w:tcPr>
            <w:tcW w:w="0" w:type="auto"/>
            <w:shd w:val="clear" w:color="auto" w:fill="auto"/>
            <w:hideMark/>
          </w:tcPr>
          <w:p w14:paraId="39E0D78C" w14:textId="77777777" w:rsidR="00D6484E" w:rsidRDefault="00D6484E" w:rsidP="00B62115">
            <w:pPr>
              <w:pStyle w:val="TableCell"/>
              <w:cnfStyle w:val="000000100000" w:firstRow="0" w:lastRow="0" w:firstColumn="0" w:lastColumn="0" w:oddVBand="0" w:evenVBand="0" w:oddHBand="1" w:evenHBand="0" w:firstRowFirstColumn="0" w:firstRowLastColumn="0" w:lastRowFirstColumn="0" w:lastRowLastColumn="0"/>
            </w:pPr>
            <w:r w:rsidRPr="00DA4EF0">
              <w:t>15%</w:t>
            </w:r>
          </w:p>
        </w:tc>
        <w:tc>
          <w:tcPr>
            <w:tcW w:w="0" w:type="auto"/>
            <w:shd w:val="clear" w:color="auto" w:fill="auto"/>
            <w:hideMark/>
          </w:tcPr>
          <w:p w14:paraId="01B9F83F" w14:textId="77777777" w:rsidR="00D6484E" w:rsidRDefault="00D6484E" w:rsidP="00B62115">
            <w:pPr>
              <w:pStyle w:val="TableCell"/>
              <w:cnfStyle w:val="000000100000" w:firstRow="0" w:lastRow="0" w:firstColumn="0" w:lastColumn="0" w:oddVBand="0" w:evenVBand="0" w:oddHBand="1" w:evenHBand="0" w:firstRowFirstColumn="0" w:firstRowLastColumn="0" w:lastRowFirstColumn="0" w:lastRowLastColumn="0"/>
            </w:pPr>
            <w:r w:rsidRPr="00DA4EF0">
              <w:t>21%</w:t>
            </w:r>
          </w:p>
        </w:tc>
      </w:tr>
    </w:tbl>
    <w:p w14:paraId="67B10EF4" w14:textId="77777777" w:rsidR="00D6484E" w:rsidRPr="00961F86" w:rsidRDefault="00D6484E" w:rsidP="00D6484E">
      <w:pPr>
        <w:pStyle w:val="Sourcenotes"/>
        <w:spacing w:before="240"/>
      </w:pPr>
      <w:r w:rsidRPr="0000349C">
        <w:rPr>
          <w:i/>
        </w:rPr>
        <w:t>Source</w:t>
      </w:r>
      <w:r w:rsidRPr="00961F86">
        <w:t xml:space="preserve">: </w:t>
      </w:r>
      <w:r>
        <w:t>OECD ENV-Linkages model.</w:t>
      </w:r>
      <w:r w:rsidRPr="00961F86">
        <w:t xml:space="preserve"> </w:t>
      </w:r>
    </w:p>
    <w:p w14:paraId="0E979038" w14:textId="47FA53C9" w:rsidR="00D6484E" w:rsidRDefault="00D6484E" w:rsidP="00D6484E">
      <w:pPr>
        <w:pStyle w:val="Para0"/>
      </w:pPr>
      <w:r>
        <w:t xml:space="preserve">As new technologies emerge, are adopted and become cheaper, they will be more widely used for the production of goods. An example is electricity generation as electricity can be produced with different technologies. Over time renewable technologies are projected to become cheaper and easier to access so that they will be more widely used to produce electricity. In the central baseline scenario, which projects a gradual shift towards renewables, the percentage of electricity produced with renewable technologies is projected to increase at the global level from 24% in 2016 to 31% in 2040, while fossil fuel electricity is projected to decline from 65% in 2016 to 61% in 2040 </w:t>
      </w:r>
      <w:sdt>
        <w:sdtPr>
          <w:id w:val="1415277668"/>
          <w:citation/>
        </w:sdtPr>
        <w:sdtEndPr/>
        <w:sdtContent>
          <w:r>
            <w:fldChar w:fldCharType="begin"/>
          </w:r>
          <w:r>
            <w:instrText xml:space="preserve"> CITATION Mendeley_VcTi2COTCz2j8ZQa3A7Spw \l 2057 </w:instrText>
          </w:r>
          <w:r>
            <w:fldChar w:fldCharType="separate"/>
          </w:r>
          <w:r w:rsidR="0020320D" w:rsidRPr="0020320D">
            <w:rPr>
              <w:noProof/>
            </w:rPr>
            <w:t>(IEA, 2017</w:t>
          </w:r>
          <w:r w:rsidR="0020320D" w:rsidRPr="0020320D">
            <w:rPr>
              <w:noProof/>
              <w:vertAlign w:val="subscript"/>
            </w:rPr>
            <w:t>[15]</w:t>
          </w:r>
          <w:r w:rsidR="0020320D" w:rsidRPr="0020320D">
            <w:rPr>
              <w:noProof/>
            </w:rPr>
            <w:t>)</w:t>
          </w:r>
          <w:r>
            <w:fldChar w:fldCharType="end"/>
          </w:r>
        </w:sdtContent>
      </w:sdt>
      <w:r>
        <w:t xml:space="preserve">. </w:t>
      </w:r>
    </w:p>
    <w:p w14:paraId="598F0F27" w14:textId="17664F58" w:rsidR="008619DC" w:rsidRPr="008619DC" w:rsidRDefault="008619DC" w:rsidP="00D6484E">
      <w:pPr>
        <w:pStyle w:val="Para0"/>
      </w:pPr>
    </w:p>
    <w:sectPr w:rsidR="008619DC" w:rsidRPr="008619DC" w:rsidSect="00F820B1">
      <w:headerReference w:type="even" r:id="rId38"/>
      <w:headerReference w:type="default" r:id="rId39"/>
      <w:footerReference w:type="even" r:id="rId40"/>
      <w:footerReference w:type="default" r:id="rId41"/>
      <w:headerReference w:type="first" r:id="rId42"/>
      <w:footerReference w:type="first" r:id="rId43"/>
      <w:endnotePr>
        <w:numFmt w:val="decimal"/>
        <w:numRestart w:val="eachSect"/>
      </w:endnotePr>
      <w:type w:val="continuous"/>
      <w:pgSz w:w="11906" w:h="16838" w:code="9"/>
      <w:pgMar w:top="2098" w:right="1304" w:bottom="1928" w:left="1304" w:header="1531"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AF1CC8" w14:textId="77777777" w:rsidR="005C3E87" w:rsidRDefault="005C3E87" w:rsidP="00CC3749"/>
  </w:endnote>
  <w:endnote w:type="continuationSeparator" w:id="0">
    <w:p w14:paraId="0245BF5E" w14:textId="77777777" w:rsidR="005C3E87" w:rsidRPr="00CF4424" w:rsidRDefault="005C3E87" w:rsidP="00CF4424">
      <w:pPr>
        <w:pStyle w:val="Footer"/>
        <w:jc w:val="both"/>
      </w:pPr>
    </w:p>
  </w:endnote>
  <w:endnote w:type="continuationNotice" w:id="1">
    <w:p w14:paraId="36A0FA9C" w14:textId="77777777" w:rsidR="005C3E87" w:rsidRDefault="005C3E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New Roman Bold">
    <w:panose1 w:val="02020803070505020304"/>
    <w:charset w:val="00"/>
    <w:family w:val="roman"/>
    <w:notTrueType/>
    <w:pitch w:val="default"/>
  </w:font>
  <w:font w:name="StatLink">
    <w:panose1 w:val="02000000000000000000"/>
    <w:charset w:val="00"/>
    <w:family w:val="auto"/>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alias w:val="Document Title"/>
      <w:tag w:val="FooterDocTitle"/>
      <w:id w:val="1217002386"/>
      <w:lock w:val="sdtLocked"/>
    </w:sdtPr>
    <w:sdtEndPr/>
    <w:sdtContent>
      <w:p w14:paraId="2C11F6B0" w14:textId="77777777" w:rsidR="005C3E87" w:rsidRDefault="005C3E87" w:rsidP="004E100F">
        <w:pPr>
          <w:pStyle w:val="Footer"/>
          <w:jc w:val="right"/>
        </w:pPr>
        <w:r>
          <w:t xml:space="preserve"> </w:t>
        </w:r>
      </w:p>
    </w:sdtContent>
  </w:sdt>
  <w:sdt>
    <w:sdtPr>
      <w:alias w:val="Classification"/>
      <w:tag w:val="txtHeaderClassif"/>
      <w:id w:val="-1918931641"/>
      <w:lock w:val="sdtLocked"/>
    </w:sdtPr>
    <w:sdtEndPr/>
    <w:sdtContent>
      <w:p w14:paraId="48318305" w14:textId="77777777" w:rsidR="005C3E87" w:rsidRDefault="005C3E87" w:rsidP="004E100F">
        <w:pPr>
          <w:pStyle w:val="FooterClassification"/>
          <w:jc w:val="left"/>
        </w:pPr>
        <w: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alias w:val="Document Title"/>
      <w:tag w:val="FooterDocTitle"/>
      <w:id w:val="-1884096409"/>
      <w:lock w:val="sdtLocked"/>
    </w:sdtPr>
    <w:sdtEndPr/>
    <w:sdtContent>
      <w:p w14:paraId="701B0F67" w14:textId="77777777" w:rsidR="005C3E87" w:rsidRDefault="005C3E87" w:rsidP="004E100F">
        <w:pPr>
          <w:pStyle w:val="Footer"/>
          <w:jc w:val="left"/>
          <w:rPr>
            <w:caps w:val="0"/>
            <w:sz w:val="22"/>
          </w:rPr>
        </w:pPr>
        <w:r>
          <w:t xml:space="preserve"> </w:t>
        </w:r>
      </w:p>
    </w:sdtContent>
  </w:sdt>
  <w:sdt>
    <w:sdtPr>
      <w:alias w:val="Classification"/>
      <w:tag w:val="txtHeaderClassif"/>
      <w:id w:val="-311407045"/>
      <w:lock w:val="sdtLocked"/>
    </w:sdtPr>
    <w:sdtEndPr/>
    <w:sdtContent>
      <w:p w14:paraId="592AE252" w14:textId="77777777" w:rsidR="005C3E87" w:rsidRPr="004E100F" w:rsidRDefault="005C3E87" w:rsidP="004E100F">
        <w:pPr>
          <w:pStyle w:val="FooterClassification"/>
          <w:rPr>
            <w:sz w:val="22"/>
          </w:rPr>
        </w:pPr>
        <w: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117F0F" w14:textId="77777777" w:rsidR="005C3E87" w:rsidRDefault="005C3E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373529" w14:textId="77777777" w:rsidR="005C3E87" w:rsidRDefault="005C3E87" w:rsidP="00CC3749">
      <w:r>
        <w:separator/>
      </w:r>
    </w:p>
  </w:footnote>
  <w:footnote w:type="continuationSeparator" w:id="0">
    <w:p w14:paraId="43EBB68D" w14:textId="77777777" w:rsidR="005C3E87" w:rsidRDefault="005C3E87" w:rsidP="00CC3749">
      <w:r>
        <w:continuationSeparator/>
      </w:r>
    </w:p>
  </w:footnote>
  <w:footnote w:id="1">
    <w:p w14:paraId="6DAF8127" w14:textId="3DF0B748" w:rsidR="005C3E87" w:rsidRDefault="005C3E87">
      <w:pPr>
        <w:pStyle w:val="FootnoteText"/>
      </w:pPr>
      <w:r>
        <w:rPr>
          <w:rStyle w:val="FootnoteReference"/>
        </w:rPr>
        <w:footnoteRef/>
      </w:r>
      <w:r>
        <w:t xml:space="preserve"> Trade in energy is excluded from this reduction, but are still subjected to import tariffs and benefit from the domestic support to capital and labour.</w:t>
      </w:r>
    </w:p>
  </w:footnote>
  <w:footnote w:id="2">
    <w:p w14:paraId="349931D2" w14:textId="66E88463" w:rsidR="005C3E87" w:rsidRDefault="005C3E87">
      <w:pPr>
        <w:pStyle w:val="FootnoteText"/>
      </w:pPr>
      <w:r>
        <w:rPr>
          <w:rStyle w:val="FootnoteReference"/>
        </w:rPr>
        <w:footnoteRef/>
      </w:r>
      <w:r>
        <w:t xml:space="preserve"> The results presented in this Section are also presernted in a dedicated OECD Covid Brief </w:t>
      </w:r>
      <w:sdt>
        <w:sdtPr>
          <w:id w:val="-1263912973"/>
          <w:citation/>
        </w:sdtPr>
        <w:sdtEndPr/>
        <w:sdtContent>
          <w:r>
            <w:fldChar w:fldCharType="begin"/>
          </w:r>
          <w:r>
            <w:instrText xml:space="preserve">CITATION OECng1 \l 2057 </w:instrText>
          </w:r>
          <w:r>
            <w:fldChar w:fldCharType="separate"/>
          </w:r>
          <w:r w:rsidRPr="0020320D">
            <w:rPr>
              <w:noProof/>
            </w:rPr>
            <w:t>(OECD, 2021 forthcoming</w:t>
          </w:r>
          <w:r w:rsidRPr="0020320D">
            <w:rPr>
              <w:noProof/>
              <w:vertAlign w:val="subscript"/>
            </w:rPr>
            <w:t>[27]</w:t>
          </w:r>
          <w:r w:rsidRPr="0020320D">
            <w:rPr>
              <w:noProof/>
            </w:rPr>
            <w:t>)</w:t>
          </w:r>
          <w:r>
            <w:fldChar w:fldCharType="end"/>
          </w:r>
        </w:sdtContent>
      </w:sdt>
      <w:r>
        <w:t>. The Covid Brief also investigates the effects of a slower than forecast recovery of the economy.</w:t>
      </w:r>
    </w:p>
  </w:footnote>
  <w:footnote w:id="3">
    <w:p w14:paraId="25445878" w14:textId="1333AC46" w:rsidR="005C3E87" w:rsidRDefault="005C3E87" w:rsidP="00CD6098">
      <w:pPr>
        <w:pStyle w:val="FootnoteText"/>
      </w:pPr>
      <w:r>
        <w:rPr>
          <w:rStyle w:val="FootnoteReference"/>
        </w:rPr>
        <w:footnoteRef/>
      </w:r>
      <w:r>
        <w:t xml:space="preserve"> OECD </w:t>
      </w:r>
      <w:sdt>
        <w:sdtPr>
          <w:id w:val="1456061668"/>
          <w:citation/>
        </w:sdtPr>
        <w:sdtEndPr/>
        <w:sdtContent>
          <w:r>
            <w:fldChar w:fldCharType="begin"/>
          </w:r>
          <w:r>
            <w:rPr>
              <w:noProof/>
              <w:vertAlign w:val="subscript"/>
            </w:rPr>
            <w:instrText xml:space="preserve">CITATION Kappa_39a88ab1 \n  \l 2057 </w:instrText>
          </w:r>
          <w:r>
            <w:fldChar w:fldCharType="separate"/>
          </w:r>
          <w:r w:rsidRPr="0020320D">
            <w:rPr>
              <w:noProof/>
            </w:rPr>
            <w:t>(2020</w:t>
          </w:r>
          <w:r w:rsidRPr="0020320D">
            <w:rPr>
              <w:noProof/>
              <w:vertAlign w:val="subscript"/>
            </w:rPr>
            <w:t>[16]</w:t>
          </w:r>
          <w:r w:rsidRPr="0020320D">
            <w:rPr>
              <w:noProof/>
            </w:rPr>
            <w:t>)</w:t>
          </w:r>
          <w:r>
            <w:fldChar w:fldCharType="end"/>
          </w:r>
        </w:sdtContent>
      </w:sdt>
      <w:r>
        <w:t xml:space="preserve"> provides a more detailed discussion of the macroeconomic implications of the pandemic.</w:t>
      </w:r>
    </w:p>
  </w:footnote>
  <w:footnote w:id="4">
    <w:p w14:paraId="4A02AD97" w14:textId="77777777" w:rsidR="005C3E87" w:rsidRDefault="005C3E87" w:rsidP="00CD6098">
      <w:pPr>
        <w:pStyle w:val="FootnoteText"/>
      </w:pPr>
      <w:r>
        <w:rPr>
          <w:rStyle w:val="FootnoteReference"/>
        </w:rPr>
        <w:footnoteRef/>
      </w:r>
      <w:r>
        <w:t xml:space="preserve"> The forecasts for India of OECD and IMF are aligned to the Reserve Bank of India forecasts for the fiscal year running from April to April. The sharp contraction is followed by a significant rebound, with Indian GDP growth in 2021 forecast to be above 10%.</w:t>
      </w:r>
    </w:p>
  </w:footnote>
  <w:footnote w:id="5">
    <w:p w14:paraId="63CA43F5" w14:textId="77777777" w:rsidR="005C3E87" w:rsidRDefault="005C3E87" w:rsidP="00CD6098">
      <w:pPr>
        <w:pStyle w:val="FootnoteText"/>
      </w:pPr>
      <w:r>
        <w:rPr>
          <w:rStyle w:val="FootnoteReference"/>
        </w:rPr>
        <w:footnoteRef/>
      </w:r>
      <w:r>
        <w:t xml:space="preserve"> The pharmaceuticals sector comprises around 0.7% of total output of the global economy, and above 1% in the European OECD countries (on average). </w:t>
      </w:r>
    </w:p>
  </w:footnote>
  <w:footnote w:id="6">
    <w:p w14:paraId="619E007E" w14:textId="77777777" w:rsidR="005C3E87" w:rsidRDefault="005C3E87" w:rsidP="00CD6098">
      <w:pPr>
        <w:pStyle w:val="FootnoteText"/>
      </w:pPr>
      <w:r>
        <w:rPr>
          <w:rStyle w:val="FootnoteReference"/>
        </w:rPr>
        <w:footnoteRef/>
      </w:r>
      <w:r>
        <w:t xml:space="preserve"> The sector that according to the simulations is projected to perform best in the longer run is the health sector.</w:t>
      </w:r>
    </w:p>
  </w:footnote>
  <w:footnote w:id="7">
    <w:p w14:paraId="63AE7B0C" w14:textId="77777777" w:rsidR="005C3E87" w:rsidRDefault="005C3E87" w:rsidP="00CD6098">
      <w:pPr>
        <w:pStyle w:val="FootnoteText"/>
      </w:pPr>
      <w:r>
        <w:rPr>
          <w:rStyle w:val="FootnoteReference"/>
        </w:rPr>
        <w:footnoteRef/>
      </w:r>
      <w:r>
        <w:t xml:space="preserve"> Such shifts depend crucially on the modelling framework and assumptions regarding e.g. the speed of recovery. Small perturbations of regional and sectoral impacts can have significant effects on relative competitiveness and thus lead to significantly different results for shifts in trade patterns. The results presented here are therefore merely a snapshot of a possible projection, and are surrounded by significant uncertainties.</w:t>
      </w:r>
    </w:p>
  </w:footnote>
  <w:footnote w:id="8">
    <w:p w14:paraId="5B17D006" w14:textId="77777777" w:rsidR="005C3E87" w:rsidRDefault="005C3E87" w:rsidP="00CD6098">
      <w:pPr>
        <w:pStyle w:val="FootnoteText"/>
      </w:pPr>
      <w:r>
        <w:rPr>
          <w:rStyle w:val="FootnoteReference"/>
        </w:rPr>
        <w:footnoteRef/>
      </w:r>
      <w:r>
        <w:t xml:space="preserve"> Emissions of PM2.5 reflect primary emissions and exclude secondary particles that are formed in the atmosphere.</w:t>
      </w:r>
    </w:p>
  </w:footnote>
  <w:footnote w:id="9">
    <w:p w14:paraId="3B946021" w14:textId="6A305BDB" w:rsidR="005C3E87" w:rsidRDefault="005C3E87" w:rsidP="00CD6098">
      <w:pPr>
        <w:pStyle w:val="FootnoteText"/>
      </w:pPr>
      <w:r>
        <w:rPr>
          <w:rStyle w:val="FootnoteReference"/>
        </w:rPr>
        <w:footnoteRef/>
      </w:r>
      <w:r>
        <w:t xml:space="preserve"> See also the discussion on Covid and biodiversity in</w:t>
      </w:r>
      <w:sdt>
        <w:sdtPr>
          <w:id w:val="-2034561364"/>
          <w:citation/>
        </w:sdtPr>
        <w:sdtEndPr/>
        <w:sdtContent>
          <w:r>
            <w:fldChar w:fldCharType="begin"/>
          </w:r>
          <w:r>
            <w:instrText xml:space="preserve"> CITATION OEC201 \l 2057 </w:instrText>
          </w:r>
          <w:r>
            <w:fldChar w:fldCharType="separate"/>
          </w:r>
          <w:r>
            <w:rPr>
              <w:noProof/>
            </w:rPr>
            <w:t xml:space="preserve"> </w:t>
          </w:r>
          <w:r w:rsidRPr="00E72026">
            <w:rPr>
              <w:noProof/>
            </w:rPr>
            <w:t>(</w:t>
          </w:r>
          <w:bookmarkStart w:id="25" w:name="OEC201_28"/>
          <w:r w:rsidRPr="00E72026">
            <w:rPr>
              <w:noProof/>
            </w:rPr>
            <w:t>OECD, 2020</w:t>
          </w:r>
          <w:r w:rsidRPr="00E72026">
            <w:rPr>
              <w:noProof/>
              <w:vertAlign w:val="subscript"/>
            </w:rPr>
            <w:t>[28]</w:t>
          </w:r>
          <w:r w:rsidRPr="00E72026">
            <w:rPr>
              <w:noProof/>
            </w:rPr>
            <w:t>)</w:t>
          </w:r>
          <w:bookmarkEnd w:id="25"/>
          <w:r>
            <w:fldChar w:fldCharType="end"/>
          </w:r>
        </w:sdtContent>
      </w:sdt>
      <w:r>
        <w:t>.</w:t>
      </w:r>
    </w:p>
  </w:footnote>
  <w:footnote w:id="10">
    <w:p w14:paraId="4638A5AF" w14:textId="77777777" w:rsidR="005C3E87" w:rsidRDefault="005C3E87" w:rsidP="00CD6098">
      <w:pPr>
        <w:pStyle w:val="FootnoteText"/>
      </w:pPr>
      <w:r>
        <w:rPr>
          <w:rStyle w:val="FootnoteReference"/>
        </w:rPr>
        <w:footnoteRef/>
      </w:r>
      <w:r>
        <w:t xml:space="preserve"> Of course, this positive effect is not the result of a cost-effective policy measure. The economic costs associated with this environmental benefit are huge, and the result of an external shock, not a deliberate policy action.</w:t>
      </w:r>
    </w:p>
  </w:footnote>
  <w:footnote w:id="11">
    <w:p w14:paraId="0639004C" w14:textId="77777777" w:rsidR="005C3E87" w:rsidRDefault="005C3E87" w:rsidP="00CD6098">
      <w:pPr>
        <w:pStyle w:val="FootnoteText"/>
      </w:pPr>
      <w:r>
        <w:rPr>
          <w:rStyle w:val="FootnoteReference"/>
        </w:rPr>
        <w:footnoteRef/>
      </w:r>
      <w:r>
        <w:t xml:space="preserve"> The focus here is on the economy; other counties may be more severely affected in terms of mortality and other health impacts.</w:t>
      </w:r>
    </w:p>
  </w:footnote>
  <w:footnote w:id="12">
    <w:p w14:paraId="42D145F4" w14:textId="267520F3" w:rsidR="00D351F0" w:rsidRDefault="00D351F0">
      <w:pPr>
        <w:pStyle w:val="FootnoteText"/>
      </w:pPr>
      <w:r>
        <w:rPr>
          <w:rStyle w:val="FootnoteReference"/>
        </w:rPr>
        <w:footnoteRef/>
      </w:r>
      <w:r>
        <w:t xml:space="preserve"> The result for India is despite the fact that it has a relatively closed economy and is driven by export considerations rather than import effects.</w:t>
      </w:r>
    </w:p>
  </w:footnote>
  <w:footnote w:id="13">
    <w:p w14:paraId="1CDB7375" w14:textId="18D51CF0" w:rsidR="005C3E87" w:rsidRDefault="005C3E87" w:rsidP="005C3E87">
      <w:pPr>
        <w:pStyle w:val="FootnoteText"/>
      </w:pPr>
      <w:r>
        <w:rPr>
          <w:rStyle w:val="FootnoteReference"/>
        </w:rPr>
        <w:footnoteRef/>
      </w:r>
      <w:r>
        <w:t xml:space="preserve"> This result, but to a lesser extent also e.g. the results for GHG emissions, is influenced by the policy assumptions on trade in energy, which are subject to revision.</w:t>
      </w:r>
      <w:r w:rsidR="000F582E">
        <w:t xml:space="preserve"> As the effect is mostly related to shifting trade, rather than to world production levels, the effect on CO</w:t>
      </w:r>
      <w:r w:rsidR="000F582E" w:rsidRPr="000F582E">
        <w:rPr>
          <w:vertAlign w:val="subscript"/>
        </w:rPr>
        <w:t>2</w:t>
      </w:r>
      <w:r w:rsidR="000F582E">
        <w:t xml:space="preserve"> emissions is much less pronounced.</w:t>
      </w:r>
    </w:p>
  </w:footnote>
  <w:footnote w:id="14">
    <w:p w14:paraId="0F0CC08D" w14:textId="5ECBF4B9" w:rsidR="005C3E87" w:rsidRDefault="005C3E87">
      <w:pPr>
        <w:pStyle w:val="FootnoteText"/>
      </w:pPr>
      <w:r>
        <w:rPr>
          <w:rStyle w:val="FootnoteReference"/>
        </w:rPr>
        <w:footnoteRef/>
      </w:r>
      <w:r>
        <w:t xml:space="preserve"> Similarly, the policies induce </w:t>
      </w:r>
      <w:r w:rsidR="000F582E">
        <w:t xml:space="preserve">some regions, such as </w:t>
      </w:r>
      <w:r>
        <w:t>Japan and Korea (the OECD Pacific region)</w:t>
      </w:r>
      <w:r w:rsidR="000F582E">
        <w:t>,</w:t>
      </w:r>
      <w:r>
        <w:t xml:space="preserve"> to rely more on </w:t>
      </w:r>
      <w:r w:rsidR="000F582E">
        <w:t>fossil fuels</w:t>
      </w:r>
      <w:r>
        <w:t xml:space="preserve"> in their energy system, driving their materials use up.</w:t>
      </w:r>
    </w:p>
  </w:footnote>
  <w:footnote w:id="15">
    <w:p w14:paraId="2BBD5FAC" w14:textId="3FA02651" w:rsidR="005C3E87" w:rsidRDefault="005C3E87" w:rsidP="001D74D6">
      <w:pPr>
        <w:pStyle w:val="FootnoteText"/>
      </w:pPr>
      <w:r>
        <w:rPr>
          <w:rStyle w:val="FootnoteReference"/>
        </w:rPr>
        <w:footnoteRef/>
      </w:r>
      <w:r>
        <w:t xml:space="preserve"> Interactions with the Covid scenario will be added in a later version of the paper. </w:t>
      </w:r>
    </w:p>
  </w:footnote>
  <w:footnote w:id="16">
    <w:p w14:paraId="7053CF9A" w14:textId="77777777" w:rsidR="005C3E87" w:rsidRDefault="005C3E87" w:rsidP="00D6484E">
      <w:pPr>
        <w:pStyle w:val="FootnoteText"/>
      </w:pPr>
      <w:r w:rsidRPr="001320C1">
        <w:rPr>
          <w:rStyle w:val="FootnoteReference"/>
        </w:rPr>
        <w:footnoteRef/>
      </w:r>
      <w:r>
        <w:t xml:space="preserve"> In the simulations, South Africa is separated from the rest of Sub-Saharan Africa, which is labelled “Other Africa”. In the text, the term Other Africa is replaced with Sub-Saharan Africa to improve readability.</w:t>
      </w:r>
    </w:p>
  </w:footnote>
  <w:footnote w:id="17">
    <w:p w14:paraId="5A504593" w14:textId="77777777" w:rsidR="005C3E87" w:rsidRPr="00C8270C" w:rsidRDefault="005C3E87" w:rsidP="00D6484E">
      <w:pPr>
        <w:pStyle w:val="FootnoteText"/>
      </w:pPr>
      <w:r w:rsidRPr="001320C1">
        <w:rPr>
          <w:rStyle w:val="FootnoteReference"/>
        </w:rPr>
        <w:footnoteRef/>
      </w:r>
      <w:r>
        <w:t xml:space="preserve"> Other EU includes the non-OECD EU countries (see </w:t>
      </w:r>
      <w:r>
        <w:fldChar w:fldCharType="begin"/>
      </w:r>
      <w:r>
        <w:instrText xml:space="preserve"> REF _Ref6404545 \h </w:instrText>
      </w:r>
      <w:r>
        <w:fldChar w:fldCharType="separate"/>
      </w:r>
      <w:r>
        <w:t>Table </w:t>
      </w:r>
      <w:r>
        <w:rPr>
          <w:noProof/>
        </w:rPr>
        <w:t>A</w:t>
      </w:r>
      <w:r>
        <w:t>.</w:t>
      </w:r>
      <w:r>
        <w:rPr>
          <w:noProof/>
        </w:rPr>
        <w:t>2</w:t>
      </w:r>
      <w:r>
        <w:fldChar w:fldCharType="end"/>
      </w:r>
      <w:r>
        <w:t>).</w:t>
      </w:r>
    </w:p>
  </w:footnote>
  <w:footnote w:id="18">
    <w:p w14:paraId="548A0845" w14:textId="77777777" w:rsidR="005C3E87" w:rsidRPr="00E1307A" w:rsidRDefault="005C3E87" w:rsidP="00D6484E">
      <w:pPr>
        <w:pStyle w:val="FootnoteText"/>
      </w:pPr>
      <w:r w:rsidRPr="001320C1">
        <w:rPr>
          <w:rStyle w:val="FootnoteReference"/>
        </w:rPr>
        <w:footnoteRef/>
      </w:r>
      <w:r>
        <w:t xml:space="preserve"> In the ENV-Linkages model, services are split into several sectors (see Annex A): business services, three transport service sectors (land, air, water), and other services (which include all government services, education, health, waste management).</w:t>
      </w:r>
    </w:p>
  </w:footnote>
  <w:footnote w:id="19">
    <w:p w14:paraId="4E6C202C" w14:textId="465BD360" w:rsidR="005C3E87" w:rsidRPr="00B053C3" w:rsidRDefault="005C3E87" w:rsidP="00D6484E">
      <w:pPr>
        <w:pStyle w:val="FootnoteText"/>
      </w:pPr>
      <w:r w:rsidRPr="001320C1">
        <w:rPr>
          <w:rStyle w:val="FootnoteReference"/>
        </w:rPr>
        <w:footnoteRef/>
      </w:r>
      <w:r>
        <w:t xml:space="preserve"> </w:t>
      </w:r>
      <w:r w:rsidRPr="00453C3E">
        <w:t xml:space="preserve">To </w:t>
      </w:r>
      <w:r>
        <w:t>illustrate</w:t>
      </w:r>
      <w:r w:rsidRPr="00453C3E">
        <w:t xml:space="preserve"> these trends, </w:t>
      </w:r>
      <w:r>
        <w:t xml:space="preserve">Miroudot and Cadestin </w:t>
      </w:r>
      <w:sdt>
        <w:sdtPr>
          <w:id w:val="-1152368175"/>
          <w:citation/>
        </w:sdtPr>
        <w:sdtEndPr/>
        <w:sdtContent>
          <w:r>
            <w:fldChar w:fldCharType="begin"/>
          </w:r>
          <w:r>
            <w:instrText xml:space="preserve">CITATION Kappa_465f0d8b \n  \l 2057 </w:instrText>
          </w:r>
          <w:r>
            <w:fldChar w:fldCharType="separate"/>
          </w:r>
          <w:r>
            <w:rPr>
              <w:b/>
              <w:bCs/>
              <w:noProof/>
              <w:lang w:val="en-US"/>
            </w:rPr>
            <w:t>Invalid source specified.</w:t>
          </w:r>
          <w:r>
            <w:fldChar w:fldCharType="end"/>
          </w:r>
        </w:sdtContent>
      </w:sdt>
      <w:r>
        <w:t xml:space="preserve"> </w:t>
      </w:r>
      <w:r w:rsidRPr="00453C3E">
        <w:t xml:space="preserve">showed that in 2015 in OECD countries between 25% and 60% of employment in manufacturing firms </w:t>
      </w:r>
      <w:r>
        <w:t>wa</w:t>
      </w:r>
      <w:r w:rsidRPr="00453C3E">
        <w:t>s in service support functions such as R&amp;D, engineering, transport, logistics, distribution, marketing, sales, after-sale services, IT, management and back-office support.</w:t>
      </w:r>
    </w:p>
  </w:footnote>
  <w:footnote w:id="20">
    <w:p w14:paraId="251B2169" w14:textId="77777777" w:rsidR="005C3E87" w:rsidRDefault="005C3E87" w:rsidP="00D6484E">
      <w:pPr>
        <w:pStyle w:val="FootnoteText"/>
      </w:pPr>
      <w:r w:rsidRPr="001320C1">
        <w:rPr>
          <w:rStyle w:val="FootnoteReference"/>
        </w:rPr>
        <w:footnoteRef/>
      </w:r>
      <w:r>
        <w:t xml:space="preserve"> </w:t>
      </w:r>
      <w:r w:rsidRPr="00D74CAF">
        <w:t xml:space="preserve">Energy intensive industries include </w:t>
      </w:r>
      <w:r>
        <w:t>the sectors producing ch</w:t>
      </w:r>
      <w:r w:rsidRPr="00D74CAF">
        <w:t xml:space="preserve">emicals, </w:t>
      </w:r>
      <w:r>
        <w:t>i</w:t>
      </w:r>
      <w:r w:rsidRPr="00D74CAF">
        <w:t xml:space="preserve">ron </w:t>
      </w:r>
      <w:r>
        <w:t>&amp;</w:t>
      </w:r>
      <w:r w:rsidRPr="00D74CAF">
        <w:t xml:space="preserve"> </w:t>
      </w:r>
      <w:r>
        <w:t>s</w:t>
      </w:r>
      <w:r w:rsidRPr="00D74CAF">
        <w:t xml:space="preserve">teel, </w:t>
      </w:r>
      <w:r>
        <w:t>p</w:t>
      </w:r>
      <w:r w:rsidRPr="00D74CAF">
        <w:t xml:space="preserve">ulp, paper publishing and </w:t>
      </w:r>
      <w:r>
        <w:t>m</w:t>
      </w:r>
      <w:r w:rsidRPr="00D74CAF">
        <w:t>on-metallic minerals.</w:t>
      </w:r>
    </w:p>
  </w:footnote>
  <w:footnote w:id="21">
    <w:p w14:paraId="1CDD826D" w14:textId="5D7B8A19" w:rsidR="005C3E87" w:rsidRPr="00AE2A6A" w:rsidRDefault="005C3E87" w:rsidP="00D6484E">
      <w:pPr>
        <w:pStyle w:val="FootnoteText"/>
      </w:pPr>
      <w:r w:rsidRPr="001320C1">
        <w:rPr>
          <w:rStyle w:val="FootnoteReference"/>
        </w:rPr>
        <w:footnoteRef/>
      </w:r>
      <w:r>
        <w:t xml:space="preserve"> The methodology for projecting labour efficiency has been developed by the OECD </w:t>
      </w:r>
      <w:r w:rsidRPr="00D90704">
        <w:t xml:space="preserve">Economics Department. </w:t>
      </w:r>
      <w:r>
        <w:t xml:space="preserve">Guillemette et al. </w:t>
      </w:r>
      <w:sdt>
        <w:sdtPr>
          <w:id w:val="-1274481281"/>
          <w:citation/>
        </w:sdtPr>
        <w:sdtEndPr/>
        <w:sdtContent>
          <w:r>
            <w:fldChar w:fldCharType="begin"/>
          </w:r>
          <w:r>
            <w:instrText xml:space="preserve">CITATION Kappa_72b1752e \n  \l 2057 </w:instrText>
          </w:r>
          <w:r>
            <w:fldChar w:fldCharType="separate"/>
          </w:r>
          <w:r>
            <w:rPr>
              <w:b/>
              <w:bCs/>
              <w:noProof/>
              <w:lang w:val="en-US"/>
            </w:rPr>
            <w:t>Invalid source specified.</w:t>
          </w:r>
          <w:r>
            <w:fldChar w:fldCharType="end"/>
          </w:r>
        </w:sdtContent>
      </w:sdt>
      <w:r>
        <w:t xml:space="preserve"> describe</w:t>
      </w:r>
      <w:r w:rsidRPr="00D90704">
        <w:t xml:space="preserve"> this methodology as well as the projection for the underlying determinants of long run efficiency. For the remaining 1</w:t>
      </w:r>
      <w:r>
        <w:t>8</w:t>
      </w:r>
      <w:r w:rsidRPr="00D90704">
        <w:t>0 countries</w:t>
      </w:r>
      <w:r>
        <w:t>,</w:t>
      </w:r>
      <w:r w:rsidRPr="00D90704">
        <w:t xml:space="preserve"> the OECD Environment Directorate adopts a similar methodology but with fewer determinants in the long run efficiency: </w:t>
      </w:r>
      <w:r>
        <w:t>indicators for</w:t>
      </w:r>
      <w:r w:rsidRPr="00D90704">
        <w:t xml:space="preserve"> institution</w:t>
      </w:r>
      <w:r>
        <w:t>al</w:t>
      </w:r>
      <w:r w:rsidRPr="00D90704">
        <w:t xml:space="preserve"> quality as well as rule of law</w:t>
      </w:r>
      <w:r>
        <w:t xml:space="preserve"> are not included in ENV-Growth model due to lack of data</w:t>
      </w:r>
      <w:r w:rsidRPr="00D90704">
        <w:t>.</w:t>
      </w:r>
    </w:p>
  </w:footnote>
  <w:footnote w:id="22">
    <w:p w14:paraId="78E15BCC" w14:textId="77777777" w:rsidR="005C3E87" w:rsidRPr="00661FEC" w:rsidRDefault="005C3E87" w:rsidP="00D6484E">
      <w:pPr>
        <w:pStyle w:val="FootnoteText"/>
      </w:pPr>
      <w:r w:rsidRPr="009338A3">
        <w:rPr>
          <w:rStyle w:val="FootnoteReference"/>
        </w:rPr>
        <w:footnoteRef/>
      </w:r>
      <w:r w:rsidRPr="00661FEC">
        <w:rPr>
          <w:rStyle w:val="FootnoteReference"/>
        </w:rPr>
        <w:t xml:space="preserve"> </w:t>
      </w:r>
      <w:r w:rsidRPr="00661FEC">
        <w:t>For standard growth models (e.g. the Solow-Swan growth model), the capital-to-output ratio and the employment rate stabilise in the long run following the convergence towards a balanced growth path where capital supply growth matches labour efficiency growth.</w:t>
      </w:r>
    </w:p>
  </w:footnote>
  <w:footnote w:id="23">
    <w:p w14:paraId="788B96E5" w14:textId="77777777" w:rsidR="005C3E87" w:rsidRDefault="005C3E87" w:rsidP="00D6484E">
      <w:pPr>
        <w:pStyle w:val="FootnoteText"/>
      </w:pPr>
      <w:r w:rsidRPr="001320C1">
        <w:rPr>
          <w:rStyle w:val="FootnoteReference"/>
        </w:rPr>
        <w:footnoteRef/>
      </w:r>
      <w:r>
        <w:t xml:space="preserve"> </w:t>
      </w:r>
      <w:r w:rsidRPr="0059494A">
        <w:t xml:space="preserve">These effects are driven by </w:t>
      </w:r>
      <w:r>
        <w:t>changes in</w:t>
      </w:r>
      <w:r w:rsidRPr="0059494A">
        <w:t xml:space="preserve"> relative </w:t>
      </w:r>
      <w:r>
        <w:t>costs</w:t>
      </w:r>
      <w:r w:rsidRPr="0059494A">
        <w:t xml:space="preserve"> </w:t>
      </w:r>
      <w:r>
        <w:t xml:space="preserve">and in </w:t>
      </w:r>
      <w:r w:rsidRPr="0059494A">
        <w:t xml:space="preserve">factor productivity that </w:t>
      </w:r>
      <w:r>
        <w:t>affect</w:t>
      </w:r>
      <w:r w:rsidRPr="0059494A">
        <w:t xml:space="preserve"> the mix of inputs and technologies used to produce the final goods.</w:t>
      </w:r>
      <w:r w:rsidRPr="0059494A" w:rsidDel="0079130C">
        <w:t xml:space="preserve"> </w:t>
      </w:r>
      <w:r w:rsidRPr="0059494A">
        <w:t>The input substitution effect occurs as the price of one input changes relative to other inputs. In particular, if different inputs can serve as substitutes in the production of a specific commodity, then the mix of inputs that are used for the production of this commodity will depend on their relative prices.</w:t>
      </w:r>
      <w:r>
        <w:t xml:space="preserve"> Fu</w:t>
      </w:r>
      <w:r w:rsidRPr="0059494A">
        <w:t xml:space="preserve">rther, if </w:t>
      </w:r>
      <w:r>
        <w:t xml:space="preserve">production </w:t>
      </w:r>
      <w:r w:rsidRPr="0059494A">
        <w:t>input</w:t>
      </w:r>
      <w:r>
        <w:t>s</w:t>
      </w:r>
      <w:r w:rsidRPr="0059494A">
        <w:t xml:space="preserve"> become more efficient through increases in </w:t>
      </w:r>
      <w:r>
        <w:t>total factor</w:t>
      </w:r>
      <w:r w:rsidRPr="0059494A">
        <w:t xml:space="preserve"> productivity, then more output can be generated with the same amount of inputs.</w:t>
      </w:r>
    </w:p>
  </w:footnote>
  <w:footnote w:id="24">
    <w:p w14:paraId="1E28BDB7" w14:textId="77777777" w:rsidR="005C3E87" w:rsidRDefault="005C3E87" w:rsidP="00D6484E">
      <w:pPr>
        <w:pStyle w:val="FootnoteText"/>
      </w:pPr>
      <w:r w:rsidRPr="001320C1">
        <w:rPr>
          <w:rStyle w:val="FootnoteReference"/>
        </w:rPr>
        <w:footnoteRef/>
      </w:r>
      <w:r>
        <w:t xml:space="preserve"> In the modelling framework, smooth production functions are used to represent the production choices of many individual firms. Individual production technologies are only specified for selected sectors, notably those related to energy production and materials processing.</w:t>
      </w:r>
    </w:p>
  </w:footnote>
  <w:footnote w:id="25">
    <w:p w14:paraId="1C02C5F6" w14:textId="77777777" w:rsidR="005C3E87" w:rsidRDefault="005C3E87" w:rsidP="00D6484E">
      <w:pPr>
        <w:pStyle w:val="FootnoteText"/>
      </w:pPr>
      <w:r w:rsidRPr="001320C1">
        <w:rPr>
          <w:rStyle w:val="FootnoteReference"/>
        </w:rPr>
        <w:footnoteRef/>
      </w:r>
      <w:r>
        <w:t xml:space="preserve"> The decline in capital costs in non-OECD countries mostly reflects an observed decline in the price of capital between 2011 and 2018; in real terms capital costs are projected to grow more rapidly than other primary production factors in the coming decades.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BC87B5" w14:textId="26A6118A" w:rsidR="005C3E87" w:rsidRDefault="00331DD0" w:rsidP="004E100F">
    <w:pPr>
      <w:pStyle w:val="Header"/>
    </w:pPr>
    <w:sdt>
      <w:sdtPr>
        <w:rPr>
          <w:rStyle w:val="PageNumber"/>
        </w:rPr>
        <w:alias w:val="Page Number"/>
        <w:tag w:val="TxtPageNumber"/>
        <w:id w:val="-1835755985"/>
        <w:lock w:val="sdtLocked"/>
      </w:sdtPr>
      <w:sdtEndPr>
        <w:rPr>
          <w:rStyle w:val="DefaultParagraphFont"/>
          <w:b w:val="0"/>
          <w:sz w:val="20"/>
        </w:rPr>
      </w:sdtEndPr>
      <w:sdtContent>
        <w:r w:rsidR="005C3E87" w:rsidRPr="00CC3749">
          <w:rPr>
            <w:rStyle w:val="PageNumber"/>
          </w:rPr>
          <w:fldChar w:fldCharType="begin"/>
        </w:r>
        <w:r w:rsidR="005C3E87" w:rsidRPr="00CC3749">
          <w:rPr>
            <w:rStyle w:val="PageNumber"/>
          </w:rPr>
          <w:instrText xml:space="preserve"> PAGE   \* MERGEFORMAT </w:instrText>
        </w:r>
        <w:r w:rsidR="005C3E87" w:rsidRPr="00CC3749">
          <w:rPr>
            <w:rStyle w:val="PageNumber"/>
          </w:rPr>
          <w:fldChar w:fldCharType="separate"/>
        </w:r>
        <w:r>
          <w:rPr>
            <w:rStyle w:val="PageNumber"/>
            <w:noProof/>
          </w:rPr>
          <w:t>2</w:t>
        </w:r>
        <w:r w:rsidR="005C3E87" w:rsidRPr="00CC3749">
          <w:rPr>
            <w:rStyle w:val="PageNumber"/>
            <w:noProof/>
          </w:rPr>
          <w:fldChar w:fldCharType="end"/>
        </w:r>
      </w:sdtContent>
    </w:sdt>
    <w:r w:rsidR="005C3E87">
      <w:t xml:space="preserve"> </w:t>
    </w:r>
    <w:r w:rsidR="005C3E87">
      <w:sym w:font="Symbol" w:char="F07C"/>
    </w:r>
    <w:r w:rsidR="005C3E87">
      <w:t xml:space="preserve"> </w:t>
    </w:r>
    <w:sdt>
      <w:sdtPr>
        <w:rPr>
          <w:rStyle w:val="HeaderTitle"/>
        </w:rPr>
        <w:alias w:val="Cote/Chapter"/>
        <w:tag w:val="txtHeaderValue"/>
        <w:id w:val="-308635562"/>
        <w:lock w:val="sdtLocked"/>
      </w:sdtPr>
      <w:sdtEndPr>
        <w:rPr>
          <w:rStyle w:val="DefaultParagraphFont"/>
          <w:caps w:val="0"/>
          <w:sz w:val="20"/>
        </w:rPr>
      </w:sdtEndPr>
      <w:sdtContent>
        <w:r w:rsidR="005C3E87">
          <w:rPr>
            <w:rStyle w:val="HeaderTitle"/>
          </w:rPr>
          <w:t xml:space="preserve"> </w:t>
        </w:r>
      </w:sdtContent>
    </w:sdt>
  </w:p>
  <w:p w14:paraId="13AEE966" w14:textId="77777777" w:rsidR="005C3E87" w:rsidRPr="00CC3749" w:rsidRDefault="005C3E87" w:rsidP="004E100F">
    <w:pPr>
      <w:pStyle w:val="HeaderEven"/>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3339E9" w14:textId="1F9CA5A9" w:rsidR="005C3E87" w:rsidRDefault="00331DD0" w:rsidP="004E100F">
    <w:pPr>
      <w:pStyle w:val="Header"/>
      <w:jc w:val="right"/>
    </w:pPr>
    <w:sdt>
      <w:sdtPr>
        <w:rPr>
          <w:rStyle w:val="HeaderTitle"/>
        </w:rPr>
        <w:alias w:val="Cote/Chapter"/>
        <w:tag w:val="txtHeaderValue"/>
        <w:id w:val="-244348000"/>
        <w:lock w:val="sdtLocked"/>
      </w:sdtPr>
      <w:sdtEndPr>
        <w:rPr>
          <w:rStyle w:val="DefaultParagraphFont"/>
          <w:caps w:val="0"/>
          <w:sz w:val="20"/>
        </w:rPr>
      </w:sdtEndPr>
      <w:sdtContent>
        <w:r w:rsidR="005C3E87">
          <w:rPr>
            <w:rStyle w:val="HeaderTitle"/>
          </w:rPr>
          <w:t xml:space="preserve"> </w:t>
        </w:r>
      </w:sdtContent>
    </w:sdt>
    <w:r w:rsidR="005C3E87">
      <w:rPr>
        <w:rStyle w:val="PageNumber"/>
      </w:rPr>
      <w:t xml:space="preserve"> </w:t>
    </w:r>
    <w:r w:rsidR="005C3E87">
      <w:rPr>
        <w:rStyle w:val="PageNumber"/>
      </w:rPr>
      <w:sym w:font="Symbol" w:char="F07C"/>
    </w:r>
    <w:r w:rsidR="005C3E87">
      <w:rPr>
        <w:rStyle w:val="PageNumber"/>
      </w:rPr>
      <w:t xml:space="preserve"> </w:t>
    </w:r>
    <w:sdt>
      <w:sdtPr>
        <w:rPr>
          <w:rStyle w:val="PageNumber"/>
        </w:rPr>
        <w:alias w:val="Page Number"/>
        <w:tag w:val="TxtPageNumber"/>
        <w:id w:val="1076251128"/>
        <w:lock w:val="sdtLocked"/>
      </w:sdtPr>
      <w:sdtEndPr>
        <w:rPr>
          <w:rStyle w:val="DefaultParagraphFont"/>
          <w:b w:val="0"/>
          <w:sz w:val="20"/>
        </w:rPr>
      </w:sdtEndPr>
      <w:sdtContent>
        <w:r w:rsidR="005C3E87" w:rsidRPr="00CC3749">
          <w:rPr>
            <w:rStyle w:val="PageNumber"/>
          </w:rPr>
          <w:fldChar w:fldCharType="begin"/>
        </w:r>
        <w:r w:rsidR="005C3E87" w:rsidRPr="00CC3749">
          <w:rPr>
            <w:rStyle w:val="PageNumber"/>
          </w:rPr>
          <w:instrText xml:space="preserve"> PAGE   \* MERGEFORMAT </w:instrText>
        </w:r>
        <w:r w:rsidR="005C3E87" w:rsidRPr="00CC3749">
          <w:rPr>
            <w:rStyle w:val="PageNumber"/>
          </w:rPr>
          <w:fldChar w:fldCharType="separate"/>
        </w:r>
        <w:r>
          <w:rPr>
            <w:rStyle w:val="PageNumber"/>
            <w:noProof/>
          </w:rPr>
          <w:t>3</w:t>
        </w:r>
        <w:r w:rsidR="005C3E87" w:rsidRPr="00CC3749">
          <w:rPr>
            <w:rStyle w:val="PageNumber"/>
            <w:noProof/>
          </w:rPr>
          <w:fldChar w:fldCharType="end"/>
        </w:r>
      </w:sdtContent>
    </w:sdt>
  </w:p>
  <w:p w14:paraId="304158F7" w14:textId="77777777" w:rsidR="005C3E87" w:rsidRDefault="005C3E87" w:rsidP="004E100F">
    <w:pPr>
      <w:pStyle w:val="HeaderOd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5832DD" w14:textId="77777777" w:rsidR="005C3E87" w:rsidRDefault="005C3E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67A515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7A6D6D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D5C07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28029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56EC1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5A31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E68417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958274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D8ABA6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E1CBF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725679"/>
    <w:multiLevelType w:val="hybridMultilevel"/>
    <w:tmpl w:val="D37E30E0"/>
    <w:lvl w:ilvl="0" w:tplc="771E15FA">
      <w:start w:val="1"/>
      <w:numFmt w:val="bullet"/>
      <w:lvlText w:val="o"/>
      <w:lvlJc w:val="left"/>
      <w:pPr>
        <w:tabs>
          <w:tab w:val="num" w:pos="340"/>
        </w:tabs>
        <w:ind w:left="1701" w:hanging="340"/>
      </w:pPr>
      <w:rPr>
        <w:rFonts w:ascii="Courier New" w:hAnsi="Courier New" w:hint="default"/>
      </w:rPr>
    </w:lvl>
    <w:lvl w:ilvl="1" w:tplc="8D94EB20">
      <w:start w:val="1"/>
      <w:numFmt w:val="bullet"/>
      <w:lvlText w:val="˗"/>
      <w:lvlJc w:val="left"/>
      <w:pPr>
        <w:tabs>
          <w:tab w:val="num" w:pos="340"/>
        </w:tabs>
        <w:ind w:left="2041" w:hanging="340"/>
      </w:pPr>
      <w:rPr>
        <w:rFonts w:ascii="Times New Roman" w:hAnsi="Times New Roman" w:cs="Times New Roman"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7A725E9"/>
    <w:multiLevelType w:val="hybridMultilevel"/>
    <w:tmpl w:val="BDD8B256"/>
    <w:lvl w:ilvl="0" w:tplc="74F423D6">
      <w:start w:val="1"/>
      <w:numFmt w:val="lowerLetter"/>
      <w:pStyle w:val="ProposedAction"/>
      <w:lvlText w:val="%1)"/>
      <w:lvlJc w:val="left"/>
      <w:pPr>
        <w:ind w:left="1400" w:hanging="360"/>
      </w:pPr>
    </w:lvl>
    <w:lvl w:ilvl="1" w:tplc="D7206700">
      <w:start w:val="1"/>
      <w:numFmt w:val="lowerRoman"/>
      <w:lvlText w:val="%2)"/>
      <w:lvlJc w:val="left"/>
      <w:pPr>
        <w:tabs>
          <w:tab w:val="num" w:pos="567"/>
        </w:tabs>
        <w:ind w:left="2835" w:hanging="567"/>
      </w:pPr>
      <w:rPr>
        <w:rFonts w:hint="default"/>
      </w:rPr>
    </w:lvl>
    <w:lvl w:ilvl="2" w:tplc="F77E56A6">
      <w:start w:val="1"/>
      <w:numFmt w:val="lowerRoman"/>
      <w:lvlText w:val="%3."/>
      <w:lvlJc w:val="right"/>
      <w:pPr>
        <w:ind w:left="4309" w:hanging="487"/>
      </w:pPr>
      <w:rPr>
        <w:rFonts w:hint="default"/>
      </w:rPr>
    </w:lvl>
    <w:lvl w:ilvl="3" w:tplc="6D8AD84E">
      <w:start w:val="1"/>
      <w:numFmt w:val="decimal"/>
      <w:lvlText w:val="%4."/>
      <w:lvlJc w:val="left"/>
      <w:pPr>
        <w:ind w:left="4723" w:hanging="363"/>
      </w:pPr>
      <w:rPr>
        <w:rFonts w:hint="default"/>
      </w:rPr>
    </w:lvl>
    <w:lvl w:ilvl="4" w:tplc="6F2EB210">
      <w:start w:val="1"/>
      <w:numFmt w:val="lowerLetter"/>
      <w:lvlText w:val="%5."/>
      <w:lvlJc w:val="left"/>
      <w:pPr>
        <w:ind w:left="5443" w:hanging="363"/>
      </w:pPr>
      <w:rPr>
        <w:rFonts w:hint="default"/>
      </w:rPr>
    </w:lvl>
    <w:lvl w:ilvl="5" w:tplc="054A5176">
      <w:start w:val="1"/>
      <w:numFmt w:val="lowerRoman"/>
      <w:lvlText w:val="%6."/>
      <w:lvlJc w:val="right"/>
      <w:pPr>
        <w:ind w:left="6163" w:hanging="181"/>
      </w:pPr>
      <w:rPr>
        <w:rFonts w:hint="default"/>
      </w:rPr>
    </w:lvl>
    <w:lvl w:ilvl="6" w:tplc="20105C9A">
      <w:start w:val="1"/>
      <w:numFmt w:val="decimal"/>
      <w:lvlText w:val="%7."/>
      <w:lvlJc w:val="left"/>
      <w:pPr>
        <w:ind w:left="6883" w:hanging="362"/>
      </w:pPr>
      <w:rPr>
        <w:rFonts w:hint="default"/>
      </w:rPr>
    </w:lvl>
    <w:lvl w:ilvl="7" w:tplc="08090019" w:tentative="1">
      <w:start w:val="1"/>
      <w:numFmt w:val="lowerLetter"/>
      <w:lvlText w:val="%8."/>
      <w:lvlJc w:val="left"/>
      <w:pPr>
        <w:ind w:left="6440" w:hanging="360"/>
      </w:pPr>
    </w:lvl>
    <w:lvl w:ilvl="8" w:tplc="0809001B" w:tentative="1">
      <w:start w:val="1"/>
      <w:numFmt w:val="lowerRoman"/>
      <w:lvlText w:val="%9."/>
      <w:lvlJc w:val="right"/>
      <w:pPr>
        <w:ind w:left="7160" w:hanging="180"/>
      </w:pPr>
    </w:lvl>
  </w:abstractNum>
  <w:abstractNum w:abstractNumId="12" w15:restartNumberingAfterBreak="0">
    <w:nsid w:val="185E0111"/>
    <w:multiLevelType w:val="hybridMultilevel"/>
    <w:tmpl w:val="45A2C036"/>
    <w:lvl w:ilvl="0" w:tplc="A818341A">
      <w:start w:val="1"/>
      <w:numFmt w:val="bullet"/>
      <w:pStyle w:val="Annotation"/>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8924D42"/>
    <w:multiLevelType w:val="singleLevel"/>
    <w:tmpl w:val="A6EE71F0"/>
    <w:lvl w:ilvl="0">
      <w:start w:val="1"/>
      <w:numFmt w:val="decimal"/>
      <w:lvlText w:val="%1."/>
      <w:lvlJc w:val="left"/>
      <w:pPr>
        <w:tabs>
          <w:tab w:val="num" w:pos="680"/>
        </w:tabs>
        <w:ind w:left="680" w:firstLine="0"/>
      </w:pPr>
      <w:rPr>
        <w:rFonts w:hint="default"/>
        <w:b w:val="0"/>
        <w:i w:val="0"/>
        <w:color w:val="auto"/>
        <w:sz w:val="22"/>
      </w:rPr>
    </w:lvl>
  </w:abstractNum>
  <w:abstractNum w:abstractNumId="14" w15:restartNumberingAfterBreak="0">
    <w:nsid w:val="1A990BA3"/>
    <w:multiLevelType w:val="hybridMultilevel"/>
    <w:tmpl w:val="54FE01BE"/>
    <w:lvl w:ilvl="0" w:tplc="771E15FA">
      <w:start w:val="1"/>
      <w:numFmt w:val="bullet"/>
      <w:lvlText w:val="o"/>
      <w:lvlJc w:val="left"/>
      <w:pPr>
        <w:tabs>
          <w:tab w:val="num" w:pos="340"/>
        </w:tabs>
        <w:ind w:left="1701" w:hanging="340"/>
      </w:pPr>
      <w:rPr>
        <w:rFonts w:ascii="Courier New" w:hAnsi="Courier New" w:hint="default"/>
      </w:rPr>
    </w:lvl>
    <w:lvl w:ilvl="1" w:tplc="8D94EB20">
      <w:start w:val="1"/>
      <w:numFmt w:val="bullet"/>
      <w:lvlText w:val="˗"/>
      <w:lvlJc w:val="left"/>
      <w:pPr>
        <w:tabs>
          <w:tab w:val="num" w:pos="340"/>
        </w:tabs>
        <w:ind w:left="2041" w:hanging="340"/>
      </w:pPr>
      <w:rPr>
        <w:rFonts w:ascii="Times New Roman" w:hAnsi="Times New Roman" w:cs="Times New Roman" w:hint="default"/>
      </w:rPr>
    </w:lvl>
    <w:lvl w:ilvl="2" w:tplc="07606A6A">
      <w:start w:val="1"/>
      <w:numFmt w:val="bullet"/>
      <w:lvlText w:val="˗"/>
      <w:lvlJc w:val="left"/>
      <w:pPr>
        <w:tabs>
          <w:tab w:val="num" w:pos="340"/>
        </w:tabs>
        <w:ind w:left="2381" w:hanging="340"/>
      </w:pPr>
      <w:rPr>
        <w:rFonts w:ascii="Times New Roman" w:hAnsi="Times New Roman" w:cs="Times New Roman" w:hint="default"/>
      </w:rPr>
    </w:lvl>
    <w:lvl w:ilvl="3" w:tplc="EC68E518">
      <w:start w:val="1"/>
      <w:numFmt w:val="bullet"/>
      <w:lvlText w:val="˗"/>
      <w:lvlJc w:val="left"/>
      <w:pPr>
        <w:tabs>
          <w:tab w:val="num" w:pos="340"/>
        </w:tabs>
        <w:ind w:left="2722" w:hanging="341"/>
      </w:pPr>
      <w:rPr>
        <w:rFonts w:ascii="Times New Roman" w:hAnsi="Times New Roman" w:cs="Times New Roman"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24FC1975"/>
    <w:multiLevelType w:val="hybridMultilevel"/>
    <w:tmpl w:val="0A1C45C2"/>
    <w:lvl w:ilvl="0" w:tplc="311A43F8">
      <w:start w:val="1"/>
      <w:numFmt w:val="decimal"/>
      <w:pStyle w:val="NumberedList"/>
      <w:lvlText w:val="%1."/>
      <w:lvlJc w:val="left"/>
      <w:pPr>
        <w:ind w:left="1361" w:hanging="340"/>
      </w:pPr>
      <w:rPr>
        <w:rFonts w:hint="default"/>
      </w:rPr>
    </w:lvl>
    <w:lvl w:ilvl="1" w:tplc="D08ACE40">
      <w:start w:val="1"/>
      <w:numFmt w:val="lowerLetter"/>
      <w:lvlText w:val="%2."/>
      <w:lvlJc w:val="left"/>
      <w:pPr>
        <w:tabs>
          <w:tab w:val="num" w:pos="340"/>
        </w:tabs>
        <w:ind w:left="1701" w:hanging="340"/>
      </w:pPr>
      <w:rPr>
        <w:rFonts w:hint="default"/>
      </w:rPr>
    </w:lvl>
    <w:lvl w:ilvl="2" w:tplc="5C104A16">
      <w:start w:val="1"/>
      <w:numFmt w:val="lowerRoman"/>
      <w:lvlText w:val="%3."/>
      <w:lvlJc w:val="right"/>
      <w:pPr>
        <w:ind w:left="2041" w:hanging="227"/>
      </w:pPr>
      <w:rPr>
        <w:rFonts w:hint="default"/>
      </w:rPr>
    </w:lvl>
    <w:lvl w:ilvl="3" w:tplc="1D6C3F34">
      <w:start w:val="1"/>
      <w:numFmt w:val="lowerLetter"/>
      <w:lvlText w:val="%4)"/>
      <w:lvlJc w:val="left"/>
      <w:pPr>
        <w:tabs>
          <w:tab w:val="num" w:pos="340"/>
        </w:tabs>
        <w:ind w:left="2381" w:hanging="340"/>
      </w:pPr>
      <w:rPr>
        <w:rFonts w:hint="default"/>
      </w:rPr>
    </w:lvl>
    <w:lvl w:ilvl="4" w:tplc="E28834E8">
      <w:start w:val="1"/>
      <w:numFmt w:val="decimal"/>
      <w:lvlText w:val="%5)"/>
      <w:lvlJc w:val="left"/>
      <w:pPr>
        <w:tabs>
          <w:tab w:val="num" w:pos="340"/>
        </w:tabs>
        <w:ind w:left="2722" w:hanging="341"/>
      </w:pPr>
      <w:rPr>
        <w:rFonts w:hint="default"/>
      </w:r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16" w15:restartNumberingAfterBreak="0">
    <w:nsid w:val="25A1521B"/>
    <w:multiLevelType w:val="hybridMultilevel"/>
    <w:tmpl w:val="43D6D330"/>
    <w:lvl w:ilvl="0" w:tplc="2272C7EC">
      <w:start w:val="1"/>
      <w:numFmt w:val="decimal"/>
      <w:lvlText w:val="%1."/>
      <w:lvlJc w:val="left"/>
      <w:pPr>
        <w:tabs>
          <w:tab w:val="num" w:pos="1400"/>
        </w:tabs>
        <w:ind w:left="680" w:firstLine="0"/>
      </w:pPr>
      <w:rPr>
        <w:rFonts w:hint="default"/>
      </w:rPr>
    </w:lvl>
    <w:lvl w:ilvl="1" w:tplc="08090019" w:tentative="1">
      <w:start w:val="1"/>
      <w:numFmt w:val="lowerLetter"/>
      <w:lvlText w:val="%2."/>
      <w:lvlJc w:val="left"/>
      <w:pPr>
        <w:ind w:left="2120" w:hanging="360"/>
      </w:pPr>
    </w:lvl>
    <w:lvl w:ilvl="2" w:tplc="0809001B" w:tentative="1">
      <w:start w:val="1"/>
      <w:numFmt w:val="lowerRoman"/>
      <w:lvlText w:val="%3."/>
      <w:lvlJc w:val="right"/>
      <w:pPr>
        <w:ind w:left="2840" w:hanging="180"/>
      </w:pPr>
    </w:lvl>
    <w:lvl w:ilvl="3" w:tplc="0809000F" w:tentative="1">
      <w:start w:val="1"/>
      <w:numFmt w:val="decimal"/>
      <w:lvlText w:val="%4."/>
      <w:lvlJc w:val="left"/>
      <w:pPr>
        <w:ind w:left="3560" w:hanging="360"/>
      </w:pPr>
    </w:lvl>
    <w:lvl w:ilvl="4" w:tplc="08090019" w:tentative="1">
      <w:start w:val="1"/>
      <w:numFmt w:val="lowerLetter"/>
      <w:lvlText w:val="%5."/>
      <w:lvlJc w:val="left"/>
      <w:pPr>
        <w:ind w:left="4280" w:hanging="360"/>
      </w:pPr>
    </w:lvl>
    <w:lvl w:ilvl="5" w:tplc="0809001B" w:tentative="1">
      <w:start w:val="1"/>
      <w:numFmt w:val="lowerRoman"/>
      <w:lvlText w:val="%6."/>
      <w:lvlJc w:val="right"/>
      <w:pPr>
        <w:ind w:left="5000" w:hanging="180"/>
      </w:pPr>
    </w:lvl>
    <w:lvl w:ilvl="6" w:tplc="0809000F" w:tentative="1">
      <w:start w:val="1"/>
      <w:numFmt w:val="decimal"/>
      <w:lvlText w:val="%7."/>
      <w:lvlJc w:val="left"/>
      <w:pPr>
        <w:ind w:left="5720" w:hanging="360"/>
      </w:pPr>
    </w:lvl>
    <w:lvl w:ilvl="7" w:tplc="08090019" w:tentative="1">
      <w:start w:val="1"/>
      <w:numFmt w:val="lowerLetter"/>
      <w:lvlText w:val="%8."/>
      <w:lvlJc w:val="left"/>
      <w:pPr>
        <w:ind w:left="6440" w:hanging="360"/>
      </w:pPr>
    </w:lvl>
    <w:lvl w:ilvl="8" w:tplc="0809001B" w:tentative="1">
      <w:start w:val="1"/>
      <w:numFmt w:val="lowerRoman"/>
      <w:lvlText w:val="%9."/>
      <w:lvlJc w:val="right"/>
      <w:pPr>
        <w:ind w:left="7160" w:hanging="180"/>
      </w:pPr>
    </w:lvl>
  </w:abstractNum>
  <w:abstractNum w:abstractNumId="17" w15:restartNumberingAfterBreak="0">
    <w:nsid w:val="2E7E516C"/>
    <w:multiLevelType w:val="hybridMultilevel"/>
    <w:tmpl w:val="7F6001FA"/>
    <w:lvl w:ilvl="0" w:tplc="5A8642C8">
      <w:start w:val="1"/>
      <w:numFmt w:val="decimal"/>
      <w:pStyle w:val="Para"/>
      <w:lvlText w:val="%1."/>
      <w:lvlJc w:val="left"/>
      <w:pPr>
        <w:ind w:left="1361" w:hanging="340"/>
      </w:pPr>
      <w:rPr>
        <w:rFonts w:hint="default"/>
      </w:rPr>
    </w:lvl>
    <w:lvl w:ilvl="1" w:tplc="BC78F91E">
      <w:start w:val="1"/>
      <w:numFmt w:val="lowerLetter"/>
      <w:lvlText w:val="%2."/>
      <w:lvlJc w:val="left"/>
      <w:pPr>
        <w:tabs>
          <w:tab w:val="num" w:pos="340"/>
        </w:tabs>
        <w:ind w:left="1701" w:hanging="340"/>
      </w:pPr>
      <w:rPr>
        <w:rFonts w:hint="default"/>
      </w:rPr>
    </w:lvl>
    <w:lvl w:ilvl="2" w:tplc="AE904AC6">
      <w:start w:val="1"/>
      <w:numFmt w:val="lowerRoman"/>
      <w:lvlText w:val="%3."/>
      <w:lvlJc w:val="right"/>
      <w:pPr>
        <w:ind w:left="2041" w:hanging="227"/>
      </w:pPr>
      <w:rPr>
        <w:rFonts w:hint="default"/>
      </w:rPr>
    </w:lvl>
    <w:lvl w:ilvl="3" w:tplc="6B96D124">
      <w:start w:val="1"/>
      <w:numFmt w:val="lowerLetter"/>
      <w:lvlText w:val="%4)"/>
      <w:lvlJc w:val="left"/>
      <w:pPr>
        <w:tabs>
          <w:tab w:val="num" w:pos="340"/>
        </w:tabs>
        <w:ind w:left="2381" w:hanging="340"/>
      </w:pPr>
      <w:rPr>
        <w:rFonts w:hint="default"/>
      </w:rPr>
    </w:lvl>
    <w:lvl w:ilvl="4" w:tplc="F7D072C6">
      <w:start w:val="1"/>
      <w:numFmt w:val="decimal"/>
      <w:lvlText w:val="%5)"/>
      <w:lvlJc w:val="left"/>
      <w:pPr>
        <w:tabs>
          <w:tab w:val="num" w:pos="340"/>
        </w:tabs>
        <w:ind w:left="2722" w:hanging="341"/>
      </w:pPr>
      <w:rPr>
        <w:rFonts w:hint="default"/>
      </w:r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408D2A51"/>
    <w:multiLevelType w:val="hybridMultilevel"/>
    <w:tmpl w:val="8DF8D546"/>
    <w:lvl w:ilvl="0" w:tplc="6CEACD90">
      <w:start w:val="1"/>
      <w:numFmt w:val="bullet"/>
      <w:pStyle w:val="GroupHeading"/>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75F566E"/>
    <w:multiLevelType w:val="multilevel"/>
    <w:tmpl w:val="45867C1E"/>
    <w:lvl w:ilvl="0">
      <w:start w:val="1"/>
      <w:numFmt w:val="decimal"/>
      <w:suff w:val="space"/>
      <w:lvlText w:val="%1. "/>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680" w:firstLine="0"/>
      </w:pPr>
      <w:rPr>
        <w:rFonts w:hint="default"/>
      </w:rPr>
    </w:lvl>
    <w:lvl w:ilvl="3">
      <w:start w:val="1"/>
      <w:numFmt w:val="none"/>
      <w:suff w:val="nothing"/>
      <w:lvlText w:val=""/>
      <w:lvlJc w:val="left"/>
      <w:pPr>
        <w:ind w:left="680" w:firstLine="0"/>
      </w:pPr>
      <w:rPr>
        <w:rFonts w:hint="default"/>
      </w:rPr>
    </w:lvl>
    <w:lvl w:ilvl="4">
      <w:start w:val="1"/>
      <w:numFmt w:val="none"/>
      <w:suff w:val="nothing"/>
      <w:lvlText w:val=""/>
      <w:lvlJc w:val="left"/>
      <w:pPr>
        <w:ind w:left="851" w:firstLine="0"/>
      </w:pPr>
      <w:rPr>
        <w:rFonts w:hint="default"/>
      </w:rPr>
    </w:lvl>
    <w:lvl w:ilvl="5">
      <w:start w:val="1"/>
      <w:numFmt w:val="upperRoman"/>
      <w:lvlRestart w:val="0"/>
      <w:suff w:val="space"/>
      <w:lvlText w:val="Part %6."/>
      <w:lvlJc w:val="left"/>
      <w:pPr>
        <w:ind w:left="0" w:firstLine="0"/>
      </w:pPr>
      <w:rPr>
        <w:rFonts w:hint="default"/>
      </w:rPr>
    </w:lvl>
    <w:lvl w:ilvl="6">
      <w:start w:val="1"/>
      <w:numFmt w:val="upperLetter"/>
      <w:lvlRestart w:val="0"/>
      <w:suff w:val="space"/>
      <w:lvlText w:val="Annex %7."/>
      <w:lvlJc w:val="left"/>
      <w:pPr>
        <w:ind w:left="0" w:firstLine="0"/>
      </w:pPr>
      <w:rPr>
        <w:rFonts w:hint="default"/>
      </w:rPr>
    </w:lvl>
    <w:lvl w:ilvl="7">
      <w:start w:val="1"/>
      <w:numFmt w:val="upperLetter"/>
      <w:lvlRestart w:val="6"/>
      <w:suff w:val="space"/>
      <w:lvlText w:val="Annex %6.%8."/>
      <w:lvlJc w:val="left"/>
      <w:pPr>
        <w:ind w:left="0" w:firstLine="0"/>
      </w:pPr>
      <w:rPr>
        <w:rFonts w:hint="default"/>
      </w:rPr>
    </w:lvl>
    <w:lvl w:ilvl="8">
      <w:start w:val="1"/>
      <w:numFmt w:val="upperLetter"/>
      <w:lvlRestart w:val="1"/>
      <w:suff w:val="space"/>
      <w:lvlText w:val="Annex %1.%9."/>
      <w:lvlJc w:val="left"/>
      <w:pPr>
        <w:ind w:left="0" w:firstLine="0"/>
      </w:pPr>
      <w:rPr>
        <w:rFonts w:hint="default"/>
      </w:rPr>
    </w:lvl>
  </w:abstractNum>
  <w:abstractNum w:abstractNumId="20" w15:restartNumberingAfterBreak="0">
    <w:nsid w:val="4C220B75"/>
    <w:multiLevelType w:val="multilevel"/>
    <w:tmpl w:val="E466D48E"/>
    <w:lvl w:ilvl="0">
      <w:start w:val="1"/>
      <w:numFmt w:val="decimal"/>
      <w:pStyle w:val="Heading1"/>
      <w:suff w:val="space"/>
      <w:lvlText w:val="%1."/>
      <w:lvlJc w:val="left"/>
      <w:pPr>
        <w:ind w:left="0" w:firstLine="0"/>
      </w:pPr>
      <w:rPr>
        <w:rFonts w:hint="default"/>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680" w:firstLine="0"/>
      </w:pPr>
      <w:rPr>
        <w:rFonts w:hint="default"/>
      </w:rPr>
    </w:lvl>
    <w:lvl w:ilvl="3">
      <w:start w:val="1"/>
      <w:numFmt w:val="none"/>
      <w:pStyle w:val="Heading4"/>
      <w:suff w:val="nothing"/>
      <w:lvlText w:val=""/>
      <w:lvlJc w:val="left"/>
      <w:pPr>
        <w:ind w:left="680" w:firstLine="0"/>
      </w:pPr>
      <w:rPr>
        <w:rFonts w:hint="default"/>
      </w:rPr>
    </w:lvl>
    <w:lvl w:ilvl="4">
      <w:start w:val="1"/>
      <w:numFmt w:val="none"/>
      <w:pStyle w:val="Heading5"/>
      <w:suff w:val="nothing"/>
      <w:lvlText w:val=""/>
      <w:lvlJc w:val="left"/>
      <w:pPr>
        <w:ind w:left="680" w:firstLine="0"/>
      </w:pPr>
      <w:rPr>
        <w:rFonts w:hint="default"/>
      </w:rPr>
    </w:lvl>
    <w:lvl w:ilvl="5">
      <w:start w:val="1"/>
      <w:numFmt w:val="none"/>
      <w:pStyle w:val="Heading6"/>
      <w:suff w:val="nothing"/>
      <w:lvlText w:val=""/>
      <w:lvlJc w:val="left"/>
      <w:pPr>
        <w:ind w:left="680" w:firstLine="0"/>
      </w:pPr>
      <w:rPr>
        <w:rFonts w:hint="default"/>
      </w:rPr>
    </w:lvl>
    <w:lvl w:ilvl="6">
      <w:start w:val="1"/>
      <w:numFmt w:val="upperLetter"/>
      <w:lvlRestart w:val="0"/>
      <w:pStyle w:val="Heading7"/>
      <w:suff w:val="space"/>
      <w:lvlText w:val="Annex %7."/>
      <w:lvlJc w:val="center"/>
      <w:pPr>
        <w:ind w:left="0" w:firstLine="288"/>
      </w:pPr>
      <w:rPr>
        <w:rFonts w:hint="default"/>
      </w:rPr>
    </w:lvl>
    <w:lvl w:ilvl="7">
      <w:start w:val="1"/>
      <w:numFmt w:val="none"/>
      <w:pStyle w:val="Heading8"/>
      <w:suff w:val="nothing"/>
      <w:lvlText w:val=""/>
      <w:lvlJc w:val="left"/>
      <w:pPr>
        <w:ind w:left="680" w:firstLine="0"/>
      </w:pPr>
      <w:rPr>
        <w:rFonts w:hint="default"/>
      </w:rPr>
    </w:lvl>
    <w:lvl w:ilvl="8">
      <w:start w:val="1"/>
      <w:numFmt w:val="none"/>
      <w:suff w:val="nothing"/>
      <w:lvlText w:val=""/>
      <w:lvlJc w:val="left"/>
      <w:pPr>
        <w:ind w:left="680" w:firstLine="0"/>
      </w:pPr>
      <w:rPr>
        <w:rFonts w:hint="default"/>
      </w:rPr>
    </w:lvl>
  </w:abstractNum>
  <w:abstractNum w:abstractNumId="21" w15:restartNumberingAfterBreak="0">
    <w:nsid w:val="5176726A"/>
    <w:multiLevelType w:val="hybridMultilevel"/>
    <w:tmpl w:val="80140844"/>
    <w:lvl w:ilvl="0" w:tplc="39446FCA">
      <w:start w:val="1"/>
      <w:numFmt w:val="bullet"/>
      <w:pStyle w:val="BulletedList"/>
      <w:lvlText w:val=""/>
      <w:lvlJc w:val="left"/>
      <w:pPr>
        <w:tabs>
          <w:tab w:val="num" w:pos="340"/>
        </w:tabs>
        <w:ind w:left="1361" w:hanging="340"/>
      </w:pPr>
      <w:rPr>
        <w:rFonts w:ascii="Symbol" w:hAnsi="Symbol" w:hint="default"/>
      </w:rPr>
    </w:lvl>
    <w:lvl w:ilvl="1" w:tplc="0254B86C">
      <w:start w:val="1"/>
      <w:numFmt w:val="bullet"/>
      <w:lvlText w:val="o"/>
      <w:lvlJc w:val="left"/>
      <w:pPr>
        <w:tabs>
          <w:tab w:val="num" w:pos="340"/>
        </w:tabs>
        <w:ind w:left="1701" w:hanging="340"/>
      </w:pPr>
      <w:rPr>
        <w:rFonts w:ascii="Courier New" w:hAnsi="Courier New" w:hint="default"/>
      </w:rPr>
    </w:lvl>
    <w:lvl w:ilvl="2" w:tplc="3FCCEC2E">
      <w:start w:val="1"/>
      <w:numFmt w:val="bullet"/>
      <w:lvlText w:val="‒"/>
      <w:lvlJc w:val="left"/>
      <w:pPr>
        <w:tabs>
          <w:tab w:val="num" w:pos="340"/>
        </w:tabs>
        <w:ind w:left="2041" w:hanging="340"/>
      </w:pPr>
      <w:rPr>
        <w:rFonts w:ascii="Calibri" w:hAnsi="Calibri" w:hint="default"/>
      </w:rPr>
    </w:lvl>
    <w:lvl w:ilvl="3" w:tplc="1B2CDE76">
      <w:start w:val="1"/>
      <w:numFmt w:val="bullet"/>
      <w:lvlText w:val="‒"/>
      <w:lvlJc w:val="left"/>
      <w:pPr>
        <w:tabs>
          <w:tab w:val="num" w:pos="340"/>
        </w:tabs>
        <w:ind w:left="2381" w:hanging="340"/>
      </w:pPr>
      <w:rPr>
        <w:rFonts w:ascii="Calibri" w:hAnsi="Calibri" w:hint="default"/>
      </w:rPr>
    </w:lvl>
    <w:lvl w:ilvl="4" w:tplc="EB20ACEC">
      <w:start w:val="1"/>
      <w:numFmt w:val="bullet"/>
      <w:lvlText w:val="‒"/>
      <w:lvlJc w:val="left"/>
      <w:pPr>
        <w:tabs>
          <w:tab w:val="num" w:pos="340"/>
        </w:tabs>
        <w:ind w:left="2722" w:hanging="341"/>
      </w:pPr>
      <w:rPr>
        <w:rFonts w:ascii="Calibri" w:hAnsi="Calibri"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2" w15:restartNumberingAfterBreak="0">
    <w:nsid w:val="6C5254DB"/>
    <w:multiLevelType w:val="hybridMultilevel"/>
    <w:tmpl w:val="79F6501C"/>
    <w:lvl w:ilvl="0" w:tplc="771E15FA">
      <w:start w:val="1"/>
      <w:numFmt w:val="bullet"/>
      <w:lvlText w:val="o"/>
      <w:lvlJc w:val="left"/>
      <w:pPr>
        <w:tabs>
          <w:tab w:val="num" w:pos="340"/>
        </w:tabs>
        <w:ind w:left="1701" w:hanging="340"/>
      </w:pPr>
      <w:rPr>
        <w:rFonts w:ascii="Courier New" w:hAnsi="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735C5AB7"/>
    <w:multiLevelType w:val="hybridMultilevel"/>
    <w:tmpl w:val="7548BF20"/>
    <w:lvl w:ilvl="0" w:tplc="37F2CDEC">
      <w:start w:val="1"/>
      <w:numFmt w:val="bullet"/>
      <w:lvlText w:val=""/>
      <w:lvlJc w:val="left"/>
      <w:pPr>
        <w:tabs>
          <w:tab w:val="num" w:pos="340"/>
        </w:tabs>
        <w:ind w:left="1361" w:hanging="340"/>
      </w:pPr>
      <w:rPr>
        <w:rFonts w:ascii="Symbol" w:hAnsi="Symbol" w:hint="default"/>
      </w:rPr>
    </w:lvl>
    <w:lvl w:ilvl="1" w:tplc="5D76F430">
      <w:start w:val="1"/>
      <w:numFmt w:val="bullet"/>
      <w:lvlText w:val="o"/>
      <w:lvlJc w:val="left"/>
      <w:pPr>
        <w:tabs>
          <w:tab w:val="num" w:pos="340"/>
        </w:tabs>
        <w:ind w:left="1701" w:hanging="340"/>
      </w:pPr>
      <w:rPr>
        <w:rFonts w:ascii="Courier New" w:hAnsi="Courier New" w:hint="default"/>
      </w:rPr>
    </w:lvl>
    <w:lvl w:ilvl="2" w:tplc="F6E2001C">
      <w:start w:val="1"/>
      <w:numFmt w:val="bullet"/>
      <w:lvlText w:val="˗"/>
      <w:lvlJc w:val="left"/>
      <w:pPr>
        <w:tabs>
          <w:tab w:val="num" w:pos="340"/>
        </w:tabs>
        <w:ind w:left="2041" w:hanging="340"/>
      </w:pPr>
      <w:rPr>
        <w:rFonts w:ascii="Times New Roman" w:hAnsi="Times New Roman" w:cs="Times New Roman" w:hint="default"/>
      </w:rPr>
    </w:lvl>
    <w:lvl w:ilvl="3" w:tplc="FD7E6002">
      <w:start w:val="1"/>
      <w:numFmt w:val="bullet"/>
      <w:lvlText w:val="˗"/>
      <w:lvlJc w:val="left"/>
      <w:pPr>
        <w:tabs>
          <w:tab w:val="num" w:pos="340"/>
        </w:tabs>
        <w:ind w:left="2381" w:hanging="340"/>
      </w:pPr>
      <w:rPr>
        <w:rFonts w:ascii="Times New Roman" w:hAnsi="Times New Roman" w:cs="Times New Roman" w:hint="default"/>
      </w:rPr>
    </w:lvl>
    <w:lvl w:ilvl="4" w:tplc="B6D4948C">
      <w:start w:val="1"/>
      <w:numFmt w:val="bullet"/>
      <w:lvlText w:val="˗"/>
      <w:lvlJc w:val="left"/>
      <w:pPr>
        <w:tabs>
          <w:tab w:val="num" w:pos="340"/>
        </w:tabs>
        <w:ind w:left="2722" w:hanging="341"/>
      </w:pPr>
      <w:rPr>
        <w:rFonts w:ascii="Times New Roman" w:hAnsi="Times New Roman" w:cs="Times New Roman"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pStyle w:val="Heading9"/>
      <w:lvlText w:val=""/>
      <w:lvlJc w:val="left"/>
      <w:pPr>
        <w:ind w:left="7200" w:hanging="360"/>
      </w:pPr>
      <w:rPr>
        <w:rFonts w:ascii="Wingdings" w:hAnsi="Wingdings" w:hint="default"/>
      </w:rPr>
    </w:lvl>
  </w:abstractNum>
  <w:abstractNum w:abstractNumId="24" w15:restartNumberingAfterBreak="0">
    <w:nsid w:val="7D4460C7"/>
    <w:multiLevelType w:val="hybridMultilevel"/>
    <w:tmpl w:val="161A4496"/>
    <w:lvl w:ilvl="0" w:tplc="37F2CDEC">
      <w:start w:val="1"/>
      <w:numFmt w:val="bullet"/>
      <w:lvlText w:val=""/>
      <w:lvlJc w:val="left"/>
      <w:pPr>
        <w:tabs>
          <w:tab w:val="num" w:pos="340"/>
        </w:tabs>
        <w:ind w:left="1361" w:hanging="340"/>
      </w:pPr>
      <w:rPr>
        <w:rFonts w:ascii="Symbol" w:hAnsi="Symbol" w:hint="default"/>
      </w:rPr>
    </w:lvl>
    <w:lvl w:ilvl="1" w:tplc="5D76F430">
      <w:start w:val="1"/>
      <w:numFmt w:val="bullet"/>
      <w:lvlText w:val="o"/>
      <w:lvlJc w:val="left"/>
      <w:pPr>
        <w:tabs>
          <w:tab w:val="num" w:pos="340"/>
        </w:tabs>
        <w:ind w:left="1701" w:hanging="340"/>
      </w:pPr>
      <w:rPr>
        <w:rFonts w:ascii="Courier New" w:hAnsi="Courier New" w:hint="default"/>
      </w:rPr>
    </w:lvl>
    <w:lvl w:ilvl="2" w:tplc="9A82E12C">
      <w:start w:val="1"/>
      <w:numFmt w:val="bullet"/>
      <w:lvlText w:val="˗"/>
      <w:lvlJc w:val="left"/>
      <w:pPr>
        <w:tabs>
          <w:tab w:val="num" w:pos="340"/>
        </w:tabs>
        <w:ind w:left="2041" w:hanging="340"/>
      </w:pPr>
      <w:rPr>
        <w:rFonts w:ascii="Times New Roman" w:hAnsi="Times New Roman" w:cs="Times New Roman" w:hint="default"/>
      </w:rPr>
    </w:lvl>
    <w:lvl w:ilvl="3" w:tplc="8D94EB20">
      <w:start w:val="1"/>
      <w:numFmt w:val="bullet"/>
      <w:lvlText w:val="˗"/>
      <w:lvlJc w:val="left"/>
      <w:pPr>
        <w:tabs>
          <w:tab w:val="num" w:pos="340"/>
        </w:tabs>
        <w:ind w:left="2381" w:hanging="340"/>
      </w:pPr>
      <w:rPr>
        <w:rFonts w:ascii="Times New Roman" w:hAnsi="Times New Roman" w:cs="Times New Roman" w:hint="default"/>
      </w:rPr>
    </w:lvl>
    <w:lvl w:ilvl="4" w:tplc="0DC21356">
      <w:start w:val="1"/>
      <w:numFmt w:val="bullet"/>
      <w:lvlText w:val="˗"/>
      <w:lvlJc w:val="left"/>
      <w:pPr>
        <w:tabs>
          <w:tab w:val="num" w:pos="340"/>
        </w:tabs>
        <w:ind w:left="2722" w:hanging="341"/>
      </w:pPr>
      <w:rPr>
        <w:rFonts w:ascii="Times New Roman" w:hAnsi="Times New Roman" w:cs="Times New Roman"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7"/>
  </w:num>
  <w:num w:numId="13">
    <w:abstractNumId w:val="23"/>
  </w:num>
  <w:num w:numId="14">
    <w:abstractNumId w:val="23"/>
    <w:lvlOverride w:ilvl="0">
      <w:startOverride w:val="1"/>
    </w:lvlOverride>
  </w:num>
  <w:num w:numId="15">
    <w:abstractNumId w:val="22"/>
  </w:num>
  <w:num w:numId="16">
    <w:abstractNumId w:val="10"/>
  </w:num>
  <w:num w:numId="17">
    <w:abstractNumId w:val="14"/>
  </w:num>
  <w:num w:numId="18">
    <w:abstractNumId w:val="24"/>
  </w:num>
  <w:num w:numId="19">
    <w:abstractNumId w:val="12"/>
  </w:num>
  <w:num w:numId="20">
    <w:abstractNumId w:val="18"/>
  </w:num>
  <w:num w:numId="21">
    <w:abstractNumId w:val="11"/>
  </w:num>
  <w:num w:numId="22">
    <w:abstractNumId w:val="19"/>
  </w:num>
  <w:num w:numId="23">
    <w:abstractNumId w:val="15"/>
  </w:num>
  <w:num w:numId="24">
    <w:abstractNumId w:val="21"/>
  </w:num>
  <w:num w:numId="25">
    <w:abstractNumId w:val="20"/>
  </w:num>
  <w:num w:numId="26">
    <w:abstractNumId w:val="20"/>
  </w:num>
  <w:num w:numId="27">
    <w:abstractNumId w:val="20"/>
  </w:num>
  <w:num w:numId="28">
    <w:abstractNumId w:val="20"/>
  </w:num>
  <w:num w:numId="29">
    <w:abstractNumId w:val="20"/>
  </w:num>
  <w:num w:numId="30">
    <w:abstractNumId w:val="20"/>
  </w:num>
  <w:num w:numId="31">
    <w:abstractNumId w:val="20"/>
  </w:num>
  <w:num w:numId="32">
    <w:abstractNumId w:val="20"/>
  </w:num>
  <w:num w:numId="33">
    <w:abstractNumId w:val="13"/>
  </w:num>
  <w:num w:numId="34">
    <w:abstractNumId w:val="21"/>
  </w:num>
  <w:num w:numId="35">
    <w:abstractNumId w:val="15"/>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attachedTemplate r:id="rId1"/>
  <w:stylePaneSortMethod w:val="0000"/>
  <w:defaultTabStop w:val="720"/>
  <w:evenAndOddHeaders/>
  <w:characterSpacingControl w:val="doNotCompress"/>
  <w:hdrShapeDefaults>
    <o:shapedefaults v:ext="edit" spidmax="30721"/>
  </w:hdrShapeDefaults>
  <w:footnotePr>
    <w:footnote w:id="-1"/>
    <w:footnote w:id="0"/>
  </w:footnotePr>
  <w:endnotePr>
    <w:pos w:val="sectEnd"/>
    <w:numFmt w:val="decimal"/>
    <w:numRestart w:val="eachSect"/>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ECDDocumentId" w:val="F7EBB0F3F2E0F60F391A740925C16C51A1320607A5AB2EF1E0A2CCD4F8DA7770"/>
    <w:docVar w:name="OECDKappaEnrichment" w:val="Online"/>
    <w:docVar w:name="OECDTemplateLocation" w:val="W:\Office2016\Workgroup Templates"/>
    <w:docVar w:name="OECDTemplateName" w:val="ONE Author.dotx"/>
    <w:docVar w:name="OECDTemplateVersion" w:val="2.01"/>
  </w:docVars>
  <w:rsids>
    <w:rsidRoot w:val="00F820B1"/>
    <w:rsid w:val="00010BFE"/>
    <w:rsid w:val="00024178"/>
    <w:rsid w:val="00030E8C"/>
    <w:rsid w:val="0004402D"/>
    <w:rsid w:val="0004545F"/>
    <w:rsid w:val="000454E8"/>
    <w:rsid w:val="0005102C"/>
    <w:rsid w:val="00052575"/>
    <w:rsid w:val="00052588"/>
    <w:rsid w:val="000542B8"/>
    <w:rsid w:val="00055124"/>
    <w:rsid w:val="00064C7A"/>
    <w:rsid w:val="0007759B"/>
    <w:rsid w:val="00085197"/>
    <w:rsid w:val="00096C6D"/>
    <w:rsid w:val="000B74AE"/>
    <w:rsid w:val="000C1DF4"/>
    <w:rsid w:val="000C543C"/>
    <w:rsid w:val="000D4550"/>
    <w:rsid w:val="000D759D"/>
    <w:rsid w:val="000D7FFC"/>
    <w:rsid w:val="000E70A1"/>
    <w:rsid w:val="000F582E"/>
    <w:rsid w:val="000F68AF"/>
    <w:rsid w:val="000F7CCA"/>
    <w:rsid w:val="00100D5F"/>
    <w:rsid w:val="00101323"/>
    <w:rsid w:val="00111592"/>
    <w:rsid w:val="00111A19"/>
    <w:rsid w:val="00111AC8"/>
    <w:rsid w:val="00121740"/>
    <w:rsid w:val="00132E78"/>
    <w:rsid w:val="0013698F"/>
    <w:rsid w:val="0015065F"/>
    <w:rsid w:val="00183469"/>
    <w:rsid w:val="00192BE9"/>
    <w:rsid w:val="001B2FAD"/>
    <w:rsid w:val="001B4E01"/>
    <w:rsid w:val="001C488F"/>
    <w:rsid w:val="001C4B7D"/>
    <w:rsid w:val="001D4E20"/>
    <w:rsid w:val="001D604B"/>
    <w:rsid w:val="001D74D6"/>
    <w:rsid w:val="00202409"/>
    <w:rsid w:val="00203113"/>
    <w:rsid w:val="0020320D"/>
    <w:rsid w:val="0021207C"/>
    <w:rsid w:val="00213013"/>
    <w:rsid w:val="00222812"/>
    <w:rsid w:val="00224AC3"/>
    <w:rsid w:val="002368E5"/>
    <w:rsid w:val="0025481A"/>
    <w:rsid w:val="002565E1"/>
    <w:rsid w:val="00263627"/>
    <w:rsid w:val="00296697"/>
    <w:rsid w:val="00296CE1"/>
    <w:rsid w:val="002A226D"/>
    <w:rsid w:val="002A4E9D"/>
    <w:rsid w:val="002B353F"/>
    <w:rsid w:val="002C1DD6"/>
    <w:rsid w:val="002E2202"/>
    <w:rsid w:val="002F0BDA"/>
    <w:rsid w:val="002F3A06"/>
    <w:rsid w:val="002F605B"/>
    <w:rsid w:val="00305C43"/>
    <w:rsid w:val="00310601"/>
    <w:rsid w:val="00320703"/>
    <w:rsid w:val="003212E5"/>
    <w:rsid w:val="00323108"/>
    <w:rsid w:val="00326CAE"/>
    <w:rsid w:val="00331C77"/>
    <w:rsid w:val="00331DD0"/>
    <w:rsid w:val="00333261"/>
    <w:rsid w:val="00347AA2"/>
    <w:rsid w:val="00351B72"/>
    <w:rsid w:val="0035293B"/>
    <w:rsid w:val="003710B1"/>
    <w:rsid w:val="00381AB2"/>
    <w:rsid w:val="00386A4E"/>
    <w:rsid w:val="00386F03"/>
    <w:rsid w:val="003957E7"/>
    <w:rsid w:val="003A3A69"/>
    <w:rsid w:val="003A72FB"/>
    <w:rsid w:val="003B0FCE"/>
    <w:rsid w:val="003B237F"/>
    <w:rsid w:val="003B2EF0"/>
    <w:rsid w:val="003B42F8"/>
    <w:rsid w:val="003C5187"/>
    <w:rsid w:val="003C5A74"/>
    <w:rsid w:val="003D283F"/>
    <w:rsid w:val="003E0362"/>
    <w:rsid w:val="003E67C1"/>
    <w:rsid w:val="003E7235"/>
    <w:rsid w:val="003F0294"/>
    <w:rsid w:val="00407712"/>
    <w:rsid w:val="004230BA"/>
    <w:rsid w:val="004234CE"/>
    <w:rsid w:val="004243B4"/>
    <w:rsid w:val="00433CFA"/>
    <w:rsid w:val="004348F1"/>
    <w:rsid w:val="00440FA5"/>
    <w:rsid w:val="00444C08"/>
    <w:rsid w:val="00445042"/>
    <w:rsid w:val="004529B7"/>
    <w:rsid w:val="00452DA0"/>
    <w:rsid w:val="00456E03"/>
    <w:rsid w:val="0046201C"/>
    <w:rsid w:val="004622CF"/>
    <w:rsid w:val="004951F4"/>
    <w:rsid w:val="004A00A8"/>
    <w:rsid w:val="004B33A7"/>
    <w:rsid w:val="004B7B10"/>
    <w:rsid w:val="004D5A20"/>
    <w:rsid w:val="004E100F"/>
    <w:rsid w:val="004E4993"/>
    <w:rsid w:val="004E617D"/>
    <w:rsid w:val="004F0922"/>
    <w:rsid w:val="004F6CB7"/>
    <w:rsid w:val="005011D9"/>
    <w:rsid w:val="005059C6"/>
    <w:rsid w:val="00511263"/>
    <w:rsid w:val="005140D7"/>
    <w:rsid w:val="00523806"/>
    <w:rsid w:val="00524708"/>
    <w:rsid w:val="00524825"/>
    <w:rsid w:val="0052749E"/>
    <w:rsid w:val="00530AB1"/>
    <w:rsid w:val="00534FF8"/>
    <w:rsid w:val="00536A6B"/>
    <w:rsid w:val="00543135"/>
    <w:rsid w:val="005527A6"/>
    <w:rsid w:val="0056606B"/>
    <w:rsid w:val="00567146"/>
    <w:rsid w:val="00575855"/>
    <w:rsid w:val="00593D13"/>
    <w:rsid w:val="005A0A55"/>
    <w:rsid w:val="005A4A42"/>
    <w:rsid w:val="005B734D"/>
    <w:rsid w:val="005C3E87"/>
    <w:rsid w:val="005E3782"/>
    <w:rsid w:val="006128C8"/>
    <w:rsid w:val="00622E0C"/>
    <w:rsid w:val="006304BF"/>
    <w:rsid w:val="00640529"/>
    <w:rsid w:val="00644510"/>
    <w:rsid w:val="00647C54"/>
    <w:rsid w:val="0065698B"/>
    <w:rsid w:val="00664748"/>
    <w:rsid w:val="006B38E2"/>
    <w:rsid w:val="006B72EC"/>
    <w:rsid w:val="006C7B61"/>
    <w:rsid w:val="006D2B23"/>
    <w:rsid w:val="0070033F"/>
    <w:rsid w:val="00702780"/>
    <w:rsid w:val="0071471F"/>
    <w:rsid w:val="00727DF5"/>
    <w:rsid w:val="007323ED"/>
    <w:rsid w:val="00733ED1"/>
    <w:rsid w:val="00735C39"/>
    <w:rsid w:val="00735CDF"/>
    <w:rsid w:val="0075179D"/>
    <w:rsid w:val="00753095"/>
    <w:rsid w:val="00753EEE"/>
    <w:rsid w:val="007712AC"/>
    <w:rsid w:val="007728F4"/>
    <w:rsid w:val="007823FE"/>
    <w:rsid w:val="007836B4"/>
    <w:rsid w:val="00787564"/>
    <w:rsid w:val="007A3128"/>
    <w:rsid w:val="007C0B8E"/>
    <w:rsid w:val="007C3714"/>
    <w:rsid w:val="007C5340"/>
    <w:rsid w:val="007D21CF"/>
    <w:rsid w:val="007D77CA"/>
    <w:rsid w:val="007E7F46"/>
    <w:rsid w:val="007F41F9"/>
    <w:rsid w:val="0081269E"/>
    <w:rsid w:val="008127CA"/>
    <w:rsid w:val="008230ED"/>
    <w:rsid w:val="00825BF9"/>
    <w:rsid w:val="008327C5"/>
    <w:rsid w:val="008334A7"/>
    <w:rsid w:val="00833FF5"/>
    <w:rsid w:val="008460B0"/>
    <w:rsid w:val="00846824"/>
    <w:rsid w:val="008566CB"/>
    <w:rsid w:val="008619DC"/>
    <w:rsid w:val="00882314"/>
    <w:rsid w:val="0089068C"/>
    <w:rsid w:val="008C38B5"/>
    <w:rsid w:val="008C5973"/>
    <w:rsid w:val="008D330E"/>
    <w:rsid w:val="008D611D"/>
    <w:rsid w:val="008D76DE"/>
    <w:rsid w:val="008E0227"/>
    <w:rsid w:val="008E2F63"/>
    <w:rsid w:val="008E2F6C"/>
    <w:rsid w:val="008F0F36"/>
    <w:rsid w:val="008F6F27"/>
    <w:rsid w:val="008F7A96"/>
    <w:rsid w:val="00916BDE"/>
    <w:rsid w:val="0092327D"/>
    <w:rsid w:val="00925E8F"/>
    <w:rsid w:val="009321E4"/>
    <w:rsid w:val="00943271"/>
    <w:rsid w:val="00961C60"/>
    <w:rsid w:val="00980EC8"/>
    <w:rsid w:val="0099203B"/>
    <w:rsid w:val="00992AB5"/>
    <w:rsid w:val="009A3363"/>
    <w:rsid w:val="009A4284"/>
    <w:rsid w:val="009A6BE6"/>
    <w:rsid w:val="009D0A30"/>
    <w:rsid w:val="009D0EC4"/>
    <w:rsid w:val="009D6989"/>
    <w:rsid w:val="009E3337"/>
    <w:rsid w:val="00A002BC"/>
    <w:rsid w:val="00A06737"/>
    <w:rsid w:val="00A07587"/>
    <w:rsid w:val="00A07625"/>
    <w:rsid w:val="00A12B7B"/>
    <w:rsid w:val="00A1391B"/>
    <w:rsid w:val="00A1735A"/>
    <w:rsid w:val="00A20A38"/>
    <w:rsid w:val="00A21E27"/>
    <w:rsid w:val="00A30313"/>
    <w:rsid w:val="00A33D14"/>
    <w:rsid w:val="00A506C1"/>
    <w:rsid w:val="00A670A8"/>
    <w:rsid w:val="00A752EA"/>
    <w:rsid w:val="00A76C82"/>
    <w:rsid w:val="00A92F3D"/>
    <w:rsid w:val="00A961E9"/>
    <w:rsid w:val="00AA1AC9"/>
    <w:rsid w:val="00AB4527"/>
    <w:rsid w:val="00AB5EBF"/>
    <w:rsid w:val="00AB6928"/>
    <w:rsid w:val="00AD08D5"/>
    <w:rsid w:val="00AD3D94"/>
    <w:rsid w:val="00AE272C"/>
    <w:rsid w:val="00AE48DF"/>
    <w:rsid w:val="00B0250B"/>
    <w:rsid w:val="00B06F1E"/>
    <w:rsid w:val="00B11E2C"/>
    <w:rsid w:val="00B16E93"/>
    <w:rsid w:val="00B263B2"/>
    <w:rsid w:val="00B34036"/>
    <w:rsid w:val="00B46C8D"/>
    <w:rsid w:val="00B608D5"/>
    <w:rsid w:val="00B62115"/>
    <w:rsid w:val="00B66B2E"/>
    <w:rsid w:val="00B67859"/>
    <w:rsid w:val="00B85666"/>
    <w:rsid w:val="00BB2959"/>
    <w:rsid w:val="00BD24F2"/>
    <w:rsid w:val="00BD584D"/>
    <w:rsid w:val="00BF53D8"/>
    <w:rsid w:val="00C024BA"/>
    <w:rsid w:val="00C26DD0"/>
    <w:rsid w:val="00C3172F"/>
    <w:rsid w:val="00C5548F"/>
    <w:rsid w:val="00C611FD"/>
    <w:rsid w:val="00C63306"/>
    <w:rsid w:val="00C77599"/>
    <w:rsid w:val="00C83CC5"/>
    <w:rsid w:val="00CA1A65"/>
    <w:rsid w:val="00CA1E61"/>
    <w:rsid w:val="00CA2765"/>
    <w:rsid w:val="00CC0201"/>
    <w:rsid w:val="00CC1A99"/>
    <w:rsid w:val="00CC3749"/>
    <w:rsid w:val="00CC41F7"/>
    <w:rsid w:val="00CD6098"/>
    <w:rsid w:val="00CE2207"/>
    <w:rsid w:val="00CE6E7E"/>
    <w:rsid w:val="00CF4424"/>
    <w:rsid w:val="00CF46E3"/>
    <w:rsid w:val="00CF6762"/>
    <w:rsid w:val="00D02666"/>
    <w:rsid w:val="00D047D4"/>
    <w:rsid w:val="00D10D1F"/>
    <w:rsid w:val="00D20C3E"/>
    <w:rsid w:val="00D34A62"/>
    <w:rsid w:val="00D351F0"/>
    <w:rsid w:val="00D47C1C"/>
    <w:rsid w:val="00D55500"/>
    <w:rsid w:val="00D6484E"/>
    <w:rsid w:val="00D731EB"/>
    <w:rsid w:val="00D817F4"/>
    <w:rsid w:val="00D854FA"/>
    <w:rsid w:val="00D90D10"/>
    <w:rsid w:val="00D919C2"/>
    <w:rsid w:val="00D93028"/>
    <w:rsid w:val="00DA12AF"/>
    <w:rsid w:val="00DA70B9"/>
    <w:rsid w:val="00DB741D"/>
    <w:rsid w:val="00DB7564"/>
    <w:rsid w:val="00DC7E9E"/>
    <w:rsid w:val="00DD0BB5"/>
    <w:rsid w:val="00DF1A57"/>
    <w:rsid w:val="00E029D7"/>
    <w:rsid w:val="00E07FB8"/>
    <w:rsid w:val="00E1286D"/>
    <w:rsid w:val="00E20DB2"/>
    <w:rsid w:val="00E318B0"/>
    <w:rsid w:val="00E33C61"/>
    <w:rsid w:val="00E35131"/>
    <w:rsid w:val="00E4289C"/>
    <w:rsid w:val="00E53877"/>
    <w:rsid w:val="00E62D2A"/>
    <w:rsid w:val="00E654B3"/>
    <w:rsid w:val="00E67FB6"/>
    <w:rsid w:val="00E72026"/>
    <w:rsid w:val="00E7474A"/>
    <w:rsid w:val="00E82D9D"/>
    <w:rsid w:val="00E83500"/>
    <w:rsid w:val="00E852E3"/>
    <w:rsid w:val="00E90680"/>
    <w:rsid w:val="00EA4760"/>
    <w:rsid w:val="00EB24D5"/>
    <w:rsid w:val="00EB6949"/>
    <w:rsid w:val="00EC27BF"/>
    <w:rsid w:val="00EC44F5"/>
    <w:rsid w:val="00EC45EF"/>
    <w:rsid w:val="00EC5231"/>
    <w:rsid w:val="00EE5B62"/>
    <w:rsid w:val="00EF332B"/>
    <w:rsid w:val="00EF5BCE"/>
    <w:rsid w:val="00F26E89"/>
    <w:rsid w:val="00F33C07"/>
    <w:rsid w:val="00F34274"/>
    <w:rsid w:val="00F509A8"/>
    <w:rsid w:val="00F71E0B"/>
    <w:rsid w:val="00F820B1"/>
    <w:rsid w:val="00F90C20"/>
    <w:rsid w:val="00F91750"/>
    <w:rsid w:val="00F92475"/>
    <w:rsid w:val="00F936EA"/>
    <w:rsid w:val="00F95464"/>
    <w:rsid w:val="00FA4D10"/>
    <w:rsid w:val="00FA7E95"/>
    <w:rsid w:val="00FB0CE9"/>
    <w:rsid w:val="00FB6DA4"/>
    <w:rsid w:val="00FD659A"/>
    <w:rsid w:val="00FF2512"/>
    <w:rsid w:val="00FF7011"/>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36D8DBF8"/>
  <w15:chartTrackingRefBased/>
  <w15:docId w15:val="{A66864CC-843F-49E8-A515-177A53EE1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eorgia" w:eastAsiaTheme="minorHAnsi" w:hAnsi="Georgia" w:cs="Times New Roman"/>
        <w:lang w:val="en-GB" w:eastAsia="en-US" w:bidi="ar-SA"/>
      </w:rPr>
    </w:rPrDefault>
    <w:pPrDefault/>
  </w:docDefaults>
  <w:latentStyles w:defLockedState="0" w:defUIPriority="99" w:defSemiHidden="0" w:defUnhideWhenUsed="0" w:defQFormat="0" w:count="371">
    <w:lsdException w:name="Normal" w:uiPriority="0"/>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uiPriority="1" w:qFormat="1"/>
    <w:lsdException w:name="heading 6" w:uiPriority="1" w:qFormat="1"/>
    <w:lsdException w:name="heading 7" w:uiPriority="12" w:qFormat="1"/>
    <w:lsdException w:name="heading 8" w:uiPriority="13"/>
    <w:lsdException w:name="heading 9" w:uiPriority="2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11"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E6E7E"/>
    <w:pPr>
      <w:jc w:val="both"/>
    </w:pPr>
    <w:rPr>
      <w:rFonts w:ascii="Times New Roman" w:hAnsi="Times New Roman"/>
    </w:rPr>
  </w:style>
  <w:style w:type="paragraph" w:styleId="Heading1">
    <w:name w:val="heading 1"/>
    <w:basedOn w:val="Normal"/>
    <w:next w:val="Para0"/>
    <w:link w:val="Heading1Char"/>
    <w:uiPriority w:val="1"/>
    <w:qFormat/>
    <w:rsid w:val="00F820B1"/>
    <w:pPr>
      <w:keepNext/>
      <w:keepLines/>
      <w:numPr>
        <w:numId w:val="32"/>
      </w:numPr>
      <w:tabs>
        <w:tab w:val="left" w:pos="850"/>
        <w:tab w:val="left" w:pos="1191"/>
        <w:tab w:val="left" w:pos="1531"/>
      </w:tabs>
      <w:spacing w:before="480" w:after="240"/>
      <w:jc w:val="left"/>
      <w:outlineLvl w:val="0"/>
    </w:pPr>
    <w:rPr>
      <w:rFonts w:cstheme="majorBidi"/>
      <w:b/>
      <w:bCs/>
      <w:color w:val="4E81BD"/>
      <w:kern w:val="28"/>
      <w:sz w:val="24"/>
    </w:rPr>
  </w:style>
  <w:style w:type="paragraph" w:styleId="Heading2">
    <w:name w:val="heading 2"/>
    <w:basedOn w:val="Normal"/>
    <w:next w:val="Para0"/>
    <w:link w:val="Heading2Char"/>
    <w:uiPriority w:val="1"/>
    <w:qFormat/>
    <w:rsid w:val="00F820B1"/>
    <w:pPr>
      <w:keepNext/>
      <w:numPr>
        <w:ilvl w:val="1"/>
        <w:numId w:val="32"/>
      </w:numPr>
      <w:tabs>
        <w:tab w:val="left" w:pos="850"/>
        <w:tab w:val="left" w:pos="1191"/>
        <w:tab w:val="left" w:pos="1531"/>
      </w:tabs>
      <w:spacing w:before="240" w:after="240"/>
      <w:ind w:right="680"/>
      <w:jc w:val="left"/>
      <w:outlineLvl w:val="1"/>
    </w:pPr>
    <w:rPr>
      <w:rFonts w:cstheme="majorBidi"/>
      <w:b/>
      <w:bCs/>
      <w:sz w:val="24"/>
    </w:rPr>
  </w:style>
  <w:style w:type="paragraph" w:styleId="Heading3">
    <w:name w:val="heading 3"/>
    <w:basedOn w:val="Normal"/>
    <w:next w:val="Para0"/>
    <w:link w:val="Heading3Char"/>
    <w:uiPriority w:val="1"/>
    <w:qFormat/>
    <w:rsid w:val="00F820B1"/>
    <w:pPr>
      <w:keepNext/>
      <w:keepLines/>
      <w:numPr>
        <w:ilvl w:val="2"/>
        <w:numId w:val="32"/>
      </w:numPr>
      <w:tabs>
        <w:tab w:val="left" w:pos="850"/>
        <w:tab w:val="left" w:pos="1191"/>
        <w:tab w:val="left" w:pos="1531"/>
      </w:tabs>
      <w:spacing w:before="240" w:after="120"/>
      <w:ind w:right="680"/>
      <w:jc w:val="left"/>
      <w:outlineLvl w:val="2"/>
    </w:pPr>
    <w:rPr>
      <w:rFonts w:cstheme="majorBidi"/>
      <w:b/>
      <w:bCs/>
      <w:i/>
      <w:iCs/>
      <w:color w:val="262626"/>
      <w:sz w:val="24"/>
    </w:rPr>
  </w:style>
  <w:style w:type="paragraph" w:styleId="Heading4">
    <w:name w:val="heading 4"/>
    <w:basedOn w:val="Normal"/>
    <w:next w:val="Para0"/>
    <w:link w:val="Heading4Char"/>
    <w:uiPriority w:val="1"/>
    <w:qFormat/>
    <w:rsid w:val="00F820B1"/>
    <w:pPr>
      <w:keepNext/>
      <w:keepLines/>
      <w:numPr>
        <w:ilvl w:val="3"/>
        <w:numId w:val="32"/>
      </w:numPr>
      <w:tabs>
        <w:tab w:val="left" w:pos="850"/>
        <w:tab w:val="left" w:pos="1191"/>
        <w:tab w:val="left" w:pos="1531"/>
      </w:tabs>
      <w:spacing w:before="240" w:after="120"/>
      <w:ind w:right="680"/>
      <w:jc w:val="left"/>
      <w:outlineLvl w:val="3"/>
    </w:pPr>
    <w:rPr>
      <w:rFonts w:cstheme="majorBidi"/>
      <w:i/>
      <w:iCs/>
      <w:color w:val="000000" w:themeColor="text1"/>
      <w:sz w:val="24"/>
    </w:rPr>
  </w:style>
  <w:style w:type="paragraph" w:styleId="Heading5">
    <w:name w:val="heading 5"/>
    <w:basedOn w:val="Normal"/>
    <w:next w:val="Para0"/>
    <w:link w:val="Heading5Char"/>
    <w:uiPriority w:val="1"/>
    <w:qFormat/>
    <w:rsid w:val="00F820B1"/>
    <w:pPr>
      <w:keepNext/>
      <w:keepLines/>
      <w:numPr>
        <w:ilvl w:val="4"/>
        <w:numId w:val="32"/>
      </w:numPr>
      <w:tabs>
        <w:tab w:val="left" w:pos="850"/>
        <w:tab w:val="left" w:pos="1191"/>
        <w:tab w:val="left" w:pos="1531"/>
      </w:tabs>
      <w:spacing w:before="240" w:after="120"/>
      <w:ind w:right="680"/>
      <w:jc w:val="left"/>
      <w:outlineLvl w:val="4"/>
    </w:pPr>
    <w:rPr>
      <w:rFonts w:cstheme="majorBidi"/>
      <w:color w:val="000000" w:themeColor="text1"/>
      <w:sz w:val="24"/>
    </w:rPr>
  </w:style>
  <w:style w:type="paragraph" w:styleId="Heading6">
    <w:name w:val="heading 6"/>
    <w:aliases w:val="Part"/>
    <w:basedOn w:val="Normal"/>
    <w:next w:val="Heading1"/>
    <w:link w:val="Heading6Char"/>
    <w:uiPriority w:val="1"/>
    <w:qFormat/>
    <w:rsid w:val="00F820B1"/>
    <w:pPr>
      <w:keepNext/>
      <w:numPr>
        <w:ilvl w:val="5"/>
        <w:numId w:val="32"/>
      </w:numPr>
      <w:tabs>
        <w:tab w:val="left" w:pos="850"/>
        <w:tab w:val="left" w:pos="1191"/>
        <w:tab w:val="left" w:pos="1531"/>
      </w:tabs>
      <w:spacing w:before="1200" w:after="720"/>
      <w:jc w:val="center"/>
      <w:outlineLvl w:val="5"/>
    </w:pPr>
    <w:rPr>
      <w:rFonts w:cstheme="majorBidi"/>
      <w:b/>
      <w:color w:val="4E81BD"/>
      <w:sz w:val="28"/>
    </w:rPr>
  </w:style>
  <w:style w:type="paragraph" w:styleId="Heading7">
    <w:name w:val="heading 7"/>
    <w:aliases w:val="Doc AnnX"/>
    <w:basedOn w:val="Normal"/>
    <w:next w:val="Para0"/>
    <w:link w:val="Heading7Char"/>
    <w:uiPriority w:val="12"/>
    <w:qFormat/>
    <w:rsid w:val="00F820B1"/>
    <w:pPr>
      <w:keepNext/>
      <w:numPr>
        <w:ilvl w:val="6"/>
        <w:numId w:val="32"/>
      </w:numPr>
      <w:tabs>
        <w:tab w:val="left" w:pos="850"/>
        <w:tab w:val="left" w:pos="1191"/>
        <w:tab w:val="left" w:pos="1531"/>
      </w:tabs>
      <w:spacing w:before="1200" w:after="720"/>
      <w:jc w:val="center"/>
      <w:outlineLvl w:val="6"/>
    </w:pPr>
    <w:rPr>
      <w:rFonts w:cstheme="majorBidi"/>
      <w:b/>
      <w:color w:val="4E81BD"/>
      <w:sz w:val="28"/>
    </w:rPr>
  </w:style>
  <w:style w:type="paragraph" w:styleId="Heading8">
    <w:name w:val="heading 8"/>
    <w:aliases w:val="Part AnnX"/>
    <w:basedOn w:val="Normal"/>
    <w:next w:val="Para0"/>
    <w:link w:val="Heading8Char"/>
    <w:uiPriority w:val="13"/>
    <w:rsid w:val="00EB6949"/>
    <w:pPr>
      <w:keepNext/>
      <w:pageBreakBefore/>
      <w:numPr>
        <w:ilvl w:val="7"/>
        <w:numId w:val="32"/>
      </w:numPr>
      <w:spacing w:before="1200" w:after="720"/>
      <w:jc w:val="center"/>
      <w:outlineLvl w:val="7"/>
    </w:pPr>
    <w:rPr>
      <w:rFonts w:eastAsiaTheme="majorEastAsia" w:cstheme="majorBidi"/>
      <w:b/>
      <w:color w:val="4E81BD"/>
      <w:sz w:val="28"/>
      <w:szCs w:val="21"/>
    </w:rPr>
  </w:style>
  <w:style w:type="paragraph" w:styleId="Heading9">
    <w:name w:val="heading 9"/>
    <w:aliases w:val="Chap AnnX"/>
    <w:basedOn w:val="Heading8"/>
    <w:next w:val="Para0"/>
    <w:link w:val="Heading9Char"/>
    <w:uiPriority w:val="20"/>
    <w:qFormat/>
    <w:rsid w:val="00F820B1"/>
    <w:pPr>
      <w:pageBreakBefore w:val="0"/>
      <w:numPr>
        <w:ilvl w:val="8"/>
        <w:numId w:val="13"/>
      </w:numPr>
      <w:tabs>
        <w:tab w:val="left" w:pos="850"/>
        <w:tab w:val="left" w:pos="1191"/>
        <w:tab w:val="left" w:pos="1531"/>
      </w:tabs>
      <w:ind w:left="0" w:firstLine="0"/>
      <w:outlineLvl w:val="8"/>
    </w:pPr>
    <w:rPr>
      <w:rFonts w:eastAsiaTheme="minorHAnsi"/>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0">
    <w:name w:val="Para"/>
    <w:basedOn w:val="Normal"/>
    <w:link w:val="ParaChar"/>
    <w:uiPriority w:val="4"/>
    <w:qFormat/>
    <w:rsid w:val="008E2F63"/>
    <w:pPr>
      <w:spacing w:before="120" w:after="120"/>
      <w:ind w:right="680"/>
    </w:pPr>
    <w:rPr>
      <w:rFonts w:eastAsia="SimSun"/>
      <w:sz w:val="22"/>
    </w:rPr>
  </w:style>
  <w:style w:type="paragraph" w:styleId="Title">
    <w:name w:val="Title"/>
    <w:basedOn w:val="Normal"/>
    <w:next w:val="Para0"/>
    <w:link w:val="TitleChar"/>
    <w:qFormat/>
    <w:rsid w:val="00F820B1"/>
    <w:pPr>
      <w:keepNext/>
      <w:keepLines/>
      <w:tabs>
        <w:tab w:val="left" w:pos="850"/>
        <w:tab w:val="left" w:pos="1191"/>
        <w:tab w:val="left" w:pos="1531"/>
      </w:tabs>
      <w:spacing w:before="1200" w:after="720"/>
      <w:ind w:left="680" w:right="680"/>
      <w:jc w:val="center"/>
      <w:outlineLvl w:val="0"/>
    </w:pPr>
    <w:rPr>
      <w:rFonts w:cs="Arial"/>
      <w:bCs/>
      <w:i/>
      <w:color w:val="4E81BD"/>
      <w:kern w:val="28"/>
      <w:sz w:val="32"/>
      <w:szCs w:val="32"/>
    </w:rPr>
  </w:style>
  <w:style w:type="character" w:customStyle="1" w:styleId="ParaChar">
    <w:name w:val="Para Char"/>
    <w:basedOn w:val="DefaultParagraphFont"/>
    <w:link w:val="Para0"/>
    <w:uiPriority w:val="4"/>
    <w:rsid w:val="008E2F63"/>
    <w:rPr>
      <w:rFonts w:ascii="Times New Roman" w:eastAsia="SimSun" w:hAnsi="Times New Roman"/>
      <w:sz w:val="22"/>
    </w:rPr>
  </w:style>
  <w:style w:type="character" w:customStyle="1" w:styleId="TitleChar">
    <w:name w:val="Title Char"/>
    <w:basedOn w:val="DefaultParagraphFont"/>
    <w:link w:val="Title"/>
    <w:rsid w:val="00F820B1"/>
    <w:rPr>
      <w:rFonts w:ascii="Times New Roman" w:hAnsi="Times New Roman" w:cs="Arial"/>
      <w:bCs/>
      <w:i/>
      <w:color w:val="4E81BD"/>
      <w:kern w:val="28"/>
      <w:sz w:val="32"/>
      <w:szCs w:val="32"/>
    </w:rPr>
  </w:style>
  <w:style w:type="character" w:customStyle="1" w:styleId="Heading1Char">
    <w:name w:val="Heading 1 Char"/>
    <w:basedOn w:val="DefaultParagraphFont"/>
    <w:link w:val="Heading1"/>
    <w:rsid w:val="00F820B1"/>
    <w:rPr>
      <w:rFonts w:ascii="Times New Roman" w:hAnsi="Times New Roman" w:cstheme="majorBidi"/>
      <w:b/>
      <w:bCs/>
      <w:color w:val="4E81BD"/>
      <w:kern w:val="28"/>
      <w:sz w:val="24"/>
    </w:rPr>
  </w:style>
  <w:style w:type="character" w:customStyle="1" w:styleId="Heading2Char">
    <w:name w:val="Heading 2 Char"/>
    <w:basedOn w:val="DefaultParagraphFont"/>
    <w:link w:val="Heading2"/>
    <w:uiPriority w:val="7"/>
    <w:rsid w:val="00F820B1"/>
    <w:rPr>
      <w:rFonts w:ascii="Times New Roman" w:hAnsi="Times New Roman" w:cstheme="majorBidi"/>
      <w:b/>
      <w:bCs/>
      <w:sz w:val="24"/>
    </w:rPr>
  </w:style>
  <w:style w:type="character" w:customStyle="1" w:styleId="Heading3Char">
    <w:name w:val="Heading 3 Char"/>
    <w:basedOn w:val="DefaultParagraphFont"/>
    <w:link w:val="Heading3"/>
    <w:uiPriority w:val="1"/>
    <w:rsid w:val="00F820B1"/>
    <w:rPr>
      <w:rFonts w:ascii="Times New Roman" w:hAnsi="Times New Roman" w:cstheme="majorBidi"/>
      <w:b/>
      <w:bCs/>
      <w:i/>
      <w:iCs/>
      <w:color w:val="262626"/>
      <w:sz w:val="24"/>
    </w:rPr>
  </w:style>
  <w:style w:type="character" w:customStyle="1" w:styleId="Heading4Char">
    <w:name w:val="Heading 4 Char"/>
    <w:basedOn w:val="DefaultParagraphFont"/>
    <w:link w:val="Heading4"/>
    <w:uiPriority w:val="1"/>
    <w:rsid w:val="00F820B1"/>
    <w:rPr>
      <w:rFonts w:ascii="Times New Roman" w:hAnsi="Times New Roman" w:cstheme="majorBidi"/>
      <w:i/>
      <w:iCs/>
      <w:color w:val="000000" w:themeColor="text1"/>
      <w:sz w:val="24"/>
    </w:rPr>
  </w:style>
  <w:style w:type="character" w:customStyle="1" w:styleId="Heading5Char">
    <w:name w:val="Heading 5 Char"/>
    <w:basedOn w:val="DefaultParagraphFont"/>
    <w:link w:val="Heading5"/>
    <w:uiPriority w:val="1"/>
    <w:rsid w:val="00F820B1"/>
    <w:rPr>
      <w:rFonts w:ascii="Times New Roman" w:hAnsi="Times New Roman" w:cstheme="majorBidi"/>
      <w:color w:val="000000" w:themeColor="text1"/>
      <w:sz w:val="24"/>
    </w:rPr>
  </w:style>
  <w:style w:type="character" w:customStyle="1" w:styleId="Heading6Char">
    <w:name w:val="Heading 6 Char"/>
    <w:aliases w:val="Part Char"/>
    <w:basedOn w:val="DefaultParagraphFont"/>
    <w:link w:val="Heading6"/>
    <w:uiPriority w:val="1"/>
    <w:rsid w:val="00F820B1"/>
    <w:rPr>
      <w:rFonts w:ascii="Times New Roman" w:hAnsi="Times New Roman" w:cstheme="majorBidi"/>
      <w:b/>
      <w:color w:val="4E81BD"/>
      <w:sz w:val="28"/>
    </w:rPr>
  </w:style>
  <w:style w:type="character" w:customStyle="1" w:styleId="Heading7Char">
    <w:name w:val="Heading 7 Char"/>
    <w:aliases w:val="Doc AnnX Char"/>
    <w:basedOn w:val="DefaultParagraphFont"/>
    <w:link w:val="Heading7"/>
    <w:uiPriority w:val="12"/>
    <w:rsid w:val="00F820B1"/>
    <w:rPr>
      <w:rFonts w:ascii="Times New Roman" w:hAnsi="Times New Roman" w:cstheme="majorBidi"/>
      <w:b/>
      <w:color w:val="4E81BD"/>
      <w:sz w:val="28"/>
    </w:rPr>
  </w:style>
  <w:style w:type="character" w:customStyle="1" w:styleId="Heading8Char">
    <w:name w:val="Heading 8 Char"/>
    <w:aliases w:val="Part AnnX Char"/>
    <w:basedOn w:val="DefaultParagraphFont"/>
    <w:link w:val="Heading8"/>
    <w:uiPriority w:val="9"/>
    <w:rsid w:val="00EB6949"/>
    <w:rPr>
      <w:rFonts w:ascii="Times New Roman" w:eastAsiaTheme="majorEastAsia" w:hAnsi="Times New Roman" w:cstheme="majorBidi"/>
      <w:b/>
      <w:color w:val="4E81BD"/>
      <w:sz w:val="28"/>
      <w:szCs w:val="21"/>
    </w:rPr>
  </w:style>
  <w:style w:type="character" w:customStyle="1" w:styleId="Heading9Char">
    <w:name w:val="Heading 9 Char"/>
    <w:aliases w:val="Chap AnnX Char"/>
    <w:basedOn w:val="DefaultParagraphFont"/>
    <w:link w:val="Heading9"/>
    <w:uiPriority w:val="14"/>
    <w:rsid w:val="00F820B1"/>
    <w:rPr>
      <w:rFonts w:ascii="Times New Roman" w:hAnsi="Times New Roman" w:cstheme="majorBidi"/>
      <w:b/>
      <w:color w:val="4E81BD"/>
      <w:sz w:val="28"/>
    </w:rPr>
  </w:style>
  <w:style w:type="paragraph" w:customStyle="1" w:styleId="Title2">
    <w:name w:val="Title 2"/>
    <w:basedOn w:val="Heading2"/>
    <w:next w:val="Para0"/>
    <w:qFormat/>
    <w:rsid w:val="00F820B1"/>
    <w:pPr>
      <w:numPr>
        <w:ilvl w:val="0"/>
        <w:numId w:val="0"/>
      </w:numPr>
    </w:pPr>
    <w:rPr>
      <w:color w:val="4E81BD"/>
    </w:rPr>
  </w:style>
  <w:style w:type="paragraph" w:customStyle="1" w:styleId="Title3">
    <w:name w:val="Title 3"/>
    <w:basedOn w:val="Normal"/>
    <w:next w:val="Para0"/>
    <w:qFormat/>
    <w:rsid w:val="00F820B1"/>
    <w:pPr>
      <w:keepNext/>
      <w:keepLines/>
      <w:tabs>
        <w:tab w:val="left" w:pos="850"/>
        <w:tab w:val="left" w:pos="1191"/>
        <w:tab w:val="left" w:pos="1531"/>
      </w:tabs>
      <w:spacing w:before="240" w:after="120"/>
      <w:ind w:left="680" w:right="680"/>
      <w:jc w:val="left"/>
      <w:outlineLvl w:val="2"/>
    </w:pPr>
    <w:rPr>
      <w:rFonts w:cstheme="majorBidi"/>
      <w:b/>
      <w:i/>
      <w:sz w:val="24"/>
    </w:rPr>
  </w:style>
  <w:style w:type="paragraph" w:customStyle="1" w:styleId="Abstract">
    <w:name w:val="Abstract"/>
    <w:basedOn w:val="Para0"/>
    <w:uiPriority w:val="2"/>
    <w:qFormat/>
    <w:rsid w:val="00F820B1"/>
    <w:pPr>
      <w:pBdr>
        <w:top w:val="single" w:sz="4" w:space="12" w:color="auto"/>
        <w:left w:val="single" w:sz="4" w:space="12" w:color="auto"/>
        <w:bottom w:val="single" w:sz="4" w:space="12" w:color="auto"/>
        <w:right w:val="single" w:sz="4" w:space="12" w:color="auto"/>
      </w:pBdr>
    </w:pPr>
    <w:rPr>
      <w:i/>
    </w:rPr>
  </w:style>
  <w:style w:type="paragraph" w:customStyle="1" w:styleId="Para">
    <w:name w:val="Para #"/>
    <w:basedOn w:val="Normal"/>
    <w:link w:val="ParaChar0"/>
    <w:uiPriority w:val="4"/>
    <w:qFormat/>
    <w:rsid w:val="00F820B1"/>
    <w:pPr>
      <w:numPr>
        <w:numId w:val="12"/>
      </w:numPr>
      <w:tabs>
        <w:tab w:val="num" w:pos="680"/>
        <w:tab w:val="left" w:pos="1361"/>
      </w:tabs>
      <w:spacing w:before="120" w:after="120"/>
      <w:ind w:left="680" w:right="680" w:firstLine="0"/>
    </w:pPr>
    <w:rPr>
      <w:rFonts w:eastAsia="SimSun"/>
      <w:sz w:val="22"/>
    </w:rPr>
  </w:style>
  <w:style w:type="paragraph" w:customStyle="1" w:styleId="NumberedList">
    <w:name w:val="Numbered List"/>
    <w:basedOn w:val="ListParagraph"/>
    <w:uiPriority w:val="5"/>
    <w:qFormat/>
    <w:rsid w:val="00F820B1"/>
    <w:pPr>
      <w:numPr>
        <w:numId w:val="35"/>
      </w:numPr>
      <w:spacing w:after="120"/>
      <w:ind w:right="680"/>
      <w:contextualSpacing w:val="0"/>
    </w:pPr>
    <w:rPr>
      <w:rFonts w:eastAsia="SimSun"/>
      <w:sz w:val="22"/>
    </w:rPr>
  </w:style>
  <w:style w:type="paragraph" w:customStyle="1" w:styleId="BulletedList">
    <w:name w:val="Bulleted List"/>
    <w:basedOn w:val="ListParagraph"/>
    <w:uiPriority w:val="6"/>
    <w:qFormat/>
    <w:rsid w:val="00F820B1"/>
    <w:pPr>
      <w:numPr>
        <w:numId w:val="34"/>
      </w:numPr>
      <w:spacing w:after="120"/>
      <w:ind w:right="680"/>
      <w:contextualSpacing w:val="0"/>
    </w:pPr>
    <w:rPr>
      <w:rFonts w:eastAsia="SimSun"/>
      <w:sz w:val="22"/>
    </w:rPr>
  </w:style>
  <w:style w:type="paragraph" w:styleId="ListParagraph">
    <w:name w:val="List Paragraph"/>
    <w:basedOn w:val="Normal"/>
    <w:uiPriority w:val="34"/>
    <w:semiHidden/>
    <w:rsid w:val="004230BA"/>
    <w:pPr>
      <w:ind w:left="720"/>
      <w:contextualSpacing/>
    </w:pPr>
  </w:style>
  <w:style w:type="paragraph" w:customStyle="1" w:styleId="CaptionSubtitle">
    <w:name w:val="Caption Subtitle"/>
    <w:basedOn w:val="Normal"/>
    <w:next w:val="Para0"/>
    <w:qFormat/>
    <w:rsid w:val="004348F1"/>
    <w:pPr>
      <w:keepNext/>
      <w:spacing w:after="120"/>
      <w:ind w:left="680" w:right="680"/>
      <w:jc w:val="center"/>
    </w:pPr>
    <w:rPr>
      <w:sz w:val="18"/>
    </w:rPr>
  </w:style>
  <w:style w:type="paragraph" w:styleId="Caption">
    <w:name w:val="caption"/>
    <w:basedOn w:val="Normal"/>
    <w:next w:val="CaptionSubtitle"/>
    <w:uiPriority w:val="35"/>
    <w:unhideWhenUsed/>
    <w:qFormat/>
    <w:rsid w:val="004348F1"/>
    <w:pPr>
      <w:keepNext/>
      <w:spacing w:before="240" w:after="240"/>
      <w:ind w:left="680" w:right="680"/>
      <w:jc w:val="center"/>
    </w:pPr>
    <w:rPr>
      <w:b/>
      <w:iCs/>
      <w:szCs w:val="18"/>
    </w:rPr>
  </w:style>
  <w:style w:type="paragraph" w:customStyle="1" w:styleId="BoxHeading">
    <w:name w:val="Box Heading"/>
    <w:basedOn w:val="Normal"/>
    <w:next w:val="Para0"/>
    <w:uiPriority w:val="8"/>
    <w:qFormat/>
    <w:rsid w:val="00F820B1"/>
    <w:pPr>
      <w:keepNext/>
      <w:tabs>
        <w:tab w:val="left" w:pos="850"/>
        <w:tab w:val="left" w:pos="1191"/>
        <w:tab w:val="left" w:pos="1531"/>
      </w:tabs>
      <w:spacing w:before="240" w:after="120"/>
      <w:ind w:left="680" w:right="680"/>
      <w:jc w:val="left"/>
    </w:pPr>
    <w:rPr>
      <w:b/>
    </w:rPr>
  </w:style>
  <w:style w:type="paragraph" w:customStyle="1" w:styleId="Sourcenotes">
    <w:name w:val="Source &amp; notes"/>
    <w:basedOn w:val="Normal"/>
    <w:qFormat/>
    <w:rsid w:val="00F820B1"/>
    <w:pPr>
      <w:keepLines/>
      <w:spacing w:before="120" w:after="240"/>
      <w:ind w:left="680" w:right="680"/>
      <w:contextualSpacing/>
    </w:pPr>
    <w:rPr>
      <w:rFonts w:eastAsia="SimSun" w:cs="Arial"/>
      <w:sz w:val="18"/>
      <w:szCs w:val="18"/>
    </w:rPr>
  </w:style>
  <w:style w:type="paragraph" w:customStyle="1" w:styleId="TableCell">
    <w:name w:val="Table Cell"/>
    <w:basedOn w:val="Normal"/>
    <w:uiPriority w:val="9"/>
    <w:qFormat/>
    <w:rsid w:val="00F820B1"/>
    <w:pPr>
      <w:keepNext/>
      <w:keepLines/>
      <w:tabs>
        <w:tab w:val="left" w:pos="340"/>
        <w:tab w:val="left" w:pos="680"/>
      </w:tabs>
      <w:spacing w:before="20" w:after="20"/>
      <w:jc w:val="right"/>
    </w:pPr>
    <w:rPr>
      <w:rFonts w:ascii="Arial Narrow" w:eastAsia="SimSun" w:hAnsi="Arial Narrow" w:cs="Arial"/>
      <w:sz w:val="17"/>
      <w:szCs w:val="18"/>
    </w:rPr>
  </w:style>
  <w:style w:type="paragraph" w:customStyle="1" w:styleId="TableRow">
    <w:name w:val="Table Row"/>
    <w:basedOn w:val="TableCell"/>
    <w:qFormat/>
    <w:rsid w:val="00F820B1"/>
    <w:pPr>
      <w:jc w:val="left"/>
    </w:pPr>
  </w:style>
  <w:style w:type="paragraph" w:customStyle="1" w:styleId="TableColumn">
    <w:name w:val="Table Column"/>
    <w:basedOn w:val="TableRow"/>
    <w:qFormat/>
    <w:rsid w:val="00F820B1"/>
    <w:pPr>
      <w:jc w:val="center"/>
    </w:pPr>
  </w:style>
  <w:style w:type="paragraph" w:customStyle="1" w:styleId="Quotationshort">
    <w:name w:val="Quotation (short)"/>
    <w:basedOn w:val="Normal"/>
    <w:link w:val="QuotationshortChar"/>
    <w:uiPriority w:val="11"/>
    <w:qFormat/>
    <w:rsid w:val="00F820B1"/>
    <w:pPr>
      <w:spacing w:after="120"/>
    </w:pPr>
    <w:rPr>
      <w:rFonts w:eastAsia="SimSun"/>
      <w:i/>
      <w:sz w:val="22"/>
    </w:rPr>
  </w:style>
  <w:style w:type="paragraph" w:styleId="Quote">
    <w:name w:val="Quote"/>
    <w:aliases w:val="Quotation (long)"/>
    <w:basedOn w:val="Normal"/>
    <w:link w:val="QuoteChar"/>
    <w:uiPriority w:val="11"/>
    <w:qFormat/>
    <w:rsid w:val="00F820B1"/>
    <w:pPr>
      <w:spacing w:after="120"/>
      <w:ind w:left="1021" w:right="1021"/>
    </w:pPr>
    <w:rPr>
      <w:rFonts w:eastAsia="SimSun"/>
      <w:i/>
      <w:iCs/>
      <w:color w:val="404040"/>
      <w:sz w:val="22"/>
    </w:rPr>
  </w:style>
  <w:style w:type="character" w:customStyle="1" w:styleId="QuoteChar">
    <w:name w:val="Quote Char"/>
    <w:aliases w:val="Quotation (long) Char"/>
    <w:basedOn w:val="DefaultParagraphFont"/>
    <w:link w:val="Quote"/>
    <w:uiPriority w:val="11"/>
    <w:rsid w:val="00F820B1"/>
    <w:rPr>
      <w:rFonts w:ascii="Times New Roman" w:eastAsia="SimSun" w:hAnsi="Times New Roman"/>
      <w:i/>
      <w:iCs/>
      <w:color w:val="404040"/>
      <w:sz w:val="22"/>
    </w:rPr>
  </w:style>
  <w:style w:type="paragraph" w:customStyle="1" w:styleId="AnnexH2">
    <w:name w:val="Annex H2"/>
    <w:basedOn w:val="Normal"/>
    <w:next w:val="Para0"/>
    <w:uiPriority w:val="15"/>
    <w:qFormat/>
    <w:rsid w:val="00F820B1"/>
    <w:pPr>
      <w:keepNext/>
      <w:tabs>
        <w:tab w:val="left" w:pos="850"/>
        <w:tab w:val="left" w:pos="1191"/>
        <w:tab w:val="left" w:pos="1531"/>
      </w:tabs>
      <w:spacing w:before="240" w:after="240"/>
      <w:ind w:right="680"/>
      <w:jc w:val="left"/>
      <w:outlineLvl w:val="1"/>
    </w:pPr>
    <w:rPr>
      <w:b/>
      <w:color w:val="4E81BD"/>
      <w:sz w:val="24"/>
    </w:rPr>
  </w:style>
  <w:style w:type="paragraph" w:customStyle="1" w:styleId="AnnexH3">
    <w:name w:val="Annex H3"/>
    <w:basedOn w:val="Normal"/>
    <w:next w:val="Para0"/>
    <w:uiPriority w:val="15"/>
    <w:qFormat/>
    <w:rsid w:val="00F820B1"/>
    <w:pPr>
      <w:keepNext/>
      <w:keepLines/>
      <w:tabs>
        <w:tab w:val="left" w:pos="850"/>
        <w:tab w:val="left" w:pos="1191"/>
        <w:tab w:val="left" w:pos="1531"/>
      </w:tabs>
      <w:spacing w:before="240" w:after="120"/>
      <w:ind w:left="680" w:right="680"/>
      <w:jc w:val="left"/>
      <w:outlineLvl w:val="2"/>
    </w:pPr>
    <w:rPr>
      <w:b/>
      <w:i/>
      <w:color w:val="262626"/>
      <w:sz w:val="24"/>
    </w:rPr>
  </w:style>
  <w:style w:type="paragraph" w:customStyle="1" w:styleId="Disclaimer">
    <w:name w:val="Disclaimer"/>
    <w:basedOn w:val="Para0"/>
    <w:rsid w:val="00326CAE"/>
    <w:pPr>
      <w:pBdr>
        <w:top w:val="single" w:sz="4" w:space="6" w:color="auto"/>
      </w:pBdr>
      <w:spacing w:before="0" w:line="220" w:lineRule="exact"/>
    </w:pPr>
    <w:rPr>
      <w:sz w:val="18"/>
    </w:rPr>
  </w:style>
  <w:style w:type="paragraph" w:customStyle="1" w:styleId="Action">
    <w:name w:val="Action"/>
    <w:basedOn w:val="Para0"/>
    <w:next w:val="Heading2"/>
    <w:rsid w:val="00326CAE"/>
    <w:rPr>
      <w:u w:val="single"/>
    </w:rPr>
  </w:style>
  <w:style w:type="paragraph" w:customStyle="1" w:styleId="Annotation">
    <w:name w:val="Annotation"/>
    <w:basedOn w:val="Normal"/>
    <w:rsid w:val="004243B4"/>
    <w:pPr>
      <w:numPr>
        <w:numId w:val="19"/>
      </w:numPr>
      <w:pBdr>
        <w:bottom w:val="single" w:sz="4" w:space="10" w:color="auto"/>
      </w:pBdr>
      <w:spacing w:before="120" w:after="120"/>
      <w:ind w:left="981" w:hanging="414"/>
      <w:jc w:val="left"/>
    </w:pPr>
  </w:style>
  <w:style w:type="paragraph" w:styleId="Bibliography">
    <w:name w:val="Bibliography"/>
    <w:basedOn w:val="Normal"/>
    <w:next w:val="Normal"/>
    <w:uiPriority w:val="37"/>
    <w:unhideWhenUsed/>
    <w:rsid w:val="00B67859"/>
    <w:pPr>
      <w:spacing w:after="120"/>
      <w:ind w:left="284" w:hanging="284"/>
      <w:jc w:val="left"/>
    </w:pPr>
  </w:style>
  <w:style w:type="paragraph" w:customStyle="1" w:styleId="Break">
    <w:name w:val="Break"/>
    <w:basedOn w:val="Normal"/>
    <w:next w:val="Time"/>
    <w:rsid w:val="00CA2765"/>
    <w:pPr>
      <w:pBdr>
        <w:top w:val="single" w:sz="4" w:space="4" w:color="auto"/>
        <w:bottom w:val="single" w:sz="4" w:space="4" w:color="auto"/>
      </w:pBdr>
      <w:shd w:val="pct5" w:color="auto" w:fill="auto"/>
      <w:jc w:val="center"/>
    </w:pPr>
    <w:rPr>
      <w:i/>
    </w:rPr>
  </w:style>
  <w:style w:type="paragraph" w:customStyle="1" w:styleId="Time">
    <w:name w:val="Time"/>
    <w:basedOn w:val="Normal"/>
    <w:next w:val="Para0"/>
    <w:rsid w:val="00E67FB6"/>
    <w:pPr>
      <w:keepNext/>
      <w:spacing w:before="240" w:after="120"/>
      <w:ind w:left="851"/>
    </w:pPr>
    <w:rPr>
      <w:b/>
      <w:i/>
    </w:rPr>
  </w:style>
  <w:style w:type="paragraph" w:customStyle="1" w:styleId="Conclusion">
    <w:name w:val="Conclusion"/>
    <w:basedOn w:val="Para0"/>
    <w:next w:val="Heading1"/>
    <w:rsid w:val="0052749E"/>
    <w:pPr>
      <w:jc w:val="center"/>
    </w:pPr>
    <w:rPr>
      <w:b/>
    </w:rPr>
  </w:style>
  <w:style w:type="character" w:styleId="EndnoteReference">
    <w:name w:val="endnote reference"/>
    <w:basedOn w:val="DefaultParagraphFont"/>
    <w:uiPriority w:val="99"/>
    <w:semiHidden/>
    <w:unhideWhenUsed/>
    <w:rsid w:val="0052749E"/>
    <w:rPr>
      <w:rFonts w:ascii="Times New Roman" w:hAnsi="Times New Roman"/>
      <w:sz w:val="22"/>
      <w:vertAlign w:val="superscript"/>
    </w:rPr>
  </w:style>
  <w:style w:type="paragraph" w:styleId="FootnoteText">
    <w:name w:val="footnote text"/>
    <w:aliases w:val="Footnote Text Char Char,Footnote Text Char Char Char Char,Footnote Text1 Char,Footnote Text1,Footnote Text Char Char Char,Footnote Text1 Char Char Char,Footnote Text1 Char Char Char Char Char Char Char Char,Footnote Text Char1,Car Car,FN"/>
    <w:basedOn w:val="Normal"/>
    <w:link w:val="FootnoteTextChar"/>
    <w:uiPriority w:val="99"/>
    <w:unhideWhenUsed/>
    <w:qFormat/>
    <w:rsid w:val="00381AB2"/>
    <w:pPr>
      <w:spacing w:after="120"/>
      <w:ind w:left="680" w:right="680"/>
    </w:pPr>
  </w:style>
  <w:style w:type="character" w:customStyle="1" w:styleId="FootnoteTextChar">
    <w:name w:val="Footnote Text Char"/>
    <w:aliases w:val="Footnote Text Char Char Char1,Footnote Text Char Char Char Char Char,Footnote Text1 Char Char,Footnote Text1 Char1,Footnote Text Char Char Char Char1,Footnote Text1 Char Char Char Char,Footnote Text Char1 Char,Car Car Char,FN Char"/>
    <w:basedOn w:val="DefaultParagraphFont"/>
    <w:link w:val="FootnoteText"/>
    <w:uiPriority w:val="99"/>
    <w:rsid w:val="00381AB2"/>
    <w:rPr>
      <w:rFonts w:ascii="Times New Roman" w:hAnsi="Times New Roman"/>
      <w:sz w:val="20"/>
      <w:szCs w:val="20"/>
    </w:rPr>
  </w:style>
  <w:style w:type="paragraph" w:styleId="EndnoteText">
    <w:name w:val="endnote text"/>
    <w:basedOn w:val="FootnoteText"/>
    <w:link w:val="EndnoteTextChar"/>
    <w:uiPriority w:val="99"/>
    <w:semiHidden/>
    <w:unhideWhenUsed/>
    <w:rsid w:val="0052749E"/>
  </w:style>
  <w:style w:type="character" w:customStyle="1" w:styleId="EndnoteTextChar">
    <w:name w:val="Endnote Text Char"/>
    <w:basedOn w:val="DefaultParagraphFont"/>
    <w:link w:val="EndnoteText"/>
    <w:uiPriority w:val="99"/>
    <w:semiHidden/>
    <w:rsid w:val="0052749E"/>
    <w:rPr>
      <w:rFonts w:ascii="Times New Roman" w:hAnsi="Times New Roman"/>
      <w:sz w:val="20"/>
      <w:szCs w:val="20"/>
    </w:rPr>
  </w:style>
  <w:style w:type="paragraph" w:customStyle="1" w:styleId="Figure">
    <w:name w:val="Figure"/>
    <w:basedOn w:val="Normal"/>
    <w:link w:val="FigureChar"/>
    <w:qFormat/>
    <w:rsid w:val="00F71E0B"/>
    <w:pPr>
      <w:jc w:val="center"/>
    </w:pPr>
  </w:style>
  <w:style w:type="paragraph" w:styleId="Footer">
    <w:name w:val="footer"/>
    <w:basedOn w:val="Normal"/>
    <w:link w:val="FooterChar"/>
    <w:uiPriority w:val="99"/>
    <w:rsid w:val="002F605B"/>
    <w:pPr>
      <w:tabs>
        <w:tab w:val="center" w:pos="4513"/>
        <w:tab w:val="right" w:pos="9026"/>
      </w:tabs>
      <w:jc w:val="center"/>
    </w:pPr>
    <w:rPr>
      <w:caps/>
      <w:sz w:val="16"/>
    </w:rPr>
  </w:style>
  <w:style w:type="character" w:customStyle="1" w:styleId="FooterChar">
    <w:name w:val="Footer Char"/>
    <w:basedOn w:val="DefaultParagraphFont"/>
    <w:link w:val="Footer"/>
    <w:uiPriority w:val="99"/>
    <w:rsid w:val="0056606B"/>
    <w:rPr>
      <w:rFonts w:ascii="Times New Roman" w:hAnsi="Times New Roman"/>
      <w:caps/>
      <w:sz w:val="16"/>
    </w:rPr>
  </w:style>
  <w:style w:type="paragraph" w:customStyle="1" w:styleId="Para1">
    <w:name w:val="Para #.#"/>
    <w:basedOn w:val="Para"/>
    <w:uiPriority w:val="4"/>
    <w:qFormat/>
    <w:rsid w:val="00EC45EF"/>
  </w:style>
  <w:style w:type="paragraph" w:customStyle="1" w:styleId="CoverNormal">
    <w:name w:val="CoverNormal"/>
    <w:basedOn w:val="Normal"/>
    <w:link w:val="CoverNormalChar"/>
    <w:rsid w:val="00EC45EF"/>
    <w:pPr>
      <w:jc w:val="left"/>
    </w:pPr>
  </w:style>
  <w:style w:type="paragraph" w:customStyle="1" w:styleId="CoverAbstract">
    <w:name w:val="CoverAbstract"/>
    <w:basedOn w:val="CoverNormal"/>
    <w:semiHidden/>
    <w:rsid w:val="00EC45EF"/>
  </w:style>
  <w:style w:type="paragraph" w:customStyle="1" w:styleId="CoverCancel">
    <w:name w:val="CoverCancel"/>
    <w:basedOn w:val="CoverNormal"/>
    <w:link w:val="CoverCancelChar"/>
    <w:rsid w:val="00EC45EF"/>
    <w:pPr>
      <w:spacing w:before="240" w:after="120" w:line="312" w:lineRule="auto"/>
      <w:jc w:val="center"/>
    </w:pPr>
    <w:rPr>
      <w:b/>
    </w:rPr>
  </w:style>
  <w:style w:type="paragraph" w:customStyle="1" w:styleId="CoverClassification">
    <w:name w:val="CoverClassification"/>
    <w:basedOn w:val="CoverNormal"/>
    <w:rsid w:val="00EC45EF"/>
    <w:rPr>
      <w:b/>
    </w:rPr>
  </w:style>
  <w:style w:type="paragraph" w:customStyle="1" w:styleId="CoverCommittee">
    <w:name w:val="CoverCommittee"/>
    <w:basedOn w:val="CoverNormal"/>
    <w:rsid w:val="00EC45EF"/>
    <w:rPr>
      <w:b/>
    </w:rPr>
  </w:style>
  <w:style w:type="character" w:customStyle="1" w:styleId="CoverCote">
    <w:name w:val="CoverCote"/>
    <w:basedOn w:val="DefaultParagraphFont"/>
    <w:uiPriority w:val="1"/>
    <w:rsid w:val="00EC45EF"/>
    <w:rPr>
      <w:rFonts w:ascii="Times New Roman Bold" w:hAnsi="Times New Roman Bold"/>
      <w:b/>
      <w:caps/>
      <w:smallCaps w:val="0"/>
      <w:sz w:val="22"/>
    </w:rPr>
  </w:style>
  <w:style w:type="paragraph" w:customStyle="1" w:styleId="CoverDate">
    <w:name w:val="CoverDate"/>
    <w:basedOn w:val="CoverNormal"/>
    <w:link w:val="CoverDateChar"/>
    <w:rsid w:val="00EC45EF"/>
    <w:pPr>
      <w:spacing w:before="40" w:after="40"/>
      <w:jc w:val="right"/>
    </w:pPr>
    <w:rPr>
      <w:b/>
      <w:sz w:val="18"/>
    </w:rPr>
  </w:style>
  <w:style w:type="paragraph" w:customStyle="1" w:styleId="CoverDisclaimer">
    <w:name w:val="CoverDisclaimer"/>
    <w:basedOn w:val="CoverNormal"/>
    <w:rsid w:val="00C3172F"/>
    <w:pPr>
      <w:spacing w:line="312" w:lineRule="auto"/>
      <w:jc w:val="both"/>
    </w:pPr>
    <w:rPr>
      <w:b/>
      <w:i/>
      <w:sz w:val="16"/>
    </w:rPr>
  </w:style>
  <w:style w:type="paragraph" w:customStyle="1" w:styleId="CoverInformation">
    <w:name w:val="CoverInformation"/>
    <w:basedOn w:val="CoverNormal"/>
    <w:rsid w:val="00A06737"/>
  </w:style>
  <w:style w:type="paragraph" w:customStyle="1" w:styleId="CoverJobTicket">
    <w:name w:val="CoverJobTicket"/>
    <w:basedOn w:val="CoverNormal"/>
    <w:rsid w:val="00C3172F"/>
    <w:rPr>
      <w:b/>
    </w:rPr>
  </w:style>
  <w:style w:type="paragraph" w:customStyle="1" w:styleId="CoverLanguage">
    <w:name w:val="CoverLanguage"/>
    <w:basedOn w:val="CoverNormal"/>
    <w:rsid w:val="00C3172F"/>
    <w:pPr>
      <w:jc w:val="right"/>
    </w:pPr>
    <w:rPr>
      <w:b/>
    </w:rPr>
  </w:style>
  <w:style w:type="paragraph" w:customStyle="1" w:styleId="CoverPwbCode">
    <w:name w:val="CoverPwbCode"/>
    <w:basedOn w:val="CoverNormal"/>
    <w:rsid w:val="00C3172F"/>
    <w:pPr>
      <w:spacing w:after="120"/>
    </w:pPr>
    <w:rPr>
      <w:b/>
    </w:rPr>
  </w:style>
  <w:style w:type="paragraph" w:customStyle="1" w:styleId="CoverSeriesTitlePublication">
    <w:name w:val="CoverSeriesTitlePublication"/>
    <w:basedOn w:val="CoverNormal"/>
    <w:semiHidden/>
    <w:rsid w:val="00C3172F"/>
    <w:pPr>
      <w:spacing w:after="40"/>
    </w:pPr>
    <w:rPr>
      <w:sz w:val="32"/>
    </w:rPr>
  </w:style>
  <w:style w:type="paragraph" w:customStyle="1" w:styleId="CoverSubTitle">
    <w:name w:val="CoverSubTitle"/>
    <w:basedOn w:val="CoverNormal"/>
    <w:link w:val="CoverSubTitleChar"/>
    <w:rsid w:val="00C3172F"/>
    <w:rPr>
      <w:b/>
    </w:rPr>
  </w:style>
  <w:style w:type="paragraph" w:customStyle="1" w:styleId="CoverSubtitlePublication">
    <w:name w:val="CoverSubtitlePublication"/>
    <w:basedOn w:val="CoverNormal"/>
    <w:semiHidden/>
    <w:rsid w:val="00C3172F"/>
    <w:pPr>
      <w:jc w:val="center"/>
    </w:pPr>
    <w:rPr>
      <w:sz w:val="40"/>
    </w:rPr>
  </w:style>
  <w:style w:type="character" w:customStyle="1" w:styleId="CoverTable">
    <w:name w:val="CoverTable"/>
    <w:uiPriority w:val="1"/>
    <w:semiHidden/>
    <w:rsid w:val="00C3172F"/>
  </w:style>
  <w:style w:type="paragraph" w:customStyle="1" w:styleId="CoverTitle">
    <w:name w:val="CoverTitle"/>
    <w:basedOn w:val="CoverNormal"/>
    <w:link w:val="CoverTitleChar"/>
    <w:rsid w:val="00C3172F"/>
    <w:pPr>
      <w:spacing w:after="240"/>
    </w:pPr>
    <w:rPr>
      <w:b/>
      <w:sz w:val="24"/>
    </w:rPr>
  </w:style>
  <w:style w:type="paragraph" w:customStyle="1" w:styleId="CoverTitlePublication">
    <w:name w:val="CoverTitlePublication"/>
    <w:basedOn w:val="CoverNormal"/>
    <w:semiHidden/>
    <w:rsid w:val="00C3172F"/>
    <w:pPr>
      <w:jc w:val="center"/>
    </w:pPr>
    <w:rPr>
      <w:b/>
      <w:sz w:val="52"/>
    </w:rPr>
  </w:style>
  <w:style w:type="paragraph" w:customStyle="1" w:styleId="CoverWorkingParty">
    <w:name w:val="CoverWorkingParty"/>
    <w:basedOn w:val="CoverNormal"/>
    <w:rsid w:val="00C3172F"/>
    <w:rPr>
      <w:b/>
      <w:sz w:val="24"/>
    </w:rPr>
  </w:style>
  <w:style w:type="paragraph" w:customStyle="1" w:styleId="FooterClassification">
    <w:name w:val="Footer Classification"/>
    <w:basedOn w:val="Normal"/>
    <w:rsid w:val="00381AB2"/>
    <w:pPr>
      <w:jc w:val="right"/>
    </w:pPr>
    <w:rPr>
      <w:sz w:val="16"/>
    </w:rPr>
  </w:style>
  <w:style w:type="character" w:styleId="FootnoteReference">
    <w:name w:val="footnote reference"/>
    <w:aliases w:val="EN Footnote Reference,SUPERS,number,-E Fußnotenzeichen,Знак сноски-FN,callout,Footnote symbol,vnv,16 Point,Superscript 6 Point,Footnote Reference Superscript,ftref,Footnote Reference Number,Footnote Reference_LVL6,Ref,FC,BVI fnr"/>
    <w:basedOn w:val="DefaultParagraphFont"/>
    <w:uiPriority w:val="99"/>
    <w:unhideWhenUsed/>
    <w:qFormat/>
    <w:rsid w:val="00381AB2"/>
    <w:rPr>
      <w:rFonts w:ascii="Times New Roman" w:hAnsi="Times New Roman"/>
      <w:sz w:val="22"/>
      <w:vertAlign w:val="superscript"/>
    </w:rPr>
  </w:style>
  <w:style w:type="paragraph" w:customStyle="1" w:styleId="GroupHeading">
    <w:name w:val="Group Heading"/>
    <w:basedOn w:val="Normal"/>
    <w:next w:val="Para0"/>
    <w:rsid w:val="00CC1A99"/>
    <w:pPr>
      <w:keepNext/>
      <w:numPr>
        <w:numId w:val="20"/>
      </w:numPr>
      <w:pBdr>
        <w:top w:val="single" w:sz="4" w:space="1" w:color="auto"/>
      </w:pBdr>
      <w:tabs>
        <w:tab w:val="num" w:pos="360"/>
      </w:tabs>
      <w:spacing w:after="120"/>
      <w:ind w:left="357" w:hanging="357"/>
      <w:jc w:val="left"/>
    </w:pPr>
    <w:rPr>
      <w:b/>
      <w:i/>
      <w:color w:val="4E81BD"/>
    </w:rPr>
  </w:style>
  <w:style w:type="paragraph" w:styleId="Header">
    <w:name w:val="header"/>
    <w:basedOn w:val="Normal"/>
    <w:link w:val="HeaderChar"/>
    <w:uiPriority w:val="99"/>
    <w:rsid w:val="00CC1A99"/>
    <w:pPr>
      <w:tabs>
        <w:tab w:val="center" w:pos="4513"/>
        <w:tab w:val="right" w:pos="9026"/>
      </w:tabs>
    </w:pPr>
  </w:style>
  <w:style w:type="character" w:customStyle="1" w:styleId="HeaderChar">
    <w:name w:val="Header Char"/>
    <w:basedOn w:val="DefaultParagraphFont"/>
    <w:link w:val="Header"/>
    <w:uiPriority w:val="99"/>
    <w:rsid w:val="0056606B"/>
    <w:rPr>
      <w:rFonts w:ascii="Times New Roman" w:hAnsi="Times New Roman"/>
    </w:rPr>
  </w:style>
  <w:style w:type="character" w:customStyle="1" w:styleId="HeaderCoteChar">
    <w:name w:val="Header Cote (Char)"/>
    <w:basedOn w:val="DefaultParagraphFont"/>
    <w:uiPriority w:val="1"/>
    <w:semiHidden/>
    <w:rsid w:val="00CC1A99"/>
    <w:rPr>
      <w:rFonts w:ascii="Times New Roman" w:hAnsi="Times New Roman"/>
      <w:sz w:val="22"/>
    </w:rPr>
  </w:style>
  <w:style w:type="paragraph" w:customStyle="1" w:styleId="HeaderOdd">
    <w:name w:val="Header Odd"/>
    <w:basedOn w:val="Normal"/>
    <w:next w:val="Normal"/>
    <w:rsid w:val="004E4993"/>
    <w:pPr>
      <w:pBdr>
        <w:bottom w:val="single" w:sz="4" w:space="0" w:color="auto"/>
      </w:pBdr>
      <w:jc w:val="right"/>
    </w:pPr>
    <w:rPr>
      <w:sz w:val="2"/>
    </w:rPr>
  </w:style>
  <w:style w:type="paragraph" w:customStyle="1" w:styleId="HeaderEven">
    <w:name w:val="Header Even"/>
    <w:basedOn w:val="HeaderOdd"/>
    <w:rsid w:val="004E4993"/>
    <w:pPr>
      <w:jc w:val="left"/>
    </w:pPr>
  </w:style>
  <w:style w:type="character" w:customStyle="1" w:styleId="HeaderTitle">
    <w:name w:val="Header Title"/>
    <w:uiPriority w:val="1"/>
    <w:rsid w:val="004622CF"/>
    <w:rPr>
      <w:caps/>
      <w:smallCaps w:val="0"/>
      <w:sz w:val="18"/>
    </w:rPr>
  </w:style>
  <w:style w:type="paragraph" w:customStyle="1" w:styleId="ImportantInformation">
    <w:name w:val="Important Information"/>
    <w:basedOn w:val="Para0"/>
    <w:rsid w:val="003957E7"/>
    <w:pPr>
      <w:spacing w:after="480"/>
      <w:ind w:left="284" w:right="284"/>
      <w:jc w:val="center"/>
    </w:pPr>
  </w:style>
  <w:style w:type="paragraph" w:customStyle="1" w:styleId="Notes">
    <w:name w:val="Notes"/>
    <w:basedOn w:val="Normal"/>
    <w:rsid w:val="00024178"/>
    <w:pPr>
      <w:keepNext/>
      <w:keepLines/>
      <w:spacing w:before="120"/>
      <w:ind w:left="680" w:right="680"/>
      <w:contextualSpacing/>
    </w:pPr>
    <w:rPr>
      <w:sz w:val="18"/>
    </w:rPr>
  </w:style>
  <w:style w:type="character" w:styleId="PageNumber">
    <w:name w:val="page number"/>
    <w:basedOn w:val="DefaultParagraphFont"/>
    <w:uiPriority w:val="99"/>
    <w:rsid w:val="003E0362"/>
    <w:rPr>
      <w:rFonts w:ascii="Times New Roman" w:hAnsi="Times New Roman"/>
      <w:b/>
      <w:sz w:val="22"/>
    </w:rPr>
  </w:style>
  <w:style w:type="paragraph" w:customStyle="1" w:styleId="ProposedAction">
    <w:name w:val="Proposed Action"/>
    <w:basedOn w:val="Para0"/>
    <w:rsid w:val="003E0362"/>
    <w:pPr>
      <w:numPr>
        <w:numId w:val="21"/>
      </w:numPr>
      <w:tabs>
        <w:tab w:val="num" w:pos="360"/>
        <w:tab w:val="left" w:pos="425"/>
      </w:tabs>
      <w:spacing w:before="0" w:after="240"/>
      <w:ind w:left="2268" w:hanging="425"/>
    </w:pPr>
  </w:style>
  <w:style w:type="paragraph" w:customStyle="1" w:styleId="RefDocuments">
    <w:name w:val="Ref Documents"/>
    <w:basedOn w:val="Para0"/>
    <w:next w:val="Annotation"/>
    <w:rsid w:val="00E53877"/>
    <w:pPr>
      <w:ind w:left="7371"/>
      <w:contextualSpacing/>
      <w:jc w:val="left"/>
    </w:pPr>
  </w:style>
  <w:style w:type="paragraph" w:customStyle="1" w:styleId="Session">
    <w:name w:val="Session"/>
    <w:basedOn w:val="Normal"/>
    <w:next w:val="Time"/>
    <w:rsid w:val="002C1DD6"/>
    <w:pPr>
      <w:keepNext/>
      <w:spacing w:after="240"/>
      <w:jc w:val="left"/>
    </w:pPr>
    <w:rPr>
      <w:i/>
      <w:u w:val="single"/>
    </w:rPr>
  </w:style>
  <w:style w:type="paragraph" w:customStyle="1" w:styleId="SpecialItem">
    <w:name w:val="Special Item"/>
    <w:basedOn w:val="Normal"/>
    <w:next w:val="Time"/>
    <w:rsid w:val="002C1DD6"/>
    <w:pPr>
      <w:spacing w:before="240" w:after="240"/>
    </w:pPr>
    <w:rPr>
      <w:i/>
    </w:rPr>
  </w:style>
  <w:style w:type="character" w:customStyle="1" w:styleId="StatLinkDOI">
    <w:name w:val="StatLink DOI"/>
    <w:basedOn w:val="DefaultParagraphFont"/>
    <w:uiPriority w:val="1"/>
    <w:rsid w:val="002C1DD6"/>
    <w:rPr>
      <w:rFonts w:ascii="Times New Roman" w:hAnsi="Times New Roman"/>
      <w:sz w:val="18"/>
    </w:rPr>
  </w:style>
  <w:style w:type="paragraph" w:customStyle="1" w:styleId="StatLinkLogo">
    <w:name w:val="StatLink Logo"/>
    <w:basedOn w:val="Para0"/>
    <w:next w:val="Para0"/>
    <w:rsid w:val="00B66B2E"/>
    <w:pPr>
      <w:spacing w:after="240"/>
      <w:jc w:val="right"/>
    </w:pPr>
    <w:rPr>
      <w:rFonts w:ascii="StatLink" w:hAnsi="StatLink"/>
      <w:sz w:val="18"/>
    </w:rPr>
  </w:style>
  <w:style w:type="paragraph" w:styleId="TableofFigures">
    <w:name w:val="table of figures"/>
    <w:basedOn w:val="Normal"/>
    <w:next w:val="Normal"/>
    <w:uiPriority w:val="99"/>
    <w:semiHidden/>
    <w:unhideWhenUsed/>
    <w:rsid w:val="003A3A69"/>
    <w:pPr>
      <w:tabs>
        <w:tab w:val="right" w:leader="dot" w:pos="9072"/>
      </w:tabs>
      <w:ind w:left="442" w:right="510" w:hanging="442"/>
      <w:jc w:val="left"/>
    </w:pPr>
  </w:style>
  <w:style w:type="paragraph" w:styleId="TOC1">
    <w:name w:val="toc 1"/>
    <w:basedOn w:val="Normal"/>
    <w:next w:val="Normal"/>
    <w:uiPriority w:val="39"/>
    <w:semiHidden/>
    <w:unhideWhenUsed/>
    <w:rsid w:val="0025481A"/>
    <w:pPr>
      <w:tabs>
        <w:tab w:val="right" w:leader="dot" w:pos="9072"/>
      </w:tabs>
      <w:spacing w:before="120" w:after="120"/>
      <w:ind w:right="510"/>
      <w:jc w:val="left"/>
    </w:pPr>
    <w:rPr>
      <w:b/>
    </w:rPr>
  </w:style>
  <w:style w:type="paragraph" w:styleId="TOC2">
    <w:name w:val="toc 2"/>
    <w:basedOn w:val="Normal"/>
    <w:next w:val="Normal"/>
    <w:uiPriority w:val="39"/>
    <w:semiHidden/>
    <w:unhideWhenUsed/>
    <w:rsid w:val="002F3A06"/>
    <w:pPr>
      <w:tabs>
        <w:tab w:val="right" w:leader="dot" w:pos="9072"/>
      </w:tabs>
      <w:ind w:left="198" w:right="510"/>
      <w:jc w:val="left"/>
    </w:pPr>
  </w:style>
  <w:style w:type="paragraph" w:styleId="TOC3">
    <w:name w:val="toc 3"/>
    <w:basedOn w:val="Normal"/>
    <w:next w:val="Normal"/>
    <w:autoRedefine/>
    <w:uiPriority w:val="39"/>
    <w:semiHidden/>
    <w:unhideWhenUsed/>
    <w:rsid w:val="002F3A06"/>
    <w:pPr>
      <w:tabs>
        <w:tab w:val="right" w:leader="dot" w:pos="9072"/>
      </w:tabs>
      <w:ind w:left="397" w:right="510"/>
      <w:jc w:val="left"/>
    </w:pPr>
  </w:style>
  <w:style w:type="paragraph" w:styleId="TOC4">
    <w:name w:val="toc 4"/>
    <w:basedOn w:val="Normal"/>
    <w:next w:val="Normal"/>
    <w:uiPriority w:val="39"/>
    <w:semiHidden/>
    <w:unhideWhenUsed/>
    <w:rsid w:val="0025481A"/>
    <w:pPr>
      <w:tabs>
        <w:tab w:val="right" w:leader="dot" w:pos="9072"/>
      </w:tabs>
      <w:ind w:left="595" w:right="510"/>
      <w:jc w:val="left"/>
    </w:pPr>
  </w:style>
  <w:style w:type="paragraph" w:styleId="TOC5">
    <w:name w:val="toc 5"/>
    <w:aliases w:val="Annotated Item"/>
    <w:basedOn w:val="Normal"/>
    <w:next w:val="Normal"/>
    <w:uiPriority w:val="39"/>
    <w:semiHidden/>
    <w:unhideWhenUsed/>
    <w:rsid w:val="0025481A"/>
    <w:pPr>
      <w:keepNext/>
      <w:spacing w:after="120"/>
    </w:pPr>
    <w:rPr>
      <w:b/>
      <w:color w:val="4E81BD"/>
    </w:rPr>
  </w:style>
  <w:style w:type="paragraph" w:styleId="TOCHeading">
    <w:name w:val="TOC Heading"/>
    <w:basedOn w:val="Heading1"/>
    <w:next w:val="Normal"/>
    <w:uiPriority w:val="39"/>
    <w:semiHidden/>
    <w:unhideWhenUsed/>
    <w:rsid w:val="00CE6E7E"/>
    <w:pPr>
      <w:numPr>
        <w:numId w:val="0"/>
      </w:numPr>
      <w:ind w:left="680" w:right="680"/>
      <w:outlineLvl w:val="9"/>
    </w:pPr>
    <w:rPr>
      <w:b w:val="0"/>
      <w:i/>
      <w:kern w:val="0"/>
      <w:sz w:val="32"/>
    </w:rPr>
  </w:style>
  <w:style w:type="paragraph" w:styleId="Subtitle">
    <w:name w:val="Subtitle"/>
    <w:basedOn w:val="Normal"/>
    <w:next w:val="Normal"/>
    <w:link w:val="SubtitleChar"/>
    <w:uiPriority w:val="11"/>
    <w:rsid w:val="0092327D"/>
    <w:pPr>
      <w:numPr>
        <w:ilvl w:val="1"/>
      </w:numPr>
      <w:spacing w:after="240"/>
      <w:jc w:val="center"/>
    </w:pPr>
    <w:rPr>
      <w:rFonts w:ascii="Times New Roman Bold" w:eastAsiaTheme="minorEastAsia" w:hAnsi="Times New Roman Bold"/>
      <w:b/>
      <w:color w:val="000000" w:themeColor="text1"/>
      <w:sz w:val="24"/>
    </w:rPr>
  </w:style>
  <w:style w:type="character" w:customStyle="1" w:styleId="SubtitleChar">
    <w:name w:val="Subtitle Char"/>
    <w:basedOn w:val="DefaultParagraphFont"/>
    <w:link w:val="Subtitle"/>
    <w:uiPriority w:val="11"/>
    <w:rsid w:val="0092327D"/>
    <w:rPr>
      <w:rFonts w:ascii="Times New Roman Bold" w:eastAsiaTheme="minorEastAsia" w:hAnsi="Times New Roman Bold"/>
      <w:b/>
      <w:color w:val="000000" w:themeColor="text1"/>
      <w:sz w:val="24"/>
    </w:rPr>
  </w:style>
  <w:style w:type="character" w:styleId="PlaceholderText">
    <w:name w:val="Placeholder Text"/>
    <w:basedOn w:val="DefaultParagraphFont"/>
    <w:uiPriority w:val="99"/>
    <w:semiHidden/>
    <w:rsid w:val="00CC3749"/>
    <w:rPr>
      <w:color w:val="808080"/>
    </w:rPr>
  </w:style>
  <w:style w:type="paragraph" w:customStyle="1" w:styleId="CoverDirectorate">
    <w:name w:val="CoverDirectorate"/>
    <w:basedOn w:val="CoverNormal"/>
    <w:link w:val="CoverDirectorateChar"/>
    <w:rsid w:val="004529B7"/>
    <w:rPr>
      <w:b/>
    </w:rPr>
  </w:style>
  <w:style w:type="table" w:styleId="TableGrid">
    <w:name w:val="Table Grid"/>
    <w:basedOn w:val="TableNormal"/>
    <w:uiPriority w:val="59"/>
    <w:rsid w:val="00992A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verNormalChar">
    <w:name w:val="CoverNormal Char"/>
    <w:basedOn w:val="DefaultParagraphFont"/>
    <w:link w:val="CoverNormal"/>
    <w:rsid w:val="0056606B"/>
    <w:rPr>
      <w:rFonts w:ascii="Times New Roman" w:hAnsi="Times New Roman"/>
    </w:rPr>
  </w:style>
  <w:style w:type="character" w:customStyle="1" w:styleId="CoverSubTitleChar">
    <w:name w:val="CoverSubTitle Char"/>
    <w:basedOn w:val="DefaultParagraphFont"/>
    <w:link w:val="CoverSubTitle"/>
    <w:rsid w:val="00FB0CE9"/>
    <w:rPr>
      <w:rFonts w:ascii="Times New Roman" w:hAnsi="Times New Roman"/>
      <w:b/>
    </w:rPr>
  </w:style>
  <w:style w:type="character" w:customStyle="1" w:styleId="CoverTitleChar">
    <w:name w:val="CoverTitle Char"/>
    <w:basedOn w:val="DefaultParagraphFont"/>
    <w:link w:val="CoverTitle"/>
    <w:rsid w:val="00FB0CE9"/>
    <w:rPr>
      <w:rFonts w:ascii="Times New Roman" w:hAnsi="Times New Roman"/>
      <w:b/>
      <w:sz w:val="24"/>
    </w:rPr>
  </w:style>
  <w:style w:type="character" w:customStyle="1" w:styleId="CoverCancelChar">
    <w:name w:val="CoverCancel Char"/>
    <w:basedOn w:val="DefaultParagraphFont"/>
    <w:link w:val="CoverCancel"/>
    <w:rsid w:val="00FB0CE9"/>
    <w:rPr>
      <w:rFonts w:ascii="Times New Roman" w:hAnsi="Times New Roman"/>
      <w:b/>
    </w:rPr>
  </w:style>
  <w:style w:type="character" w:customStyle="1" w:styleId="CoverDirectorateChar">
    <w:name w:val="CoverDirectorate Char"/>
    <w:basedOn w:val="CoverNormalChar"/>
    <w:link w:val="CoverDirectorate"/>
    <w:rsid w:val="00FB0CE9"/>
    <w:rPr>
      <w:rFonts w:ascii="Times New Roman" w:hAnsi="Times New Roman"/>
      <w:b/>
    </w:rPr>
  </w:style>
  <w:style w:type="character" w:customStyle="1" w:styleId="CoverDateChar">
    <w:name w:val="CoverDate Char"/>
    <w:basedOn w:val="CoverNormalChar"/>
    <w:link w:val="CoverDate"/>
    <w:rsid w:val="00FB0CE9"/>
    <w:rPr>
      <w:rFonts w:ascii="Times New Roman" w:hAnsi="Times New Roman"/>
      <w:b/>
      <w:sz w:val="18"/>
    </w:rPr>
  </w:style>
  <w:style w:type="character" w:customStyle="1" w:styleId="QuotationshortChar">
    <w:name w:val="Quotation (short) Char"/>
    <w:basedOn w:val="DefaultParagraphFont"/>
    <w:link w:val="Quotationshort"/>
    <w:uiPriority w:val="11"/>
    <w:rsid w:val="00F820B1"/>
    <w:rPr>
      <w:rFonts w:ascii="Times New Roman" w:eastAsia="SimSun" w:hAnsi="Times New Roman"/>
      <w:i/>
      <w:sz w:val="22"/>
    </w:rPr>
  </w:style>
  <w:style w:type="character" w:customStyle="1" w:styleId="ParaChar0">
    <w:name w:val="Para # Char"/>
    <w:basedOn w:val="DefaultParagraphFont"/>
    <w:link w:val="Para"/>
    <w:uiPriority w:val="4"/>
    <w:rsid w:val="00F820B1"/>
    <w:rPr>
      <w:rFonts w:ascii="Times New Roman" w:eastAsia="SimSun" w:hAnsi="Times New Roman"/>
      <w:sz w:val="22"/>
    </w:rPr>
  </w:style>
  <w:style w:type="character" w:styleId="Hyperlink">
    <w:name w:val="Hyperlink"/>
    <w:basedOn w:val="DefaultParagraphFont"/>
    <w:uiPriority w:val="99"/>
    <w:unhideWhenUsed/>
    <w:rsid w:val="00F820B1"/>
    <w:rPr>
      <w:color w:val="0000FF" w:themeColor="hyperlink"/>
      <w:u w:val="single"/>
    </w:rPr>
  </w:style>
  <w:style w:type="character" w:styleId="CommentReference">
    <w:name w:val="annotation reference"/>
    <w:basedOn w:val="DefaultParagraphFont"/>
    <w:uiPriority w:val="99"/>
    <w:semiHidden/>
    <w:unhideWhenUsed/>
    <w:rsid w:val="00925E8F"/>
    <w:rPr>
      <w:sz w:val="16"/>
      <w:szCs w:val="16"/>
    </w:rPr>
  </w:style>
  <w:style w:type="paragraph" w:styleId="CommentText">
    <w:name w:val="annotation text"/>
    <w:basedOn w:val="Normal"/>
    <w:link w:val="CommentTextChar"/>
    <w:uiPriority w:val="99"/>
    <w:unhideWhenUsed/>
    <w:rsid w:val="00925E8F"/>
    <w:pPr>
      <w:spacing w:after="200"/>
    </w:pPr>
    <w:rPr>
      <w:rFonts w:cstheme="minorBidi"/>
    </w:rPr>
  </w:style>
  <w:style w:type="character" w:customStyle="1" w:styleId="CommentTextChar">
    <w:name w:val="Comment Text Char"/>
    <w:basedOn w:val="DefaultParagraphFont"/>
    <w:link w:val="CommentText"/>
    <w:uiPriority w:val="99"/>
    <w:rsid w:val="00925E8F"/>
    <w:rPr>
      <w:rFonts w:ascii="Times New Roman" w:hAnsi="Times New Roman" w:cstheme="minorBidi"/>
    </w:rPr>
  </w:style>
  <w:style w:type="paragraph" w:styleId="BalloonText">
    <w:name w:val="Balloon Text"/>
    <w:basedOn w:val="Normal"/>
    <w:link w:val="BalloonTextChar"/>
    <w:uiPriority w:val="99"/>
    <w:semiHidden/>
    <w:unhideWhenUsed/>
    <w:rsid w:val="00925E8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5E8F"/>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B85666"/>
    <w:pPr>
      <w:spacing w:after="0"/>
    </w:pPr>
    <w:rPr>
      <w:rFonts w:cs="Times New Roman"/>
      <w:b/>
      <w:bCs/>
    </w:rPr>
  </w:style>
  <w:style w:type="character" w:customStyle="1" w:styleId="CommentSubjectChar">
    <w:name w:val="Comment Subject Char"/>
    <w:basedOn w:val="CommentTextChar"/>
    <w:link w:val="CommentSubject"/>
    <w:uiPriority w:val="99"/>
    <w:semiHidden/>
    <w:rsid w:val="00B85666"/>
    <w:rPr>
      <w:rFonts w:ascii="Times New Roman" w:hAnsi="Times New Roman" w:cstheme="minorBidi"/>
      <w:b/>
      <w:bCs/>
    </w:rPr>
  </w:style>
  <w:style w:type="table" w:customStyle="1" w:styleId="OECD">
    <w:name w:val="OECD"/>
    <w:basedOn w:val="LightShading-Accent1"/>
    <w:uiPriority w:val="99"/>
    <w:rsid w:val="00B85666"/>
    <w:rPr>
      <w:lang w:val="en-US" w:eastAsia="en-GB"/>
    </w:rPr>
    <w:tblPr>
      <w:jc w:val="center"/>
      <w:tblBorders>
        <w:top w:val="single" w:sz="12" w:space="0" w:color="auto"/>
        <w:bottom w:val="single" w:sz="12" w:space="0" w:color="auto"/>
      </w:tblBorders>
    </w:tblPr>
    <w:trPr>
      <w:jc w:val="center"/>
    </w:trPr>
    <w:tcPr>
      <w:shd w:val="clear" w:color="auto" w:fill="FFFFFF" w:themeFill="background1"/>
    </w:tcPr>
    <w:tblStylePr w:type="firstRow">
      <w:pPr>
        <w:spacing w:before="0" w:after="0" w:line="240" w:lineRule="auto"/>
      </w:pPr>
      <w:rPr>
        <w:b w:val="0"/>
        <w:bCs/>
      </w:rPr>
      <w:tblPr/>
      <w:tcPr>
        <w:tcBorders>
          <w:top w:val="single" w:sz="12" w:space="0" w:color="4E81BD"/>
          <w:left w:val="nil"/>
          <w:bottom w:val="nil"/>
          <w:right w:val="nil"/>
          <w:insideH w:val="nil"/>
          <w:insideV w:val="nil"/>
        </w:tcBorders>
      </w:tcPr>
    </w:tblStylePr>
    <w:tblStylePr w:type="lastRow">
      <w:pPr>
        <w:spacing w:before="0" w:after="0" w:line="240" w:lineRule="auto"/>
      </w:pPr>
      <w:rPr>
        <w:b w:val="0"/>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val="0"/>
        <w:bCs/>
      </w:rPr>
    </w:tblStylePr>
    <w:tblStylePr w:type="lastCol">
      <w:rPr>
        <w:b w:val="0"/>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EDF0F7"/>
      </w:tcPr>
    </w:tblStylePr>
    <w:tblStylePr w:type="band2Horz">
      <w:tblPr/>
      <w:tcPr>
        <w:shd w:val="clear" w:color="auto" w:fill="FFFFFF" w:themeFill="background1"/>
      </w:tcPr>
    </w:tblStylePr>
  </w:style>
  <w:style w:type="character" w:customStyle="1" w:styleId="FigureChar">
    <w:name w:val="Figure Char"/>
    <w:basedOn w:val="DefaultParagraphFont"/>
    <w:link w:val="Figure"/>
    <w:rsid w:val="00B85666"/>
    <w:rPr>
      <w:rFonts w:ascii="Times New Roman" w:hAnsi="Times New Roman"/>
    </w:rPr>
  </w:style>
  <w:style w:type="table" w:styleId="LightShading-Accent1">
    <w:name w:val="Light Shading Accent 1"/>
    <w:basedOn w:val="TableNormal"/>
    <w:uiPriority w:val="60"/>
    <w:semiHidden/>
    <w:unhideWhenUsed/>
    <w:rsid w:val="00B85666"/>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2228">
      <w:bodyDiv w:val="1"/>
      <w:marLeft w:val="0"/>
      <w:marRight w:val="0"/>
      <w:marTop w:val="0"/>
      <w:marBottom w:val="0"/>
      <w:divBdr>
        <w:top w:val="none" w:sz="0" w:space="0" w:color="auto"/>
        <w:left w:val="none" w:sz="0" w:space="0" w:color="auto"/>
        <w:bottom w:val="none" w:sz="0" w:space="0" w:color="auto"/>
        <w:right w:val="none" w:sz="0" w:space="0" w:color="auto"/>
      </w:divBdr>
    </w:div>
    <w:div w:id="40978212">
      <w:bodyDiv w:val="1"/>
      <w:marLeft w:val="0"/>
      <w:marRight w:val="0"/>
      <w:marTop w:val="0"/>
      <w:marBottom w:val="0"/>
      <w:divBdr>
        <w:top w:val="none" w:sz="0" w:space="0" w:color="auto"/>
        <w:left w:val="none" w:sz="0" w:space="0" w:color="auto"/>
        <w:bottom w:val="none" w:sz="0" w:space="0" w:color="auto"/>
        <w:right w:val="none" w:sz="0" w:space="0" w:color="auto"/>
      </w:divBdr>
    </w:div>
    <w:div w:id="41099501">
      <w:bodyDiv w:val="1"/>
      <w:marLeft w:val="0"/>
      <w:marRight w:val="0"/>
      <w:marTop w:val="0"/>
      <w:marBottom w:val="0"/>
      <w:divBdr>
        <w:top w:val="none" w:sz="0" w:space="0" w:color="auto"/>
        <w:left w:val="none" w:sz="0" w:space="0" w:color="auto"/>
        <w:bottom w:val="none" w:sz="0" w:space="0" w:color="auto"/>
        <w:right w:val="none" w:sz="0" w:space="0" w:color="auto"/>
      </w:divBdr>
    </w:div>
    <w:div w:id="47848302">
      <w:bodyDiv w:val="1"/>
      <w:marLeft w:val="0"/>
      <w:marRight w:val="0"/>
      <w:marTop w:val="0"/>
      <w:marBottom w:val="0"/>
      <w:divBdr>
        <w:top w:val="none" w:sz="0" w:space="0" w:color="auto"/>
        <w:left w:val="none" w:sz="0" w:space="0" w:color="auto"/>
        <w:bottom w:val="none" w:sz="0" w:space="0" w:color="auto"/>
        <w:right w:val="none" w:sz="0" w:space="0" w:color="auto"/>
      </w:divBdr>
    </w:div>
    <w:div w:id="53548668">
      <w:bodyDiv w:val="1"/>
      <w:marLeft w:val="0"/>
      <w:marRight w:val="0"/>
      <w:marTop w:val="0"/>
      <w:marBottom w:val="0"/>
      <w:divBdr>
        <w:top w:val="none" w:sz="0" w:space="0" w:color="auto"/>
        <w:left w:val="none" w:sz="0" w:space="0" w:color="auto"/>
        <w:bottom w:val="none" w:sz="0" w:space="0" w:color="auto"/>
        <w:right w:val="none" w:sz="0" w:space="0" w:color="auto"/>
      </w:divBdr>
    </w:div>
    <w:div w:id="55127570">
      <w:bodyDiv w:val="1"/>
      <w:marLeft w:val="0"/>
      <w:marRight w:val="0"/>
      <w:marTop w:val="0"/>
      <w:marBottom w:val="0"/>
      <w:divBdr>
        <w:top w:val="none" w:sz="0" w:space="0" w:color="auto"/>
        <w:left w:val="none" w:sz="0" w:space="0" w:color="auto"/>
        <w:bottom w:val="none" w:sz="0" w:space="0" w:color="auto"/>
        <w:right w:val="none" w:sz="0" w:space="0" w:color="auto"/>
      </w:divBdr>
    </w:div>
    <w:div w:id="63188454">
      <w:bodyDiv w:val="1"/>
      <w:marLeft w:val="0"/>
      <w:marRight w:val="0"/>
      <w:marTop w:val="0"/>
      <w:marBottom w:val="0"/>
      <w:divBdr>
        <w:top w:val="none" w:sz="0" w:space="0" w:color="auto"/>
        <w:left w:val="none" w:sz="0" w:space="0" w:color="auto"/>
        <w:bottom w:val="none" w:sz="0" w:space="0" w:color="auto"/>
        <w:right w:val="none" w:sz="0" w:space="0" w:color="auto"/>
      </w:divBdr>
    </w:div>
    <w:div w:id="87625732">
      <w:bodyDiv w:val="1"/>
      <w:marLeft w:val="0"/>
      <w:marRight w:val="0"/>
      <w:marTop w:val="0"/>
      <w:marBottom w:val="0"/>
      <w:divBdr>
        <w:top w:val="none" w:sz="0" w:space="0" w:color="auto"/>
        <w:left w:val="none" w:sz="0" w:space="0" w:color="auto"/>
        <w:bottom w:val="none" w:sz="0" w:space="0" w:color="auto"/>
        <w:right w:val="none" w:sz="0" w:space="0" w:color="auto"/>
      </w:divBdr>
    </w:div>
    <w:div w:id="93484104">
      <w:bodyDiv w:val="1"/>
      <w:marLeft w:val="0"/>
      <w:marRight w:val="0"/>
      <w:marTop w:val="0"/>
      <w:marBottom w:val="0"/>
      <w:divBdr>
        <w:top w:val="none" w:sz="0" w:space="0" w:color="auto"/>
        <w:left w:val="none" w:sz="0" w:space="0" w:color="auto"/>
        <w:bottom w:val="none" w:sz="0" w:space="0" w:color="auto"/>
        <w:right w:val="none" w:sz="0" w:space="0" w:color="auto"/>
      </w:divBdr>
    </w:div>
    <w:div w:id="105857002">
      <w:bodyDiv w:val="1"/>
      <w:marLeft w:val="0"/>
      <w:marRight w:val="0"/>
      <w:marTop w:val="0"/>
      <w:marBottom w:val="0"/>
      <w:divBdr>
        <w:top w:val="none" w:sz="0" w:space="0" w:color="auto"/>
        <w:left w:val="none" w:sz="0" w:space="0" w:color="auto"/>
        <w:bottom w:val="none" w:sz="0" w:space="0" w:color="auto"/>
        <w:right w:val="none" w:sz="0" w:space="0" w:color="auto"/>
      </w:divBdr>
    </w:div>
    <w:div w:id="115605816">
      <w:bodyDiv w:val="1"/>
      <w:marLeft w:val="0"/>
      <w:marRight w:val="0"/>
      <w:marTop w:val="0"/>
      <w:marBottom w:val="0"/>
      <w:divBdr>
        <w:top w:val="none" w:sz="0" w:space="0" w:color="auto"/>
        <w:left w:val="none" w:sz="0" w:space="0" w:color="auto"/>
        <w:bottom w:val="none" w:sz="0" w:space="0" w:color="auto"/>
        <w:right w:val="none" w:sz="0" w:space="0" w:color="auto"/>
      </w:divBdr>
    </w:div>
    <w:div w:id="116879277">
      <w:bodyDiv w:val="1"/>
      <w:marLeft w:val="0"/>
      <w:marRight w:val="0"/>
      <w:marTop w:val="0"/>
      <w:marBottom w:val="0"/>
      <w:divBdr>
        <w:top w:val="none" w:sz="0" w:space="0" w:color="auto"/>
        <w:left w:val="none" w:sz="0" w:space="0" w:color="auto"/>
        <w:bottom w:val="none" w:sz="0" w:space="0" w:color="auto"/>
        <w:right w:val="none" w:sz="0" w:space="0" w:color="auto"/>
      </w:divBdr>
    </w:div>
    <w:div w:id="117377443">
      <w:bodyDiv w:val="1"/>
      <w:marLeft w:val="0"/>
      <w:marRight w:val="0"/>
      <w:marTop w:val="0"/>
      <w:marBottom w:val="0"/>
      <w:divBdr>
        <w:top w:val="none" w:sz="0" w:space="0" w:color="auto"/>
        <w:left w:val="none" w:sz="0" w:space="0" w:color="auto"/>
        <w:bottom w:val="none" w:sz="0" w:space="0" w:color="auto"/>
        <w:right w:val="none" w:sz="0" w:space="0" w:color="auto"/>
      </w:divBdr>
    </w:div>
    <w:div w:id="118377304">
      <w:bodyDiv w:val="1"/>
      <w:marLeft w:val="0"/>
      <w:marRight w:val="0"/>
      <w:marTop w:val="0"/>
      <w:marBottom w:val="0"/>
      <w:divBdr>
        <w:top w:val="none" w:sz="0" w:space="0" w:color="auto"/>
        <w:left w:val="none" w:sz="0" w:space="0" w:color="auto"/>
        <w:bottom w:val="none" w:sz="0" w:space="0" w:color="auto"/>
        <w:right w:val="none" w:sz="0" w:space="0" w:color="auto"/>
      </w:divBdr>
    </w:div>
    <w:div w:id="137042726">
      <w:bodyDiv w:val="1"/>
      <w:marLeft w:val="0"/>
      <w:marRight w:val="0"/>
      <w:marTop w:val="0"/>
      <w:marBottom w:val="0"/>
      <w:divBdr>
        <w:top w:val="none" w:sz="0" w:space="0" w:color="auto"/>
        <w:left w:val="none" w:sz="0" w:space="0" w:color="auto"/>
        <w:bottom w:val="none" w:sz="0" w:space="0" w:color="auto"/>
        <w:right w:val="none" w:sz="0" w:space="0" w:color="auto"/>
      </w:divBdr>
    </w:div>
    <w:div w:id="138234432">
      <w:bodyDiv w:val="1"/>
      <w:marLeft w:val="0"/>
      <w:marRight w:val="0"/>
      <w:marTop w:val="0"/>
      <w:marBottom w:val="0"/>
      <w:divBdr>
        <w:top w:val="none" w:sz="0" w:space="0" w:color="auto"/>
        <w:left w:val="none" w:sz="0" w:space="0" w:color="auto"/>
        <w:bottom w:val="none" w:sz="0" w:space="0" w:color="auto"/>
        <w:right w:val="none" w:sz="0" w:space="0" w:color="auto"/>
      </w:divBdr>
    </w:div>
    <w:div w:id="144517437">
      <w:bodyDiv w:val="1"/>
      <w:marLeft w:val="0"/>
      <w:marRight w:val="0"/>
      <w:marTop w:val="0"/>
      <w:marBottom w:val="0"/>
      <w:divBdr>
        <w:top w:val="none" w:sz="0" w:space="0" w:color="auto"/>
        <w:left w:val="none" w:sz="0" w:space="0" w:color="auto"/>
        <w:bottom w:val="none" w:sz="0" w:space="0" w:color="auto"/>
        <w:right w:val="none" w:sz="0" w:space="0" w:color="auto"/>
      </w:divBdr>
    </w:div>
    <w:div w:id="144708020">
      <w:bodyDiv w:val="1"/>
      <w:marLeft w:val="0"/>
      <w:marRight w:val="0"/>
      <w:marTop w:val="0"/>
      <w:marBottom w:val="0"/>
      <w:divBdr>
        <w:top w:val="none" w:sz="0" w:space="0" w:color="auto"/>
        <w:left w:val="none" w:sz="0" w:space="0" w:color="auto"/>
        <w:bottom w:val="none" w:sz="0" w:space="0" w:color="auto"/>
        <w:right w:val="none" w:sz="0" w:space="0" w:color="auto"/>
      </w:divBdr>
    </w:div>
    <w:div w:id="152185963">
      <w:bodyDiv w:val="1"/>
      <w:marLeft w:val="0"/>
      <w:marRight w:val="0"/>
      <w:marTop w:val="0"/>
      <w:marBottom w:val="0"/>
      <w:divBdr>
        <w:top w:val="none" w:sz="0" w:space="0" w:color="auto"/>
        <w:left w:val="none" w:sz="0" w:space="0" w:color="auto"/>
        <w:bottom w:val="none" w:sz="0" w:space="0" w:color="auto"/>
        <w:right w:val="none" w:sz="0" w:space="0" w:color="auto"/>
      </w:divBdr>
    </w:div>
    <w:div w:id="155733868">
      <w:bodyDiv w:val="1"/>
      <w:marLeft w:val="0"/>
      <w:marRight w:val="0"/>
      <w:marTop w:val="0"/>
      <w:marBottom w:val="0"/>
      <w:divBdr>
        <w:top w:val="none" w:sz="0" w:space="0" w:color="auto"/>
        <w:left w:val="none" w:sz="0" w:space="0" w:color="auto"/>
        <w:bottom w:val="none" w:sz="0" w:space="0" w:color="auto"/>
        <w:right w:val="none" w:sz="0" w:space="0" w:color="auto"/>
      </w:divBdr>
    </w:div>
    <w:div w:id="156461556">
      <w:bodyDiv w:val="1"/>
      <w:marLeft w:val="0"/>
      <w:marRight w:val="0"/>
      <w:marTop w:val="0"/>
      <w:marBottom w:val="0"/>
      <w:divBdr>
        <w:top w:val="none" w:sz="0" w:space="0" w:color="auto"/>
        <w:left w:val="none" w:sz="0" w:space="0" w:color="auto"/>
        <w:bottom w:val="none" w:sz="0" w:space="0" w:color="auto"/>
        <w:right w:val="none" w:sz="0" w:space="0" w:color="auto"/>
      </w:divBdr>
    </w:div>
    <w:div w:id="157116337">
      <w:bodyDiv w:val="1"/>
      <w:marLeft w:val="0"/>
      <w:marRight w:val="0"/>
      <w:marTop w:val="0"/>
      <w:marBottom w:val="0"/>
      <w:divBdr>
        <w:top w:val="none" w:sz="0" w:space="0" w:color="auto"/>
        <w:left w:val="none" w:sz="0" w:space="0" w:color="auto"/>
        <w:bottom w:val="none" w:sz="0" w:space="0" w:color="auto"/>
        <w:right w:val="none" w:sz="0" w:space="0" w:color="auto"/>
      </w:divBdr>
    </w:div>
    <w:div w:id="166868493">
      <w:bodyDiv w:val="1"/>
      <w:marLeft w:val="0"/>
      <w:marRight w:val="0"/>
      <w:marTop w:val="0"/>
      <w:marBottom w:val="0"/>
      <w:divBdr>
        <w:top w:val="none" w:sz="0" w:space="0" w:color="auto"/>
        <w:left w:val="none" w:sz="0" w:space="0" w:color="auto"/>
        <w:bottom w:val="none" w:sz="0" w:space="0" w:color="auto"/>
        <w:right w:val="none" w:sz="0" w:space="0" w:color="auto"/>
      </w:divBdr>
    </w:div>
    <w:div w:id="169607785">
      <w:bodyDiv w:val="1"/>
      <w:marLeft w:val="0"/>
      <w:marRight w:val="0"/>
      <w:marTop w:val="0"/>
      <w:marBottom w:val="0"/>
      <w:divBdr>
        <w:top w:val="none" w:sz="0" w:space="0" w:color="auto"/>
        <w:left w:val="none" w:sz="0" w:space="0" w:color="auto"/>
        <w:bottom w:val="none" w:sz="0" w:space="0" w:color="auto"/>
        <w:right w:val="none" w:sz="0" w:space="0" w:color="auto"/>
      </w:divBdr>
    </w:div>
    <w:div w:id="173226799">
      <w:bodyDiv w:val="1"/>
      <w:marLeft w:val="0"/>
      <w:marRight w:val="0"/>
      <w:marTop w:val="0"/>
      <w:marBottom w:val="0"/>
      <w:divBdr>
        <w:top w:val="none" w:sz="0" w:space="0" w:color="auto"/>
        <w:left w:val="none" w:sz="0" w:space="0" w:color="auto"/>
        <w:bottom w:val="none" w:sz="0" w:space="0" w:color="auto"/>
        <w:right w:val="none" w:sz="0" w:space="0" w:color="auto"/>
      </w:divBdr>
    </w:div>
    <w:div w:id="178349393">
      <w:bodyDiv w:val="1"/>
      <w:marLeft w:val="0"/>
      <w:marRight w:val="0"/>
      <w:marTop w:val="0"/>
      <w:marBottom w:val="0"/>
      <w:divBdr>
        <w:top w:val="none" w:sz="0" w:space="0" w:color="auto"/>
        <w:left w:val="none" w:sz="0" w:space="0" w:color="auto"/>
        <w:bottom w:val="none" w:sz="0" w:space="0" w:color="auto"/>
        <w:right w:val="none" w:sz="0" w:space="0" w:color="auto"/>
      </w:divBdr>
    </w:div>
    <w:div w:id="180169200">
      <w:bodyDiv w:val="1"/>
      <w:marLeft w:val="0"/>
      <w:marRight w:val="0"/>
      <w:marTop w:val="0"/>
      <w:marBottom w:val="0"/>
      <w:divBdr>
        <w:top w:val="none" w:sz="0" w:space="0" w:color="auto"/>
        <w:left w:val="none" w:sz="0" w:space="0" w:color="auto"/>
        <w:bottom w:val="none" w:sz="0" w:space="0" w:color="auto"/>
        <w:right w:val="none" w:sz="0" w:space="0" w:color="auto"/>
      </w:divBdr>
    </w:div>
    <w:div w:id="182597965">
      <w:bodyDiv w:val="1"/>
      <w:marLeft w:val="0"/>
      <w:marRight w:val="0"/>
      <w:marTop w:val="0"/>
      <w:marBottom w:val="0"/>
      <w:divBdr>
        <w:top w:val="none" w:sz="0" w:space="0" w:color="auto"/>
        <w:left w:val="none" w:sz="0" w:space="0" w:color="auto"/>
        <w:bottom w:val="none" w:sz="0" w:space="0" w:color="auto"/>
        <w:right w:val="none" w:sz="0" w:space="0" w:color="auto"/>
      </w:divBdr>
    </w:div>
    <w:div w:id="198200232">
      <w:bodyDiv w:val="1"/>
      <w:marLeft w:val="0"/>
      <w:marRight w:val="0"/>
      <w:marTop w:val="0"/>
      <w:marBottom w:val="0"/>
      <w:divBdr>
        <w:top w:val="none" w:sz="0" w:space="0" w:color="auto"/>
        <w:left w:val="none" w:sz="0" w:space="0" w:color="auto"/>
        <w:bottom w:val="none" w:sz="0" w:space="0" w:color="auto"/>
        <w:right w:val="none" w:sz="0" w:space="0" w:color="auto"/>
      </w:divBdr>
    </w:div>
    <w:div w:id="203753048">
      <w:bodyDiv w:val="1"/>
      <w:marLeft w:val="0"/>
      <w:marRight w:val="0"/>
      <w:marTop w:val="0"/>
      <w:marBottom w:val="0"/>
      <w:divBdr>
        <w:top w:val="none" w:sz="0" w:space="0" w:color="auto"/>
        <w:left w:val="none" w:sz="0" w:space="0" w:color="auto"/>
        <w:bottom w:val="none" w:sz="0" w:space="0" w:color="auto"/>
        <w:right w:val="none" w:sz="0" w:space="0" w:color="auto"/>
      </w:divBdr>
    </w:div>
    <w:div w:id="207033922">
      <w:bodyDiv w:val="1"/>
      <w:marLeft w:val="0"/>
      <w:marRight w:val="0"/>
      <w:marTop w:val="0"/>
      <w:marBottom w:val="0"/>
      <w:divBdr>
        <w:top w:val="none" w:sz="0" w:space="0" w:color="auto"/>
        <w:left w:val="none" w:sz="0" w:space="0" w:color="auto"/>
        <w:bottom w:val="none" w:sz="0" w:space="0" w:color="auto"/>
        <w:right w:val="none" w:sz="0" w:space="0" w:color="auto"/>
      </w:divBdr>
    </w:div>
    <w:div w:id="208107162">
      <w:bodyDiv w:val="1"/>
      <w:marLeft w:val="0"/>
      <w:marRight w:val="0"/>
      <w:marTop w:val="0"/>
      <w:marBottom w:val="0"/>
      <w:divBdr>
        <w:top w:val="none" w:sz="0" w:space="0" w:color="auto"/>
        <w:left w:val="none" w:sz="0" w:space="0" w:color="auto"/>
        <w:bottom w:val="none" w:sz="0" w:space="0" w:color="auto"/>
        <w:right w:val="none" w:sz="0" w:space="0" w:color="auto"/>
      </w:divBdr>
    </w:div>
    <w:div w:id="215892788">
      <w:bodyDiv w:val="1"/>
      <w:marLeft w:val="0"/>
      <w:marRight w:val="0"/>
      <w:marTop w:val="0"/>
      <w:marBottom w:val="0"/>
      <w:divBdr>
        <w:top w:val="none" w:sz="0" w:space="0" w:color="auto"/>
        <w:left w:val="none" w:sz="0" w:space="0" w:color="auto"/>
        <w:bottom w:val="none" w:sz="0" w:space="0" w:color="auto"/>
        <w:right w:val="none" w:sz="0" w:space="0" w:color="auto"/>
      </w:divBdr>
    </w:div>
    <w:div w:id="228658500">
      <w:bodyDiv w:val="1"/>
      <w:marLeft w:val="0"/>
      <w:marRight w:val="0"/>
      <w:marTop w:val="0"/>
      <w:marBottom w:val="0"/>
      <w:divBdr>
        <w:top w:val="none" w:sz="0" w:space="0" w:color="auto"/>
        <w:left w:val="none" w:sz="0" w:space="0" w:color="auto"/>
        <w:bottom w:val="none" w:sz="0" w:space="0" w:color="auto"/>
        <w:right w:val="none" w:sz="0" w:space="0" w:color="auto"/>
      </w:divBdr>
    </w:div>
    <w:div w:id="229193455">
      <w:bodyDiv w:val="1"/>
      <w:marLeft w:val="0"/>
      <w:marRight w:val="0"/>
      <w:marTop w:val="0"/>
      <w:marBottom w:val="0"/>
      <w:divBdr>
        <w:top w:val="none" w:sz="0" w:space="0" w:color="auto"/>
        <w:left w:val="none" w:sz="0" w:space="0" w:color="auto"/>
        <w:bottom w:val="none" w:sz="0" w:space="0" w:color="auto"/>
        <w:right w:val="none" w:sz="0" w:space="0" w:color="auto"/>
      </w:divBdr>
    </w:div>
    <w:div w:id="240452878">
      <w:bodyDiv w:val="1"/>
      <w:marLeft w:val="0"/>
      <w:marRight w:val="0"/>
      <w:marTop w:val="0"/>
      <w:marBottom w:val="0"/>
      <w:divBdr>
        <w:top w:val="none" w:sz="0" w:space="0" w:color="auto"/>
        <w:left w:val="none" w:sz="0" w:space="0" w:color="auto"/>
        <w:bottom w:val="none" w:sz="0" w:space="0" w:color="auto"/>
        <w:right w:val="none" w:sz="0" w:space="0" w:color="auto"/>
      </w:divBdr>
    </w:div>
    <w:div w:id="256016201">
      <w:bodyDiv w:val="1"/>
      <w:marLeft w:val="0"/>
      <w:marRight w:val="0"/>
      <w:marTop w:val="0"/>
      <w:marBottom w:val="0"/>
      <w:divBdr>
        <w:top w:val="none" w:sz="0" w:space="0" w:color="auto"/>
        <w:left w:val="none" w:sz="0" w:space="0" w:color="auto"/>
        <w:bottom w:val="none" w:sz="0" w:space="0" w:color="auto"/>
        <w:right w:val="none" w:sz="0" w:space="0" w:color="auto"/>
      </w:divBdr>
    </w:div>
    <w:div w:id="259219494">
      <w:bodyDiv w:val="1"/>
      <w:marLeft w:val="0"/>
      <w:marRight w:val="0"/>
      <w:marTop w:val="0"/>
      <w:marBottom w:val="0"/>
      <w:divBdr>
        <w:top w:val="none" w:sz="0" w:space="0" w:color="auto"/>
        <w:left w:val="none" w:sz="0" w:space="0" w:color="auto"/>
        <w:bottom w:val="none" w:sz="0" w:space="0" w:color="auto"/>
        <w:right w:val="none" w:sz="0" w:space="0" w:color="auto"/>
      </w:divBdr>
    </w:div>
    <w:div w:id="264845042">
      <w:bodyDiv w:val="1"/>
      <w:marLeft w:val="0"/>
      <w:marRight w:val="0"/>
      <w:marTop w:val="0"/>
      <w:marBottom w:val="0"/>
      <w:divBdr>
        <w:top w:val="none" w:sz="0" w:space="0" w:color="auto"/>
        <w:left w:val="none" w:sz="0" w:space="0" w:color="auto"/>
        <w:bottom w:val="none" w:sz="0" w:space="0" w:color="auto"/>
        <w:right w:val="none" w:sz="0" w:space="0" w:color="auto"/>
      </w:divBdr>
    </w:div>
    <w:div w:id="306322591">
      <w:bodyDiv w:val="1"/>
      <w:marLeft w:val="0"/>
      <w:marRight w:val="0"/>
      <w:marTop w:val="0"/>
      <w:marBottom w:val="0"/>
      <w:divBdr>
        <w:top w:val="none" w:sz="0" w:space="0" w:color="auto"/>
        <w:left w:val="none" w:sz="0" w:space="0" w:color="auto"/>
        <w:bottom w:val="none" w:sz="0" w:space="0" w:color="auto"/>
        <w:right w:val="none" w:sz="0" w:space="0" w:color="auto"/>
      </w:divBdr>
    </w:div>
    <w:div w:id="317853607">
      <w:bodyDiv w:val="1"/>
      <w:marLeft w:val="0"/>
      <w:marRight w:val="0"/>
      <w:marTop w:val="0"/>
      <w:marBottom w:val="0"/>
      <w:divBdr>
        <w:top w:val="none" w:sz="0" w:space="0" w:color="auto"/>
        <w:left w:val="none" w:sz="0" w:space="0" w:color="auto"/>
        <w:bottom w:val="none" w:sz="0" w:space="0" w:color="auto"/>
        <w:right w:val="none" w:sz="0" w:space="0" w:color="auto"/>
      </w:divBdr>
    </w:div>
    <w:div w:id="329066579">
      <w:bodyDiv w:val="1"/>
      <w:marLeft w:val="0"/>
      <w:marRight w:val="0"/>
      <w:marTop w:val="0"/>
      <w:marBottom w:val="0"/>
      <w:divBdr>
        <w:top w:val="none" w:sz="0" w:space="0" w:color="auto"/>
        <w:left w:val="none" w:sz="0" w:space="0" w:color="auto"/>
        <w:bottom w:val="none" w:sz="0" w:space="0" w:color="auto"/>
        <w:right w:val="none" w:sz="0" w:space="0" w:color="auto"/>
      </w:divBdr>
    </w:div>
    <w:div w:id="330179842">
      <w:bodyDiv w:val="1"/>
      <w:marLeft w:val="0"/>
      <w:marRight w:val="0"/>
      <w:marTop w:val="0"/>
      <w:marBottom w:val="0"/>
      <w:divBdr>
        <w:top w:val="none" w:sz="0" w:space="0" w:color="auto"/>
        <w:left w:val="none" w:sz="0" w:space="0" w:color="auto"/>
        <w:bottom w:val="none" w:sz="0" w:space="0" w:color="auto"/>
        <w:right w:val="none" w:sz="0" w:space="0" w:color="auto"/>
      </w:divBdr>
    </w:div>
    <w:div w:id="349069974">
      <w:bodyDiv w:val="1"/>
      <w:marLeft w:val="0"/>
      <w:marRight w:val="0"/>
      <w:marTop w:val="0"/>
      <w:marBottom w:val="0"/>
      <w:divBdr>
        <w:top w:val="none" w:sz="0" w:space="0" w:color="auto"/>
        <w:left w:val="none" w:sz="0" w:space="0" w:color="auto"/>
        <w:bottom w:val="none" w:sz="0" w:space="0" w:color="auto"/>
        <w:right w:val="none" w:sz="0" w:space="0" w:color="auto"/>
      </w:divBdr>
    </w:div>
    <w:div w:id="399520813">
      <w:bodyDiv w:val="1"/>
      <w:marLeft w:val="0"/>
      <w:marRight w:val="0"/>
      <w:marTop w:val="0"/>
      <w:marBottom w:val="0"/>
      <w:divBdr>
        <w:top w:val="none" w:sz="0" w:space="0" w:color="auto"/>
        <w:left w:val="none" w:sz="0" w:space="0" w:color="auto"/>
        <w:bottom w:val="none" w:sz="0" w:space="0" w:color="auto"/>
        <w:right w:val="none" w:sz="0" w:space="0" w:color="auto"/>
      </w:divBdr>
    </w:div>
    <w:div w:id="401291040">
      <w:bodyDiv w:val="1"/>
      <w:marLeft w:val="0"/>
      <w:marRight w:val="0"/>
      <w:marTop w:val="0"/>
      <w:marBottom w:val="0"/>
      <w:divBdr>
        <w:top w:val="none" w:sz="0" w:space="0" w:color="auto"/>
        <w:left w:val="none" w:sz="0" w:space="0" w:color="auto"/>
        <w:bottom w:val="none" w:sz="0" w:space="0" w:color="auto"/>
        <w:right w:val="none" w:sz="0" w:space="0" w:color="auto"/>
      </w:divBdr>
    </w:div>
    <w:div w:id="405886903">
      <w:bodyDiv w:val="1"/>
      <w:marLeft w:val="0"/>
      <w:marRight w:val="0"/>
      <w:marTop w:val="0"/>
      <w:marBottom w:val="0"/>
      <w:divBdr>
        <w:top w:val="none" w:sz="0" w:space="0" w:color="auto"/>
        <w:left w:val="none" w:sz="0" w:space="0" w:color="auto"/>
        <w:bottom w:val="none" w:sz="0" w:space="0" w:color="auto"/>
        <w:right w:val="none" w:sz="0" w:space="0" w:color="auto"/>
      </w:divBdr>
    </w:div>
    <w:div w:id="406877121">
      <w:bodyDiv w:val="1"/>
      <w:marLeft w:val="0"/>
      <w:marRight w:val="0"/>
      <w:marTop w:val="0"/>
      <w:marBottom w:val="0"/>
      <w:divBdr>
        <w:top w:val="none" w:sz="0" w:space="0" w:color="auto"/>
        <w:left w:val="none" w:sz="0" w:space="0" w:color="auto"/>
        <w:bottom w:val="none" w:sz="0" w:space="0" w:color="auto"/>
        <w:right w:val="none" w:sz="0" w:space="0" w:color="auto"/>
      </w:divBdr>
    </w:div>
    <w:div w:id="435292988">
      <w:bodyDiv w:val="1"/>
      <w:marLeft w:val="0"/>
      <w:marRight w:val="0"/>
      <w:marTop w:val="0"/>
      <w:marBottom w:val="0"/>
      <w:divBdr>
        <w:top w:val="none" w:sz="0" w:space="0" w:color="auto"/>
        <w:left w:val="none" w:sz="0" w:space="0" w:color="auto"/>
        <w:bottom w:val="none" w:sz="0" w:space="0" w:color="auto"/>
        <w:right w:val="none" w:sz="0" w:space="0" w:color="auto"/>
      </w:divBdr>
    </w:div>
    <w:div w:id="459543364">
      <w:bodyDiv w:val="1"/>
      <w:marLeft w:val="0"/>
      <w:marRight w:val="0"/>
      <w:marTop w:val="0"/>
      <w:marBottom w:val="0"/>
      <w:divBdr>
        <w:top w:val="none" w:sz="0" w:space="0" w:color="auto"/>
        <w:left w:val="none" w:sz="0" w:space="0" w:color="auto"/>
        <w:bottom w:val="none" w:sz="0" w:space="0" w:color="auto"/>
        <w:right w:val="none" w:sz="0" w:space="0" w:color="auto"/>
      </w:divBdr>
    </w:div>
    <w:div w:id="467432392">
      <w:bodyDiv w:val="1"/>
      <w:marLeft w:val="0"/>
      <w:marRight w:val="0"/>
      <w:marTop w:val="0"/>
      <w:marBottom w:val="0"/>
      <w:divBdr>
        <w:top w:val="none" w:sz="0" w:space="0" w:color="auto"/>
        <w:left w:val="none" w:sz="0" w:space="0" w:color="auto"/>
        <w:bottom w:val="none" w:sz="0" w:space="0" w:color="auto"/>
        <w:right w:val="none" w:sz="0" w:space="0" w:color="auto"/>
      </w:divBdr>
    </w:div>
    <w:div w:id="470291728">
      <w:bodyDiv w:val="1"/>
      <w:marLeft w:val="0"/>
      <w:marRight w:val="0"/>
      <w:marTop w:val="0"/>
      <w:marBottom w:val="0"/>
      <w:divBdr>
        <w:top w:val="none" w:sz="0" w:space="0" w:color="auto"/>
        <w:left w:val="none" w:sz="0" w:space="0" w:color="auto"/>
        <w:bottom w:val="none" w:sz="0" w:space="0" w:color="auto"/>
        <w:right w:val="none" w:sz="0" w:space="0" w:color="auto"/>
      </w:divBdr>
    </w:div>
    <w:div w:id="473913147">
      <w:bodyDiv w:val="1"/>
      <w:marLeft w:val="0"/>
      <w:marRight w:val="0"/>
      <w:marTop w:val="0"/>
      <w:marBottom w:val="0"/>
      <w:divBdr>
        <w:top w:val="none" w:sz="0" w:space="0" w:color="auto"/>
        <w:left w:val="none" w:sz="0" w:space="0" w:color="auto"/>
        <w:bottom w:val="none" w:sz="0" w:space="0" w:color="auto"/>
        <w:right w:val="none" w:sz="0" w:space="0" w:color="auto"/>
      </w:divBdr>
    </w:div>
    <w:div w:id="485436496">
      <w:bodyDiv w:val="1"/>
      <w:marLeft w:val="0"/>
      <w:marRight w:val="0"/>
      <w:marTop w:val="0"/>
      <w:marBottom w:val="0"/>
      <w:divBdr>
        <w:top w:val="none" w:sz="0" w:space="0" w:color="auto"/>
        <w:left w:val="none" w:sz="0" w:space="0" w:color="auto"/>
        <w:bottom w:val="none" w:sz="0" w:space="0" w:color="auto"/>
        <w:right w:val="none" w:sz="0" w:space="0" w:color="auto"/>
      </w:divBdr>
    </w:div>
    <w:div w:id="495069519">
      <w:bodyDiv w:val="1"/>
      <w:marLeft w:val="0"/>
      <w:marRight w:val="0"/>
      <w:marTop w:val="0"/>
      <w:marBottom w:val="0"/>
      <w:divBdr>
        <w:top w:val="none" w:sz="0" w:space="0" w:color="auto"/>
        <w:left w:val="none" w:sz="0" w:space="0" w:color="auto"/>
        <w:bottom w:val="none" w:sz="0" w:space="0" w:color="auto"/>
        <w:right w:val="none" w:sz="0" w:space="0" w:color="auto"/>
      </w:divBdr>
    </w:div>
    <w:div w:id="502361913">
      <w:bodyDiv w:val="1"/>
      <w:marLeft w:val="0"/>
      <w:marRight w:val="0"/>
      <w:marTop w:val="0"/>
      <w:marBottom w:val="0"/>
      <w:divBdr>
        <w:top w:val="none" w:sz="0" w:space="0" w:color="auto"/>
        <w:left w:val="none" w:sz="0" w:space="0" w:color="auto"/>
        <w:bottom w:val="none" w:sz="0" w:space="0" w:color="auto"/>
        <w:right w:val="none" w:sz="0" w:space="0" w:color="auto"/>
      </w:divBdr>
    </w:div>
    <w:div w:id="506217178">
      <w:bodyDiv w:val="1"/>
      <w:marLeft w:val="0"/>
      <w:marRight w:val="0"/>
      <w:marTop w:val="0"/>
      <w:marBottom w:val="0"/>
      <w:divBdr>
        <w:top w:val="none" w:sz="0" w:space="0" w:color="auto"/>
        <w:left w:val="none" w:sz="0" w:space="0" w:color="auto"/>
        <w:bottom w:val="none" w:sz="0" w:space="0" w:color="auto"/>
        <w:right w:val="none" w:sz="0" w:space="0" w:color="auto"/>
      </w:divBdr>
    </w:div>
    <w:div w:id="507252511">
      <w:bodyDiv w:val="1"/>
      <w:marLeft w:val="0"/>
      <w:marRight w:val="0"/>
      <w:marTop w:val="0"/>
      <w:marBottom w:val="0"/>
      <w:divBdr>
        <w:top w:val="none" w:sz="0" w:space="0" w:color="auto"/>
        <w:left w:val="none" w:sz="0" w:space="0" w:color="auto"/>
        <w:bottom w:val="none" w:sz="0" w:space="0" w:color="auto"/>
        <w:right w:val="none" w:sz="0" w:space="0" w:color="auto"/>
      </w:divBdr>
    </w:div>
    <w:div w:id="518198521">
      <w:bodyDiv w:val="1"/>
      <w:marLeft w:val="0"/>
      <w:marRight w:val="0"/>
      <w:marTop w:val="0"/>
      <w:marBottom w:val="0"/>
      <w:divBdr>
        <w:top w:val="none" w:sz="0" w:space="0" w:color="auto"/>
        <w:left w:val="none" w:sz="0" w:space="0" w:color="auto"/>
        <w:bottom w:val="none" w:sz="0" w:space="0" w:color="auto"/>
        <w:right w:val="none" w:sz="0" w:space="0" w:color="auto"/>
      </w:divBdr>
    </w:div>
    <w:div w:id="534541652">
      <w:bodyDiv w:val="1"/>
      <w:marLeft w:val="0"/>
      <w:marRight w:val="0"/>
      <w:marTop w:val="0"/>
      <w:marBottom w:val="0"/>
      <w:divBdr>
        <w:top w:val="none" w:sz="0" w:space="0" w:color="auto"/>
        <w:left w:val="none" w:sz="0" w:space="0" w:color="auto"/>
        <w:bottom w:val="none" w:sz="0" w:space="0" w:color="auto"/>
        <w:right w:val="none" w:sz="0" w:space="0" w:color="auto"/>
      </w:divBdr>
    </w:div>
    <w:div w:id="538124024">
      <w:bodyDiv w:val="1"/>
      <w:marLeft w:val="0"/>
      <w:marRight w:val="0"/>
      <w:marTop w:val="0"/>
      <w:marBottom w:val="0"/>
      <w:divBdr>
        <w:top w:val="none" w:sz="0" w:space="0" w:color="auto"/>
        <w:left w:val="none" w:sz="0" w:space="0" w:color="auto"/>
        <w:bottom w:val="none" w:sz="0" w:space="0" w:color="auto"/>
        <w:right w:val="none" w:sz="0" w:space="0" w:color="auto"/>
      </w:divBdr>
    </w:div>
    <w:div w:id="544870740">
      <w:bodyDiv w:val="1"/>
      <w:marLeft w:val="0"/>
      <w:marRight w:val="0"/>
      <w:marTop w:val="0"/>
      <w:marBottom w:val="0"/>
      <w:divBdr>
        <w:top w:val="none" w:sz="0" w:space="0" w:color="auto"/>
        <w:left w:val="none" w:sz="0" w:space="0" w:color="auto"/>
        <w:bottom w:val="none" w:sz="0" w:space="0" w:color="auto"/>
        <w:right w:val="none" w:sz="0" w:space="0" w:color="auto"/>
      </w:divBdr>
    </w:div>
    <w:div w:id="548227275">
      <w:bodyDiv w:val="1"/>
      <w:marLeft w:val="0"/>
      <w:marRight w:val="0"/>
      <w:marTop w:val="0"/>
      <w:marBottom w:val="0"/>
      <w:divBdr>
        <w:top w:val="none" w:sz="0" w:space="0" w:color="auto"/>
        <w:left w:val="none" w:sz="0" w:space="0" w:color="auto"/>
        <w:bottom w:val="none" w:sz="0" w:space="0" w:color="auto"/>
        <w:right w:val="none" w:sz="0" w:space="0" w:color="auto"/>
      </w:divBdr>
    </w:div>
    <w:div w:id="552500417">
      <w:bodyDiv w:val="1"/>
      <w:marLeft w:val="0"/>
      <w:marRight w:val="0"/>
      <w:marTop w:val="0"/>
      <w:marBottom w:val="0"/>
      <w:divBdr>
        <w:top w:val="none" w:sz="0" w:space="0" w:color="auto"/>
        <w:left w:val="none" w:sz="0" w:space="0" w:color="auto"/>
        <w:bottom w:val="none" w:sz="0" w:space="0" w:color="auto"/>
        <w:right w:val="none" w:sz="0" w:space="0" w:color="auto"/>
      </w:divBdr>
    </w:div>
    <w:div w:id="566378571">
      <w:bodyDiv w:val="1"/>
      <w:marLeft w:val="0"/>
      <w:marRight w:val="0"/>
      <w:marTop w:val="0"/>
      <w:marBottom w:val="0"/>
      <w:divBdr>
        <w:top w:val="none" w:sz="0" w:space="0" w:color="auto"/>
        <w:left w:val="none" w:sz="0" w:space="0" w:color="auto"/>
        <w:bottom w:val="none" w:sz="0" w:space="0" w:color="auto"/>
        <w:right w:val="none" w:sz="0" w:space="0" w:color="auto"/>
      </w:divBdr>
    </w:div>
    <w:div w:id="568152738">
      <w:bodyDiv w:val="1"/>
      <w:marLeft w:val="0"/>
      <w:marRight w:val="0"/>
      <w:marTop w:val="0"/>
      <w:marBottom w:val="0"/>
      <w:divBdr>
        <w:top w:val="none" w:sz="0" w:space="0" w:color="auto"/>
        <w:left w:val="none" w:sz="0" w:space="0" w:color="auto"/>
        <w:bottom w:val="none" w:sz="0" w:space="0" w:color="auto"/>
        <w:right w:val="none" w:sz="0" w:space="0" w:color="auto"/>
      </w:divBdr>
    </w:div>
    <w:div w:id="569387185">
      <w:bodyDiv w:val="1"/>
      <w:marLeft w:val="0"/>
      <w:marRight w:val="0"/>
      <w:marTop w:val="0"/>
      <w:marBottom w:val="0"/>
      <w:divBdr>
        <w:top w:val="none" w:sz="0" w:space="0" w:color="auto"/>
        <w:left w:val="none" w:sz="0" w:space="0" w:color="auto"/>
        <w:bottom w:val="none" w:sz="0" w:space="0" w:color="auto"/>
        <w:right w:val="none" w:sz="0" w:space="0" w:color="auto"/>
      </w:divBdr>
    </w:div>
    <w:div w:id="578321844">
      <w:bodyDiv w:val="1"/>
      <w:marLeft w:val="0"/>
      <w:marRight w:val="0"/>
      <w:marTop w:val="0"/>
      <w:marBottom w:val="0"/>
      <w:divBdr>
        <w:top w:val="none" w:sz="0" w:space="0" w:color="auto"/>
        <w:left w:val="none" w:sz="0" w:space="0" w:color="auto"/>
        <w:bottom w:val="none" w:sz="0" w:space="0" w:color="auto"/>
        <w:right w:val="none" w:sz="0" w:space="0" w:color="auto"/>
      </w:divBdr>
    </w:div>
    <w:div w:id="591359740">
      <w:bodyDiv w:val="1"/>
      <w:marLeft w:val="0"/>
      <w:marRight w:val="0"/>
      <w:marTop w:val="0"/>
      <w:marBottom w:val="0"/>
      <w:divBdr>
        <w:top w:val="none" w:sz="0" w:space="0" w:color="auto"/>
        <w:left w:val="none" w:sz="0" w:space="0" w:color="auto"/>
        <w:bottom w:val="none" w:sz="0" w:space="0" w:color="auto"/>
        <w:right w:val="none" w:sz="0" w:space="0" w:color="auto"/>
      </w:divBdr>
    </w:div>
    <w:div w:id="597325542">
      <w:bodyDiv w:val="1"/>
      <w:marLeft w:val="0"/>
      <w:marRight w:val="0"/>
      <w:marTop w:val="0"/>
      <w:marBottom w:val="0"/>
      <w:divBdr>
        <w:top w:val="none" w:sz="0" w:space="0" w:color="auto"/>
        <w:left w:val="none" w:sz="0" w:space="0" w:color="auto"/>
        <w:bottom w:val="none" w:sz="0" w:space="0" w:color="auto"/>
        <w:right w:val="none" w:sz="0" w:space="0" w:color="auto"/>
      </w:divBdr>
    </w:div>
    <w:div w:id="630405092">
      <w:bodyDiv w:val="1"/>
      <w:marLeft w:val="0"/>
      <w:marRight w:val="0"/>
      <w:marTop w:val="0"/>
      <w:marBottom w:val="0"/>
      <w:divBdr>
        <w:top w:val="none" w:sz="0" w:space="0" w:color="auto"/>
        <w:left w:val="none" w:sz="0" w:space="0" w:color="auto"/>
        <w:bottom w:val="none" w:sz="0" w:space="0" w:color="auto"/>
        <w:right w:val="none" w:sz="0" w:space="0" w:color="auto"/>
      </w:divBdr>
    </w:div>
    <w:div w:id="644942192">
      <w:bodyDiv w:val="1"/>
      <w:marLeft w:val="0"/>
      <w:marRight w:val="0"/>
      <w:marTop w:val="0"/>
      <w:marBottom w:val="0"/>
      <w:divBdr>
        <w:top w:val="none" w:sz="0" w:space="0" w:color="auto"/>
        <w:left w:val="none" w:sz="0" w:space="0" w:color="auto"/>
        <w:bottom w:val="none" w:sz="0" w:space="0" w:color="auto"/>
        <w:right w:val="none" w:sz="0" w:space="0" w:color="auto"/>
      </w:divBdr>
    </w:div>
    <w:div w:id="651447820">
      <w:bodyDiv w:val="1"/>
      <w:marLeft w:val="0"/>
      <w:marRight w:val="0"/>
      <w:marTop w:val="0"/>
      <w:marBottom w:val="0"/>
      <w:divBdr>
        <w:top w:val="none" w:sz="0" w:space="0" w:color="auto"/>
        <w:left w:val="none" w:sz="0" w:space="0" w:color="auto"/>
        <w:bottom w:val="none" w:sz="0" w:space="0" w:color="auto"/>
        <w:right w:val="none" w:sz="0" w:space="0" w:color="auto"/>
      </w:divBdr>
    </w:div>
    <w:div w:id="652829165">
      <w:bodyDiv w:val="1"/>
      <w:marLeft w:val="0"/>
      <w:marRight w:val="0"/>
      <w:marTop w:val="0"/>
      <w:marBottom w:val="0"/>
      <w:divBdr>
        <w:top w:val="none" w:sz="0" w:space="0" w:color="auto"/>
        <w:left w:val="none" w:sz="0" w:space="0" w:color="auto"/>
        <w:bottom w:val="none" w:sz="0" w:space="0" w:color="auto"/>
        <w:right w:val="none" w:sz="0" w:space="0" w:color="auto"/>
      </w:divBdr>
    </w:div>
    <w:div w:id="653918453">
      <w:bodyDiv w:val="1"/>
      <w:marLeft w:val="0"/>
      <w:marRight w:val="0"/>
      <w:marTop w:val="0"/>
      <w:marBottom w:val="0"/>
      <w:divBdr>
        <w:top w:val="none" w:sz="0" w:space="0" w:color="auto"/>
        <w:left w:val="none" w:sz="0" w:space="0" w:color="auto"/>
        <w:bottom w:val="none" w:sz="0" w:space="0" w:color="auto"/>
        <w:right w:val="none" w:sz="0" w:space="0" w:color="auto"/>
      </w:divBdr>
    </w:div>
    <w:div w:id="658968303">
      <w:bodyDiv w:val="1"/>
      <w:marLeft w:val="0"/>
      <w:marRight w:val="0"/>
      <w:marTop w:val="0"/>
      <w:marBottom w:val="0"/>
      <w:divBdr>
        <w:top w:val="none" w:sz="0" w:space="0" w:color="auto"/>
        <w:left w:val="none" w:sz="0" w:space="0" w:color="auto"/>
        <w:bottom w:val="none" w:sz="0" w:space="0" w:color="auto"/>
        <w:right w:val="none" w:sz="0" w:space="0" w:color="auto"/>
      </w:divBdr>
    </w:div>
    <w:div w:id="661927279">
      <w:bodyDiv w:val="1"/>
      <w:marLeft w:val="0"/>
      <w:marRight w:val="0"/>
      <w:marTop w:val="0"/>
      <w:marBottom w:val="0"/>
      <w:divBdr>
        <w:top w:val="none" w:sz="0" w:space="0" w:color="auto"/>
        <w:left w:val="none" w:sz="0" w:space="0" w:color="auto"/>
        <w:bottom w:val="none" w:sz="0" w:space="0" w:color="auto"/>
        <w:right w:val="none" w:sz="0" w:space="0" w:color="auto"/>
      </w:divBdr>
    </w:div>
    <w:div w:id="696858172">
      <w:bodyDiv w:val="1"/>
      <w:marLeft w:val="0"/>
      <w:marRight w:val="0"/>
      <w:marTop w:val="0"/>
      <w:marBottom w:val="0"/>
      <w:divBdr>
        <w:top w:val="none" w:sz="0" w:space="0" w:color="auto"/>
        <w:left w:val="none" w:sz="0" w:space="0" w:color="auto"/>
        <w:bottom w:val="none" w:sz="0" w:space="0" w:color="auto"/>
        <w:right w:val="none" w:sz="0" w:space="0" w:color="auto"/>
      </w:divBdr>
    </w:div>
    <w:div w:id="701125394">
      <w:bodyDiv w:val="1"/>
      <w:marLeft w:val="0"/>
      <w:marRight w:val="0"/>
      <w:marTop w:val="0"/>
      <w:marBottom w:val="0"/>
      <w:divBdr>
        <w:top w:val="none" w:sz="0" w:space="0" w:color="auto"/>
        <w:left w:val="none" w:sz="0" w:space="0" w:color="auto"/>
        <w:bottom w:val="none" w:sz="0" w:space="0" w:color="auto"/>
        <w:right w:val="none" w:sz="0" w:space="0" w:color="auto"/>
      </w:divBdr>
    </w:div>
    <w:div w:id="702485653">
      <w:bodyDiv w:val="1"/>
      <w:marLeft w:val="0"/>
      <w:marRight w:val="0"/>
      <w:marTop w:val="0"/>
      <w:marBottom w:val="0"/>
      <w:divBdr>
        <w:top w:val="none" w:sz="0" w:space="0" w:color="auto"/>
        <w:left w:val="none" w:sz="0" w:space="0" w:color="auto"/>
        <w:bottom w:val="none" w:sz="0" w:space="0" w:color="auto"/>
        <w:right w:val="none" w:sz="0" w:space="0" w:color="auto"/>
      </w:divBdr>
    </w:div>
    <w:div w:id="710492749">
      <w:bodyDiv w:val="1"/>
      <w:marLeft w:val="0"/>
      <w:marRight w:val="0"/>
      <w:marTop w:val="0"/>
      <w:marBottom w:val="0"/>
      <w:divBdr>
        <w:top w:val="none" w:sz="0" w:space="0" w:color="auto"/>
        <w:left w:val="none" w:sz="0" w:space="0" w:color="auto"/>
        <w:bottom w:val="none" w:sz="0" w:space="0" w:color="auto"/>
        <w:right w:val="none" w:sz="0" w:space="0" w:color="auto"/>
      </w:divBdr>
    </w:div>
    <w:div w:id="730231797">
      <w:bodyDiv w:val="1"/>
      <w:marLeft w:val="0"/>
      <w:marRight w:val="0"/>
      <w:marTop w:val="0"/>
      <w:marBottom w:val="0"/>
      <w:divBdr>
        <w:top w:val="none" w:sz="0" w:space="0" w:color="auto"/>
        <w:left w:val="none" w:sz="0" w:space="0" w:color="auto"/>
        <w:bottom w:val="none" w:sz="0" w:space="0" w:color="auto"/>
        <w:right w:val="none" w:sz="0" w:space="0" w:color="auto"/>
      </w:divBdr>
    </w:div>
    <w:div w:id="732823672">
      <w:bodyDiv w:val="1"/>
      <w:marLeft w:val="0"/>
      <w:marRight w:val="0"/>
      <w:marTop w:val="0"/>
      <w:marBottom w:val="0"/>
      <w:divBdr>
        <w:top w:val="none" w:sz="0" w:space="0" w:color="auto"/>
        <w:left w:val="none" w:sz="0" w:space="0" w:color="auto"/>
        <w:bottom w:val="none" w:sz="0" w:space="0" w:color="auto"/>
        <w:right w:val="none" w:sz="0" w:space="0" w:color="auto"/>
      </w:divBdr>
    </w:div>
    <w:div w:id="746417501">
      <w:bodyDiv w:val="1"/>
      <w:marLeft w:val="0"/>
      <w:marRight w:val="0"/>
      <w:marTop w:val="0"/>
      <w:marBottom w:val="0"/>
      <w:divBdr>
        <w:top w:val="none" w:sz="0" w:space="0" w:color="auto"/>
        <w:left w:val="none" w:sz="0" w:space="0" w:color="auto"/>
        <w:bottom w:val="none" w:sz="0" w:space="0" w:color="auto"/>
        <w:right w:val="none" w:sz="0" w:space="0" w:color="auto"/>
      </w:divBdr>
    </w:div>
    <w:div w:id="750586849">
      <w:bodyDiv w:val="1"/>
      <w:marLeft w:val="0"/>
      <w:marRight w:val="0"/>
      <w:marTop w:val="0"/>
      <w:marBottom w:val="0"/>
      <w:divBdr>
        <w:top w:val="none" w:sz="0" w:space="0" w:color="auto"/>
        <w:left w:val="none" w:sz="0" w:space="0" w:color="auto"/>
        <w:bottom w:val="none" w:sz="0" w:space="0" w:color="auto"/>
        <w:right w:val="none" w:sz="0" w:space="0" w:color="auto"/>
      </w:divBdr>
    </w:div>
    <w:div w:id="755901022">
      <w:bodyDiv w:val="1"/>
      <w:marLeft w:val="0"/>
      <w:marRight w:val="0"/>
      <w:marTop w:val="0"/>
      <w:marBottom w:val="0"/>
      <w:divBdr>
        <w:top w:val="none" w:sz="0" w:space="0" w:color="auto"/>
        <w:left w:val="none" w:sz="0" w:space="0" w:color="auto"/>
        <w:bottom w:val="none" w:sz="0" w:space="0" w:color="auto"/>
        <w:right w:val="none" w:sz="0" w:space="0" w:color="auto"/>
      </w:divBdr>
    </w:div>
    <w:div w:id="770202773">
      <w:bodyDiv w:val="1"/>
      <w:marLeft w:val="0"/>
      <w:marRight w:val="0"/>
      <w:marTop w:val="0"/>
      <w:marBottom w:val="0"/>
      <w:divBdr>
        <w:top w:val="none" w:sz="0" w:space="0" w:color="auto"/>
        <w:left w:val="none" w:sz="0" w:space="0" w:color="auto"/>
        <w:bottom w:val="none" w:sz="0" w:space="0" w:color="auto"/>
        <w:right w:val="none" w:sz="0" w:space="0" w:color="auto"/>
      </w:divBdr>
    </w:div>
    <w:div w:id="773132382">
      <w:bodyDiv w:val="1"/>
      <w:marLeft w:val="0"/>
      <w:marRight w:val="0"/>
      <w:marTop w:val="0"/>
      <w:marBottom w:val="0"/>
      <w:divBdr>
        <w:top w:val="none" w:sz="0" w:space="0" w:color="auto"/>
        <w:left w:val="none" w:sz="0" w:space="0" w:color="auto"/>
        <w:bottom w:val="none" w:sz="0" w:space="0" w:color="auto"/>
        <w:right w:val="none" w:sz="0" w:space="0" w:color="auto"/>
      </w:divBdr>
    </w:div>
    <w:div w:id="773213562">
      <w:bodyDiv w:val="1"/>
      <w:marLeft w:val="0"/>
      <w:marRight w:val="0"/>
      <w:marTop w:val="0"/>
      <w:marBottom w:val="0"/>
      <w:divBdr>
        <w:top w:val="none" w:sz="0" w:space="0" w:color="auto"/>
        <w:left w:val="none" w:sz="0" w:space="0" w:color="auto"/>
        <w:bottom w:val="none" w:sz="0" w:space="0" w:color="auto"/>
        <w:right w:val="none" w:sz="0" w:space="0" w:color="auto"/>
      </w:divBdr>
    </w:div>
    <w:div w:id="786003111">
      <w:bodyDiv w:val="1"/>
      <w:marLeft w:val="0"/>
      <w:marRight w:val="0"/>
      <w:marTop w:val="0"/>
      <w:marBottom w:val="0"/>
      <w:divBdr>
        <w:top w:val="none" w:sz="0" w:space="0" w:color="auto"/>
        <w:left w:val="none" w:sz="0" w:space="0" w:color="auto"/>
        <w:bottom w:val="none" w:sz="0" w:space="0" w:color="auto"/>
        <w:right w:val="none" w:sz="0" w:space="0" w:color="auto"/>
      </w:divBdr>
    </w:div>
    <w:div w:id="791821043">
      <w:bodyDiv w:val="1"/>
      <w:marLeft w:val="0"/>
      <w:marRight w:val="0"/>
      <w:marTop w:val="0"/>
      <w:marBottom w:val="0"/>
      <w:divBdr>
        <w:top w:val="none" w:sz="0" w:space="0" w:color="auto"/>
        <w:left w:val="none" w:sz="0" w:space="0" w:color="auto"/>
        <w:bottom w:val="none" w:sz="0" w:space="0" w:color="auto"/>
        <w:right w:val="none" w:sz="0" w:space="0" w:color="auto"/>
      </w:divBdr>
    </w:div>
    <w:div w:id="793251192">
      <w:bodyDiv w:val="1"/>
      <w:marLeft w:val="0"/>
      <w:marRight w:val="0"/>
      <w:marTop w:val="0"/>
      <w:marBottom w:val="0"/>
      <w:divBdr>
        <w:top w:val="none" w:sz="0" w:space="0" w:color="auto"/>
        <w:left w:val="none" w:sz="0" w:space="0" w:color="auto"/>
        <w:bottom w:val="none" w:sz="0" w:space="0" w:color="auto"/>
        <w:right w:val="none" w:sz="0" w:space="0" w:color="auto"/>
      </w:divBdr>
    </w:div>
    <w:div w:id="795292156">
      <w:bodyDiv w:val="1"/>
      <w:marLeft w:val="0"/>
      <w:marRight w:val="0"/>
      <w:marTop w:val="0"/>
      <w:marBottom w:val="0"/>
      <w:divBdr>
        <w:top w:val="none" w:sz="0" w:space="0" w:color="auto"/>
        <w:left w:val="none" w:sz="0" w:space="0" w:color="auto"/>
        <w:bottom w:val="none" w:sz="0" w:space="0" w:color="auto"/>
        <w:right w:val="none" w:sz="0" w:space="0" w:color="auto"/>
      </w:divBdr>
    </w:div>
    <w:div w:id="795679002">
      <w:bodyDiv w:val="1"/>
      <w:marLeft w:val="0"/>
      <w:marRight w:val="0"/>
      <w:marTop w:val="0"/>
      <w:marBottom w:val="0"/>
      <w:divBdr>
        <w:top w:val="none" w:sz="0" w:space="0" w:color="auto"/>
        <w:left w:val="none" w:sz="0" w:space="0" w:color="auto"/>
        <w:bottom w:val="none" w:sz="0" w:space="0" w:color="auto"/>
        <w:right w:val="none" w:sz="0" w:space="0" w:color="auto"/>
      </w:divBdr>
    </w:div>
    <w:div w:id="808479834">
      <w:bodyDiv w:val="1"/>
      <w:marLeft w:val="0"/>
      <w:marRight w:val="0"/>
      <w:marTop w:val="0"/>
      <w:marBottom w:val="0"/>
      <w:divBdr>
        <w:top w:val="none" w:sz="0" w:space="0" w:color="auto"/>
        <w:left w:val="none" w:sz="0" w:space="0" w:color="auto"/>
        <w:bottom w:val="none" w:sz="0" w:space="0" w:color="auto"/>
        <w:right w:val="none" w:sz="0" w:space="0" w:color="auto"/>
      </w:divBdr>
    </w:div>
    <w:div w:id="809401223">
      <w:bodyDiv w:val="1"/>
      <w:marLeft w:val="0"/>
      <w:marRight w:val="0"/>
      <w:marTop w:val="0"/>
      <w:marBottom w:val="0"/>
      <w:divBdr>
        <w:top w:val="none" w:sz="0" w:space="0" w:color="auto"/>
        <w:left w:val="none" w:sz="0" w:space="0" w:color="auto"/>
        <w:bottom w:val="none" w:sz="0" w:space="0" w:color="auto"/>
        <w:right w:val="none" w:sz="0" w:space="0" w:color="auto"/>
      </w:divBdr>
    </w:div>
    <w:div w:id="819808487">
      <w:bodyDiv w:val="1"/>
      <w:marLeft w:val="0"/>
      <w:marRight w:val="0"/>
      <w:marTop w:val="0"/>
      <w:marBottom w:val="0"/>
      <w:divBdr>
        <w:top w:val="none" w:sz="0" w:space="0" w:color="auto"/>
        <w:left w:val="none" w:sz="0" w:space="0" w:color="auto"/>
        <w:bottom w:val="none" w:sz="0" w:space="0" w:color="auto"/>
        <w:right w:val="none" w:sz="0" w:space="0" w:color="auto"/>
      </w:divBdr>
    </w:div>
    <w:div w:id="820999926">
      <w:bodyDiv w:val="1"/>
      <w:marLeft w:val="0"/>
      <w:marRight w:val="0"/>
      <w:marTop w:val="0"/>
      <w:marBottom w:val="0"/>
      <w:divBdr>
        <w:top w:val="none" w:sz="0" w:space="0" w:color="auto"/>
        <w:left w:val="none" w:sz="0" w:space="0" w:color="auto"/>
        <w:bottom w:val="none" w:sz="0" w:space="0" w:color="auto"/>
        <w:right w:val="none" w:sz="0" w:space="0" w:color="auto"/>
      </w:divBdr>
    </w:div>
    <w:div w:id="823158400">
      <w:bodyDiv w:val="1"/>
      <w:marLeft w:val="0"/>
      <w:marRight w:val="0"/>
      <w:marTop w:val="0"/>
      <w:marBottom w:val="0"/>
      <w:divBdr>
        <w:top w:val="none" w:sz="0" w:space="0" w:color="auto"/>
        <w:left w:val="none" w:sz="0" w:space="0" w:color="auto"/>
        <w:bottom w:val="none" w:sz="0" w:space="0" w:color="auto"/>
        <w:right w:val="none" w:sz="0" w:space="0" w:color="auto"/>
      </w:divBdr>
    </w:div>
    <w:div w:id="825320684">
      <w:bodyDiv w:val="1"/>
      <w:marLeft w:val="0"/>
      <w:marRight w:val="0"/>
      <w:marTop w:val="0"/>
      <w:marBottom w:val="0"/>
      <w:divBdr>
        <w:top w:val="none" w:sz="0" w:space="0" w:color="auto"/>
        <w:left w:val="none" w:sz="0" w:space="0" w:color="auto"/>
        <w:bottom w:val="none" w:sz="0" w:space="0" w:color="auto"/>
        <w:right w:val="none" w:sz="0" w:space="0" w:color="auto"/>
      </w:divBdr>
    </w:div>
    <w:div w:id="843520139">
      <w:bodyDiv w:val="1"/>
      <w:marLeft w:val="0"/>
      <w:marRight w:val="0"/>
      <w:marTop w:val="0"/>
      <w:marBottom w:val="0"/>
      <w:divBdr>
        <w:top w:val="none" w:sz="0" w:space="0" w:color="auto"/>
        <w:left w:val="none" w:sz="0" w:space="0" w:color="auto"/>
        <w:bottom w:val="none" w:sz="0" w:space="0" w:color="auto"/>
        <w:right w:val="none" w:sz="0" w:space="0" w:color="auto"/>
      </w:divBdr>
    </w:div>
    <w:div w:id="860166335">
      <w:bodyDiv w:val="1"/>
      <w:marLeft w:val="0"/>
      <w:marRight w:val="0"/>
      <w:marTop w:val="0"/>
      <w:marBottom w:val="0"/>
      <w:divBdr>
        <w:top w:val="none" w:sz="0" w:space="0" w:color="auto"/>
        <w:left w:val="none" w:sz="0" w:space="0" w:color="auto"/>
        <w:bottom w:val="none" w:sz="0" w:space="0" w:color="auto"/>
        <w:right w:val="none" w:sz="0" w:space="0" w:color="auto"/>
      </w:divBdr>
    </w:div>
    <w:div w:id="861826142">
      <w:bodyDiv w:val="1"/>
      <w:marLeft w:val="0"/>
      <w:marRight w:val="0"/>
      <w:marTop w:val="0"/>
      <w:marBottom w:val="0"/>
      <w:divBdr>
        <w:top w:val="none" w:sz="0" w:space="0" w:color="auto"/>
        <w:left w:val="none" w:sz="0" w:space="0" w:color="auto"/>
        <w:bottom w:val="none" w:sz="0" w:space="0" w:color="auto"/>
        <w:right w:val="none" w:sz="0" w:space="0" w:color="auto"/>
      </w:divBdr>
    </w:div>
    <w:div w:id="879048413">
      <w:bodyDiv w:val="1"/>
      <w:marLeft w:val="0"/>
      <w:marRight w:val="0"/>
      <w:marTop w:val="0"/>
      <w:marBottom w:val="0"/>
      <w:divBdr>
        <w:top w:val="none" w:sz="0" w:space="0" w:color="auto"/>
        <w:left w:val="none" w:sz="0" w:space="0" w:color="auto"/>
        <w:bottom w:val="none" w:sz="0" w:space="0" w:color="auto"/>
        <w:right w:val="none" w:sz="0" w:space="0" w:color="auto"/>
      </w:divBdr>
    </w:div>
    <w:div w:id="906107180">
      <w:bodyDiv w:val="1"/>
      <w:marLeft w:val="0"/>
      <w:marRight w:val="0"/>
      <w:marTop w:val="0"/>
      <w:marBottom w:val="0"/>
      <w:divBdr>
        <w:top w:val="none" w:sz="0" w:space="0" w:color="auto"/>
        <w:left w:val="none" w:sz="0" w:space="0" w:color="auto"/>
        <w:bottom w:val="none" w:sz="0" w:space="0" w:color="auto"/>
        <w:right w:val="none" w:sz="0" w:space="0" w:color="auto"/>
      </w:divBdr>
    </w:div>
    <w:div w:id="924152273">
      <w:bodyDiv w:val="1"/>
      <w:marLeft w:val="0"/>
      <w:marRight w:val="0"/>
      <w:marTop w:val="0"/>
      <w:marBottom w:val="0"/>
      <w:divBdr>
        <w:top w:val="none" w:sz="0" w:space="0" w:color="auto"/>
        <w:left w:val="none" w:sz="0" w:space="0" w:color="auto"/>
        <w:bottom w:val="none" w:sz="0" w:space="0" w:color="auto"/>
        <w:right w:val="none" w:sz="0" w:space="0" w:color="auto"/>
      </w:divBdr>
    </w:div>
    <w:div w:id="931812727">
      <w:bodyDiv w:val="1"/>
      <w:marLeft w:val="0"/>
      <w:marRight w:val="0"/>
      <w:marTop w:val="0"/>
      <w:marBottom w:val="0"/>
      <w:divBdr>
        <w:top w:val="none" w:sz="0" w:space="0" w:color="auto"/>
        <w:left w:val="none" w:sz="0" w:space="0" w:color="auto"/>
        <w:bottom w:val="none" w:sz="0" w:space="0" w:color="auto"/>
        <w:right w:val="none" w:sz="0" w:space="0" w:color="auto"/>
      </w:divBdr>
    </w:div>
    <w:div w:id="932476369">
      <w:bodyDiv w:val="1"/>
      <w:marLeft w:val="0"/>
      <w:marRight w:val="0"/>
      <w:marTop w:val="0"/>
      <w:marBottom w:val="0"/>
      <w:divBdr>
        <w:top w:val="none" w:sz="0" w:space="0" w:color="auto"/>
        <w:left w:val="none" w:sz="0" w:space="0" w:color="auto"/>
        <w:bottom w:val="none" w:sz="0" w:space="0" w:color="auto"/>
        <w:right w:val="none" w:sz="0" w:space="0" w:color="auto"/>
      </w:divBdr>
    </w:div>
    <w:div w:id="936863134">
      <w:bodyDiv w:val="1"/>
      <w:marLeft w:val="0"/>
      <w:marRight w:val="0"/>
      <w:marTop w:val="0"/>
      <w:marBottom w:val="0"/>
      <w:divBdr>
        <w:top w:val="none" w:sz="0" w:space="0" w:color="auto"/>
        <w:left w:val="none" w:sz="0" w:space="0" w:color="auto"/>
        <w:bottom w:val="none" w:sz="0" w:space="0" w:color="auto"/>
        <w:right w:val="none" w:sz="0" w:space="0" w:color="auto"/>
      </w:divBdr>
    </w:div>
    <w:div w:id="946280022">
      <w:bodyDiv w:val="1"/>
      <w:marLeft w:val="0"/>
      <w:marRight w:val="0"/>
      <w:marTop w:val="0"/>
      <w:marBottom w:val="0"/>
      <w:divBdr>
        <w:top w:val="none" w:sz="0" w:space="0" w:color="auto"/>
        <w:left w:val="none" w:sz="0" w:space="0" w:color="auto"/>
        <w:bottom w:val="none" w:sz="0" w:space="0" w:color="auto"/>
        <w:right w:val="none" w:sz="0" w:space="0" w:color="auto"/>
      </w:divBdr>
    </w:div>
    <w:div w:id="972754396">
      <w:bodyDiv w:val="1"/>
      <w:marLeft w:val="0"/>
      <w:marRight w:val="0"/>
      <w:marTop w:val="0"/>
      <w:marBottom w:val="0"/>
      <w:divBdr>
        <w:top w:val="none" w:sz="0" w:space="0" w:color="auto"/>
        <w:left w:val="none" w:sz="0" w:space="0" w:color="auto"/>
        <w:bottom w:val="none" w:sz="0" w:space="0" w:color="auto"/>
        <w:right w:val="none" w:sz="0" w:space="0" w:color="auto"/>
      </w:divBdr>
    </w:div>
    <w:div w:id="975984474">
      <w:bodyDiv w:val="1"/>
      <w:marLeft w:val="0"/>
      <w:marRight w:val="0"/>
      <w:marTop w:val="0"/>
      <w:marBottom w:val="0"/>
      <w:divBdr>
        <w:top w:val="none" w:sz="0" w:space="0" w:color="auto"/>
        <w:left w:val="none" w:sz="0" w:space="0" w:color="auto"/>
        <w:bottom w:val="none" w:sz="0" w:space="0" w:color="auto"/>
        <w:right w:val="none" w:sz="0" w:space="0" w:color="auto"/>
      </w:divBdr>
    </w:div>
    <w:div w:id="976758248">
      <w:bodyDiv w:val="1"/>
      <w:marLeft w:val="0"/>
      <w:marRight w:val="0"/>
      <w:marTop w:val="0"/>
      <w:marBottom w:val="0"/>
      <w:divBdr>
        <w:top w:val="none" w:sz="0" w:space="0" w:color="auto"/>
        <w:left w:val="none" w:sz="0" w:space="0" w:color="auto"/>
        <w:bottom w:val="none" w:sz="0" w:space="0" w:color="auto"/>
        <w:right w:val="none" w:sz="0" w:space="0" w:color="auto"/>
      </w:divBdr>
    </w:div>
    <w:div w:id="978338857">
      <w:bodyDiv w:val="1"/>
      <w:marLeft w:val="0"/>
      <w:marRight w:val="0"/>
      <w:marTop w:val="0"/>
      <w:marBottom w:val="0"/>
      <w:divBdr>
        <w:top w:val="none" w:sz="0" w:space="0" w:color="auto"/>
        <w:left w:val="none" w:sz="0" w:space="0" w:color="auto"/>
        <w:bottom w:val="none" w:sz="0" w:space="0" w:color="auto"/>
        <w:right w:val="none" w:sz="0" w:space="0" w:color="auto"/>
      </w:divBdr>
    </w:div>
    <w:div w:id="988509782">
      <w:bodyDiv w:val="1"/>
      <w:marLeft w:val="0"/>
      <w:marRight w:val="0"/>
      <w:marTop w:val="0"/>
      <w:marBottom w:val="0"/>
      <w:divBdr>
        <w:top w:val="none" w:sz="0" w:space="0" w:color="auto"/>
        <w:left w:val="none" w:sz="0" w:space="0" w:color="auto"/>
        <w:bottom w:val="none" w:sz="0" w:space="0" w:color="auto"/>
        <w:right w:val="none" w:sz="0" w:space="0" w:color="auto"/>
      </w:divBdr>
    </w:div>
    <w:div w:id="1006521883">
      <w:bodyDiv w:val="1"/>
      <w:marLeft w:val="0"/>
      <w:marRight w:val="0"/>
      <w:marTop w:val="0"/>
      <w:marBottom w:val="0"/>
      <w:divBdr>
        <w:top w:val="none" w:sz="0" w:space="0" w:color="auto"/>
        <w:left w:val="none" w:sz="0" w:space="0" w:color="auto"/>
        <w:bottom w:val="none" w:sz="0" w:space="0" w:color="auto"/>
        <w:right w:val="none" w:sz="0" w:space="0" w:color="auto"/>
      </w:divBdr>
    </w:div>
    <w:div w:id="1007172572">
      <w:bodyDiv w:val="1"/>
      <w:marLeft w:val="0"/>
      <w:marRight w:val="0"/>
      <w:marTop w:val="0"/>
      <w:marBottom w:val="0"/>
      <w:divBdr>
        <w:top w:val="none" w:sz="0" w:space="0" w:color="auto"/>
        <w:left w:val="none" w:sz="0" w:space="0" w:color="auto"/>
        <w:bottom w:val="none" w:sz="0" w:space="0" w:color="auto"/>
        <w:right w:val="none" w:sz="0" w:space="0" w:color="auto"/>
      </w:divBdr>
    </w:div>
    <w:div w:id="1016270288">
      <w:bodyDiv w:val="1"/>
      <w:marLeft w:val="0"/>
      <w:marRight w:val="0"/>
      <w:marTop w:val="0"/>
      <w:marBottom w:val="0"/>
      <w:divBdr>
        <w:top w:val="none" w:sz="0" w:space="0" w:color="auto"/>
        <w:left w:val="none" w:sz="0" w:space="0" w:color="auto"/>
        <w:bottom w:val="none" w:sz="0" w:space="0" w:color="auto"/>
        <w:right w:val="none" w:sz="0" w:space="0" w:color="auto"/>
      </w:divBdr>
    </w:div>
    <w:div w:id="1030180194">
      <w:bodyDiv w:val="1"/>
      <w:marLeft w:val="0"/>
      <w:marRight w:val="0"/>
      <w:marTop w:val="0"/>
      <w:marBottom w:val="0"/>
      <w:divBdr>
        <w:top w:val="none" w:sz="0" w:space="0" w:color="auto"/>
        <w:left w:val="none" w:sz="0" w:space="0" w:color="auto"/>
        <w:bottom w:val="none" w:sz="0" w:space="0" w:color="auto"/>
        <w:right w:val="none" w:sz="0" w:space="0" w:color="auto"/>
      </w:divBdr>
    </w:div>
    <w:div w:id="1038240656">
      <w:bodyDiv w:val="1"/>
      <w:marLeft w:val="0"/>
      <w:marRight w:val="0"/>
      <w:marTop w:val="0"/>
      <w:marBottom w:val="0"/>
      <w:divBdr>
        <w:top w:val="none" w:sz="0" w:space="0" w:color="auto"/>
        <w:left w:val="none" w:sz="0" w:space="0" w:color="auto"/>
        <w:bottom w:val="none" w:sz="0" w:space="0" w:color="auto"/>
        <w:right w:val="none" w:sz="0" w:space="0" w:color="auto"/>
      </w:divBdr>
    </w:div>
    <w:div w:id="1049262107">
      <w:bodyDiv w:val="1"/>
      <w:marLeft w:val="0"/>
      <w:marRight w:val="0"/>
      <w:marTop w:val="0"/>
      <w:marBottom w:val="0"/>
      <w:divBdr>
        <w:top w:val="none" w:sz="0" w:space="0" w:color="auto"/>
        <w:left w:val="none" w:sz="0" w:space="0" w:color="auto"/>
        <w:bottom w:val="none" w:sz="0" w:space="0" w:color="auto"/>
        <w:right w:val="none" w:sz="0" w:space="0" w:color="auto"/>
      </w:divBdr>
    </w:div>
    <w:div w:id="1061638255">
      <w:bodyDiv w:val="1"/>
      <w:marLeft w:val="0"/>
      <w:marRight w:val="0"/>
      <w:marTop w:val="0"/>
      <w:marBottom w:val="0"/>
      <w:divBdr>
        <w:top w:val="none" w:sz="0" w:space="0" w:color="auto"/>
        <w:left w:val="none" w:sz="0" w:space="0" w:color="auto"/>
        <w:bottom w:val="none" w:sz="0" w:space="0" w:color="auto"/>
        <w:right w:val="none" w:sz="0" w:space="0" w:color="auto"/>
      </w:divBdr>
    </w:div>
    <w:div w:id="1105154171">
      <w:bodyDiv w:val="1"/>
      <w:marLeft w:val="0"/>
      <w:marRight w:val="0"/>
      <w:marTop w:val="0"/>
      <w:marBottom w:val="0"/>
      <w:divBdr>
        <w:top w:val="none" w:sz="0" w:space="0" w:color="auto"/>
        <w:left w:val="none" w:sz="0" w:space="0" w:color="auto"/>
        <w:bottom w:val="none" w:sz="0" w:space="0" w:color="auto"/>
        <w:right w:val="none" w:sz="0" w:space="0" w:color="auto"/>
      </w:divBdr>
    </w:div>
    <w:div w:id="1106510138">
      <w:bodyDiv w:val="1"/>
      <w:marLeft w:val="0"/>
      <w:marRight w:val="0"/>
      <w:marTop w:val="0"/>
      <w:marBottom w:val="0"/>
      <w:divBdr>
        <w:top w:val="none" w:sz="0" w:space="0" w:color="auto"/>
        <w:left w:val="none" w:sz="0" w:space="0" w:color="auto"/>
        <w:bottom w:val="none" w:sz="0" w:space="0" w:color="auto"/>
        <w:right w:val="none" w:sz="0" w:space="0" w:color="auto"/>
      </w:divBdr>
    </w:div>
    <w:div w:id="1109936684">
      <w:bodyDiv w:val="1"/>
      <w:marLeft w:val="0"/>
      <w:marRight w:val="0"/>
      <w:marTop w:val="0"/>
      <w:marBottom w:val="0"/>
      <w:divBdr>
        <w:top w:val="none" w:sz="0" w:space="0" w:color="auto"/>
        <w:left w:val="none" w:sz="0" w:space="0" w:color="auto"/>
        <w:bottom w:val="none" w:sz="0" w:space="0" w:color="auto"/>
        <w:right w:val="none" w:sz="0" w:space="0" w:color="auto"/>
      </w:divBdr>
    </w:div>
    <w:div w:id="1118641115">
      <w:bodyDiv w:val="1"/>
      <w:marLeft w:val="0"/>
      <w:marRight w:val="0"/>
      <w:marTop w:val="0"/>
      <w:marBottom w:val="0"/>
      <w:divBdr>
        <w:top w:val="none" w:sz="0" w:space="0" w:color="auto"/>
        <w:left w:val="none" w:sz="0" w:space="0" w:color="auto"/>
        <w:bottom w:val="none" w:sz="0" w:space="0" w:color="auto"/>
        <w:right w:val="none" w:sz="0" w:space="0" w:color="auto"/>
      </w:divBdr>
    </w:div>
    <w:div w:id="1139152693">
      <w:bodyDiv w:val="1"/>
      <w:marLeft w:val="0"/>
      <w:marRight w:val="0"/>
      <w:marTop w:val="0"/>
      <w:marBottom w:val="0"/>
      <w:divBdr>
        <w:top w:val="none" w:sz="0" w:space="0" w:color="auto"/>
        <w:left w:val="none" w:sz="0" w:space="0" w:color="auto"/>
        <w:bottom w:val="none" w:sz="0" w:space="0" w:color="auto"/>
        <w:right w:val="none" w:sz="0" w:space="0" w:color="auto"/>
      </w:divBdr>
    </w:div>
    <w:div w:id="1145581373">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6583908">
      <w:bodyDiv w:val="1"/>
      <w:marLeft w:val="0"/>
      <w:marRight w:val="0"/>
      <w:marTop w:val="0"/>
      <w:marBottom w:val="0"/>
      <w:divBdr>
        <w:top w:val="none" w:sz="0" w:space="0" w:color="auto"/>
        <w:left w:val="none" w:sz="0" w:space="0" w:color="auto"/>
        <w:bottom w:val="none" w:sz="0" w:space="0" w:color="auto"/>
        <w:right w:val="none" w:sz="0" w:space="0" w:color="auto"/>
      </w:divBdr>
    </w:div>
    <w:div w:id="1154569294">
      <w:bodyDiv w:val="1"/>
      <w:marLeft w:val="0"/>
      <w:marRight w:val="0"/>
      <w:marTop w:val="0"/>
      <w:marBottom w:val="0"/>
      <w:divBdr>
        <w:top w:val="none" w:sz="0" w:space="0" w:color="auto"/>
        <w:left w:val="none" w:sz="0" w:space="0" w:color="auto"/>
        <w:bottom w:val="none" w:sz="0" w:space="0" w:color="auto"/>
        <w:right w:val="none" w:sz="0" w:space="0" w:color="auto"/>
      </w:divBdr>
    </w:div>
    <w:div w:id="1162621931">
      <w:bodyDiv w:val="1"/>
      <w:marLeft w:val="0"/>
      <w:marRight w:val="0"/>
      <w:marTop w:val="0"/>
      <w:marBottom w:val="0"/>
      <w:divBdr>
        <w:top w:val="none" w:sz="0" w:space="0" w:color="auto"/>
        <w:left w:val="none" w:sz="0" w:space="0" w:color="auto"/>
        <w:bottom w:val="none" w:sz="0" w:space="0" w:color="auto"/>
        <w:right w:val="none" w:sz="0" w:space="0" w:color="auto"/>
      </w:divBdr>
    </w:div>
    <w:div w:id="1166290120">
      <w:bodyDiv w:val="1"/>
      <w:marLeft w:val="0"/>
      <w:marRight w:val="0"/>
      <w:marTop w:val="0"/>
      <w:marBottom w:val="0"/>
      <w:divBdr>
        <w:top w:val="none" w:sz="0" w:space="0" w:color="auto"/>
        <w:left w:val="none" w:sz="0" w:space="0" w:color="auto"/>
        <w:bottom w:val="none" w:sz="0" w:space="0" w:color="auto"/>
        <w:right w:val="none" w:sz="0" w:space="0" w:color="auto"/>
      </w:divBdr>
    </w:div>
    <w:div w:id="1168060917">
      <w:bodyDiv w:val="1"/>
      <w:marLeft w:val="0"/>
      <w:marRight w:val="0"/>
      <w:marTop w:val="0"/>
      <w:marBottom w:val="0"/>
      <w:divBdr>
        <w:top w:val="none" w:sz="0" w:space="0" w:color="auto"/>
        <w:left w:val="none" w:sz="0" w:space="0" w:color="auto"/>
        <w:bottom w:val="none" w:sz="0" w:space="0" w:color="auto"/>
        <w:right w:val="none" w:sz="0" w:space="0" w:color="auto"/>
      </w:divBdr>
    </w:div>
    <w:div w:id="1171524336">
      <w:bodyDiv w:val="1"/>
      <w:marLeft w:val="0"/>
      <w:marRight w:val="0"/>
      <w:marTop w:val="0"/>
      <w:marBottom w:val="0"/>
      <w:divBdr>
        <w:top w:val="none" w:sz="0" w:space="0" w:color="auto"/>
        <w:left w:val="none" w:sz="0" w:space="0" w:color="auto"/>
        <w:bottom w:val="none" w:sz="0" w:space="0" w:color="auto"/>
        <w:right w:val="none" w:sz="0" w:space="0" w:color="auto"/>
      </w:divBdr>
    </w:div>
    <w:div w:id="1185751479">
      <w:bodyDiv w:val="1"/>
      <w:marLeft w:val="0"/>
      <w:marRight w:val="0"/>
      <w:marTop w:val="0"/>
      <w:marBottom w:val="0"/>
      <w:divBdr>
        <w:top w:val="none" w:sz="0" w:space="0" w:color="auto"/>
        <w:left w:val="none" w:sz="0" w:space="0" w:color="auto"/>
        <w:bottom w:val="none" w:sz="0" w:space="0" w:color="auto"/>
        <w:right w:val="none" w:sz="0" w:space="0" w:color="auto"/>
      </w:divBdr>
    </w:div>
    <w:div w:id="1193954757">
      <w:bodyDiv w:val="1"/>
      <w:marLeft w:val="0"/>
      <w:marRight w:val="0"/>
      <w:marTop w:val="0"/>
      <w:marBottom w:val="0"/>
      <w:divBdr>
        <w:top w:val="none" w:sz="0" w:space="0" w:color="auto"/>
        <w:left w:val="none" w:sz="0" w:space="0" w:color="auto"/>
        <w:bottom w:val="none" w:sz="0" w:space="0" w:color="auto"/>
        <w:right w:val="none" w:sz="0" w:space="0" w:color="auto"/>
      </w:divBdr>
    </w:div>
    <w:div w:id="1210458184">
      <w:bodyDiv w:val="1"/>
      <w:marLeft w:val="0"/>
      <w:marRight w:val="0"/>
      <w:marTop w:val="0"/>
      <w:marBottom w:val="0"/>
      <w:divBdr>
        <w:top w:val="none" w:sz="0" w:space="0" w:color="auto"/>
        <w:left w:val="none" w:sz="0" w:space="0" w:color="auto"/>
        <w:bottom w:val="none" w:sz="0" w:space="0" w:color="auto"/>
        <w:right w:val="none" w:sz="0" w:space="0" w:color="auto"/>
      </w:divBdr>
    </w:div>
    <w:div w:id="1223640976">
      <w:bodyDiv w:val="1"/>
      <w:marLeft w:val="0"/>
      <w:marRight w:val="0"/>
      <w:marTop w:val="0"/>
      <w:marBottom w:val="0"/>
      <w:divBdr>
        <w:top w:val="none" w:sz="0" w:space="0" w:color="auto"/>
        <w:left w:val="none" w:sz="0" w:space="0" w:color="auto"/>
        <w:bottom w:val="none" w:sz="0" w:space="0" w:color="auto"/>
        <w:right w:val="none" w:sz="0" w:space="0" w:color="auto"/>
      </w:divBdr>
    </w:div>
    <w:div w:id="1225796808">
      <w:bodyDiv w:val="1"/>
      <w:marLeft w:val="0"/>
      <w:marRight w:val="0"/>
      <w:marTop w:val="0"/>
      <w:marBottom w:val="0"/>
      <w:divBdr>
        <w:top w:val="none" w:sz="0" w:space="0" w:color="auto"/>
        <w:left w:val="none" w:sz="0" w:space="0" w:color="auto"/>
        <w:bottom w:val="none" w:sz="0" w:space="0" w:color="auto"/>
        <w:right w:val="none" w:sz="0" w:space="0" w:color="auto"/>
      </w:divBdr>
    </w:div>
    <w:div w:id="1225987425">
      <w:bodyDiv w:val="1"/>
      <w:marLeft w:val="0"/>
      <w:marRight w:val="0"/>
      <w:marTop w:val="0"/>
      <w:marBottom w:val="0"/>
      <w:divBdr>
        <w:top w:val="none" w:sz="0" w:space="0" w:color="auto"/>
        <w:left w:val="none" w:sz="0" w:space="0" w:color="auto"/>
        <w:bottom w:val="none" w:sz="0" w:space="0" w:color="auto"/>
        <w:right w:val="none" w:sz="0" w:space="0" w:color="auto"/>
      </w:divBdr>
    </w:div>
    <w:div w:id="1230654472">
      <w:bodyDiv w:val="1"/>
      <w:marLeft w:val="0"/>
      <w:marRight w:val="0"/>
      <w:marTop w:val="0"/>
      <w:marBottom w:val="0"/>
      <w:divBdr>
        <w:top w:val="none" w:sz="0" w:space="0" w:color="auto"/>
        <w:left w:val="none" w:sz="0" w:space="0" w:color="auto"/>
        <w:bottom w:val="none" w:sz="0" w:space="0" w:color="auto"/>
        <w:right w:val="none" w:sz="0" w:space="0" w:color="auto"/>
      </w:divBdr>
    </w:div>
    <w:div w:id="1233077699">
      <w:bodyDiv w:val="1"/>
      <w:marLeft w:val="0"/>
      <w:marRight w:val="0"/>
      <w:marTop w:val="0"/>
      <w:marBottom w:val="0"/>
      <w:divBdr>
        <w:top w:val="none" w:sz="0" w:space="0" w:color="auto"/>
        <w:left w:val="none" w:sz="0" w:space="0" w:color="auto"/>
        <w:bottom w:val="none" w:sz="0" w:space="0" w:color="auto"/>
        <w:right w:val="none" w:sz="0" w:space="0" w:color="auto"/>
      </w:divBdr>
    </w:div>
    <w:div w:id="1233545334">
      <w:bodyDiv w:val="1"/>
      <w:marLeft w:val="0"/>
      <w:marRight w:val="0"/>
      <w:marTop w:val="0"/>
      <w:marBottom w:val="0"/>
      <w:divBdr>
        <w:top w:val="none" w:sz="0" w:space="0" w:color="auto"/>
        <w:left w:val="none" w:sz="0" w:space="0" w:color="auto"/>
        <w:bottom w:val="none" w:sz="0" w:space="0" w:color="auto"/>
        <w:right w:val="none" w:sz="0" w:space="0" w:color="auto"/>
      </w:divBdr>
    </w:div>
    <w:div w:id="1247301087">
      <w:bodyDiv w:val="1"/>
      <w:marLeft w:val="0"/>
      <w:marRight w:val="0"/>
      <w:marTop w:val="0"/>
      <w:marBottom w:val="0"/>
      <w:divBdr>
        <w:top w:val="none" w:sz="0" w:space="0" w:color="auto"/>
        <w:left w:val="none" w:sz="0" w:space="0" w:color="auto"/>
        <w:bottom w:val="none" w:sz="0" w:space="0" w:color="auto"/>
        <w:right w:val="none" w:sz="0" w:space="0" w:color="auto"/>
      </w:divBdr>
    </w:div>
    <w:div w:id="1271738389">
      <w:bodyDiv w:val="1"/>
      <w:marLeft w:val="0"/>
      <w:marRight w:val="0"/>
      <w:marTop w:val="0"/>
      <w:marBottom w:val="0"/>
      <w:divBdr>
        <w:top w:val="none" w:sz="0" w:space="0" w:color="auto"/>
        <w:left w:val="none" w:sz="0" w:space="0" w:color="auto"/>
        <w:bottom w:val="none" w:sz="0" w:space="0" w:color="auto"/>
        <w:right w:val="none" w:sz="0" w:space="0" w:color="auto"/>
      </w:divBdr>
    </w:div>
    <w:div w:id="1277176187">
      <w:bodyDiv w:val="1"/>
      <w:marLeft w:val="0"/>
      <w:marRight w:val="0"/>
      <w:marTop w:val="0"/>
      <w:marBottom w:val="0"/>
      <w:divBdr>
        <w:top w:val="none" w:sz="0" w:space="0" w:color="auto"/>
        <w:left w:val="none" w:sz="0" w:space="0" w:color="auto"/>
        <w:bottom w:val="none" w:sz="0" w:space="0" w:color="auto"/>
        <w:right w:val="none" w:sz="0" w:space="0" w:color="auto"/>
      </w:divBdr>
    </w:div>
    <w:div w:id="1280140903">
      <w:bodyDiv w:val="1"/>
      <w:marLeft w:val="0"/>
      <w:marRight w:val="0"/>
      <w:marTop w:val="0"/>
      <w:marBottom w:val="0"/>
      <w:divBdr>
        <w:top w:val="none" w:sz="0" w:space="0" w:color="auto"/>
        <w:left w:val="none" w:sz="0" w:space="0" w:color="auto"/>
        <w:bottom w:val="none" w:sz="0" w:space="0" w:color="auto"/>
        <w:right w:val="none" w:sz="0" w:space="0" w:color="auto"/>
      </w:divBdr>
    </w:div>
    <w:div w:id="1316103011">
      <w:bodyDiv w:val="1"/>
      <w:marLeft w:val="0"/>
      <w:marRight w:val="0"/>
      <w:marTop w:val="0"/>
      <w:marBottom w:val="0"/>
      <w:divBdr>
        <w:top w:val="none" w:sz="0" w:space="0" w:color="auto"/>
        <w:left w:val="none" w:sz="0" w:space="0" w:color="auto"/>
        <w:bottom w:val="none" w:sz="0" w:space="0" w:color="auto"/>
        <w:right w:val="none" w:sz="0" w:space="0" w:color="auto"/>
      </w:divBdr>
    </w:div>
    <w:div w:id="1333530460">
      <w:bodyDiv w:val="1"/>
      <w:marLeft w:val="0"/>
      <w:marRight w:val="0"/>
      <w:marTop w:val="0"/>
      <w:marBottom w:val="0"/>
      <w:divBdr>
        <w:top w:val="none" w:sz="0" w:space="0" w:color="auto"/>
        <w:left w:val="none" w:sz="0" w:space="0" w:color="auto"/>
        <w:bottom w:val="none" w:sz="0" w:space="0" w:color="auto"/>
        <w:right w:val="none" w:sz="0" w:space="0" w:color="auto"/>
      </w:divBdr>
    </w:div>
    <w:div w:id="1408040982">
      <w:bodyDiv w:val="1"/>
      <w:marLeft w:val="0"/>
      <w:marRight w:val="0"/>
      <w:marTop w:val="0"/>
      <w:marBottom w:val="0"/>
      <w:divBdr>
        <w:top w:val="none" w:sz="0" w:space="0" w:color="auto"/>
        <w:left w:val="none" w:sz="0" w:space="0" w:color="auto"/>
        <w:bottom w:val="none" w:sz="0" w:space="0" w:color="auto"/>
        <w:right w:val="none" w:sz="0" w:space="0" w:color="auto"/>
      </w:divBdr>
    </w:div>
    <w:div w:id="1423912420">
      <w:bodyDiv w:val="1"/>
      <w:marLeft w:val="0"/>
      <w:marRight w:val="0"/>
      <w:marTop w:val="0"/>
      <w:marBottom w:val="0"/>
      <w:divBdr>
        <w:top w:val="none" w:sz="0" w:space="0" w:color="auto"/>
        <w:left w:val="none" w:sz="0" w:space="0" w:color="auto"/>
        <w:bottom w:val="none" w:sz="0" w:space="0" w:color="auto"/>
        <w:right w:val="none" w:sz="0" w:space="0" w:color="auto"/>
      </w:divBdr>
    </w:div>
    <w:div w:id="1436753163">
      <w:bodyDiv w:val="1"/>
      <w:marLeft w:val="0"/>
      <w:marRight w:val="0"/>
      <w:marTop w:val="0"/>
      <w:marBottom w:val="0"/>
      <w:divBdr>
        <w:top w:val="none" w:sz="0" w:space="0" w:color="auto"/>
        <w:left w:val="none" w:sz="0" w:space="0" w:color="auto"/>
        <w:bottom w:val="none" w:sz="0" w:space="0" w:color="auto"/>
        <w:right w:val="none" w:sz="0" w:space="0" w:color="auto"/>
      </w:divBdr>
    </w:div>
    <w:div w:id="1440682653">
      <w:bodyDiv w:val="1"/>
      <w:marLeft w:val="0"/>
      <w:marRight w:val="0"/>
      <w:marTop w:val="0"/>
      <w:marBottom w:val="0"/>
      <w:divBdr>
        <w:top w:val="none" w:sz="0" w:space="0" w:color="auto"/>
        <w:left w:val="none" w:sz="0" w:space="0" w:color="auto"/>
        <w:bottom w:val="none" w:sz="0" w:space="0" w:color="auto"/>
        <w:right w:val="none" w:sz="0" w:space="0" w:color="auto"/>
      </w:divBdr>
    </w:div>
    <w:div w:id="1458177929">
      <w:bodyDiv w:val="1"/>
      <w:marLeft w:val="0"/>
      <w:marRight w:val="0"/>
      <w:marTop w:val="0"/>
      <w:marBottom w:val="0"/>
      <w:divBdr>
        <w:top w:val="none" w:sz="0" w:space="0" w:color="auto"/>
        <w:left w:val="none" w:sz="0" w:space="0" w:color="auto"/>
        <w:bottom w:val="none" w:sz="0" w:space="0" w:color="auto"/>
        <w:right w:val="none" w:sz="0" w:space="0" w:color="auto"/>
      </w:divBdr>
    </w:div>
    <w:div w:id="1460957457">
      <w:bodyDiv w:val="1"/>
      <w:marLeft w:val="0"/>
      <w:marRight w:val="0"/>
      <w:marTop w:val="0"/>
      <w:marBottom w:val="0"/>
      <w:divBdr>
        <w:top w:val="none" w:sz="0" w:space="0" w:color="auto"/>
        <w:left w:val="none" w:sz="0" w:space="0" w:color="auto"/>
        <w:bottom w:val="none" w:sz="0" w:space="0" w:color="auto"/>
        <w:right w:val="none" w:sz="0" w:space="0" w:color="auto"/>
      </w:divBdr>
    </w:div>
    <w:div w:id="1463765696">
      <w:bodyDiv w:val="1"/>
      <w:marLeft w:val="0"/>
      <w:marRight w:val="0"/>
      <w:marTop w:val="0"/>
      <w:marBottom w:val="0"/>
      <w:divBdr>
        <w:top w:val="none" w:sz="0" w:space="0" w:color="auto"/>
        <w:left w:val="none" w:sz="0" w:space="0" w:color="auto"/>
        <w:bottom w:val="none" w:sz="0" w:space="0" w:color="auto"/>
        <w:right w:val="none" w:sz="0" w:space="0" w:color="auto"/>
      </w:divBdr>
    </w:div>
    <w:div w:id="1469398687">
      <w:bodyDiv w:val="1"/>
      <w:marLeft w:val="0"/>
      <w:marRight w:val="0"/>
      <w:marTop w:val="0"/>
      <w:marBottom w:val="0"/>
      <w:divBdr>
        <w:top w:val="none" w:sz="0" w:space="0" w:color="auto"/>
        <w:left w:val="none" w:sz="0" w:space="0" w:color="auto"/>
        <w:bottom w:val="none" w:sz="0" w:space="0" w:color="auto"/>
        <w:right w:val="none" w:sz="0" w:space="0" w:color="auto"/>
      </w:divBdr>
    </w:div>
    <w:div w:id="1481847809">
      <w:bodyDiv w:val="1"/>
      <w:marLeft w:val="0"/>
      <w:marRight w:val="0"/>
      <w:marTop w:val="0"/>
      <w:marBottom w:val="0"/>
      <w:divBdr>
        <w:top w:val="none" w:sz="0" w:space="0" w:color="auto"/>
        <w:left w:val="none" w:sz="0" w:space="0" w:color="auto"/>
        <w:bottom w:val="none" w:sz="0" w:space="0" w:color="auto"/>
        <w:right w:val="none" w:sz="0" w:space="0" w:color="auto"/>
      </w:divBdr>
    </w:div>
    <w:div w:id="1484858722">
      <w:bodyDiv w:val="1"/>
      <w:marLeft w:val="0"/>
      <w:marRight w:val="0"/>
      <w:marTop w:val="0"/>
      <w:marBottom w:val="0"/>
      <w:divBdr>
        <w:top w:val="none" w:sz="0" w:space="0" w:color="auto"/>
        <w:left w:val="none" w:sz="0" w:space="0" w:color="auto"/>
        <w:bottom w:val="none" w:sz="0" w:space="0" w:color="auto"/>
        <w:right w:val="none" w:sz="0" w:space="0" w:color="auto"/>
      </w:divBdr>
    </w:div>
    <w:div w:id="1490631476">
      <w:bodyDiv w:val="1"/>
      <w:marLeft w:val="0"/>
      <w:marRight w:val="0"/>
      <w:marTop w:val="0"/>
      <w:marBottom w:val="0"/>
      <w:divBdr>
        <w:top w:val="none" w:sz="0" w:space="0" w:color="auto"/>
        <w:left w:val="none" w:sz="0" w:space="0" w:color="auto"/>
        <w:bottom w:val="none" w:sz="0" w:space="0" w:color="auto"/>
        <w:right w:val="none" w:sz="0" w:space="0" w:color="auto"/>
      </w:divBdr>
    </w:div>
    <w:div w:id="1506625973">
      <w:bodyDiv w:val="1"/>
      <w:marLeft w:val="0"/>
      <w:marRight w:val="0"/>
      <w:marTop w:val="0"/>
      <w:marBottom w:val="0"/>
      <w:divBdr>
        <w:top w:val="none" w:sz="0" w:space="0" w:color="auto"/>
        <w:left w:val="none" w:sz="0" w:space="0" w:color="auto"/>
        <w:bottom w:val="none" w:sz="0" w:space="0" w:color="auto"/>
        <w:right w:val="none" w:sz="0" w:space="0" w:color="auto"/>
      </w:divBdr>
    </w:div>
    <w:div w:id="1508403567">
      <w:bodyDiv w:val="1"/>
      <w:marLeft w:val="0"/>
      <w:marRight w:val="0"/>
      <w:marTop w:val="0"/>
      <w:marBottom w:val="0"/>
      <w:divBdr>
        <w:top w:val="none" w:sz="0" w:space="0" w:color="auto"/>
        <w:left w:val="none" w:sz="0" w:space="0" w:color="auto"/>
        <w:bottom w:val="none" w:sz="0" w:space="0" w:color="auto"/>
        <w:right w:val="none" w:sz="0" w:space="0" w:color="auto"/>
      </w:divBdr>
    </w:div>
    <w:div w:id="1531651288">
      <w:bodyDiv w:val="1"/>
      <w:marLeft w:val="0"/>
      <w:marRight w:val="0"/>
      <w:marTop w:val="0"/>
      <w:marBottom w:val="0"/>
      <w:divBdr>
        <w:top w:val="none" w:sz="0" w:space="0" w:color="auto"/>
        <w:left w:val="none" w:sz="0" w:space="0" w:color="auto"/>
        <w:bottom w:val="none" w:sz="0" w:space="0" w:color="auto"/>
        <w:right w:val="none" w:sz="0" w:space="0" w:color="auto"/>
      </w:divBdr>
    </w:div>
    <w:div w:id="1556433833">
      <w:bodyDiv w:val="1"/>
      <w:marLeft w:val="0"/>
      <w:marRight w:val="0"/>
      <w:marTop w:val="0"/>
      <w:marBottom w:val="0"/>
      <w:divBdr>
        <w:top w:val="none" w:sz="0" w:space="0" w:color="auto"/>
        <w:left w:val="none" w:sz="0" w:space="0" w:color="auto"/>
        <w:bottom w:val="none" w:sz="0" w:space="0" w:color="auto"/>
        <w:right w:val="none" w:sz="0" w:space="0" w:color="auto"/>
      </w:divBdr>
    </w:div>
    <w:div w:id="1559590712">
      <w:bodyDiv w:val="1"/>
      <w:marLeft w:val="0"/>
      <w:marRight w:val="0"/>
      <w:marTop w:val="0"/>
      <w:marBottom w:val="0"/>
      <w:divBdr>
        <w:top w:val="none" w:sz="0" w:space="0" w:color="auto"/>
        <w:left w:val="none" w:sz="0" w:space="0" w:color="auto"/>
        <w:bottom w:val="none" w:sz="0" w:space="0" w:color="auto"/>
        <w:right w:val="none" w:sz="0" w:space="0" w:color="auto"/>
      </w:divBdr>
    </w:div>
    <w:div w:id="1565601191">
      <w:bodyDiv w:val="1"/>
      <w:marLeft w:val="0"/>
      <w:marRight w:val="0"/>
      <w:marTop w:val="0"/>
      <w:marBottom w:val="0"/>
      <w:divBdr>
        <w:top w:val="none" w:sz="0" w:space="0" w:color="auto"/>
        <w:left w:val="none" w:sz="0" w:space="0" w:color="auto"/>
        <w:bottom w:val="none" w:sz="0" w:space="0" w:color="auto"/>
        <w:right w:val="none" w:sz="0" w:space="0" w:color="auto"/>
      </w:divBdr>
    </w:div>
    <w:div w:id="1569926160">
      <w:bodyDiv w:val="1"/>
      <w:marLeft w:val="0"/>
      <w:marRight w:val="0"/>
      <w:marTop w:val="0"/>
      <w:marBottom w:val="0"/>
      <w:divBdr>
        <w:top w:val="none" w:sz="0" w:space="0" w:color="auto"/>
        <w:left w:val="none" w:sz="0" w:space="0" w:color="auto"/>
        <w:bottom w:val="none" w:sz="0" w:space="0" w:color="auto"/>
        <w:right w:val="none" w:sz="0" w:space="0" w:color="auto"/>
      </w:divBdr>
    </w:div>
    <w:div w:id="1575625152">
      <w:bodyDiv w:val="1"/>
      <w:marLeft w:val="0"/>
      <w:marRight w:val="0"/>
      <w:marTop w:val="0"/>
      <w:marBottom w:val="0"/>
      <w:divBdr>
        <w:top w:val="none" w:sz="0" w:space="0" w:color="auto"/>
        <w:left w:val="none" w:sz="0" w:space="0" w:color="auto"/>
        <w:bottom w:val="none" w:sz="0" w:space="0" w:color="auto"/>
        <w:right w:val="none" w:sz="0" w:space="0" w:color="auto"/>
      </w:divBdr>
    </w:div>
    <w:div w:id="1576627718">
      <w:bodyDiv w:val="1"/>
      <w:marLeft w:val="0"/>
      <w:marRight w:val="0"/>
      <w:marTop w:val="0"/>
      <w:marBottom w:val="0"/>
      <w:divBdr>
        <w:top w:val="none" w:sz="0" w:space="0" w:color="auto"/>
        <w:left w:val="none" w:sz="0" w:space="0" w:color="auto"/>
        <w:bottom w:val="none" w:sz="0" w:space="0" w:color="auto"/>
        <w:right w:val="none" w:sz="0" w:space="0" w:color="auto"/>
      </w:divBdr>
    </w:div>
    <w:div w:id="1598558273">
      <w:bodyDiv w:val="1"/>
      <w:marLeft w:val="0"/>
      <w:marRight w:val="0"/>
      <w:marTop w:val="0"/>
      <w:marBottom w:val="0"/>
      <w:divBdr>
        <w:top w:val="none" w:sz="0" w:space="0" w:color="auto"/>
        <w:left w:val="none" w:sz="0" w:space="0" w:color="auto"/>
        <w:bottom w:val="none" w:sz="0" w:space="0" w:color="auto"/>
        <w:right w:val="none" w:sz="0" w:space="0" w:color="auto"/>
      </w:divBdr>
    </w:div>
    <w:div w:id="1609852338">
      <w:bodyDiv w:val="1"/>
      <w:marLeft w:val="0"/>
      <w:marRight w:val="0"/>
      <w:marTop w:val="0"/>
      <w:marBottom w:val="0"/>
      <w:divBdr>
        <w:top w:val="none" w:sz="0" w:space="0" w:color="auto"/>
        <w:left w:val="none" w:sz="0" w:space="0" w:color="auto"/>
        <w:bottom w:val="none" w:sz="0" w:space="0" w:color="auto"/>
        <w:right w:val="none" w:sz="0" w:space="0" w:color="auto"/>
      </w:divBdr>
    </w:div>
    <w:div w:id="1623802580">
      <w:bodyDiv w:val="1"/>
      <w:marLeft w:val="0"/>
      <w:marRight w:val="0"/>
      <w:marTop w:val="0"/>
      <w:marBottom w:val="0"/>
      <w:divBdr>
        <w:top w:val="none" w:sz="0" w:space="0" w:color="auto"/>
        <w:left w:val="none" w:sz="0" w:space="0" w:color="auto"/>
        <w:bottom w:val="none" w:sz="0" w:space="0" w:color="auto"/>
        <w:right w:val="none" w:sz="0" w:space="0" w:color="auto"/>
      </w:divBdr>
    </w:div>
    <w:div w:id="1635058688">
      <w:bodyDiv w:val="1"/>
      <w:marLeft w:val="0"/>
      <w:marRight w:val="0"/>
      <w:marTop w:val="0"/>
      <w:marBottom w:val="0"/>
      <w:divBdr>
        <w:top w:val="none" w:sz="0" w:space="0" w:color="auto"/>
        <w:left w:val="none" w:sz="0" w:space="0" w:color="auto"/>
        <w:bottom w:val="none" w:sz="0" w:space="0" w:color="auto"/>
        <w:right w:val="none" w:sz="0" w:space="0" w:color="auto"/>
      </w:divBdr>
    </w:div>
    <w:div w:id="1670597908">
      <w:bodyDiv w:val="1"/>
      <w:marLeft w:val="0"/>
      <w:marRight w:val="0"/>
      <w:marTop w:val="0"/>
      <w:marBottom w:val="0"/>
      <w:divBdr>
        <w:top w:val="none" w:sz="0" w:space="0" w:color="auto"/>
        <w:left w:val="none" w:sz="0" w:space="0" w:color="auto"/>
        <w:bottom w:val="none" w:sz="0" w:space="0" w:color="auto"/>
        <w:right w:val="none" w:sz="0" w:space="0" w:color="auto"/>
      </w:divBdr>
    </w:div>
    <w:div w:id="1684551644">
      <w:bodyDiv w:val="1"/>
      <w:marLeft w:val="0"/>
      <w:marRight w:val="0"/>
      <w:marTop w:val="0"/>
      <w:marBottom w:val="0"/>
      <w:divBdr>
        <w:top w:val="none" w:sz="0" w:space="0" w:color="auto"/>
        <w:left w:val="none" w:sz="0" w:space="0" w:color="auto"/>
        <w:bottom w:val="none" w:sz="0" w:space="0" w:color="auto"/>
        <w:right w:val="none" w:sz="0" w:space="0" w:color="auto"/>
      </w:divBdr>
    </w:div>
    <w:div w:id="1688601657">
      <w:bodyDiv w:val="1"/>
      <w:marLeft w:val="0"/>
      <w:marRight w:val="0"/>
      <w:marTop w:val="0"/>
      <w:marBottom w:val="0"/>
      <w:divBdr>
        <w:top w:val="none" w:sz="0" w:space="0" w:color="auto"/>
        <w:left w:val="none" w:sz="0" w:space="0" w:color="auto"/>
        <w:bottom w:val="none" w:sz="0" w:space="0" w:color="auto"/>
        <w:right w:val="none" w:sz="0" w:space="0" w:color="auto"/>
      </w:divBdr>
    </w:div>
    <w:div w:id="1706057074">
      <w:bodyDiv w:val="1"/>
      <w:marLeft w:val="0"/>
      <w:marRight w:val="0"/>
      <w:marTop w:val="0"/>
      <w:marBottom w:val="0"/>
      <w:divBdr>
        <w:top w:val="none" w:sz="0" w:space="0" w:color="auto"/>
        <w:left w:val="none" w:sz="0" w:space="0" w:color="auto"/>
        <w:bottom w:val="none" w:sz="0" w:space="0" w:color="auto"/>
        <w:right w:val="none" w:sz="0" w:space="0" w:color="auto"/>
      </w:divBdr>
    </w:div>
    <w:div w:id="1706707870">
      <w:bodyDiv w:val="1"/>
      <w:marLeft w:val="0"/>
      <w:marRight w:val="0"/>
      <w:marTop w:val="0"/>
      <w:marBottom w:val="0"/>
      <w:divBdr>
        <w:top w:val="none" w:sz="0" w:space="0" w:color="auto"/>
        <w:left w:val="none" w:sz="0" w:space="0" w:color="auto"/>
        <w:bottom w:val="none" w:sz="0" w:space="0" w:color="auto"/>
        <w:right w:val="none" w:sz="0" w:space="0" w:color="auto"/>
      </w:divBdr>
    </w:div>
    <w:div w:id="1710758669">
      <w:bodyDiv w:val="1"/>
      <w:marLeft w:val="0"/>
      <w:marRight w:val="0"/>
      <w:marTop w:val="0"/>
      <w:marBottom w:val="0"/>
      <w:divBdr>
        <w:top w:val="none" w:sz="0" w:space="0" w:color="auto"/>
        <w:left w:val="none" w:sz="0" w:space="0" w:color="auto"/>
        <w:bottom w:val="none" w:sz="0" w:space="0" w:color="auto"/>
        <w:right w:val="none" w:sz="0" w:space="0" w:color="auto"/>
      </w:divBdr>
    </w:div>
    <w:div w:id="1726949798">
      <w:bodyDiv w:val="1"/>
      <w:marLeft w:val="0"/>
      <w:marRight w:val="0"/>
      <w:marTop w:val="0"/>
      <w:marBottom w:val="0"/>
      <w:divBdr>
        <w:top w:val="none" w:sz="0" w:space="0" w:color="auto"/>
        <w:left w:val="none" w:sz="0" w:space="0" w:color="auto"/>
        <w:bottom w:val="none" w:sz="0" w:space="0" w:color="auto"/>
        <w:right w:val="none" w:sz="0" w:space="0" w:color="auto"/>
      </w:divBdr>
    </w:div>
    <w:div w:id="1739281504">
      <w:bodyDiv w:val="1"/>
      <w:marLeft w:val="0"/>
      <w:marRight w:val="0"/>
      <w:marTop w:val="0"/>
      <w:marBottom w:val="0"/>
      <w:divBdr>
        <w:top w:val="none" w:sz="0" w:space="0" w:color="auto"/>
        <w:left w:val="none" w:sz="0" w:space="0" w:color="auto"/>
        <w:bottom w:val="none" w:sz="0" w:space="0" w:color="auto"/>
        <w:right w:val="none" w:sz="0" w:space="0" w:color="auto"/>
      </w:divBdr>
    </w:div>
    <w:div w:id="1750152481">
      <w:bodyDiv w:val="1"/>
      <w:marLeft w:val="0"/>
      <w:marRight w:val="0"/>
      <w:marTop w:val="0"/>
      <w:marBottom w:val="0"/>
      <w:divBdr>
        <w:top w:val="none" w:sz="0" w:space="0" w:color="auto"/>
        <w:left w:val="none" w:sz="0" w:space="0" w:color="auto"/>
        <w:bottom w:val="none" w:sz="0" w:space="0" w:color="auto"/>
        <w:right w:val="none" w:sz="0" w:space="0" w:color="auto"/>
      </w:divBdr>
    </w:div>
    <w:div w:id="1758939019">
      <w:bodyDiv w:val="1"/>
      <w:marLeft w:val="0"/>
      <w:marRight w:val="0"/>
      <w:marTop w:val="0"/>
      <w:marBottom w:val="0"/>
      <w:divBdr>
        <w:top w:val="none" w:sz="0" w:space="0" w:color="auto"/>
        <w:left w:val="none" w:sz="0" w:space="0" w:color="auto"/>
        <w:bottom w:val="none" w:sz="0" w:space="0" w:color="auto"/>
        <w:right w:val="none" w:sz="0" w:space="0" w:color="auto"/>
      </w:divBdr>
    </w:div>
    <w:div w:id="1761246979">
      <w:bodyDiv w:val="1"/>
      <w:marLeft w:val="0"/>
      <w:marRight w:val="0"/>
      <w:marTop w:val="0"/>
      <w:marBottom w:val="0"/>
      <w:divBdr>
        <w:top w:val="none" w:sz="0" w:space="0" w:color="auto"/>
        <w:left w:val="none" w:sz="0" w:space="0" w:color="auto"/>
        <w:bottom w:val="none" w:sz="0" w:space="0" w:color="auto"/>
        <w:right w:val="none" w:sz="0" w:space="0" w:color="auto"/>
      </w:divBdr>
    </w:div>
    <w:div w:id="1794059949">
      <w:bodyDiv w:val="1"/>
      <w:marLeft w:val="0"/>
      <w:marRight w:val="0"/>
      <w:marTop w:val="0"/>
      <w:marBottom w:val="0"/>
      <w:divBdr>
        <w:top w:val="none" w:sz="0" w:space="0" w:color="auto"/>
        <w:left w:val="none" w:sz="0" w:space="0" w:color="auto"/>
        <w:bottom w:val="none" w:sz="0" w:space="0" w:color="auto"/>
        <w:right w:val="none" w:sz="0" w:space="0" w:color="auto"/>
      </w:divBdr>
    </w:div>
    <w:div w:id="1801193896">
      <w:bodyDiv w:val="1"/>
      <w:marLeft w:val="0"/>
      <w:marRight w:val="0"/>
      <w:marTop w:val="0"/>
      <w:marBottom w:val="0"/>
      <w:divBdr>
        <w:top w:val="none" w:sz="0" w:space="0" w:color="auto"/>
        <w:left w:val="none" w:sz="0" w:space="0" w:color="auto"/>
        <w:bottom w:val="none" w:sz="0" w:space="0" w:color="auto"/>
        <w:right w:val="none" w:sz="0" w:space="0" w:color="auto"/>
      </w:divBdr>
    </w:div>
    <w:div w:id="1802071115">
      <w:bodyDiv w:val="1"/>
      <w:marLeft w:val="0"/>
      <w:marRight w:val="0"/>
      <w:marTop w:val="0"/>
      <w:marBottom w:val="0"/>
      <w:divBdr>
        <w:top w:val="none" w:sz="0" w:space="0" w:color="auto"/>
        <w:left w:val="none" w:sz="0" w:space="0" w:color="auto"/>
        <w:bottom w:val="none" w:sz="0" w:space="0" w:color="auto"/>
        <w:right w:val="none" w:sz="0" w:space="0" w:color="auto"/>
      </w:divBdr>
    </w:div>
    <w:div w:id="1813017883">
      <w:bodyDiv w:val="1"/>
      <w:marLeft w:val="0"/>
      <w:marRight w:val="0"/>
      <w:marTop w:val="0"/>
      <w:marBottom w:val="0"/>
      <w:divBdr>
        <w:top w:val="none" w:sz="0" w:space="0" w:color="auto"/>
        <w:left w:val="none" w:sz="0" w:space="0" w:color="auto"/>
        <w:bottom w:val="none" w:sz="0" w:space="0" w:color="auto"/>
        <w:right w:val="none" w:sz="0" w:space="0" w:color="auto"/>
      </w:divBdr>
    </w:div>
    <w:div w:id="1827013798">
      <w:bodyDiv w:val="1"/>
      <w:marLeft w:val="0"/>
      <w:marRight w:val="0"/>
      <w:marTop w:val="0"/>
      <w:marBottom w:val="0"/>
      <w:divBdr>
        <w:top w:val="none" w:sz="0" w:space="0" w:color="auto"/>
        <w:left w:val="none" w:sz="0" w:space="0" w:color="auto"/>
        <w:bottom w:val="none" w:sz="0" w:space="0" w:color="auto"/>
        <w:right w:val="none" w:sz="0" w:space="0" w:color="auto"/>
      </w:divBdr>
    </w:div>
    <w:div w:id="1830244054">
      <w:bodyDiv w:val="1"/>
      <w:marLeft w:val="0"/>
      <w:marRight w:val="0"/>
      <w:marTop w:val="0"/>
      <w:marBottom w:val="0"/>
      <w:divBdr>
        <w:top w:val="none" w:sz="0" w:space="0" w:color="auto"/>
        <w:left w:val="none" w:sz="0" w:space="0" w:color="auto"/>
        <w:bottom w:val="none" w:sz="0" w:space="0" w:color="auto"/>
        <w:right w:val="none" w:sz="0" w:space="0" w:color="auto"/>
      </w:divBdr>
    </w:div>
    <w:div w:id="1834448146">
      <w:bodyDiv w:val="1"/>
      <w:marLeft w:val="0"/>
      <w:marRight w:val="0"/>
      <w:marTop w:val="0"/>
      <w:marBottom w:val="0"/>
      <w:divBdr>
        <w:top w:val="none" w:sz="0" w:space="0" w:color="auto"/>
        <w:left w:val="none" w:sz="0" w:space="0" w:color="auto"/>
        <w:bottom w:val="none" w:sz="0" w:space="0" w:color="auto"/>
        <w:right w:val="none" w:sz="0" w:space="0" w:color="auto"/>
      </w:divBdr>
    </w:div>
    <w:div w:id="1840999842">
      <w:bodyDiv w:val="1"/>
      <w:marLeft w:val="0"/>
      <w:marRight w:val="0"/>
      <w:marTop w:val="0"/>
      <w:marBottom w:val="0"/>
      <w:divBdr>
        <w:top w:val="none" w:sz="0" w:space="0" w:color="auto"/>
        <w:left w:val="none" w:sz="0" w:space="0" w:color="auto"/>
        <w:bottom w:val="none" w:sz="0" w:space="0" w:color="auto"/>
        <w:right w:val="none" w:sz="0" w:space="0" w:color="auto"/>
      </w:divBdr>
    </w:div>
    <w:div w:id="1841962858">
      <w:bodyDiv w:val="1"/>
      <w:marLeft w:val="0"/>
      <w:marRight w:val="0"/>
      <w:marTop w:val="0"/>
      <w:marBottom w:val="0"/>
      <w:divBdr>
        <w:top w:val="none" w:sz="0" w:space="0" w:color="auto"/>
        <w:left w:val="none" w:sz="0" w:space="0" w:color="auto"/>
        <w:bottom w:val="none" w:sz="0" w:space="0" w:color="auto"/>
        <w:right w:val="none" w:sz="0" w:space="0" w:color="auto"/>
      </w:divBdr>
    </w:div>
    <w:div w:id="1842969163">
      <w:bodyDiv w:val="1"/>
      <w:marLeft w:val="0"/>
      <w:marRight w:val="0"/>
      <w:marTop w:val="0"/>
      <w:marBottom w:val="0"/>
      <w:divBdr>
        <w:top w:val="none" w:sz="0" w:space="0" w:color="auto"/>
        <w:left w:val="none" w:sz="0" w:space="0" w:color="auto"/>
        <w:bottom w:val="none" w:sz="0" w:space="0" w:color="auto"/>
        <w:right w:val="none" w:sz="0" w:space="0" w:color="auto"/>
      </w:divBdr>
    </w:div>
    <w:div w:id="1873691738">
      <w:bodyDiv w:val="1"/>
      <w:marLeft w:val="0"/>
      <w:marRight w:val="0"/>
      <w:marTop w:val="0"/>
      <w:marBottom w:val="0"/>
      <w:divBdr>
        <w:top w:val="none" w:sz="0" w:space="0" w:color="auto"/>
        <w:left w:val="none" w:sz="0" w:space="0" w:color="auto"/>
        <w:bottom w:val="none" w:sz="0" w:space="0" w:color="auto"/>
        <w:right w:val="none" w:sz="0" w:space="0" w:color="auto"/>
      </w:divBdr>
    </w:div>
    <w:div w:id="1879395709">
      <w:bodyDiv w:val="1"/>
      <w:marLeft w:val="0"/>
      <w:marRight w:val="0"/>
      <w:marTop w:val="0"/>
      <w:marBottom w:val="0"/>
      <w:divBdr>
        <w:top w:val="none" w:sz="0" w:space="0" w:color="auto"/>
        <w:left w:val="none" w:sz="0" w:space="0" w:color="auto"/>
        <w:bottom w:val="none" w:sz="0" w:space="0" w:color="auto"/>
        <w:right w:val="none" w:sz="0" w:space="0" w:color="auto"/>
      </w:divBdr>
    </w:div>
    <w:div w:id="1884711568">
      <w:bodyDiv w:val="1"/>
      <w:marLeft w:val="0"/>
      <w:marRight w:val="0"/>
      <w:marTop w:val="0"/>
      <w:marBottom w:val="0"/>
      <w:divBdr>
        <w:top w:val="none" w:sz="0" w:space="0" w:color="auto"/>
        <w:left w:val="none" w:sz="0" w:space="0" w:color="auto"/>
        <w:bottom w:val="none" w:sz="0" w:space="0" w:color="auto"/>
        <w:right w:val="none" w:sz="0" w:space="0" w:color="auto"/>
      </w:divBdr>
    </w:div>
    <w:div w:id="1887909196">
      <w:bodyDiv w:val="1"/>
      <w:marLeft w:val="0"/>
      <w:marRight w:val="0"/>
      <w:marTop w:val="0"/>
      <w:marBottom w:val="0"/>
      <w:divBdr>
        <w:top w:val="none" w:sz="0" w:space="0" w:color="auto"/>
        <w:left w:val="none" w:sz="0" w:space="0" w:color="auto"/>
        <w:bottom w:val="none" w:sz="0" w:space="0" w:color="auto"/>
        <w:right w:val="none" w:sz="0" w:space="0" w:color="auto"/>
      </w:divBdr>
    </w:div>
    <w:div w:id="1889144285">
      <w:bodyDiv w:val="1"/>
      <w:marLeft w:val="0"/>
      <w:marRight w:val="0"/>
      <w:marTop w:val="0"/>
      <w:marBottom w:val="0"/>
      <w:divBdr>
        <w:top w:val="none" w:sz="0" w:space="0" w:color="auto"/>
        <w:left w:val="none" w:sz="0" w:space="0" w:color="auto"/>
        <w:bottom w:val="none" w:sz="0" w:space="0" w:color="auto"/>
        <w:right w:val="none" w:sz="0" w:space="0" w:color="auto"/>
      </w:divBdr>
    </w:div>
    <w:div w:id="1898202905">
      <w:bodyDiv w:val="1"/>
      <w:marLeft w:val="0"/>
      <w:marRight w:val="0"/>
      <w:marTop w:val="0"/>
      <w:marBottom w:val="0"/>
      <w:divBdr>
        <w:top w:val="none" w:sz="0" w:space="0" w:color="auto"/>
        <w:left w:val="none" w:sz="0" w:space="0" w:color="auto"/>
        <w:bottom w:val="none" w:sz="0" w:space="0" w:color="auto"/>
        <w:right w:val="none" w:sz="0" w:space="0" w:color="auto"/>
      </w:divBdr>
    </w:div>
    <w:div w:id="1915432675">
      <w:bodyDiv w:val="1"/>
      <w:marLeft w:val="0"/>
      <w:marRight w:val="0"/>
      <w:marTop w:val="0"/>
      <w:marBottom w:val="0"/>
      <w:divBdr>
        <w:top w:val="none" w:sz="0" w:space="0" w:color="auto"/>
        <w:left w:val="none" w:sz="0" w:space="0" w:color="auto"/>
        <w:bottom w:val="none" w:sz="0" w:space="0" w:color="auto"/>
        <w:right w:val="none" w:sz="0" w:space="0" w:color="auto"/>
      </w:divBdr>
    </w:div>
    <w:div w:id="1927228407">
      <w:bodyDiv w:val="1"/>
      <w:marLeft w:val="0"/>
      <w:marRight w:val="0"/>
      <w:marTop w:val="0"/>
      <w:marBottom w:val="0"/>
      <w:divBdr>
        <w:top w:val="none" w:sz="0" w:space="0" w:color="auto"/>
        <w:left w:val="none" w:sz="0" w:space="0" w:color="auto"/>
        <w:bottom w:val="none" w:sz="0" w:space="0" w:color="auto"/>
        <w:right w:val="none" w:sz="0" w:space="0" w:color="auto"/>
      </w:divBdr>
    </w:div>
    <w:div w:id="1931622200">
      <w:bodyDiv w:val="1"/>
      <w:marLeft w:val="0"/>
      <w:marRight w:val="0"/>
      <w:marTop w:val="0"/>
      <w:marBottom w:val="0"/>
      <w:divBdr>
        <w:top w:val="none" w:sz="0" w:space="0" w:color="auto"/>
        <w:left w:val="none" w:sz="0" w:space="0" w:color="auto"/>
        <w:bottom w:val="none" w:sz="0" w:space="0" w:color="auto"/>
        <w:right w:val="none" w:sz="0" w:space="0" w:color="auto"/>
      </w:divBdr>
    </w:div>
    <w:div w:id="1943296907">
      <w:bodyDiv w:val="1"/>
      <w:marLeft w:val="0"/>
      <w:marRight w:val="0"/>
      <w:marTop w:val="0"/>
      <w:marBottom w:val="0"/>
      <w:divBdr>
        <w:top w:val="none" w:sz="0" w:space="0" w:color="auto"/>
        <w:left w:val="none" w:sz="0" w:space="0" w:color="auto"/>
        <w:bottom w:val="none" w:sz="0" w:space="0" w:color="auto"/>
        <w:right w:val="none" w:sz="0" w:space="0" w:color="auto"/>
      </w:divBdr>
    </w:div>
    <w:div w:id="1946956730">
      <w:bodyDiv w:val="1"/>
      <w:marLeft w:val="0"/>
      <w:marRight w:val="0"/>
      <w:marTop w:val="0"/>
      <w:marBottom w:val="0"/>
      <w:divBdr>
        <w:top w:val="none" w:sz="0" w:space="0" w:color="auto"/>
        <w:left w:val="none" w:sz="0" w:space="0" w:color="auto"/>
        <w:bottom w:val="none" w:sz="0" w:space="0" w:color="auto"/>
        <w:right w:val="none" w:sz="0" w:space="0" w:color="auto"/>
      </w:divBdr>
    </w:div>
    <w:div w:id="1962102977">
      <w:bodyDiv w:val="1"/>
      <w:marLeft w:val="0"/>
      <w:marRight w:val="0"/>
      <w:marTop w:val="0"/>
      <w:marBottom w:val="0"/>
      <w:divBdr>
        <w:top w:val="none" w:sz="0" w:space="0" w:color="auto"/>
        <w:left w:val="none" w:sz="0" w:space="0" w:color="auto"/>
        <w:bottom w:val="none" w:sz="0" w:space="0" w:color="auto"/>
        <w:right w:val="none" w:sz="0" w:space="0" w:color="auto"/>
      </w:divBdr>
    </w:div>
    <w:div w:id="1966425112">
      <w:bodyDiv w:val="1"/>
      <w:marLeft w:val="0"/>
      <w:marRight w:val="0"/>
      <w:marTop w:val="0"/>
      <w:marBottom w:val="0"/>
      <w:divBdr>
        <w:top w:val="none" w:sz="0" w:space="0" w:color="auto"/>
        <w:left w:val="none" w:sz="0" w:space="0" w:color="auto"/>
        <w:bottom w:val="none" w:sz="0" w:space="0" w:color="auto"/>
        <w:right w:val="none" w:sz="0" w:space="0" w:color="auto"/>
      </w:divBdr>
    </w:div>
    <w:div w:id="1975476123">
      <w:bodyDiv w:val="1"/>
      <w:marLeft w:val="0"/>
      <w:marRight w:val="0"/>
      <w:marTop w:val="0"/>
      <w:marBottom w:val="0"/>
      <w:divBdr>
        <w:top w:val="none" w:sz="0" w:space="0" w:color="auto"/>
        <w:left w:val="none" w:sz="0" w:space="0" w:color="auto"/>
        <w:bottom w:val="none" w:sz="0" w:space="0" w:color="auto"/>
        <w:right w:val="none" w:sz="0" w:space="0" w:color="auto"/>
      </w:divBdr>
    </w:div>
    <w:div w:id="1976450560">
      <w:bodyDiv w:val="1"/>
      <w:marLeft w:val="0"/>
      <w:marRight w:val="0"/>
      <w:marTop w:val="0"/>
      <w:marBottom w:val="0"/>
      <w:divBdr>
        <w:top w:val="none" w:sz="0" w:space="0" w:color="auto"/>
        <w:left w:val="none" w:sz="0" w:space="0" w:color="auto"/>
        <w:bottom w:val="none" w:sz="0" w:space="0" w:color="auto"/>
        <w:right w:val="none" w:sz="0" w:space="0" w:color="auto"/>
      </w:divBdr>
    </w:div>
    <w:div w:id="1986621046">
      <w:bodyDiv w:val="1"/>
      <w:marLeft w:val="0"/>
      <w:marRight w:val="0"/>
      <w:marTop w:val="0"/>
      <w:marBottom w:val="0"/>
      <w:divBdr>
        <w:top w:val="none" w:sz="0" w:space="0" w:color="auto"/>
        <w:left w:val="none" w:sz="0" w:space="0" w:color="auto"/>
        <w:bottom w:val="none" w:sz="0" w:space="0" w:color="auto"/>
        <w:right w:val="none" w:sz="0" w:space="0" w:color="auto"/>
      </w:divBdr>
    </w:div>
    <w:div w:id="2024895304">
      <w:bodyDiv w:val="1"/>
      <w:marLeft w:val="0"/>
      <w:marRight w:val="0"/>
      <w:marTop w:val="0"/>
      <w:marBottom w:val="0"/>
      <w:divBdr>
        <w:top w:val="none" w:sz="0" w:space="0" w:color="auto"/>
        <w:left w:val="none" w:sz="0" w:space="0" w:color="auto"/>
        <w:bottom w:val="none" w:sz="0" w:space="0" w:color="auto"/>
        <w:right w:val="none" w:sz="0" w:space="0" w:color="auto"/>
      </w:divBdr>
    </w:div>
    <w:div w:id="2041473698">
      <w:bodyDiv w:val="1"/>
      <w:marLeft w:val="0"/>
      <w:marRight w:val="0"/>
      <w:marTop w:val="0"/>
      <w:marBottom w:val="0"/>
      <w:divBdr>
        <w:top w:val="none" w:sz="0" w:space="0" w:color="auto"/>
        <w:left w:val="none" w:sz="0" w:space="0" w:color="auto"/>
        <w:bottom w:val="none" w:sz="0" w:space="0" w:color="auto"/>
        <w:right w:val="none" w:sz="0" w:space="0" w:color="auto"/>
      </w:divBdr>
    </w:div>
    <w:div w:id="2043357211">
      <w:bodyDiv w:val="1"/>
      <w:marLeft w:val="0"/>
      <w:marRight w:val="0"/>
      <w:marTop w:val="0"/>
      <w:marBottom w:val="0"/>
      <w:divBdr>
        <w:top w:val="none" w:sz="0" w:space="0" w:color="auto"/>
        <w:left w:val="none" w:sz="0" w:space="0" w:color="auto"/>
        <w:bottom w:val="none" w:sz="0" w:space="0" w:color="auto"/>
        <w:right w:val="none" w:sz="0" w:space="0" w:color="auto"/>
      </w:divBdr>
    </w:div>
    <w:div w:id="2057925553">
      <w:bodyDiv w:val="1"/>
      <w:marLeft w:val="0"/>
      <w:marRight w:val="0"/>
      <w:marTop w:val="0"/>
      <w:marBottom w:val="0"/>
      <w:divBdr>
        <w:top w:val="none" w:sz="0" w:space="0" w:color="auto"/>
        <w:left w:val="none" w:sz="0" w:space="0" w:color="auto"/>
        <w:bottom w:val="none" w:sz="0" w:space="0" w:color="auto"/>
        <w:right w:val="none" w:sz="0" w:space="0" w:color="auto"/>
      </w:divBdr>
    </w:div>
    <w:div w:id="2062169114">
      <w:bodyDiv w:val="1"/>
      <w:marLeft w:val="0"/>
      <w:marRight w:val="0"/>
      <w:marTop w:val="0"/>
      <w:marBottom w:val="0"/>
      <w:divBdr>
        <w:top w:val="none" w:sz="0" w:space="0" w:color="auto"/>
        <w:left w:val="none" w:sz="0" w:space="0" w:color="auto"/>
        <w:bottom w:val="none" w:sz="0" w:space="0" w:color="auto"/>
        <w:right w:val="none" w:sz="0" w:space="0" w:color="auto"/>
      </w:divBdr>
    </w:div>
    <w:div w:id="2065591778">
      <w:bodyDiv w:val="1"/>
      <w:marLeft w:val="0"/>
      <w:marRight w:val="0"/>
      <w:marTop w:val="0"/>
      <w:marBottom w:val="0"/>
      <w:divBdr>
        <w:top w:val="none" w:sz="0" w:space="0" w:color="auto"/>
        <w:left w:val="none" w:sz="0" w:space="0" w:color="auto"/>
        <w:bottom w:val="none" w:sz="0" w:space="0" w:color="auto"/>
        <w:right w:val="none" w:sz="0" w:space="0" w:color="auto"/>
      </w:divBdr>
    </w:div>
    <w:div w:id="2069305658">
      <w:bodyDiv w:val="1"/>
      <w:marLeft w:val="0"/>
      <w:marRight w:val="0"/>
      <w:marTop w:val="0"/>
      <w:marBottom w:val="0"/>
      <w:divBdr>
        <w:top w:val="none" w:sz="0" w:space="0" w:color="auto"/>
        <w:left w:val="none" w:sz="0" w:space="0" w:color="auto"/>
        <w:bottom w:val="none" w:sz="0" w:space="0" w:color="auto"/>
        <w:right w:val="none" w:sz="0" w:space="0" w:color="auto"/>
      </w:divBdr>
    </w:div>
    <w:div w:id="2080400680">
      <w:bodyDiv w:val="1"/>
      <w:marLeft w:val="0"/>
      <w:marRight w:val="0"/>
      <w:marTop w:val="0"/>
      <w:marBottom w:val="0"/>
      <w:divBdr>
        <w:top w:val="none" w:sz="0" w:space="0" w:color="auto"/>
        <w:left w:val="none" w:sz="0" w:space="0" w:color="auto"/>
        <w:bottom w:val="none" w:sz="0" w:space="0" w:color="auto"/>
        <w:right w:val="none" w:sz="0" w:space="0" w:color="auto"/>
      </w:divBdr>
    </w:div>
    <w:div w:id="2112510050">
      <w:bodyDiv w:val="1"/>
      <w:marLeft w:val="0"/>
      <w:marRight w:val="0"/>
      <w:marTop w:val="0"/>
      <w:marBottom w:val="0"/>
      <w:divBdr>
        <w:top w:val="none" w:sz="0" w:space="0" w:color="auto"/>
        <w:left w:val="none" w:sz="0" w:space="0" w:color="auto"/>
        <w:bottom w:val="none" w:sz="0" w:space="0" w:color="auto"/>
        <w:right w:val="none" w:sz="0" w:space="0" w:color="auto"/>
      </w:divBdr>
    </w:div>
    <w:div w:id="2120223173">
      <w:bodyDiv w:val="1"/>
      <w:marLeft w:val="0"/>
      <w:marRight w:val="0"/>
      <w:marTop w:val="0"/>
      <w:marBottom w:val="0"/>
      <w:divBdr>
        <w:top w:val="none" w:sz="0" w:space="0" w:color="auto"/>
        <w:left w:val="none" w:sz="0" w:space="0" w:color="auto"/>
        <w:bottom w:val="none" w:sz="0" w:space="0" w:color="auto"/>
        <w:right w:val="none" w:sz="0" w:space="0" w:color="auto"/>
      </w:divBdr>
    </w:div>
    <w:div w:id="2135514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emf"/><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4.emf"/><Relationship Id="rId34" Type="http://schemas.openxmlformats.org/officeDocument/2006/relationships/image" Target="media/image27.png"/><Relationship Id="rId42"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image" Target="media/image26.png"/><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image" Target="media/image22.emf"/><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image" Target="media/image29.png"/><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image" Target="media/image24.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emf"/><Relationship Id="rId35" Type="http://schemas.openxmlformats.org/officeDocument/2006/relationships/image" Target="media/image28.png"/><Relationship Id="rId43"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Office2016\Workgroup%20Templates\ONE%20Autho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oecd-en.xsl" StyleName="OECD English" Version="20190724">
  <b:Source>
    <b:Tag>Kappa_g27a24cf</b:Tag>
    <b:SourceType>BookSection</b:SourceType>
    <b:Title>An Overview of the OECD ENV-Linkages Model: Version 3</b:Title>
    <b:Year>2014</b:Year>
    <b:Publisher>OECD Publishing, Paris</b:Publisher>
    <b:Author>
      <b:Author>
        <b:NameList>
          <b:Person>
            <b:Last>Chateau</b:Last>
            <b:First>Jean</b:First>
          </b:Person>
          <b:Person>
            <b:Last>Dellink</b:Last>
            <b:First>Rob</b:First>
          </b:Person>
          <b:Person>
            <b:Last>Lanzi</b:Last>
            <b:First>Elisa</b:First>
          </b:Person>
        </b:NameList>
      </b:Author>
    </b:Author>
    <b:Volume>2014</b:Volume>
    <b:ChapterNumber>65</b:ChapterNumber>
    <b:BookTitle>OECD Environment Working Papers</b:BookTitle>
    <b:Medium>Working Paper</b:Medium>
    <b:DOI>https://dx.doi.org/10.1787/5jz2qck2b2vd-en</b:DOI>
    <b:LCID>en-GB</b:LCID>
    <b:Version>Kappa</b:Version>
    <b:Guid>{B4E7774E-A6D4-4C13-997D-DB3A22FB6307}</b:Guid>
    <b:RefOrder>1</b:RefOrder>
  </b:Source>
  <b:Source>
    <b:Tag>Kappa_g2g98d7d</b:Tag>
    <b:SourceType>Book</b:SourceType>
    <b:Title>Global Material Resources Outlook to 2060: Economic Drivers and Environmental Consequences</b:Title>
    <b:Year>2019</b:Year>
    <b:Publisher>OECD Publishing, Paris</b:Publisher>
    <b:Author>
      <b:Author>
        <b:Corporate>OECD</b:Corporate>
      </b:Author>
    </b:Author>
    <b:DOI>https://dx.doi.org/10.1787/9789264307452-en</b:DOI>
    <b:LCID>en-GB</b:LCID>
    <b:Version>Kappa</b:Version>
    <b:RefOrder>4</b:RefOrder>
  </b:Source>
  <b:Source>
    <b:Tag>OECng</b:Tag>
    <b:SourceType>Book</b:SourceType>
    <b:Guid>{1E5E7396-D1B8-4BE5-BE2D-FB690412A78D}</b:Guid>
    <b:Author>
      <b:Author>
        <b:NameList>
          <b:Person>
            <b:Last>OECD</b:Last>
          </b:Person>
        </b:NameList>
      </b:Author>
    </b:Author>
    <b:Title>Policy scenarios for a transition to more resource efficient and circular economy</b:Title>
    <b:Year>2020, forthcoming</b:Year>
    <b:Publisher>ENV/EPOC/WPIEEP(2019)11, OECD Publishing, Paris</b:Publisher>
    <b:JournalName>ENV/EPOC/WPIEEP(2019)11</b:JournalName>
    <b:RefOrder>27</b:RefOrder>
  </b:Source>
  <b:Source>
    <b:Tag>Eleng</b:Tag>
    <b:SourceType>Report</b:SourceType>
    <b:Guid>{BD4D1D9A-D944-4A36-84C0-D33F3CEFFB84}</b:Guid>
    <b:Author>
      <b:Author>
        <b:NameList>
          <b:Person>
            <b:Last>Chateau</b:Last>
            <b:First>Jean</b:First>
          </b:Person>
          <b:Person>
            <b:Last>Mavroeidi</b:Last>
            <b:First>Eleonora</b:First>
          </b:Person>
        </b:NameList>
      </b:Author>
    </b:Author>
    <b:Title>The jobs potential of a transition towards a resource efficient and circular economy</b:Title>
    <b:Year>2020</b:Year>
    <b:Medium>[ENV/EPOC/ WPIEEP(2019)14]</b:Medium>
    <b:RefOrder>5</b:RefOrder>
  </b:Source>
  <b:Source>
    <b:Tag>Delng</b:Tag>
    <b:SourceType>BookSection</b:SourceType>
    <b:Guid>{6F59FC0D-B864-495F-B16A-A9F42009497C}</b:Guid>
    <b:Author>
      <b:Author>
        <b:NameList>
          <b:Person>
            <b:Last>Dellink</b:Last>
            <b:First>Rob</b:First>
          </b:Person>
        </b:NameList>
      </b:Author>
    </b:Author>
    <b:Title>The Consequences of a more resource efficient and circular economy for international trade patterns: A modelling assessment</b:Title>
    <b:Year>2020</b:Year>
    <b:DOI>https://doi.org/10.1787/fa01b672-en</b:DOI>
    <b:BookTitle>OECD Environment Working Papers</b:BookTitle>
    <b:Volume>2020</b:Volume>
    <b:Publisher>OECD Publishing, Paris</b:Publisher>
    <b:Medium>Working Paper</b:Medium>
    <b:ChapterNumber>165</b:ChapterNumber>
    <b:RefOrder>6</b:RefOrder>
  </b:Source>
  <b:Source>
    <b:Tag>Mendeley_yYYdjEx30DWQSvili4bR2A</b:Tag>
    <b:SourceType>JournalArticle</b:SourceType>
    <b:Guid>{8C1D86C9-774C-35D0-904A-F8A58B86D1D8}</b:Guid>
    <b:Title>Modeling non-CO2 Greenhouse Gas Abatement</b:Title>
    <b:Year>2003</b:Year>
    <b:Publisher>Kluwer Academic Publishers</b:Publisher>
    <b:Author>
      <b:Author>
        <b:NameList>
          <b:Person>
            <b:Last>Hyman</b:Last>
            <b:First>Robert C.</b:First>
          </b:Person>
          <b:Person>
            <b:Last>Reilly</b:Last>
            <b:First>John M.</b:First>
          </b:Person>
          <b:Person>
            <b:Last>Babiker</b:Last>
            <b:First>Mustafa H.</b:First>
          </b:Person>
          <b:Person>
            <b:Last>De Masin</b:Last>
            <b:First>Ardoin</b:First>
          </b:Person>
          <b:Person>
            <b:Last>Jacoby</b:Last>
            <b:First>Henry D.</b:First>
          </b:Person>
        </b:NameList>
      </b:Author>
    </b:Author>
    <b:Volume>8</b:Volume>
    <b:BookTitle>Environmental Modeling and Assessment</b:BookTitle>
    <b:Pages>175-186</b:Pages>
    <b:JournalName>Environmental Modeling and Assessment</b:JournalName>
    <b:DOI>10.1023/A:1025576926029</b:DOI>
    <b:Issue>3</b:Issue>
    <b:LCID>en-US</b:LCID>
    <b:Version>Mendeley</b:Version>
    <b:RefOrder>8</b:RefOrder>
  </b:Source>
  <b:Source>
    <b:Tag>Mendeley_ctQTNY4yaDWRMGrKPTARUw</b:Tag>
    <b:SourceType>JournalArticle</b:SourceType>
    <b:Guid>{3513D472-328E-3568-9130-6ACA3D301153}</b:Guid>
    <b:Title>Regional and Global Emissions of Air Pollutants: Recent Trends and Future Scenarios</b:Title>
    <b:Year>2013</b:Year>
    <b:Publisher> Annual Reviews </b:Publisher>
    <b:Author>
      <b:Author>
        <b:NameList>
          <b:Person>
            <b:Last>Amann</b:Last>
            <b:First>Markus</b:First>
          </b:Person>
          <b:Person>
            <b:Last>Klimont</b:Last>
            <b:First>Zbigniew</b:First>
          </b:Person>
          <b:Person>
            <b:Last>Wagner</b:Last>
            <b:First>Fabian</b:First>
          </b:Person>
        </b:NameList>
      </b:Author>
    </b:Author>
    <b:Volume>38</b:Volume>
    <b:BookTitle>Annual Review of Environment and Resources</b:BookTitle>
    <b:Pages>31-55</b:Pages>
    <b:JournalName>Annual Review of Environment and Resources</b:JournalName>
    <b:DOI>10.1146/annurev-environ-052912-173303</b:DOI>
    <b:Issue>1</b:Issue>
    <b:LCID>en-US</b:LCID>
    <b:Version>Mendeley</b:Version>
    <b:RefOrder>9</b:RefOrder>
  </b:Source>
  <b:Source>
    <b:Tag>Mendeley_mfxT5pvquzy4B82K__Yeg1Q</b:Tag>
    <b:SourceType>Book</b:SourceType>
    <b:Guid>{E653FC99-EA9B-3CBB-B807-CD8AF987A0D5}</b:Guid>
    <b:Title>The GAINS Optimization Module as of 1 February 2007</b:Title>
    <b:Year>2007</b:Year>
    <b:Publisher>IIASA</b:Publisher>
    <b:Author>
      <b:Author>
        <b:NameList>
          <b:Person>
            <b:Last>Wagner</b:Last>
            <b:First>Fabian</b:First>
          </b:Person>
          <b:Person>
            <b:Last>Amann</b:Last>
            <b:First>Markus</b:First>
          </b:Person>
          <b:Person>
            <b:Last>Schoepp</b:Last>
            <b:First>Wolfgang</b:First>
          </b:Person>
        </b:NameList>
      </b:Author>
    </b:Author>
    <b:YearAccessed>2018</b:YearAccessed>
    <b:MonthAccessed>01</b:MonthAccessed>
    <b:DayAccessed>10</b:DayAccessed>
    <b:URL>http://pure.iiasa.ac.at/8451/1/IR-07-004.pdf</b:URL>
    <b:LCID>en-US</b:LCID>
    <b:Version>Mendeley</b:Version>
    <b:RefOrder>10</b:RefOrder>
  </b:Source>
  <b:Source>
    <b:Tag>Mendeley_k9uEIb0rtjCnRAhvRt899Q</b:Tag>
    <b:SourceType>JournalArticle</b:SourceType>
    <b:Guid>{9ADDBCF3-D44A-44DC-A7E4-9179FE049A3F}</b:Guid>
    <b:Title>Long-term economic growth projections in the Shared Socioeconomic Pathways</b:Title>
    <b:Year>2017</b:Year>
    <b:Author>
      <b:Author>
        <b:NameList>
          <b:Person>
            <b:Last>Dellink</b:Last>
            <b:First>R.</b:First>
          </b:Person>
          <b:Person>
            <b:Last>Chateau</b:Last>
            <b:First>J.</b:First>
          </b:Person>
          <b:Person>
            <b:Last>Lanzi</b:Last>
            <b:First>E.</b:First>
          </b:Person>
          <b:Person>
            <b:Last>Magné</b:Last>
            <b:First>B.</b:First>
          </b:Person>
        </b:NameList>
      </b:Author>
    </b:Author>
    <b:BookTitle>Global Environmental Change</b:BookTitle>
    <b:JournalName>Global Environmental Change</b:JournalName>
    <b:DOI>10.1016/j.gloenvcha.2015.06.004</b:DOI>
    <b:LCID>en-US</b:LCID>
    <b:Version>Mendeley</b:Version>
    <b:Pages>200-214</b:Pages>
    <b:Volume>42</b:Volume>
    <b:RefOrder>13</b:RefOrder>
  </b:Source>
  <b:Source>
    <b:Tag>Kappa_f3352d87</b:Tag>
    <b:SourceType>BookSection</b:SourceType>
    <b:Title>The Long View: Scenarios for the World Economy to 2060</b:Title>
    <b:Year>2018</b:Year>
    <b:Publisher>OECD Publishing, Paris</b:Publisher>
    <b:Author>
      <b:Author>
        <b:NameList>
          <b:Person>
            <b:Last>Guillemette</b:Last>
            <b:First>Yvan</b:First>
          </b:Person>
          <b:Person>
            <b:Last>Turner</b:Last>
            <b:First>David</b:First>
          </b:Person>
        </b:NameList>
      </b:Author>
    </b:Author>
    <b:ChapterNumber>22</b:ChapterNumber>
    <b:BookTitle>OECD Economic Policy Papers</b:BookTitle>
    <b:Medium>Working Paper</b:Medium>
    <b:DOI>http://dx.doi.org/10.1787/b4f4e03e-en</b:DOI>
    <b:LCID>en-GB</b:LCID>
    <b:Version>Kappa</b:Version>
    <b:RefOrder>14</b:RefOrder>
  </b:Source>
  <b:Source>
    <b:Tag>Mendeley_VcTi2COTCz2j8ZQa3A7Spw</b:Tag>
    <b:SourceType>Book</b:SourceType>
    <b:Title>World Energy Outlook 2017</b:Title>
    <b:Year>2017</b:Year>
    <b:Publisher>OECD Publishing, Paris/IEA, Paris</b:Publisher>
    <b:Author>
      <b:Author>
        <b:Corporate>IEA</b:Corporate>
      </b:Author>
    </b:Author>
    <b:DOI>http://dx.doi.org/10.1787/weo-2017-en</b:DOI>
    <b:LCID>en-GB</b:LCID>
    <b:Version>Kappa</b:Version>
    <b:RefOrder>15</b:RefOrder>
  </b:Source>
  <b:Source>
    <b:Tag>Kappa_557a761b</b:Tag>
    <b:SourceType>ArticleInAPeriodical</b:SourceType>
    <b:Title>World Energy Outlook 2020</b:Title>
    <b:Year>2020</b:Year>
    <b:Publisher>OECD Publishing, Paris</b:Publisher>
    <b:Author>
      <b:Author>
        <b:Corporate>IEA</b:Corporate>
      </b:Author>
    </b:Author>
    <b:Medium>Book</b:Medium>
    <b:DOI>https://dx.doi.org/10.1787/557a761b-en</b:DOI>
    <b:LCID>en-GB</b:LCID>
    <b:Version>Kappa</b:Version>
    <b:RefOrder>19</b:RefOrder>
  </b:Source>
  <b:Source>
    <b:Tag>Kappa_39a88ab1</b:Tag>
    <b:SourceType>ArticleInAPeriodical</b:SourceType>
    <b:Title>OECD Economic Outlook, Volume 2020 Issue 2</b:Title>
    <b:Year>2020</b:Year>
    <b:Publisher>OECD Publishing, Paris</b:Publisher>
    <b:Author>
      <b:Author>
        <b:Corporate>OECD</b:Corporate>
      </b:Author>
    </b:Author>
    <b:Volume>2020/2</b:Volume>
    <b:ChapterNumber>108</b:ChapterNumber>
    <b:Medium>Issue</b:Medium>
    <b:DOI>https://dx.doi.org/10.1787/39a88ab1-en</b:DOI>
    <b:LCID>en-GB</b:LCID>
    <b:Version>Kappa</b:Version>
    <b:RefOrder>16</b:RefOrder>
  </b:Source>
  <b:Source>
    <b:Tag>Mendeley_T_NlaTSuhjaNcmIItzAZEA</b:Tag>
    <b:SourceType>Book</b:SourceType>
    <b:Guid>{7CD54960-4BD6-4B40-A9CF-520BA54B6588}</b:Guid>
    <b:Title>World Economic Outlook, October 2020: A Long and Difficult Ascent</b:Title>
    <b:Year>2020</b:Year>
    <b:Publisher>International Monetary Fund, Washington, D.C.</b:Publisher>
    <b:Author>
      <b:Author>
        <b:Corporate>IMF</b:Corporate>
      </b:Author>
    </b:Author>
    <b:YearAccessed>2021</b:YearAccessed>
    <b:MonthAccessed>01</b:MonthAccessed>
    <b:DayAccessed>22</b:DayAccessed>
    <b:URL>https://www.imf.org/en/Publications/WEO/Issues/2020/09/30/world-economic-outlook-october-2020</b:URL>
    <b:LCID>en-US</b:LCID>
    <b:Version>Mendeley</b:Version>
    <b:RefOrder>17</b:RefOrder>
  </b:Source>
  <b:Source>
    <b:Tag>OEC20</b:Tag>
    <b:SourceType>Report</b:SourceType>
    <b:Guid>{E0D0DB8B-9405-4E30-9642-C0C8DF9E65CB}</b:Guid>
    <b:Author>
      <b:Author>
        <b:Corporate>OECD</b:Corporate>
      </b:Author>
    </b:Author>
    <b:Title>Shocks, risks and global value chains: insights from the OECD METRO model</b:Title>
    <b:Year>2020</b:Year>
    <b:RefOrder>21</b:RefOrder>
  </b:Source>
  <b:Source>
    <b:Tag>Mendeley_4Q__yaJqcyzaDRNgLgQwGgw</b:Tag>
    <b:SourceType>BookSection</b:SourceType>
    <b:Guid>{68B20FE1-9C9A-36CB-8344-D80B810C0683}</b:Guid>
    <b:Title>World Population Prospects: key findings and advance tables</b:Title>
    <b:Year>2017</b:Year>
    <b:Author>
      <b:Author>
        <b:NameList>
          <b:Person>
            <b:Last>UN</b:Last>
          </b:Person>
        </b:NameList>
      </b:Author>
    </b:Author>
    <b:Medium>Working Paper</b:Medium>
    <b:YearAccessed>2018</b:YearAccessed>
    <b:MonthAccessed>05</b:MonthAccessed>
    <b:DayAccessed>18</b:DayAccessed>
    <b:URL>https://esa.un.org/unpd/wpp/publications/Files/WPP2017_KeyFindings.pdf</b:URL>
    <b:LCID>en-US</b:LCID>
    <b:Version>Mendeley</b:Version>
    <b:RefOrder>23</b:RefOrder>
  </b:Source>
  <b:Source>
    <b:Tag>Eur18</b:Tag>
    <b:SourceType>ElectronicSource</b:SourceType>
    <b:Guid>{3F88A397-E693-4A64-9EE4-0CAF0335BC34}</b:Guid>
    <b:Title>Population projections</b:Title>
    <b:Year>2018</b:Year>
    <b:URL>http://ec.europa.eu/eurostat/web/products-datasets/-/tps00002</b:URL>
    <b:Author>
      <b:Author>
        <b:Corporate>Eurostat</b:Corporate>
      </b:Author>
    </b:Author>
    <b:PublicationTitle>Eurostat (online data code: tps00002)</b:PublicationTitle>
    <b:YearAccessed>2018</b:YearAccessed>
    <b:MonthAccessed>July</b:MonthAccessed>
    <b:RefOrder>24</b:RefOrder>
  </b:Source>
  <b:Source>
    <b:Tag>Mendeley_c2S2mmiKmTmwALYKIjXJlQ</b:Tag>
    <b:SourceType>JournalArticle</b:SourceType>
    <b:Title>The future of health and long-term care spending</b:Title>
    <b:Year>2014</b:Year>
    <b:Author>
      <b:Author>
        <b:NameList>
          <b:Person>
            <b:Last>de la Maisonneuve</b:Last>
            <b:First>Christine</b:First>
          </b:Person>
          <b:Person>
            <b:Last>Oliveira Martins</b:Last>
            <b:First>Joaquim</b:First>
          </b:Person>
        </b:NameList>
      </b:Author>
    </b:Author>
    <b:Volume>2014</b:Volume>
    <b:JournalName>OECD Journal: Economic Studies</b:JournalName>
    <b:DOI>http://dx.doi.org/10.1787/eco_studies-2014-5jz0v44s66nw</b:DOI>
    <b:Issue>1</b:Issue>
    <b:LCID>en-GB</b:LCID>
    <b:Version>Kappa</b:Version>
    <b:RefOrder>25</b:RefOrder>
  </b:Source>
  <b:Source>
    <b:Tag>Mendeley_HC2qBJRUvTSij9lAN7YBUQ</b:Tag>
    <b:SourceType>BookSection</b:SourceType>
    <b:Title>Benefiting from the next production revolution</b:Title>
    <b:Year>2016</b:Year>
    <b:Publisher>OECD Publishing, Paris</b:Publisher>
    <b:Author>
      <b:Editor>
        <b:NameList>
          <b:Person>
            <b:Last>Love</b:Last>
            <b:First>Patrick</b:First>
          </b:Person>
        </b:NameList>
      </b:Editor>
      <b:Author>
        <b:NameList>
          <b:Person>
            <b:Last>Pilat</b:Last>
            <b:First>Dirk</b:First>
          </b:Person>
          <b:Person>
            <b:Last>Nolan</b:Last>
            <b:First>Alistair</b:First>
          </b:Person>
        </b:NameList>
      </b:Author>
    </b:Author>
    <b:BookTitle>Debate the Issues: New Approaches to Economic Challenges</b:BookTitle>
    <b:Medium>Book Chapter</b:Medium>
    <b:DOI>http://dx.doi.org/10.1787/9789264264687-22-en</b:DOI>
    <b:LCID>en-GB</b:LCID>
    <b:Version>Kappa</b:Version>
    <b:RefOrder>26</b:RefOrder>
  </b:Source>
  <b:Source>
    <b:Tag>Kappa_g2g7e2af</b:Tag>
    <b:SourceType>Book</b:SourceType>
    <b:Title>The Land-Water-Energy Nexus: Biophysical and Economic Consequences</b:Title>
    <b:Year>2017</b:Year>
    <b:Publisher>OECD Publishing, Paris</b:Publisher>
    <b:Author>
      <b:Author>
        <b:Corporate>OECD</b:Corporate>
      </b:Author>
    </b:Author>
    <b:DOI>https://dx.doi.org/10.1787/9789264279360-en</b:DOI>
    <b:LCID>en-GB</b:LCID>
    <b:Version>Kappa</b:Version>
    <b:RefOrder>11</b:RefOrder>
  </b:Source>
  <b:Source>
    <b:Tag>Mendeley_ctJ5w_L4LDKXrn_HHUDRcg</b:Tag>
    <b:SourceType>BookSection</b:SourceType>
    <b:Guid>{C379D272-F8F2-322C-97AE-7FC71D40D172}</b:Guid>
    <b:Title>The International Model for Policy Analysis of Agricultural Commodities and Trade (IMPACT): Model description for version 3</b:Title>
    <b:Year>2015</b:Year>
    <b:Publisher>IFPRI, Wshington D.C.</b:Publisher>
    <b:Author>
      <b:Author>
        <b:NameList>
          <b:Person>
            <b:Last>Robinson</b:Last>
            <b:First>Sherman</b:First>
          </b:Person>
          <b:Person>
            <b:Last>Mason-DÇroz</b:Last>
            <b:First>Daniel</b:First>
          </b:Person>
          <b:Person>
            <b:Last>Islam</b:Last>
            <b:First>Shahnila</b:First>
          </b:Person>
          <b:Person>
            <b:Last>Sulser</b:Last>
            <b:First>Timothy B.</b:First>
          </b:Person>
          <b:Person>
            <b:Last>Robertson</b:Last>
            <b:First>R.</b:First>
          </b:Person>
          <b:Person>
            <b:Last>Zhu</b:Last>
            <b:First>Tingju</b:First>
          </b:Person>
          <b:Person>
            <b:Last>Gueneau</b:Last>
            <b:First>Arthur</b:First>
          </b:Person>
          <b:Person>
            <b:Last>Pitois</b:Last>
            <b:First>Gauthier</b:First>
          </b:Person>
          <b:Person>
            <b:Last>Rosegrant</b:Last>
            <b:First>Mark</b:First>
          </b:Person>
        </b:NameList>
      </b:Author>
    </b:Author>
    <b:ChapterNumber>01483</b:ChapterNumber>
    <b:BookTitle>Discussion Paper</b:BookTitle>
    <b:Medium>Working Paper</b:Medium>
    <b:YearAccessed>2018</b:YearAccessed>
    <b:MonthAccessed>01</b:MonthAccessed>
    <b:DayAccessed>15</b:DayAccessed>
    <b:URL>http://ebrary.ifpri.org/cdm/ref/collection/p15738coll2/id/129825</b:URL>
    <b:LCID>en-US</b:LCID>
    <b:Version>Mendeley</b:Version>
    <b:RefOrder>12</b:RefOrder>
  </b:Source>
  <b:Source>
    <b:Tag>Placeholder1</b:Tag>
    <b:SourceType>Report</b:SourceType>
    <b:Guid>{56E2DB1F-E190-4E91-B8A4-B628BB2AF082}</b:Guid>
    <b:Author>
      <b:Author>
        <b:NameList>
          <b:Person>
            <b:Last>Arriola</b:Last>
            <b:First>Christine</b:First>
          </b:Person>
          <b:Person>
            <b:Last>Kowalski</b:Last>
            <b:First>Piotr</b:First>
          </b:Person>
          <b:Person>
            <b:Last>Van Tongeren</b:Last>
            <b:First>Frank</b:First>
          </b:Person>
        </b:NameList>
      </b:Author>
    </b:Author>
    <b:Title>Assessment of the Covid-19 pandemic: insights from the METRO model</b:Title>
    <b:Year>forthcoming</b:Year>
    <b:RefOrder>18</b:RefOrder>
  </b:Source>
  <b:Source>
    <b:Tag>Kappa_g2g558e1</b:Tag>
    <b:SourceType>Book</b:SourceType>
    <b:Title>The Economic Consequences of Climate Change</b:Title>
    <b:Year>2015</b:Year>
    <b:Publisher>OECD Publishing, Paris</b:Publisher>
    <b:Author>
      <b:Author>
        <b:Corporate>OECD</b:Corporate>
      </b:Author>
    </b:Author>
    <b:DOI>https://dx.doi.org/10.1787/9789264235410-en</b:DOI>
    <b:LCID>en-GB</b:LCID>
    <b:Version>Kappa</b:Version>
    <b:RefOrder>2</b:RefOrder>
  </b:Source>
  <b:Source>
    <b:Tag>Kappa_g2g68583</b:Tag>
    <b:SourceType>Book</b:SourceType>
    <b:Title>The Economic Consequences of Outdoor Air Pollution</b:Title>
    <b:Year>2016</b:Year>
    <b:Publisher>OECD Publishing, Paris</b:Publisher>
    <b:Author>
      <b:Author>
        <b:Corporate>OECD</b:Corporate>
      </b:Author>
    </b:Author>
    <b:DOI>https://dx.doi.org/10.1787/9789264257474-en</b:DOI>
    <b:LCID>en-GB</b:LCID>
    <b:Version>Kappa</b:Version>
    <b:RefOrder>3</b:RefOrder>
  </b:Source>
  <b:Source>
    <b:Tag>Kappa_c1f3c8d0</b:Tag>
    <b:SourceType>BookSection</b:SourceType>
    <b:Title>Policy scenarios for a transition to a more resource efficient and circular economy</b:Title>
    <b:Year>2021</b:Year>
    <b:Publisher>OECD Publishing, Paris</b:Publisher>
    <b:Author>
      <b:Author>
        <b:NameList>
          <b:Person>
            <b:Last>Bibas</b:Last>
            <b:First>Ruben</b:First>
          </b:Person>
          <b:Person>
            <b:Last>Chateau</b:Last>
            <b:First>Jean</b:First>
          </b:Person>
          <b:Person>
            <b:Last>Lanzi</b:Last>
            <b:First>Elisa</b:First>
          </b:Person>
        </b:NameList>
      </b:Author>
    </b:Author>
    <b:ChapterNumber>169</b:ChapterNumber>
    <b:BookTitle>OECD Environment Working Papers</b:BookTitle>
    <b:Medium>Working Paper</b:Medium>
    <b:DOI>https://dx.doi.org/10.1787/c1f3c8d0-en</b:DOI>
    <b:LCID>en-GB</b:LCID>
    <b:Version>Kappa</b:Version>
    <b:RefOrder>7</b:RefOrder>
  </b:Source>
  <b:Source>
    <b:Tag>Kappa_56119490</b:Tag>
    <b:SourceType>BookSection</b:SourceType>
    <b:Title>Building resilience in global supply chains for all</b:Title>
    <b:Year>2021 forthcoming</b:Year>
    <b:Publisher>OECD Publishing, Paris</b:Publisher>
    <b:Author>
      <b:Author>
        <b:Corporate>OECD</b:Corporate>
      </b:Author>
    </b:Author>
    <b:BookTitle>OECD Trade and Agriculture Directorate Working Papers</b:BookTitle>
    <b:Medium>Working Paper</b:Medium>
    <b:LCID>en-GB</b:LCID>
    <b:Version>Kappa</b:Version>
    <b:Guid>{CED3DFDE-A35D-440A-8136-C66843096E37}</b:Guid>
    <b:RefOrder>20</b:RefOrder>
  </b:Source>
  <b:Source>
    <b:Tag>OECng1</b:Tag>
    <b:SourceType>Report</b:SourceType>
    <b:Guid>{D0EF0132-64F4-4864-A298-A1373EEBCBFC}</b:Guid>
    <b:Author>
      <b:Author>
        <b:Corporate>OECD</b:Corporate>
      </b:Author>
    </b:Author>
    <b:Title>The long-term implications of the Covid-19 pandemic and recovery measures on environmental pressure: a quantitative exploration</b:Title>
    <b:Year>2021 forthcoming</b:Year>
    <b:Medium>OECD Covid Brief</b:Medium>
    <b:RefOrder>28</b:RefOrder>
  </b:Source>
  <b:Source>
    <b:Tag>OEC201</b:Tag>
    <b:SourceType>Report</b:SourceType>
    <b:Guid>{87317AB7-C83C-417E-976C-DE9012E1C2F4}</b:Guid>
    <b:Author>
      <b:Author>
        <b:Corporate>OECD</b:Corporate>
      </b:Author>
    </b:Author>
    <b:Title>Biodiversity and the economic response to COVID-19: Ensuring a green and resilient recovery</b:Title>
    <b:Year>2020</b:Year>
    <b:Medium>OECD Covid Brief</b:Medium>
    <b:RefOrder>29</b:RefOrder>
  </b:Source>
  <b:Source>
    <b:Tag>Kappa_3e4b7ecf</b:Tag>
    <b:SourceType>BookSection</b:SourceType>
    <b:Title>Efficiency and risks in global value chains in the context of COVID-19</b:Title>
    <b:Year>2020</b:Year>
    <b:Publisher>OECD Publishing, Paris</b:Publisher>
    <b:Author>
      <b:Author>
        <b:NameList>
          <b:Person>
            <b:Last>Arriola</b:Last>
            <b:First>Christine</b:First>
          </b:Person>
          <b:Person>
            <b:Last>Guilloux-Nefussi</b:Last>
            <b:First>Sophie</b:First>
          </b:Person>
          <b:Person>
            <b:Last>Koh</b:Last>
            <b:First>Seung-Hee</b:First>
          </b:Person>
          <b:Person>
            <b:Last>Kowalski</b:Last>
            <b:First>Przemyslaw</b:First>
          </b:Person>
          <b:Person>
            <b:Last>Rusticelli</b:Last>
            <b:First>Elena</b:First>
          </b:Person>
          <b:Person>
            <b:Last>van Tongeren</b:Last>
            <b:First>Frank</b:First>
          </b:Person>
        </b:NameList>
      </b:Author>
    </b:Author>
    <b:ChapterNumber>1637</b:ChapterNumber>
    <b:BookTitle>OECD Economics Department Working Papers</b:BookTitle>
    <b:Medium>Working Paper</b:Medium>
    <b:DOI>https://dx.doi.org/10.1787/3e4b7ecf-en</b:DOI>
    <b:LCID>en-GB</b:LCID>
    <b:Version>Kappa</b:Version>
    <b:RefOrder>22</b:RefOrder>
  </b:Source>
</b:Sources>
</file>

<file path=customXml/itemProps1.xml><?xml version="1.0" encoding="utf-8"?>
<ds:datastoreItem xmlns:ds="http://schemas.openxmlformats.org/officeDocument/2006/customXml" ds:itemID="{62985AB8-F48A-4B85-B756-27200BADC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ONE Author.dotx</Template>
  <TotalTime>3537</TotalTime>
  <Pages>35</Pages>
  <Words>11455</Words>
  <Characters>65298</Characters>
  <Application>Microsoft Office Word</Application>
  <DocSecurity>0</DocSecurity>
  <Lines>544</Lines>
  <Paragraphs>153</Paragraphs>
  <ScaleCrop>false</ScaleCrop>
  <HeadingPairs>
    <vt:vector size="2" baseType="variant">
      <vt:variant>
        <vt:lpstr>Title</vt:lpstr>
      </vt:variant>
      <vt:variant>
        <vt:i4>1</vt:i4>
      </vt:variant>
    </vt:vector>
  </HeadingPairs>
  <TitlesOfParts>
    <vt:vector size="1" baseType="lpstr">
      <vt:lpstr>[Title]</vt:lpstr>
    </vt:vector>
  </TitlesOfParts>
  <Company>OECD</Company>
  <LinksUpToDate>false</LinksUpToDate>
  <CharactersWithSpaces>76600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[Subtitle]</dc:subject>
  <dc:creator>DELLINK Rob</dc:creator>
  <cp:keywords>DOCUMENT CODE</cp:keywords>
  <dc:description/>
  <cp:lastModifiedBy>DELLINK Rob, ENV/EEI</cp:lastModifiedBy>
  <cp:revision>79</cp:revision>
  <dcterms:created xsi:type="dcterms:W3CDTF">2021-01-05T08:25:00Z</dcterms:created>
  <dcterms:modified xsi:type="dcterms:W3CDTF">2021-04-15T06:58:00Z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ECDTemplateVersion">
    <vt:lpwstr>2.01</vt:lpwstr>
  </property>
  <property fmtid="{D5CDD505-2E9C-101B-9397-08002B2CF9AE}" pid="3" name="OECDTemplateVersionOriginal">
    <vt:lpwstr>2.01</vt:lpwstr>
  </property>
  <property fmtid="{D5CDD505-2E9C-101B-9397-08002B2CF9AE}" pid="4" name="OECDTemplateName">
    <vt:lpwstr>ONE Author.dotx</vt:lpwstr>
  </property>
  <property fmtid="{D5CDD505-2E9C-101B-9397-08002B2CF9AE}" pid="5" name="OECDTemplateLocation">
    <vt:lpwstr>W:\Office2016\Workgroup Templates</vt:lpwstr>
  </property>
  <property fmtid="{D5CDD505-2E9C-101B-9397-08002B2CF9AE}" pid="6" name="OECDDocumentId">
    <vt:lpwstr>F7EBB0F3F2E0F60F391A740925C16C51A1320607A5AB2EF1E0A2CCD4F8DA7770</vt:lpwstr>
  </property>
  <property fmtid="{D5CDD505-2E9C-101B-9397-08002B2CF9AE}" pid="7" name="OecdDocumentCoteLangHash">
    <vt:lpwstr/>
  </property>
  <property fmtid="{D5CDD505-2E9C-101B-9397-08002B2CF9AE}" pid="8" name="OECDKappaEnrichment">
    <vt:lpwstr>Online</vt:lpwstr>
  </property>
</Properties>
</file>