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C6E" w:rsidRDefault="009B0C6E" w:rsidP="009B0C6E">
      <w:pPr>
        <w:pStyle w:val="Default"/>
      </w:pPr>
    </w:p>
    <w:p w:rsidR="009B0C6E" w:rsidRDefault="009B0C6E" w:rsidP="009B0C6E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Baseline Projections of Global Trade </w:t>
      </w:r>
    </w:p>
    <w:p w:rsidR="009B0C6E" w:rsidRDefault="009B0C6E" w:rsidP="009B0C6E">
      <w:pPr>
        <w:pStyle w:val="Default"/>
        <w:rPr>
          <w:sz w:val="28"/>
          <w:szCs w:val="28"/>
        </w:rPr>
      </w:pPr>
    </w:p>
    <w:p w:rsidR="009B0C6E" w:rsidRDefault="009B0C6E" w:rsidP="009B0C6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Developing a credible baseline scenario is of utmost importance for dynamic analysis that is often overlooked, even though future changes in policies that we wish to analyze are contraste</w:t>
      </w:r>
      <w:r>
        <w:rPr>
          <w:sz w:val="23"/>
          <w:szCs w:val="23"/>
        </w:rPr>
        <w:t>d against this baseline</w:t>
      </w:r>
      <w:r>
        <w:rPr>
          <w:sz w:val="23"/>
          <w:szCs w:val="23"/>
        </w:rPr>
        <w:t xml:space="preserve">. </w:t>
      </w:r>
    </w:p>
    <w:p w:rsidR="009B0C6E" w:rsidRDefault="009B0C6E" w:rsidP="009B0C6E">
      <w:pPr>
        <w:pStyle w:val="Default"/>
        <w:rPr>
          <w:sz w:val="23"/>
          <w:szCs w:val="23"/>
        </w:rPr>
      </w:pPr>
    </w:p>
    <w:p w:rsidR="009B0C6E" w:rsidRDefault="009B0C6E" w:rsidP="009B0C6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Typically, a baseline or business as usual scenario should reflect all past and future expected changes, except the policy in question. Depending on the complexity of </w:t>
      </w:r>
      <w:r>
        <w:rPr>
          <w:sz w:val="23"/>
          <w:szCs w:val="23"/>
        </w:rPr>
        <w:t>the issue in question</w:t>
      </w:r>
      <w:r>
        <w:rPr>
          <w:sz w:val="23"/>
          <w:szCs w:val="23"/>
        </w:rPr>
        <w:t xml:space="preserve">, crafting a baseline can be a demanding exercise especially for a global model and in spite of many inputs (i.e., calibrating shocks), can still fail to account for observed global trade changes. </w:t>
      </w:r>
    </w:p>
    <w:p w:rsidR="009B0C6E" w:rsidRDefault="009B0C6E" w:rsidP="009B0C6E">
      <w:pPr>
        <w:pStyle w:val="Default"/>
        <w:rPr>
          <w:sz w:val="23"/>
          <w:szCs w:val="23"/>
        </w:rPr>
      </w:pPr>
    </w:p>
    <w:p w:rsidR="009B0C6E" w:rsidRDefault="009B0C6E" w:rsidP="009B0C6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Fortunately, the GTAP Recursive Dynamic (GTAP-RD) model (Aguiar et al., 2018) includes a number of features that facilitate calibration of economic baselines for long term trade policy simulations. One of these features is the so-called twist mechanism (Dixon and </w:t>
      </w:r>
      <w:proofErr w:type="spellStart"/>
      <w:r>
        <w:rPr>
          <w:sz w:val="23"/>
          <w:szCs w:val="23"/>
        </w:rPr>
        <w:t>Rimmer</w:t>
      </w:r>
      <w:proofErr w:type="spellEnd"/>
      <w:r>
        <w:rPr>
          <w:sz w:val="23"/>
          <w:szCs w:val="23"/>
        </w:rPr>
        <w:t xml:space="preserve">, 2002), which allows for exogenous preference changes in commodity demands (domestic versus imported goods, and imported goods across trading partners) in a cost-neutral way. </w:t>
      </w:r>
    </w:p>
    <w:p w:rsidR="009B0C6E" w:rsidRDefault="009B0C6E" w:rsidP="009B0C6E">
      <w:pPr>
        <w:pStyle w:val="Default"/>
        <w:rPr>
          <w:sz w:val="23"/>
          <w:szCs w:val="23"/>
        </w:rPr>
      </w:pPr>
    </w:p>
    <w:p w:rsidR="009B0C6E" w:rsidRDefault="009B0C6E" w:rsidP="009B0C6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this paper, we show how the GTAP-RD model can be used to implement a baseline scenario that accounts for demand-side drivers of international trade. To achieve this, we use GTAP-RD’s twist mechanism to replicate the actual changes in global trade from 2014 to 2018 using the GTAP time-series data on top of a typical baseline scenario. </w:t>
      </w:r>
    </w:p>
    <w:p w:rsidR="009B0C6E" w:rsidRDefault="009B0C6E" w:rsidP="009B0C6E">
      <w:pPr>
        <w:pStyle w:val="Default"/>
        <w:rPr>
          <w:sz w:val="23"/>
          <w:szCs w:val="23"/>
        </w:rPr>
      </w:pPr>
    </w:p>
    <w:p w:rsidR="004161D3" w:rsidRDefault="009B0C6E" w:rsidP="009B0C6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In crafting ou</w:t>
      </w:r>
      <w:r>
        <w:rPr>
          <w:sz w:val="23"/>
          <w:szCs w:val="23"/>
        </w:rPr>
        <w:t>r</w:t>
      </w:r>
      <w:r>
        <w:rPr>
          <w:sz w:val="23"/>
          <w:szCs w:val="23"/>
        </w:rPr>
        <w:t xml:space="preserve"> baseline, we correct for any deviation between trade changes p</w:t>
      </w:r>
      <w:bookmarkStart w:id="0" w:name="_GoBack"/>
      <w:bookmarkEnd w:id="0"/>
      <w:r>
        <w:rPr>
          <w:sz w:val="23"/>
          <w:szCs w:val="23"/>
        </w:rPr>
        <w:t xml:space="preserve">redicted by the model and those observed in historical data (i.e., 2014-2018), and then use historical twist changes for periods when data is not available. </w:t>
      </w:r>
      <w:r w:rsidR="0019398B">
        <w:rPr>
          <w:sz w:val="23"/>
          <w:szCs w:val="23"/>
        </w:rPr>
        <w:t xml:space="preserve">We consider a time horizon to </w:t>
      </w:r>
      <w:r w:rsidR="00446EF5">
        <w:rPr>
          <w:sz w:val="23"/>
          <w:szCs w:val="23"/>
        </w:rPr>
        <w:t>2030</w:t>
      </w:r>
      <w:r w:rsidR="0019398B">
        <w:rPr>
          <w:sz w:val="23"/>
          <w:szCs w:val="23"/>
        </w:rPr>
        <w:t xml:space="preserve">. </w:t>
      </w:r>
      <w:r w:rsidR="004161D3">
        <w:rPr>
          <w:sz w:val="23"/>
          <w:szCs w:val="23"/>
        </w:rPr>
        <w:t>In terms of aggregation, we consider 10 sectors and 10 regions listed in Table 1.</w:t>
      </w:r>
      <w:r w:rsidR="004161D3">
        <w:rPr>
          <w:rStyle w:val="FootnoteReference"/>
          <w:sz w:val="23"/>
          <w:szCs w:val="23"/>
        </w:rPr>
        <w:footnoteReference w:id="1"/>
      </w:r>
      <w:r w:rsidR="004161D3">
        <w:rPr>
          <w:sz w:val="23"/>
          <w:szCs w:val="23"/>
        </w:rPr>
        <w:t xml:space="preserve"> </w:t>
      </w:r>
    </w:p>
    <w:p w:rsidR="004161D3" w:rsidRDefault="004161D3" w:rsidP="009B0C6E">
      <w:pPr>
        <w:pStyle w:val="Default"/>
        <w:rPr>
          <w:sz w:val="23"/>
          <w:szCs w:val="23"/>
        </w:rPr>
      </w:pPr>
    </w:p>
    <w:p w:rsidR="004161D3" w:rsidRDefault="004161D3" w:rsidP="009B0C6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Table 1. Sector and regions considered</w:t>
      </w:r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161D3" w:rsidTr="00F02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4161D3" w:rsidRDefault="004161D3" w:rsidP="009B0C6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Sectors</w:t>
            </w:r>
          </w:p>
        </w:tc>
        <w:tc>
          <w:tcPr>
            <w:tcW w:w="4675" w:type="dxa"/>
          </w:tcPr>
          <w:p w:rsidR="004161D3" w:rsidRDefault="004161D3" w:rsidP="009B0C6E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Regions</w:t>
            </w:r>
          </w:p>
        </w:tc>
      </w:tr>
      <w:tr w:rsidR="004161D3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4161D3" w:rsidRPr="002548A3" w:rsidRDefault="004161D3" w:rsidP="009B0C6E">
            <w:pPr>
              <w:pStyle w:val="Default"/>
              <w:rPr>
                <w:b w:val="0"/>
                <w:sz w:val="23"/>
                <w:szCs w:val="23"/>
              </w:rPr>
            </w:pPr>
            <w:r w:rsidRPr="002548A3">
              <w:rPr>
                <w:b w:val="0"/>
                <w:sz w:val="23"/>
                <w:szCs w:val="23"/>
              </w:rPr>
              <w:t>Agriculture</w:t>
            </w:r>
          </w:p>
        </w:tc>
        <w:tc>
          <w:tcPr>
            <w:tcW w:w="4675" w:type="dxa"/>
          </w:tcPr>
          <w:p w:rsidR="004161D3" w:rsidRDefault="004161D3" w:rsidP="009B0C6E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Western Europe</w:t>
            </w:r>
          </w:p>
        </w:tc>
      </w:tr>
      <w:tr w:rsidR="004161D3" w:rsidTr="00F02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4161D3" w:rsidRPr="002548A3" w:rsidRDefault="004161D3" w:rsidP="009B0C6E">
            <w:pPr>
              <w:pStyle w:val="Default"/>
              <w:rPr>
                <w:b w:val="0"/>
                <w:sz w:val="23"/>
                <w:szCs w:val="23"/>
              </w:rPr>
            </w:pPr>
            <w:r w:rsidRPr="002548A3">
              <w:rPr>
                <w:b w:val="0"/>
                <w:sz w:val="23"/>
                <w:szCs w:val="23"/>
              </w:rPr>
              <w:t>Coal</w:t>
            </w:r>
          </w:p>
        </w:tc>
        <w:tc>
          <w:tcPr>
            <w:tcW w:w="4675" w:type="dxa"/>
          </w:tcPr>
          <w:p w:rsidR="004161D3" w:rsidRDefault="004161D3" w:rsidP="009B0C6E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United Kingdom</w:t>
            </w:r>
          </w:p>
        </w:tc>
      </w:tr>
      <w:tr w:rsidR="004161D3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4161D3" w:rsidRPr="002548A3" w:rsidRDefault="004161D3" w:rsidP="009B0C6E">
            <w:pPr>
              <w:pStyle w:val="Default"/>
              <w:rPr>
                <w:b w:val="0"/>
                <w:sz w:val="23"/>
                <w:szCs w:val="23"/>
              </w:rPr>
            </w:pPr>
            <w:r w:rsidRPr="002548A3">
              <w:rPr>
                <w:b w:val="0"/>
                <w:sz w:val="23"/>
                <w:szCs w:val="23"/>
              </w:rPr>
              <w:t>Oil</w:t>
            </w:r>
          </w:p>
        </w:tc>
        <w:tc>
          <w:tcPr>
            <w:tcW w:w="4675" w:type="dxa"/>
          </w:tcPr>
          <w:p w:rsidR="004161D3" w:rsidRDefault="004161D3" w:rsidP="009B0C6E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United States of America</w:t>
            </w:r>
          </w:p>
        </w:tc>
      </w:tr>
      <w:tr w:rsidR="004161D3" w:rsidTr="00F02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4161D3" w:rsidRPr="002548A3" w:rsidRDefault="004161D3" w:rsidP="009B0C6E">
            <w:pPr>
              <w:pStyle w:val="Default"/>
              <w:rPr>
                <w:b w:val="0"/>
                <w:sz w:val="23"/>
                <w:szCs w:val="23"/>
              </w:rPr>
            </w:pPr>
            <w:r w:rsidRPr="002548A3">
              <w:rPr>
                <w:b w:val="0"/>
                <w:sz w:val="23"/>
                <w:szCs w:val="23"/>
              </w:rPr>
              <w:t>As</w:t>
            </w:r>
          </w:p>
        </w:tc>
        <w:tc>
          <w:tcPr>
            <w:tcW w:w="4675" w:type="dxa"/>
          </w:tcPr>
          <w:p w:rsidR="004161D3" w:rsidRDefault="004161D3" w:rsidP="009B0C6E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China</w:t>
            </w:r>
          </w:p>
        </w:tc>
      </w:tr>
      <w:tr w:rsidR="004161D3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4161D3" w:rsidRPr="002548A3" w:rsidRDefault="004161D3" w:rsidP="009B0C6E">
            <w:pPr>
              <w:pStyle w:val="Default"/>
              <w:rPr>
                <w:b w:val="0"/>
                <w:sz w:val="23"/>
                <w:szCs w:val="23"/>
              </w:rPr>
            </w:pPr>
            <w:r w:rsidRPr="002548A3">
              <w:rPr>
                <w:b w:val="0"/>
                <w:sz w:val="23"/>
                <w:szCs w:val="23"/>
              </w:rPr>
              <w:t>Other mining</w:t>
            </w:r>
          </w:p>
        </w:tc>
        <w:tc>
          <w:tcPr>
            <w:tcW w:w="4675" w:type="dxa"/>
          </w:tcPr>
          <w:p w:rsidR="004161D3" w:rsidRDefault="004161D3" w:rsidP="009B0C6E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Japan</w:t>
            </w:r>
          </w:p>
        </w:tc>
      </w:tr>
      <w:tr w:rsidR="004161D3" w:rsidTr="00F02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4161D3" w:rsidRPr="002548A3" w:rsidRDefault="004161D3" w:rsidP="009B0C6E">
            <w:pPr>
              <w:pStyle w:val="Default"/>
              <w:rPr>
                <w:b w:val="0"/>
                <w:sz w:val="23"/>
                <w:szCs w:val="23"/>
              </w:rPr>
            </w:pPr>
            <w:r w:rsidRPr="002548A3">
              <w:rPr>
                <w:b w:val="0"/>
                <w:sz w:val="23"/>
                <w:szCs w:val="23"/>
              </w:rPr>
              <w:t>Food products</w:t>
            </w:r>
          </w:p>
        </w:tc>
        <w:tc>
          <w:tcPr>
            <w:tcW w:w="4675" w:type="dxa"/>
          </w:tcPr>
          <w:p w:rsidR="004161D3" w:rsidRDefault="004161D3" w:rsidP="009B0C6E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Korea</w:t>
            </w:r>
          </w:p>
        </w:tc>
      </w:tr>
      <w:tr w:rsidR="004161D3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4161D3" w:rsidRPr="002548A3" w:rsidRDefault="004161D3" w:rsidP="009B0C6E">
            <w:pPr>
              <w:pStyle w:val="Default"/>
              <w:rPr>
                <w:b w:val="0"/>
                <w:sz w:val="23"/>
                <w:szCs w:val="23"/>
              </w:rPr>
            </w:pPr>
            <w:r w:rsidRPr="002548A3">
              <w:rPr>
                <w:b w:val="0"/>
                <w:sz w:val="23"/>
                <w:szCs w:val="23"/>
              </w:rPr>
              <w:t>Other manufactures</w:t>
            </w:r>
          </w:p>
        </w:tc>
        <w:tc>
          <w:tcPr>
            <w:tcW w:w="4675" w:type="dxa"/>
          </w:tcPr>
          <w:p w:rsidR="004161D3" w:rsidRDefault="004161D3" w:rsidP="009B0C6E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India</w:t>
            </w:r>
          </w:p>
        </w:tc>
      </w:tr>
      <w:tr w:rsidR="004161D3" w:rsidTr="00F02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4161D3" w:rsidRPr="002548A3" w:rsidRDefault="004161D3" w:rsidP="009B0C6E">
            <w:pPr>
              <w:pStyle w:val="Default"/>
              <w:rPr>
                <w:b w:val="0"/>
                <w:sz w:val="23"/>
                <w:szCs w:val="23"/>
              </w:rPr>
            </w:pPr>
            <w:r w:rsidRPr="002548A3">
              <w:rPr>
                <w:b w:val="0"/>
                <w:sz w:val="23"/>
                <w:szCs w:val="23"/>
              </w:rPr>
              <w:t>Oil products</w:t>
            </w:r>
          </w:p>
        </w:tc>
        <w:tc>
          <w:tcPr>
            <w:tcW w:w="4675" w:type="dxa"/>
          </w:tcPr>
          <w:p w:rsidR="004161D3" w:rsidRDefault="004161D3" w:rsidP="009B0C6E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Latin America</w:t>
            </w:r>
          </w:p>
        </w:tc>
      </w:tr>
      <w:tr w:rsidR="004161D3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4161D3" w:rsidRPr="002548A3" w:rsidRDefault="004161D3" w:rsidP="009B0C6E">
            <w:pPr>
              <w:pStyle w:val="Default"/>
              <w:rPr>
                <w:b w:val="0"/>
                <w:sz w:val="23"/>
                <w:szCs w:val="23"/>
              </w:rPr>
            </w:pPr>
            <w:r w:rsidRPr="002548A3">
              <w:rPr>
                <w:b w:val="0"/>
                <w:sz w:val="23"/>
                <w:szCs w:val="23"/>
              </w:rPr>
              <w:t>Electricity</w:t>
            </w:r>
          </w:p>
        </w:tc>
        <w:tc>
          <w:tcPr>
            <w:tcW w:w="4675" w:type="dxa"/>
          </w:tcPr>
          <w:p w:rsidR="004161D3" w:rsidRDefault="004161D3" w:rsidP="009B0C6E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East and South-East Asia</w:t>
            </w:r>
          </w:p>
        </w:tc>
      </w:tr>
      <w:tr w:rsidR="004161D3" w:rsidTr="00F02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4161D3" w:rsidRPr="002548A3" w:rsidRDefault="004161D3" w:rsidP="009B0C6E">
            <w:pPr>
              <w:pStyle w:val="Default"/>
              <w:rPr>
                <w:b w:val="0"/>
                <w:sz w:val="23"/>
                <w:szCs w:val="23"/>
              </w:rPr>
            </w:pPr>
            <w:r w:rsidRPr="002548A3">
              <w:rPr>
                <w:b w:val="0"/>
                <w:sz w:val="23"/>
                <w:szCs w:val="23"/>
              </w:rPr>
              <w:t>Other services</w:t>
            </w:r>
          </w:p>
        </w:tc>
        <w:tc>
          <w:tcPr>
            <w:tcW w:w="4675" w:type="dxa"/>
          </w:tcPr>
          <w:p w:rsidR="004161D3" w:rsidRDefault="004161D3" w:rsidP="009B0C6E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Rest of the World</w:t>
            </w:r>
          </w:p>
        </w:tc>
      </w:tr>
    </w:tbl>
    <w:p w:rsidR="004161D3" w:rsidRDefault="004161D3" w:rsidP="009B0C6E">
      <w:pPr>
        <w:pStyle w:val="Default"/>
        <w:rPr>
          <w:sz w:val="23"/>
          <w:szCs w:val="23"/>
        </w:rPr>
      </w:pPr>
    </w:p>
    <w:p w:rsidR="004161D3" w:rsidRDefault="004161D3" w:rsidP="009B0C6E">
      <w:pPr>
        <w:pStyle w:val="Default"/>
        <w:rPr>
          <w:sz w:val="23"/>
          <w:szCs w:val="23"/>
        </w:rPr>
      </w:pPr>
    </w:p>
    <w:p w:rsidR="009B0C6E" w:rsidRDefault="009B0C6E" w:rsidP="009B0C6E">
      <w:pPr>
        <w:pStyle w:val="Default"/>
        <w:rPr>
          <w:sz w:val="23"/>
          <w:szCs w:val="23"/>
        </w:rPr>
      </w:pPr>
    </w:p>
    <w:p w:rsidR="004161D3" w:rsidRDefault="009B0C6E" w:rsidP="009B0C6E">
      <w:pPr>
        <w:pStyle w:val="Default"/>
      </w:pPr>
      <w:r>
        <w:rPr>
          <w:sz w:val="23"/>
          <w:szCs w:val="23"/>
        </w:rPr>
        <w:lastRenderedPageBreak/>
        <w:t xml:space="preserve">We find that incorporating historical trade data in baseline projections helps identify the demand-side drivers of trade and also provides a better starting point for conducting dynamic trade policy simulations. </w:t>
      </w:r>
      <w:r w:rsidR="0019398B">
        <w:rPr>
          <w:sz w:val="23"/>
          <w:szCs w:val="23"/>
        </w:rPr>
        <w:t xml:space="preserve">We hope to be able to contrast this against </w:t>
      </w:r>
      <w:r w:rsidR="0019398B">
        <w:t xml:space="preserve">other issues </w:t>
      </w:r>
      <w:r w:rsidR="0019398B">
        <w:t xml:space="preserve">affecting baselines </w:t>
      </w:r>
      <w:r w:rsidR="0019398B">
        <w:t>such as trade balance, structural change and labor supply projections.</w:t>
      </w:r>
    </w:p>
    <w:p w:rsidR="004161D3" w:rsidRDefault="004161D3">
      <w:pPr>
        <w:rPr>
          <w:rFonts w:ascii="Calibri" w:hAnsi="Calibri" w:cs="Calibri"/>
          <w:color w:val="000000"/>
          <w:sz w:val="24"/>
          <w:szCs w:val="24"/>
        </w:rPr>
      </w:pPr>
      <w:r>
        <w:br w:type="page"/>
      </w:r>
    </w:p>
    <w:p w:rsidR="009B0C6E" w:rsidRDefault="004161D3" w:rsidP="009B0C6E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Appendix</w:t>
      </w:r>
    </w:p>
    <w:p w:rsidR="004161D3" w:rsidRDefault="004161D3" w:rsidP="009B0C6E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Table A1. Sector mapping</w:t>
      </w:r>
    </w:p>
    <w:tbl>
      <w:tblPr>
        <w:tblStyle w:val="GridTable2"/>
        <w:tblW w:w="9360" w:type="dxa"/>
        <w:tblLook w:val="04A0" w:firstRow="1" w:lastRow="0" w:firstColumn="1" w:lastColumn="0" w:noHBand="0" w:noVBand="1"/>
      </w:tblPr>
      <w:tblGrid>
        <w:gridCol w:w="648"/>
        <w:gridCol w:w="1456"/>
        <w:gridCol w:w="1468"/>
        <w:gridCol w:w="5788"/>
      </w:tblGrid>
      <w:tr w:rsidR="00F02CF2" w:rsidRPr="00F02CF2" w:rsidTr="00F02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  <w:noWrap/>
            <w:hideMark/>
          </w:tcPr>
          <w:p w:rsidR="00F02CF2" w:rsidRPr="00F02CF2" w:rsidRDefault="00F02CF2" w:rsidP="00F02C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noWrap/>
            <w:hideMark/>
          </w:tcPr>
          <w:p w:rsidR="00F02CF2" w:rsidRPr="00F02CF2" w:rsidRDefault="00F02CF2" w:rsidP="00F02C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New</w:t>
            </w:r>
          </w:p>
        </w:tc>
        <w:tc>
          <w:tcPr>
            <w:tcW w:w="1468" w:type="dxa"/>
            <w:noWrap/>
            <w:hideMark/>
          </w:tcPr>
          <w:p w:rsidR="00F02CF2" w:rsidRPr="00F02CF2" w:rsidRDefault="00F02CF2" w:rsidP="00F02C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sector</w:t>
            </w:r>
          </w:p>
        </w:tc>
        <w:tc>
          <w:tcPr>
            <w:tcW w:w="5788" w:type="dxa"/>
            <w:noWrap/>
            <w:hideMark/>
          </w:tcPr>
          <w:p w:rsidR="00F02CF2" w:rsidRPr="00F02CF2" w:rsidRDefault="00F02CF2" w:rsidP="00F02C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Comprising</w:t>
            </w:r>
          </w:p>
        </w:tc>
      </w:tr>
      <w:tr w:rsidR="00F02CF2" w:rsidRPr="00F02CF2" w:rsidTr="00F02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  <w:noWrap/>
            <w:hideMark/>
          </w:tcPr>
          <w:p w:rsidR="00F02CF2" w:rsidRPr="00F02CF2" w:rsidRDefault="00F02CF2" w:rsidP="00F02CF2">
            <w:pPr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1456" w:type="dxa"/>
            <w:noWrap/>
            <w:hideMark/>
          </w:tcPr>
          <w:p w:rsidR="00F02CF2" w:rsidRPr="00F02CF2" w:rsidRDefault="00F02CF2" w:rsidP="00F02C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Code</w:t>
            </w:r>
          </w:p>
        </w:tc>
        <w:tc>
          <w:tcPr>
            <w:tcW w:w="1468" w:type="dxa"/>
            <w:noWrap/>
            <w:hideMark/>
          </w:tcPr>
          <w:p w:rsidR="00F02CF2" w:rsidRPr="00F02CF2" w:rsidRDefault="00F02CF2" w:rsidP="00F02C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Description</w:t>
            </w:r>
          </w:p>
        </w:tc>
        <w:tc>
          <w:tcPr>
            <w:tcW w:w="5788" w:type="dxa"/>
            <w:noWrap/>
            <w:hideMark/>
          </w:tcPr>
          <w:p w:rsidR="00F02CF2" w:rsidRPr="00F02CF2" w:rsidRDefault="00F02CF2" w:rsidP="00F02C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old sectors</w:t>
            </w:r>
          </w:p>
        </w:tc>
      </w:tr>
      <w:tr w:rsidR="00F02CF2" w:rsidRPr="00F02CF2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  <w:noWrap/>
            <w:hideMark/>
          </w:tcPr>
          <w:p w:rsidR="00F02CF2" w:rsidRPr="00F02CF2" w:rsidRDefault="00F02CF2" w:rsidP="00F02CF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56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  <w:r w:rsidRPr="00F02CF2">
              <w:rPr>
                <w:rFonts w:ascii="Calibri" w:eastAsia="Times New Roman" w:hAnsi="Calibri" w:cs="Calibri"/>
                <w:color w:val="000000"/>
              </w:rPr>
              <w:t>griculture</w:t>
            </w:r>
          </w:p>
        </w:tc>
        <w:tc>
          <w:tcPr>
            <w:tcW w:w="1468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Agricultural products</w:t>
            </w:r>
          </w:p>
        </w:tc>
        <w:tc>
          <w:tcPr>
            <w:tcW w:w="5788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 xml:space="preserve">Paddy rice; Wheat; Cereal grains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 xml:space="preserve">; Vegetables, fruit, nuts; Oil seeds; Sugar cane, sugar beet; Plant-based fibers; Crops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 xml:space="preserve">; Bovine cattle, sheep and goats; Animal products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>; Raw milk; Wool, silk-worm cocoons; Forestry; Fishing.</w:t>
            </w:r>
          </w:p>
        </w:tc>
      </w:tr>
      <w:tr w:rsidR="00F02CF2" w:rsidRPr="00F02CF2" w:rsidTr="00F02C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  <w:noWrap/>
            <w:hideMark/>
          </w:tcPr>
          <w:p w:rsidR="00F02CF2" w:rsidRPr="00F02CF2" w:rsidRDefault="00F02CF2" w:rsidP="00F02CF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56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coal</w:t>
            </w:r>
          </w:p>
        </w:tc>
        <w:tc>
          <w:tcPr>
            <w:tcW w:w="1468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Coal</w:t>
            </w:r>
          </w:p>
        </w:tc>
        <w:tc>
          <w:tcPr>
            <w:tcW w:w="5788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Coal.</w:t>
            </w:r>
          </w:p>
        </w:tc>
      </w:tr>
      <w:tr w:rsidR="00F02CF2" w:rsidRPr="00F02CF2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  <w:noWrap/>
            <w:hideMark/>
          </w:tcPr>
          <w:p w:rsidR="00F02CF2" w:rsidRPr="00F02CF2" w:rsidRDefault="00F02CF2" w:rsidP="00F02CF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56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oil</w:t>
            </w:r>
          </w:p>
        </w:tc>
        <w:tc>
          <w:tcPr>
            <w:tcW w:w="1468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Crude oil</w:t>
            </w:r>
          </w:p>
        </w:tc>
        <w:tc>
          <w:tcPr>
            <w:tcW w:w="5788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Oil.</w:t>
            </w:r>
          </w:p>
        </w:tc>
      </w:tr>
      <w:tr w:rsidR="00F02CF2" w:rsidRPr="00F02CF2" w:rsidTr="00F02C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  <w:noWrap/>
            <w:hideMark/>
          </w:tcPr>
          <w:p w:rsidR="00F02CF2" w:rsidRPr="00F02CF2" w:rsidRDefault="00F02CF2" w:rsidP="00F02CF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456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gas</w:t>
            </w:r>
          </w:p>
        </w:tc>
        <w:tc>
          <w:tcPr>
            <w:tcW w:w="1468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Gas</w:t>
            </w:r>
          </w:p>
        </w:tc>
        <w:tc>
          <w:tcPr>
            <w:tcW w:w="5788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Gas; Gas manufacture, distribution.</w:t>
            </w:r>
          </w:p>
        </w:tc>
      </w:tr>
      <w:tr w:rsidR="00F02CF2" w:rsidRPr="00F02CF2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  <w:noWrap/>
            <w:hideMark/>
          </w:tcPr>
          <w:p w:rsidR="00F02CF2" w:rsidRPr="00F02CF2" w:rsidRDefault="00F02CF2" w:rsidP="00F02CF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56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oxt</w:t>
            </w:r>
            <w:proofErr w:type="spellEnd"/>
          </w:p>
        </w:tc>
        <w:tc>
          <w:tcPr>
            <w:tcW w:w="1468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Other Mining</w:t>
            </w:r>
          </w:p>
        </w:tc>
        <w:tc>
          <w:tcPr>
            <w:tcW w:w="5788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 xml:space="preserve">Minerals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F02CF2" w:rsidRPr="00F02CF2" w:rsidTr="00F02C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  <w:noWrap/>
            <w:hideMark/>
          </w:tcPr>
          <w:p w:rsidR="00F02CF2" w:rsidRPr="00F02CF2" w:rsidRDefault="00F02CF2" w:rsidP="00F02CF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456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food</w:t>
            </w:r>
          </w:p>
        </w:tc>
        <w:tc>
          <w:tcPr>
            <w:tcW w:w="1468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Food products</w:t>
            </w:r>
          </w:p>
        </w:tc>
        <w:tc>
          <w:tcPr>
            <w:tcW w:w="5788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 xml:space="preserve">Bovine meat products; Meat products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 xml:space="preserve">; Vegetable oils and fats; Dairy products; Processed rice; Sugar; Food products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>; Beverages and tobacco products.</w:t>
            </w:r>
          </w:p>
        </w:tc>
      </w:tr>
      <w:tr w:rsidR="00F02CF2" w:rsidRPr="00F02CF2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  <w:noWrap/>
            <w:hideMark/>
          </w:tcPr>
          <w:p w:rsidR="00F02CF2" w:rsidRPr="00F02CF2" w:rsidRDefault="00F02CF2" w:rsidP="00F02CF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456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manufactures</w:t>
            </w:r>
          </w:p>
        </w:tc>
        <w:tc>
          <w:tcPr>
            <w:tcW w:w="1468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Manufactures</w:t>
            </w:r>
          </w:p>
        </w:tc>
        <w:tc>
          <w:tcPr>
            <w:tcW w:w="5788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 xml:space="preserve">Textiles; Wearing apparel; Leather products; Wood products; Paper products, publishing; Chemical products; Basic pharmaceutical products; Rubber and plastic products; Mineral products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 xml:space="preserve">; Ferrous metals; Metals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 xml:space="preserve">; Metal products; Computer, electronic and optic; Electrical equipment; Machinery and equipment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 xml:space="preserve">; Motor vehicles and parts; Transport equipment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 xml:space="preserve">; Manufactures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F02CF2" w:rsidRPr="00F02CF2" w:rsidTr="00F02C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  <w:noWrap/>
            <w:hideMark/>
          </w:tcPr>
          <w:p w:rsidR="00F02CF2" w:rsidRPr="00F02CF2" w:rsidRDefault="00F02CF2" w:rsidP="00F02CF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456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oil_pcts</w:t>
            </w:r>
            <w:proofErr w:type="spellEnd"/>
          </w:p>
        </w:tc>
        <w:tc>
          <w:tcPr>
            <w:tcW w:w="1468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Oil products</w:t>
            </w:r>
          </w:p>
        </w:tc>
        <w:tc>
          <w:tcPr>
            <w:tcW w:w="5788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Petroleum, coal products.</w:t>
            </w:r>
          </w:p>
        </w:tc>
      </w:tr>
      <w:tr w:rsidR="00F02CF2" w:rsidRPr="00F02CF2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  <w:noWrap/>
            <w:hideMark/>
          </w:tcPr>
          <w:p w:rsidR="00F02CF2" w:rsidRPr="00F02CF2" w:rsidRDefault="00F02CF2" w:rsidP="00F02CF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56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electricity</w:t>
            </w:r>
          </w:p>
        </w:tc>
        <w:tc>
          <w:tcPr>
            <w:tcW w:w="1468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Electricity</w:t>
            </w:r>
          </w:p>
        </w:tc>
        <w:tc>
          <w:tcPr>
            <w:tcW w:w="5788" w:type="dxa"/>
            <w:noWrap/>
            <w:hideMark/>
          </w:tcPr>
          <w:p w:rsidR="00F02CF2" w:rsidRPr="00F02CF2" w:rsidRDefault="00F02CF2" w:rsidP="00F02C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Electricity.</w:t>
            </w:r>
          </w:p>
        </w:tc>
      </w:tr>
      <w:tr w:rsidR="00F02CF2" w:rsidRPr="00F02CF2" w:rsidTr="00F02C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  <w:noWrap/>
            <w:hideMark/>
          </w:tcPr>
          <w:p w:rsidR="00F02CF2" w:rsidRPr="00F02CF2" w:rsidRDefault="00F02CF2" w:rsidP="00F02CF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56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services</w:t>
            </w:r>
          </w:p>
        </w:tc>
        <w:tc>
          <w:tcPr>
            <w:tcW w:w="1468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>Services</w:t>
            </w:r>
          </w:p>
        </w:tc>
        <w:tc>
          <w:tcPr>
            <w:tcW w:w="5788" w:type="dxa"/>
            <w:noWrap/>
            <w:hideMark/>
          </w:tcPr>
          <w:p w:rsidR="00F02CF2" w:rsidRPr="00F02CF2" w:rsidRDefault="00F02CF2" w:rsidP="00F0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02CF2">
              <w:rPr>
                <w:rFonts w:ascii="Calibri" w:eastAsia="Times New Roman" w:hAnsi="Calibri" w:cs="Calibri"/>
                <w:color w:val="000000"/>
              </w:rPr>
              <w:t xml:space="preserve">Water; Construction; Trade; Accommodation, Food and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servic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 xml:space="preserve">; Transport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 xml:space="preserve">; Water transport; Air transport; Warehousing and support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activi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 xml:space="preserve">; Communication; Financial services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 xml:space="preserve">; Insurance; Real estate activities; Business services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nec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 xml:space="preserve">; Recreational and other service; Public Administration and </w:t>
            </w:r>
            <w:proofErr w:type="spellStart"/>
            <w:r w:rsidRPr="00F02CF2">
              <w:rPr>
                <w:rFonts w:ascii="Calibri" w:eastAsia="Times New Roman" w:hAnsi="Calibri" w:cs="Calibri"/>
                <w:color w:val="000000"/>
              </w:rPr>
              <w:t>defe</w:t>
            </w:r>
            <w:proofErr w:type="spellEnd"/>
            <w:r w:rsidRPr="00F02CF2">
              <w:rPr>
                <w:rFonts w:ascii="Calibri" w:eastAsia="Times New Roman" w:hAnsi="Calibri" w:cs="Calibri"/>
                <w:color w:val="000000"/>
              </w:rPr>
              <w:t>; Education; Human health and social work a; Dwellings.</w:t>
            </w:r>
          </w:p>
        </w:tc>
      </w:tr>
    </w:tbl>
    <w:p w:rsidR="00F02CF2" w:rsidRDefault="00F02CF2" w:rsidP="009B0C6E">
      <w:pPr>
        <w:pStyle w:val="Default"/>
        <w:rPr>
          <w:b/>
          <w:sz w:val="22"/>
          <w:szCs w:val="22"/>
        </w:rPr>
      </w:pPr>
    </w:p>
    <w:p w:rsidR="00F02CF2" w:rsidRDefault="00F02CF2" w:rsidP="004161D3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4161D3" w:rsidRDefault="004161D3" w:rsidP="004161D3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Table A</w:t>
      </w:r>
      <w:r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Region</w:t>
      </w:r>
      <w:r>
        <w:rPr>
          <w:b/>
          <w:sz w:val="22"/>
          <w:szCs w:val="22"/>
        </w:rPr>
        <w:t xml:space="preserve"> mapping</w:t>
      </w:r>
    </w:p>
    <w:tbl>
      <w:tblPr>
        <w:tblStyle w:val="GridTable2"/>
        <w:tblW w:w="9535" w:type="dxa"/>
        <w:tblLook w:val="04A0" w:firstRow="1" w:lastRow="0" w:firstColumn="1" w:lastColumn="0" w:noHBand="0" w:noVBand="1"/>
      </w:tblPr>
      <w:tblGrid>
        <w:gridCol w:w="538"/>
        <w:gridCol w:w="1452"/>
        <w:gridCol w:w="1475"/>
        <w:gridCol w:w="6070"/>
      </w:tblGrid>
      <w:tr w:rsidR="00446EF5" w:rsidRPr="00446EF5" w:rsidTr="00F02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noWrap/>
            <w:hideMark/>
          </w:tcPr>
          <w:p w:rsidR="00446EF5" w:rsidRPr="00446EF5" w:rsidRDefault="00446EF5" w:rsidP="00446E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noWrap/>
            <w:hideMark/>
          </w:tcPr>
          <w:p w:rsidR="00446EF5" w:rsidRPr="00446EF5" w:rsidRDefault="00446EF5" w:rsidP="00446E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New</w:t>
            </w:r>
          </w:p>
        </w:tc>
        <w:tc>
          <w:tcPr>
            <w:tcW w:w="1475" w:type="dxa"/>
            <w:noWrap/>
            <w:hideMark/>
          </w:tcPr>
          <w:p w:rsidR="00446EF5" w:rsidRPr="00446EF5" w:rsidRDefault="00446EF5" w:rsidP="00446E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region</w:t>
            </w:r>
          </w:p>
        </w:tc>
        <w:tc>
          <w:tcPr>
            <w:tcW w:w="6070" w:type="dxa"/>
            <w:noWrap/>
            <w:hideMark/>
          </w:tcPr>
          <w:p w:rsidR="00446EF5" w:rsidRPr="00446EF5" w:rsidRDefault="00446EF5" w:rsidP="00446E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Comprising</w:t>
            </w:r>
          </w:p>
        </w:tc>
      </w:tr>
      <w:tr w:rsidR="00F02CF2" w:rsidRPr="00446EF5" w:rsidTr="00F02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noWrap/>
            <w:hideMark/>
          </w:tcPr>
          <w:p w:rsidR="00446EF5" w:rsidRPr="00446EF5" w:rsidRDefault="00446EF5" w:rsidP="00446EF5">
            <w:pPr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1452" w:type="dxa"/>
            <w:noWrap/>
            <w:hideMark/>
          </w:tcPr>
          <w:p w:rsidR="00446EF5" w:rsidRPr="00446EF5" w:rsidRDefault="00446EF5" w:rsidP="00446E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Code</w:t>
            </w:r>
          </w:p>
        </w:tc>
        <w:tc>
          <w:tcPr>
            <w:tcW w:w="1475" w:type="dxa"/>
            <w:noWrap/>
            <w:hideMark/>
          </w:tcPr>
          <w:p w:rsidR="00446EF5" w:rsidRPr="00446EF5" w:rsidRDefault="00446EF5" w:rsidP="00446E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Description</w:t>
            </w:r>
          </w:p>
        </w:tc>
        <w:tc>
          <w:tcPr>
            <w:tcW w:w="6070" w:type="dxa"/>
            <w:noWrap/>
            <w:hideMark/>
          </w:tcPr>
          <w:p w:rsidR="00446EF5" w:rsidRPr="00446EF5" w:rsidRDefault="00446EF5" w:rsidP="00446E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old regions</w:t>
            </w:r>
          </w:p>
        </w:tc>
      </w:tr>
      <w:tr w:rsidR="00F02CF2" w:rsidRPr="00446EF5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noWrap/>
            <w:hideMark/>
          </w:tcPr>
          <w:p w:rsidR="00446EF5" w:rsidRPr="00446EF5" w:rsidRDefault="00446EF5" w:rsidP="00446EF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52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46EF5">
              <w:rPr>
                <w:rFonts w:ascii="Calibri" w:eastAsia="Times New Roman" w:hAnsi="Calibri" w:cs="Calibri"/>
                <w:color w:val="000000"/>
              </w:rPr>
              <w:t>WestEurope</w:t>
            </w:r>
            <w:proofErr w:type="spellEnd"/>
          </w:p>
        </w:tc>
        <w:tc>
          <w:tcPr>
            <w:tcW w:w="1475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Western Europe</w:t>
            </w:r>
          </w:p>
        </w:tc>
        <w:tc>
          <w:tcPr>
            <w:tcW w:w="6070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Austria; Belgium; Bulgaria; Croatia; Cyprus; Czech Republic; Denmark; Estonia; Finland; France; Germany; Greece; Hungary; Ireland; Italy; Latvia; Lithuania; Luxembourg; Malta; Netherlands; Poland; Portugal; Romania; Slovakia; Slovenia; Spain; Sweden.</w:t>
            </w:r>
          </w:p>
        </w:tc>
      </w:tr>
      <w:tr w:rsidR="00F02CF2" w:rsidRPr="00446EF5" w:rsidTr="00F02C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noWrap/>
            <w:hideMark/>
          </w:tcPr>
          <w:p w:rsidR="00446EF5" w:rsidRPr="00446EF5" w:rsidRDefault="00446EF5" w:rsidP="00446EF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52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UK</w:t>
            </w:r>
          </w:p>
        </w:tc>
        <w:tc>
          <w:tcPr>
            <w:tcW w:w="1475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United Kingdom</w:t>
            </w:r>
          </w:p>
        </w:tc>
        <w:tc>
          <w:tcPr>
            <w:tcW w:w="6070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United Kingdom.</w:t>
            </w:r>
          </w:p>
        </w:tc>
      </w:tr>
      <w:tr w:rsidR="00F02CF2" w:rsidRPr="00446EF5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noWrap/>
            <w:hideMark/>
          </w:tcPr>
          <w:p w:rsidR="00446EF5" w:rsidRPr="00446EF5" w:rsidRDefault="00446EF5" w:rsidP="00446EF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52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  <w:tc>
          <w:tcPr>
            <w:tcW w:w="1475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United States of America</w:t>
            </w:r>
          </w:p>
        </w:tc>
        <w:tc>
          <w:tcPr>
            <w:tcW w:w="6070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United States of America.</w:t>
            </w:r>
          </w:p>
        </w:tc>
      </w:tr>
      <w:tr w:rsidR="00F02CF2" w:rsidRPr="00446EF5" w:rsidTr="00F02C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noWrap/>
            <w:hideMark/>
          </w:tcPr>
          <w:p w:rsidR="00446EF5" w:rsidRPr="00446EF5" w:rsidRDefault="00446EF5" w:rsidP="00446EF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452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China</w:t>
            </w:r>
          </w:p>
        </w:tc>
        <w:tc>
          <w:tcPr>
            <w:tcW w:w="1475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China</w:t>
            </w:r>
          </w:p>
        </w:tc>
        <w:tc>
          <w:tcPr>
            <w:tcW w:w="6070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China; Hong Kong.</w:t>
            </w:r>
          </w:p>
        </w:tc>
      </w:tr>
      <w:tr w:rsidR="00F02CF2" w:rsidRPr="00446EF5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noWrap/>
            <w:hideMark/>
          </w:tcPr>
          <w:p w:rsidR="00446EF5" w:rsidRPr="00446EF5" w:rsidRDefault="00446EF5" w:rsidP="00446EF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52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Japan</w:t>
            </w:r>
          </w:p>
        </w:tc>
        <w:tc>
          <w:tcPr>
            <w:tcW w:w="1475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Japan</w:t>
            </w:r>
          </w:p>
        </w:tc>
        <w:tc>
          <w:tcPr>
            <w:tcW w:w="6070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Japan.</w:t>
            </w:r>
          </w:p>
        </w:tc>
      </w:tr>
      <w:tr w:rsidR="00F02CF2" w:rsidRPr="00446EF5" w:rsidTr="00F02C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noWrap/>
            <w:hideMark/>
          </w:tcPr>
          <w:p w:rsidR="00446EF5" w:rsidRPr="00446EF5" w:rsidRDefault="00446EF5" w:rsidP="00446EF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452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Korea</w:t>
            </w:r>
          </w:p>
        </w:tc>
        <w:tc>
          <w:tcPr>
            <w:tcW w:w="1475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Korea</w:t>
            </w:r>
          </w:p>
        </w:tc>
        <w:tc>
          <w:tcPr>
            <w:tcW w:w="6070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Korea.</w:t>
            </w:r>
          </w:p>
        </w:tc>
      </w:tr>
      <w:tr w:rsidR="00F02CF2" w:rsidRPr="00446EF5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noWrap/>
            <w:hideMark/>
          </w:tcPr>
          <w:p w:rsidR="00446EF5" w:rsidRPr="00446EF5" w:rsidRDefault="00446EF5" w:rsidP="00446EF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452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India</w:t>
            </w:r>
          </w:p>
        </w:tc>
        <w:tc>
          <w:tcPr>
            <w:tcW w:w="1475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India</w:t>
            </w:r>
          </w:p>
        </w:tc>
        <w:tc>
          <w:tcPr>
            <w:tcW w:w="6070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India.</w:t>
            </w:r>
          </w:p>
        </w:tc>
      </w:tr>
      <w:tr w:rsidR="00F02CF2" w:rsidRPr="00446EF5" w:rsidTr="00F02C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noWrap/>
            <w:hideMark/>
          </w:tcPr>
          <w:p w:rsidR="00446EF5" w:rsidRPr="00446EF5" w:rsidRDefault="00446EF5" w:rsidP="00446EF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452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46EF5">
              <w:rPr>
                <w:rFonts w:ascii="Calibri" w:eastAsia="Times New Roman" w:hAnsi="Calibri" w:cs="Calibri"/>
                <w:color w:val="000000"/>
              </w:rPr>
              <w:t>LatinAmer</w:t>
            </w:r>
            <w:proofErr w:type="spellEnd"/>
          </w:p>
        </w:tc>
        <w:tc>
          <w:tcPr>
            <w:tcW w:w="1475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Latin America</w:t>
            </w:r>
          </w:p>
        </w:tc>
        <w:tc>
          <w:tcPr>
            <w:tcW w:w="6070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Mexico; Argentina; Bolivia; Brazil; Chile; Colombia; Ecuador; Paraguay; Peru; Uruguay; Venezuela; Rest of South America; Costa Rica; Guatemala; Honduras; Nicaragua; Panama; El Salvador; Rest of Central America; Dominican Republic; Jamaica; Puerto Rico; Trinidad and Tobago; Caribbean.</w:t>
            </w:r>
          </w:p>
        </w:tc>
      </w:tr>
      <w:tr w:rsidR="00F02CF2" w:rsidRPr="00446EF5" w:rsidTr="00F02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noWrap/>
            <w:hideMark/>
          </w:tcPr>
          <w:p w:rsidR="00446EF5" w:rsidRPr="00446EF5" w:rsidRDefault="00446EF5" w:rsidP="00446EF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52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46EF5">
              <w:rPr>
                <w:rFonts w:ascii="Calibri" w:eastAsia="Times New Roman" w:hAnsi="Calibri" w:cs="Calibri"/>
                <w:color w:val="000000"/>
              </w:rPr>
              <w:t>EastSEAsia</w:t>
            </w:r>
            <w:proofErr w:type="spellEnd"/>
          </w:p>
        </w:tc>
        <w:tc>
          <w:tcPr>
            <w:tcW w:w="1475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East and South-East Asia</w:t>
            </w:r>
          </w:p>
        </w:tc>
        <w:tc>
          <w:tcPr>
            <w:tcW w:w="6070" w:type="dxa"/>
            <w:noWrap/>
            <w:hideMark/>
          </w:tcPr>
          <w:p w:rsidR="00446EF5" w:rsidRPr="00446EF5" w:rsidRDefault="00446EF5" w:rsidP="00446E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 xml:space="preserve">Mongolia; Taiwan; Rest of East Asia; Brunei Darussalam; Cambodia; Indonesia; Lao People's Democratic </w:t>
            </w:r>
            <w:proofErr w:type="spellStart"/>
            <w:r w:rsidRPr="00446EF5">
              <w:rPr>
                <w:rFonts w:ascii="Calibri" w:eastAsia="Times New Roman" w:hAnsi="Calibri" w:cs="Calibri"/>
                <w:color w:val="000000"/>
              </w:rPr>
              <w:t>Republ</w:t>
            </w:r>
            <w:proofErr w:type="spellEnd"/>
            <w:r w:rsidRPr="00446EF5">
              <w:rPr>
                <w:rFonts w:ascii="Calibri" w:eastAsia="Times New Roman" w:hAnsi="Calibri" w:cs="Calibri"/>
                <w:color w:val="000000"/>
              </w:rPr>
              <w:t>; Malaysia; Philippines; Singapore; Thailand; Viet Nam; Rest of Southeast Asia.</w:t>
            </w:r>
          </w:p>
        </w:tc>
      </w:tr>
      <w:tr w:rsidR="00F02CF2" w:rsidRPr="00446EF5" w:rsidTr="00F02C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noWrap/>
            <w:hideMark/>
          </w:tcPr>
          <w:p w:rsidR="00446EF5" w:rsidRPr="00446EF5" w:rsidRDefault="00446EF5" w:rsidP="00446EF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52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46EF5">
              <w:rPr>
                <w:rFonts w:ascii="Calibri" w:eastAsia="Times New Roman" w:hAnsi="Calibri" w:cs="Calibri"/>
                <w:color w:val="000000"/>
              </w:rPr>
              <w:t>RestofWorld</w:t>
            </w:r>
            <w:proofErr w:type="spellEnd"/>
          </w:p>
        </w:tc>
        <w:tc>
          <w:tcPr>
            <w:tcW w:w="1475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Rest of the World</w:t>
            </w:r>
          </w:p>
        </w:tc>
        <w:tc>
          <w:tcPr>
            <w:tcW w:w="6070" w:type="dxa"/>
            <w:noWrap/>
            <w:hideMark/>
          </w:tcPr>
          <w:p w:rsidR="00446EF5" w:rsidRPr="00446EF5" w:rsidRDefault="00446EF5" w:rsidP="00446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446EF5">
              <w:rPr>
                <w:rFonts w:ascii="Calibri" w:eastAsia="Times New Roman" w:hAnsi="Calibri" w:cs="Calibri"/>
                <w:color w:val="000000"/>
              </w:rPr>
              <w:t>Australia; New Zealand; Rest of Oceania; Bangladesh; Nepal; Pakistan; Sri Lanka; Rest of South Asia; Canada; Rest of North America; Switzerland; Norway; Rest of EFTA; Albania; Belarus; Russian Federation; Ukraine; Rest of Eastern Europe; Rest of Europe; Kazakhstan; Kyrgyzstan; Tajikistan; Rest of Former Soviet Union; Armenia; Azerbaijan; Georgia; Bahrain; Iran Islamic Republic of; Israel; Jordan; Kuwait; Oman; Qatar; Saudi Arabia; Turkey; United Arab Emirates; Rest of Western Asia; Egypt; Morocco; Tunisia; Rest of North Africa; Benin; Burkina Faso; Cameroon; Cote d'Ivoire; Ghana; Guinea; Nigeria; Senegal; Togo; Rest of Western Africa; Central Africa; South Central Africa; Ethiopia; Kenya; Madagascar; Malawi; Mauritius; Mozambique; Rwanda; Tanzania; Uganda; Zambia; Zimbabwe; Rest of Eastern Africa; Botswana; Namibia; South Africa; Rest of South African Customs ; Rest of the World.</w:t>
            </w:r>
          </w:p>
        </w:tc>
      </w:tr>
    </w:tbl>
    <w:p w:rsidR="00446EF5" w:rsidRPr="004161D3" w:rsidRDefault="00446EF5" w:rsidP="004161D3">
      <w:pPr>
        <w:pStyle w:val="Default"/>
        <w:rPr>
          <w:b/>
          <w:sz w:val="22"/>
          <w:szCs w:val="22"/>
        </w:rPr>
      </w:pPr>
    </w:p>
    <w:p w:rsidR="004161D3" w:rsidRPr="004161D3" w:rsidRDefault="004161D3" w:rsidP="009B0C6E">
      <w:pPr>
        <w:pStyle w:val="Default"/>
        <w:rPr>
          <w:b/>
          <w:sz w:val="22"/>
          <w:szCs w:val="22"/>
        </w:rPr>
      </w:pPr>
    </w:p>
    <w:p w:rsidR="009B0C6E" w:rsidRDefault="009B0C6E" w:rsidP="009B0C6E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References </w:t>
      </w:r>
    </w:p>
    <w:p w:rsidR="009B0C6E" w:rsidRDefault="009B0C6E" w:rsidP="0019398B">
      <w:pPr>
        <w:pStyle w:val="Default"/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Aguiar, A., M. Chepeliev, E. Corong, R. McDougall, and D. van der Mensbrugghe. 2019. “The GTAP Data Base: Version 10.” Journal of Global Economic Analysis, 4(1): 1–127. http://dx.doi.org/10.21642/JGEA.040101AF </w:t>
      </w:r>
    </w:p>
    <w:p w:rsidR="009B0C6E" w:rsidRDefault="009B0C6E" w:rsidP="0019398B">
      <w:pPr>
        <w:pStyle w:val="Default"/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Aguiar, A., E. Corong, and D. van der Mensbrugghe. 2019. “The GTAP Recursive Dynamic (GTAP-RD) Model: Version 1.0”. Manuscript. https://mygeohub.org/groups/gtap/dynamic-docs </w:t>
      </w:r>
    </w:p>
    <w:p w:rsidR="009B0C6E" w:rsidRDefault="009B0C6E" w:rsidP="0019398B">
      <w:pPr>
        <w:pStyle w:val="Default"/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Aguiar, A., E. Corong, D. van der Mensbrugghe, E. Bekkers, R. The, R. </w:t>
      </w:r>
      <w:proofErr w:type="spellStart"/>
      <w:r>
        <w:rPr>
          <w:sz w:val="22"/>
          <w:szCs w:val="22"/>
        </w:rPr>
        <w:t>Koopman</w:t>
      </w:r>
      <w:proofErr w:type="spellEnd"/>
      <w:r>
        <w:rPr>
          <w:sz w:val="22"/>
          <w:szCs w:val="22"/>
        </w:rPr>
        <w:t xml:space="preserve">. 2019. “The WTO Global Trade Model: Technical Documentation”. Staff Working Paper ERSD-2019-10, World Trade Organization. https://www.wto.org/english/res_e/reser_e/ersd201910_e.pdf </w:t>
      </w:r>
    </w:p>
    <w:p w:rsidR="00025B83" w:rsidRDefault="009B0C6E" w:rsidP="0019398B">
      <w:pPr>
        <w:ind w:left="720" w:hanging="720"/>
      </w:pPr>
      <w:r>
        <w:t xml:space="preserve">Dixon, P.B., and M.T. </w:t>
      </w:r>
      <w:proofErr w:type="spellStart"/>
      <w:r>
        <w:t>Rimmer</w:t>
      </w:r>
      <w:proofErr w:type="spellEnd"/>
      <w:r>
        <w:t>. 2002. Dynamic general equilibrium modelling for forecasting and policy: a practical guide and documentation of MONASH, 1st ed., vol. 256. Amsterdam: Elsevier.</w:t>
      </w:r>
    </w:p>
    <w:sectPr w:rsidR="00025B8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A8D" w:rsidRDefault="00AC4A8D" w:rsidP="004161D3">
      <w:pPr>
        <w:spacing w:after="0" w:line="240" w:lineRule="auto"/>
      </w:pPr>
      <w:r>
        <w:separator/>
      </w:r>
    </w:p>
  </w:endnote>
  <w:endnote w:type="continuationSeparator" w:id="0">
    <w:p w:rsidR="00AC4A8D" w:rsidRDefault="00AC4A8D" w:rsidP="00416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95105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53853" w:rsidRDefault="009538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53853" w:rsidRDefault="009538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A8D" w:rsidRDefault="00AC4A8D" w:rsidP="004161D3">
      <w:pPr>
        <w:spacing w:after="0" w:line="240" w:lineRule="auto"/>
      </w:pPr>
      <w:r>
        <w:separator/>
      </w:r>
    </w:p>
  </w:footnote>
  <w:footnote w:type="continuationSeparator" w:id="0">
    <w:p w:rsidR="00AC4A8D" w:rsidRDefault="00AC4A8D" w:rsidP="004161D3">
      <w:pPr>
        <w:spacing w:after="0" w:line="240" w:lineRule="auto"/>
      </w:pPr>
      <w:r>
        <w:continuationSeparator/>
      </w:r>
    </w:p>
  </w:footnote>
  <w:footnote w:id="1">
    <w:p w:rsidR="004161D3" w:rsidRDefault="004161D3">
      <w:pPr>
        <w:pStyle w:val="FootnoteText"/>
      </w:pPr>
      <w:r>
        <w:rPr>
          <w:rStyle w:val="FootnoteReference"/>
        </w:rPr>
        <w:footnoteRef/>
      </w:r>
      <w:r>
        <w:t xml:space="preserve"> Concordances to GTAP sectors and regions are available in the Tables A1 and A2 in the Appendix, respectively.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E"/>
    <w:rsid w:val="000021B8"/>
    <w:rsid w:val="0000417D"/>
    <w:rsid w:val="0000539D"/>
    <w:rsid w:val="00025B83"/>
    <w:rsid w:val="00027B03"/>
    <w:rsid w:val="00031665"/>
    <w:rsid w:val="00032626"/>
    <w:rsid w:val="00034340"/>
    <w:rsid w:val="00035510"/>
    <w:rsid w:val="000429E4"/>
    <w:rsid w:val="00043612"/>
    <w:rsid w:val="00057307"/>
    <w:rsid w:val="00062DD4"/>
    <w:rsid w:val="00070CB7"/>
    <w:rsid w:val="000812DD"/>
    <w:rsid w:val="0009025E"/>
    <w:rsid w:val="000A5CFA"/>
    <w:rsid w:val="000A78CB"/>
    <w:rsid w:val="000B06EB"/>
    <w:rsid w:val="000B31FC"/>
    <w:rsid w:val="000B3BAD"/>
    <w:rsid w:val="000B5C43"/>
    <w:rsid w:val="000C2A35"/>
    <w:rsid w:val="000C4929"/>
    <w:rsid w:val="000D37A6"/>
    <w:rsid w:val="000E5453"/>
    <w:rsid w:val="001069AE"/>
    <w:rsid w:val="00123BB3"/>
    <w:rsid w:val="00124C71"/>
    <w:rsid w:val="0012584D"/>
    <w:rsid w:val="00133ACA"/>
    <w:rsid w:val="00151558"/>
    <w:rsid w:val="00162567"/>
    <w:rsid w:val="0016323A"/>
    <w:rsid w:val="00163B43"/>
    <w:rsid w:val="0016766D"/>
    <w:rsid w:val="0017369D"/>
    <w:rsid w:val="001739EF"/>
    <w:rsid w:val="00180DF8"/>
    <w:rsid w:val="00180F63"/>
    <w:rsid w:val="0019398B"/>
    <w:rsid w:val="001A5C4E"/>
    <w:rsid w:val="001B1346"/>
    <w:rsid w:val="001C0386"/>
    <w:rsid w:val="001C62A5"/>
    <w:rsid w:val="001C691A"/>
    <w:rsid w:val="00202798"/>
    <w:rsid w:val="00211ABF"/>
    <w:rsid w:val="00213FC3"/>
    <w:rsid w:val="00215812"/>
    <w:rsid w:val="00216CB6"/>
    <w:rsid w:val="002231A5"/>
    <w:rsid w:val="002271AD"/>
    <w:rsid w:val="00233F0F"/>
    <w:rsid w:val="00245630"/>
    <w:rsid w:val="00252D87"/>
    <w:rsid w:val="002548A3"/>
    <w:rsid w:val="0025794D"/>
    <w:rsid w:val="002611AC"/>
    <w:rsid w:val="00270C08"/>
    <w:rsid w:val="002808ED"/>
    <w:rsid w:val="00283938"/>
    <w:rsid w:val="0028561A"/>
    <w:rsid w:val="002A0F12"/>
    <w:rsid w:val="002A56D4"/>
    <w:rsid w:val="002B1887"/>
    <w:rsid w:val="002B5172"/>
    <w:rsid w:val="002B7C5D"/>
    <w:rsid w:val="002C1B6C"/>
    <w:rsid w:val="002C1C23"/>
    <w:rsid w:val="002C5A2B"/>
    <w:rsid w:val="002D04A6"/>
    <w:rsid w:val="002D30D1"/>
    <w:rsid w:val="002D552A"/>
    <w:rsid w:val="002D76A5"/>
    <w:rsid w:val="002E1482"/>
    <w:rsid w:val="002E510F"/>
    <w:rsid w:val="002F4210"/>
    <w:rsid w:val="002F469D"/>
    <w:rsid w:val="002F4F88"/>
    <w:rsid w:val="0030787A"/>
    <w:rsid w:val="003140F6"/>
    <w:rsid w:val="00320E47"/>
    <w:rsid w:val="00322194"/>
    <w:rsid w:val="00335F4F"/>
    <w:rsid w:val="00342634"/>
    <w:rsid w:val="003440E9"/>
    <w:rsid w:val="00344243"/>
    <w:rsid w:val="003519B9"/>
    <w:rsid w:val="00355335"/>
    <w:rsid w:val="0036191F"/>
    <w:rsid w:val="00363174"/>
    <w:rsid w:val="0036576E"/>
    <w:rsid w:val="003732FA"/>
    <w:rsid w:val="003A5C2D"/>
    <w:rsid w:val="003A7E9C"/>
    <w:rsid w:val="003B1685"/>
    <w:rsid w:val="003E1314"/>
    <w:rsid w:val="003E4D2C"/>
    <w:rsid w:val="003E774D"/>
    <w:rsid w:val="003F422A"/>
    <w:rsid w:val="003F59F3"/>
    <w:rsid w:val="003F7DFD"/>
    <w:rsid w:val="004013B3"/>
    <w:rsid w:val="00401C71"/>
    <w:rsid w:val="00403E23"/>
    <w:rsid w:val="004059F9"/>
    <w:rsid w:val="00405C48"/>
    <w:rsid w:val="00407868"/>
    <w:rsid w:val="004106F9"/>
    <w:rsid w:val="0041352C"/>
    <w:rsid w:val="004161D3"/>
    <w:rsid w:val="0042798D"/>
    <w:rsid w:val="00441F21"/>
    <w:rsid w:val="00446EF5"/>
    <w:rsid w:val="004476B1"/>
    <w:rsid w:val="0045200D"/>
    <w:rsid w:val="0045414A"/>
    <w:rsid w:val="0046354A"/>
    <w:rsid w:val="00464333"/>
    <w:rsid w:val="0047362D"/>
    <w:rsid w:val="0048028D"/>
    <w:rsid w:val="00486C8D"/>
    <w:rsid w:val="00492EBA"/>
    <w:rsid w:val="00493F93"/>
    <w:rsid w:val="004A1D99"/>
    <w:rsid w:val="004B23FF"/>
    <w:rsid w:val="004B47FB"/>
    <w:rsid w:val="004C12B0"/>
    <w:rsid w:val="004C30DF"/>
    <w:rsid w:val="004C394E"/>
    <w:rsid w:val="004C3A7E"/>
    <w:rsid w:val="004E1C40"/>
    <w:rsid w:val="004E27EC"/>
    <w:rsid w:val="004E7C06"/>
    <w:rsid w:val="00503910"/>
    <w:rsid w:val="00505293"/>
    <w:rsid w:val="00521FF5"/>
    <w:rsid w:val="00522776"/>
    <w:rsid w:val="0052722A"/>
    <w:rsid w:val="00531717"/>
    <w:rsid w:val="0053397B"/>
    <w:rsid w:val="005409E3"/>
    <w:rsid w:val="00547E5C"/>
    <w:rsid w:val="00552DF0"/>
    <w:rsid w:val="005649C9"/>
    <w:rsid w:val="00567081"/>
    <w:rsid w:val="00571376"/>
    <w:rsid w:val="005739B1"/>
    <w:rsid w:val="00576B4D"/>
    <w:rsid w:val="0057784E"/>
    <w:rsid w:val="00581451"/>
    <w:rsid w:val="00584712"/>
    <w:rsid w:val="005867E0"/>
    <w:rsid w:val="005905C0"/>
    <w:rsid w:val="0059561C"/>
    <w:rsid w:val="005A363D"/>
    <w:rsid w:val="005A6D54"/>
    <w:rsid w:val="005B3363"/>
    <w:rsid w:val="005C73E5"/>
    <w:rsid w:val="005D4118"/>
    <w:rsid w:val="005D4B7A"/>
    <w:rsid w:val="005E26B6"/>
    <w:rsid w:val="005F3281"/>
    <w:rsid w:val="00601979"/>
    <w:rsid w:val="00605CD8"/>
    <w:rsid w:val="00606DC6"/>
    <w:rsid w:val="006124D7"/>
    <w:rsid w:val="006156E3"/>
    <w:rsid w:val="00623B2B"/>
    <w:rsid w:val="006313E7"/>
    <w:rsid w:val="00633386"/>
    <w:rsid w:val="006417C3"/>
    <w:rsid w:val="00650794"/>
    <w:rsid w:val="00656842"/>
    <w:rsid w:val="00656AB0"/>
    <w:rsid w:val="00662C8A"/>
    <w:rsid w:val="00665ACF"/>
    <w:rsid w:val="00670BF8"/>
    <w:rsid w:val="00675170"/>
    <w:rsid w:val="0068035F"/>
    <w:rsid w:val="006845FA"/>
    <w:rsid w:val="006921D4"/>
    <w:rsid w:val="00693EC8"/>
    <w:rsid w:val="006A3573"/>
    <w:rsid w:val="006B1C91"/>
    <w:rsid w:val="006B251C"/>
    <w:rsid w:val="006C2339"/>
    <w:rsid w:val="006C2B36"/>
    <w:rsid w:val="006C7CDB"/>
    <w:rsid w:val="006E0ED2"/>
    <w:rsid w:val="006E321E"/>
    <w:rsid w:val="006E7DB8"/>
    <w:rsid w:val="006F0FB2"/>
    <w:rsid w:val="00705A10"/>
    <w:rsid w:val="00716693"/>
    <w:rsid w:val="0072290D"/>
    <w:rsid w:val="00730453"/>
    <w:rsid w:val="00744193"/>
    <w:rsid w:val="007508FB"/>
    <w:rsid w:val="007515C7"/>
    <w:rsid w:val="00752BB3"/>
    <w:rsid w:val="0076078E"/>
    <w:rsid w:val="007627E3"/>
    <w:rsid w:val="00773C13"/>
    <w:rsid w:val="00775BA2"/>
    <w:rsid w:val="00786FBA"/>
    <w:rsid w:val="007942AE"/>
    <w:rsid w:val="007970CF"/>
    <w:rsid w:val="007975B9"/>
    <w:rsid w:val="007A27B4"/>
    <w:rsid w:val="007C6D19"/>
    <w:rsid w:val="007E0941"/>
    <w:rsid w:val="007E78CE"/>
    <w:rsid w:val="007F3914"/>
    <w:rsid w:val="0080374F"/>
    <w:rsid w:val="0081478A"/>
    <w:rsid w:val="00817198"/>
    <w:rsid w:val="008214F7"/>
    <w:rsid w:val="008252D3"/>
    <w:rsid w:val="00842F30"/>
    <w:rsid w:val="00843EAB"/>
    <w:rsid w:val="008744C3"/>
    <w:rsid w:val="0089356C"/>
    <w:rsid w:val="008935AA"/>
    <w:rsid w:val="008A199F"/>
    <w:rsid w:val="008B0657"/>
    <w:rsid w:val="008B0E9E"/>
    <w:rsid w:val="008B2445"/>
    <w:rsid w:val="008C1986"/>
    <w:rsid w:val="008C40DA"/>
    <w:rsid w:val="008C650B"/>
    <w:rsid w:val="008E16C0"/>
    <w:rsid w:val="008E265F"/>
    <w:rsid w:val="00914713"/>
    <w:rsid w:val="00917053"/>
    <w:rsid w:val="00932347"/>
    <w:rsid w:val="00935DBE"/>
    <w:rsid w:val="00953853"/>
    <w:rsid w:val="00963A1E"/>
    <w:rsid w:val="00963C9A"/>
    <w:rsid w:val="00970C5B"/>
    <w:rsid w:val="0097456C"/>
    <w:rsid w:val="00985DF0"/>
    <w:rsid w:val="0098708D"/>
    <w:rsid w:val="00992C51"/>
    <w:rsid w:val="009B0C6E"/>
    <w:rsid w:val="009B3320"/>
    <w:rsid w:val="009B4CC1"/>
    <w:rsid w:val="009B7228"/>
    <w:rsid w:val="009D7B77"/>
    <w:rsid w:val="009E619C"/>
    <w:rsid w:val="009F08EA"/>
    <w:rsid w:val="00A02FE4"/>
    <w:rsid w:val="00A10FE7"/>
    <w:rsid w:val="00A2371C"/>
    <w:rsid w:val="00A328F2"/>
    <w:rsid w:val="00A340D4"/>
    <w:rsid w:val="00A4396F"/>
    <w:rsid w:val="00A43B4E"/>
    <w:rsid w:val="00A44466"/>
    <w:rsid w:val="00A447E2"/>
    <w:rsid w:val="00A5227A"/>
    <w:rsid w:val="00A60256"/>
    <w:rsid w:val="00A60A58"/>
    <w:rsid w:val="00A6495B"/>
    <w:rsid w:val="00A77739"/>
    <w:rsid w:val="00A94BD7"/>
    <w:rsid w:val="00A96FB9"/>
    <w:rsid w:val="00AA2F72"/>
    <w:rsid w:val="00AB4BD1"/>
    <w:rsid w:val="00AC2524"/>
    <w:rsid w:val="00AC3F25"/>
    <w:rsid w:val="00AC4908"/>
    <w:rsid w:val="00AC4A8D"/>
    <w:rsid w:val="00AD0F46"/>
    <w:rsid w:val="00AD5E57"/>
    <w:rsid w:val="00AD6A92"/>
    <w:rsid w:val="00AD7C0C"/>
    <w:rsid w:val="00AE61C9"/>
    <w:rsid w:val="00AF1246"/>
    <w:rsid w:val="00AF3019"/>
    <w:rsid w:val="00AF73A8"/>
    <w:rsid w:val="00B0035B"/>
    <w:rsid w:val="00B009F7"/>
    <w:rsid w:val="00B014BC"/>
    <w:rsid w:val="00B01653"/>
    <w:rsid w:val="00B11E29"/>
    <w:rsid w:val="00B215F3"/>
    <w:rsid w:val="00B30B59"/>
    <w:rsid w:val="00B31EC2"/>
    <w:rsid w:val="00B3638F"/>
    <w:rsid w:val="00B37ECB"/>
    <w:rsid w:val="00B407F8"/>
    <w:rsid w:val="00B42905"/>
    <w:rsid w:val="00B42CB6"/>
    <w:rsid w:val="00B506E1"/>
    <w:rsid w:val="00B575A6"/>
    <w:rsid w:val="00B61B91"/>
    <w:rsid w:val="00B7386C"/>
    <w:rsid w:val="00B760D3"/>
    <w:rsid w:val="00B9263F"/>
    <w:rsid w:val="00BA12B4"/>
    <w:rsid w:val="00BB2073"/>
    <w:rsid w:val="00BC4F15"/>
    <w:rsid w:val="00BC5950"/>
    <w:rsid w:val="00BC7A1F"/>
    <w:rsid w:val="00BD53AF"/>
    <w:rsid w:val="00BD5CD7"/>
    <w:rsid w:val="00BF2863"/>
    <w:rsid w:val="00BF5F48"/>
    <w:rsid w:val="00C06B63"/>
    <w:rsid w:val="00C10F6B"/>
    <w:rsid w:val="00C146FA"/>
    <w:rsid w:val="00C156CB"/>
    <w:rsid w:val="00C15CCA"/>
    <w:rsid w:val="00C22DA6"/>
    <w:rsid w:val="00C2719E"/>
    <w:rsid w:val="00C36B30"/>
    <w:rsid w:val="00C47C1C"/>
    <w:rsid w:val="00C85083"/>
    <w:rsid w:val="00C96C19"/>
    <w:rsid w:val="00CA4A5A"/>
    <w:rsid w:val="00CB42CE"/>
    <w:rsid w:val="00CB6D92"/>
    <w:rsid w:val="00CC0D8A"/>
    <w:rsid w:val="00CD0FCA"/>
    <w:rsid w:val="00CD6110"/>
    <w:rsid w:val="00CF0C79"/>
    <w:rsid w:val="00CF1E88"/>
    <w:rsid w:val="00CF209B"/>
    <w:rsid w:val="00CF245D"/>
    <w:rsid w:val="00D01804"/>
    <w:rsid w:val="00D0259E"/>
    <w:rsid w:val="00D05222"/>
    <w:rsid w:val="00D05E9B"/>
    <w:rsid w:val="00D17427"/>
    <w:rsid w:val="00D303D2"/>
    <w:rsid w:val="00D32454"/>
    <w:rsid w:val="00D34819"/>
    <w:rsid w:val="00D4329D"/>
    <w:rsid w:val="00D43C8C"/>
    <w:rsid w:val="00D55565"/>
    <w:rsid w:val="00D66270"/>
    <w:rsid w:val="00D67247"/>
    <w:rsid w:val="00D716BB"/>
    <w:rsid w:val="00D836BC"/>
    <w:rsid w:val="00D92A87"/>
    <w:rsid w:val="00D97EBE"/>
    <w:rsid w:val="00DA160B"/>
    <w:rsid w:val="00DC39A4"/>
    <w:rsid w:val="00DC3C27"/>
    <w:rsid w:val="00DD09AB"/>
    <w:rsid w:val="00DD24CB"/>
    <w:rsid w:val="00DD6E22"/>
    <w:rsid w:val="00DF265E"/>
    <w:rsid w:val="00E0587A"/>
    <w:rsid w:val="00E1252E"/>
    <w:rsid w:val="00E14D62"/>
    <w:rsid w:val="00E20463"/>
    <w:rsid w:val="00E21D5D"/>
    <w:rsid w:val="00E225F8"/>
    <w:rsid w:val="00E31609"/>
    <w:rsid w:val="00E3536A"/>
    <w:rsid w:val="00E35812"/>
    <w:rsid w:val="00E3598B"/>
    <w:rsid w:val="00E41BE2"/>
    <w:rsid w:val="00E46FC6"/>
    <w:rsid w:val="00E4781E"/>
    <w:rsid w:val="00E47AF1"/>
    <w:rsid w:val="00E53281"/>
    <w:rsid w:val="00E6029F"/>
    <w:rsid w:val="00E618BE"/>
    <w:rsid w:val="00E667A1"/>
    <w:rsid w:val="00E761EE"/>
    <w:rsid w:val="00E84058"/>
    <w:rsid w:val="00E840EE"/>
    <w:rsid w:val="00E84778"/>
    <w:rsid w:val="00E91055"/>
    <w:rsid w:val="00E91F91"/>
    <w:rsid w:val="00E924B2"/>
    <w:rsid w:val="00EA0B66"/>
    <w:rsid w:val="00EA123D"/>
    <w:rsid w:val="00EA368E"/>
    <w:rsid w:val="00EB3451"/>
    <w:rsid w:val="00EB5840"/>
    <w:rsid w:val="00EB72A4"/>
    <w:rsid w:val="00EB7ABF"/>
    <w:rsid w:val="00ED2105"/>
    <w:rsid w:val="00ED5604"/>
    <w:rsid w:val="00ED5807"/>
    <w:rsid w:val="00ED5EA1"/>
    <w:rsid w:val="00ED69E1"/>
    <w:rsid w:val="00ED7058"/>
    <w:rsid w:val="00ED782D"/>
    <w:rsid w:val="00EE5476"/>
    <w:rsid w:val="00EF0EF1"/>
    <w:rsid w:val="00EF10D7"/>
    <w:rsid w:val="00F02CF2"/>
    <w:rsid w:val="00F13E19"/>
    <w:rsid w:val="00F16D05"/>
    <w:rsid w:val="00F250BB"/>
    <w:rsid w:val="00F27D4F"/>
    <w:rsid w:val="00F33AB7"/>
    <w:rsid w:val="00F33F71"/>
    <w:rsid w:val="00F37DA5"/>
    <w:rsid w:val="00F43FA2"/>
    <w:rsid w:val="00F4545C"/>
    <w:rsid w:val="00F466E6"/>
    <w:rsid w:val="00F52903"/>
    <w:rsid w:val="00F56644"/>
    <w:rsid w:val="00F73173"/>
    <w:rsid w:val="00F741A2"/>
    <w:rsid w:val="00F95440"/>
    <w:rsid w:val="00F96EAD"/>
    <w:rsid w:val="00FA0E4C"/>
    <w:rsid w:val="00FA36A1"/>
    <w:rsid w:val="00FB1B66"/>
    <w:rsid w:val="00FB1DC9"/>
    <w:rsid w:val="00FB282C"/>
    <w:rsid w:val="00FB395D"/>
    <w:rsid w:val="00FB3BF5"/>
    <w:rsid w:val="00FB4405"/>
    <w:rsid w:val="00FD21EB"/>
    <w:rsid w:val="00FD4F74"/>
    <w:rsid w:val="00FF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3289AE-54C9-49FB-BE01-1BA48B49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B0C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16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161D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61D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61D3"/>
    <w:rPr>
      <w:vertAlign w:val="superscript"/>
    </w:rPr>
  </w:style>
  <w:style w:type="table" w:styleId="GridTable2">
    <w:name w:val="Grid Table 2"/>
    <w:basedOn w:val="TableNormal"/>
    <w:uiPriority w:val="47"/>
    <w:rsid w:val="00EB584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EB584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EB584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5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853"/>
  </w:style>
  <w:style w:type="paragraph" w:styleId="Footer">
    <w:name w:val="footer"/>
    <w:basedOn w:val="Normal"/>
    <w:link w:val="FooterChar"/>
    <w:uiPriority w:val="99"/>
    <w:unhideWhenUsed/>
    <w:rsid w:val="0095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BFD95-0325-4301-AFD0-42485374A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5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Agricultural Economics - Purdue University</Company>
  <LinksUpToDate>false</LinksUpToDate>
  <CharactersWithSpaces>6870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Aguiar</dc:creator>
  <cp:keywords/>
  <dc:description/>
  <cp:lastModifiedBy>Angel Aguiar</cp:lastModifiedBy>
  <cp:revision>7</cp:revision>
  <dcterms:created xsi:type="dcterms:W3CDTF">2021-04-15T13:53:00Z</dcterms:created>
  <dcterms:modified xsi:type="dcterms:W3CDTF">2021-04-15T18:30:00Z</dcterms:modified>
</cp:coreProperties>
</file>