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06B" w:rsidRPr="00B8606B" w:rsidRDefault="00B8606B" w:rsidP="00B8606B">
      <w:pPr>
        <w:rPr>
          <w:rFonts w:asciiTheme="minorHAnsi" w:hAnsiTheme="minorHAnsi" w:cstheme="minorHAnsi"/>
          <w:b/>
          <w:bCs/>
        </w:rPr>
      </w:pPr>
      <w:r w:rsidRPr="00B8606B">
        <w:rPr>
          <w:rFonts w:asciiTheme="minorHAnsi" w:hAnsiTheme="minorHAnsi" w:cstheme="minorHAnsi"/>
          <w:b/>
          <w:bCs/>
        </w:rPr>
        <w:t>A Disasters Framework for Estimating the Macroeconomic Impact of the COVID-19 Pandemic</w:t>
      </w:r>
    </w:p>
    <w:p w:rsidR="00B8606B" w:rsidRPr="00B8606B" w:rsidRDefault="00B8606B" w:rsidP="00B8606B">
      <w:pPr>
        <w:rPr>
          <w:rFonts w:asciiTheme="minorHAnsi" w:hAnsiTheme="minorHAnsi" w:cstheme="minorHAnsi"/>
          <w:b/>
          <w:bCs/>
        </w:rPr>
      </w:pPr>
    </w:p>
    <w:p w:rsidR="00B8606B" w:rsidRPr="00B8606B" w:rsidRDefault="00B8606B" w:rsidP="00B8606B">
      <w:pPr>
        <w:jc w:val="center"/>
        <w:rPr>
          <w:rFonts w:asciiTheme="minorHAnsi" w:hAnsiTheme="minorHAnsi" w:cstheme="minorHAnsi"/>
          <w:bCs/>
        </w:rPr>
      </w:pPr>
      <w:r w:rsidRPr="00B8606B">
        <w:rPr>
          <w:rFonts w:asciiTheme="minorHAnsi" w:hAnsiTheme="minorHAnsi" w:cstheme="minorHAnsi"/>
          <w:bCs/>
        </w:rPr>
        <w:t>by</w:t>
      </w:r>
    </w:p>
    <w:p w:rsidR="00B8606B" w:rsidRPr="00B8606B" w:rsidRDefault="00B8606B" w:rsidP="00B8606B">
      <w:pPr>
        <w:jc w:val="center"/>
        <w:rPr>
          <w:rFonts w:asciiTheme="minorHAnsi" w:hAnsiTheme="minorHAnsi" w:cstheme="minorHAnsi"/>
          <w:bCs/>
        </w:rPr>
      </w:pPr>
    </w:p>
    <w:p w:rsidR="00B8606B" w:rsidRPr="00B8606B" w:rsidRDefault="00B8606B" w:rsidP="00B8606B">
      <w:pPr>
        <w:jc w:val="center"/>
        <w:rPr>
          <w:rFonts w:asciiTheme="minorHAnsi" w:hAnsiTheme="minorHAnsi" w:cstheme="minorHAnsi"/>
          <w:bCs/>
        </w:rPr>
      </w:pPr>
      <w:r w:rsidRPr="00B8606B">
        <w:rPr>
          <w:rFonts w:asciiTheme="minorHAnsi" w:hAnsiTheme="minorHAnsi" w:cstheme="minorHAnsi"/>
          <w:bCs/>
        </w:rPr>
        <w:t>Adam Rose</w:t>
      </w:r>
    </w:p>
    <w:p w:rsidR="00B8606B" w:rsidRPr="00B8606B" w:rsidRDefault="00B8606B" w:rsidP="00B8606B">
      <w:pPr>
        <w:jc w:val="center"/>
        <w:rPr>
          <w:rFonts w:asciiTheme="minorHAnsi" w:hAnsiTheme="minorHAnsi" w:cstheme="minorHAnsi"/>
          <w:bCs/>
        </w:rPr>
      </w:pPr>
      <w:r w:rsidRPr="00B8606B">
        <w:rPr>
          <w:rFonts w:asciiTheme="minorHAnsi" w:hAnsiTheme="minorHAnsi" w:cstheme="minorHAnsi"/>
          <w:bCs/>
        </w:rPr>
        <w:t xml:space="preserve"> University of Southern California</w:t>
      </w:r>
    </w:p>
    <w:p w:rsidR="00B8606B" w:rsidRPr="00B8606B" w:rsidRDefault="00B8606B" w:rsidP="00B8606B">
      <w:pPr>
        <w:rPr>
          <w:rFonts w:asciiTheme="minorHAnsi" w:hAnsiTheme="minorHAnsi" w:cstheme="minorHAnsi"/>
        </w:rPr>
      </w:pPr>
    </w:p>
    <w:p w:rsidR="00B8606B" w:rsidRPr="00B8606B" w:rsidRDefault="00B8606B" w:rsidP="00B8606B">
      <w:pPr>
        <w:rPr>
          <w:rFonts w:asciiTheme="minorHAnsi" w:hAnsiTheme="minorHAnsi" w:cstheme="minorHAnsi"/>
        </w:rPr>
      </w:pPr>
    </w:p>
    <w:p w:rsidR="00B8606B" w:rsidRPr="00B8606B" w:rsidRDefault="00B8606B" w:rsidP="00B8606B">
      <w:pPr>
        <w:rPr>
          <w:rFonts w:asciiTheme="minorHAnsi" w:hAnsiTheme="minorHAnsi" w:cstheme="minorHAnsi"/>
        </w:rPr>
      </w:pPr>
      <w:r w:rsidRPr="00B8606B">
        <w:rPr>
          <w:rFonts w:asciiTheme="minorHAnsi" w:hAnsiTheme="minorHAnsi" w:cstheme="minorHAnsi"/>
        </w:rPr>
        <w:t xml:space="preserve">Economists working on the economics of disasters have developed a compressive economic consequence analysis (ECA) framework that has applicability to COVID-19.  This framework extends ordinary impact analysis to include resilience and behavioral responses that play an especially prominent role during the pandemic and its recovery. Resilience is exemplified by telework and spending out of pent-up demand. Behavioral responses are exemplified by avoidance of public gathering places, mass transit and educational institutions. Causal factors such as these represent a bottom-up approach to analyzing this issue, in contrast to traditional macroeconomic approaches. This presentation will provide some </w:t>
      </w:r>
      <w:r w:rsidRPr="00B8606B">
        <w:rPr>
          <w:rFonts w:asciiTheme="minorHAnsi" w:hAnsiTheme="minorHAnsi" w:cstheme="minorHAnsi"/>
        </w:rPr>
        <w:t>detail on the ECA approach and </w:t>
      </w:r>
      <w:r w:rsidRPr="00B8606B">
        <w:rPr>
          <w:rFonts w:asciiTheme="minorHAnsi" w:hAnsiTheme="minorHAnsi" w:cstheme="minorHAnsi"/>
        </w:rPr>
        <w:t>how it is well implemented using a combination of microeconomic and sectoral detail and computable general equilibrium modeling.</w:t>
      </w:r>
    </w:p>
    <w:p w:rsidR="00DF7664" w:rsidRDefault="00C23FDC"/>
    <w:p w:rsidR="00B8606B" w:rsidRPr="00B8606B" w:rsidRDefault="00B8606B" w:rsidP="00B8606B">
      <w:pPr>
        <w:rPr>
          <w:b/>
        </w:rPr>
      </w:pPr>
      <w:r w:rsidRPr="00B8606B">
        <w:rPr>
          <w:b/>
        </w:rPr>
        <w:t>THE EVOLUTION OF ECONOMIC CONSEQUENCE ANALYSIS</w:t>
      </w:r>
    </w:p>
    <w:p w:rsidR="00B8606B" w:rsidRPr="00B8606B" w:rsidRDefault="00B8606B" w:rsidP="00B8606B"/>
    <w:p w:rsidR="00B8606B" w:rsidRPr="00B8606B" w:rsidRDefault="00B8606B" w:rsidP="00B8606B">
      <w:r w:rsidRPr="00B8606B">
        <w:t xml:space="preserve">The modern terminology in terrorist studies for our focus is </w:t>
      </w:r>
      <w:r w:rsidRPr="00B8606B">
        <w:rPr>
          <w:i/>
        </w:rPr>
        <w:t>economic consequence analysis</w:t>
      </w:r>
      <w:r w:rsidRPr="00B8606B">
        <w:t>. It stems from two threads. First is the physical damage from terrorist attacks, which has been the purview of natural science and engineering in evaluating such phenomena as the blast capability of improvised explosive devices (IEDs), the epidemiological implications of the denotation of a radiological dispersion device (RDD) or the dispersal of anthrax spores (see, for example, Johnson, 2010). Economists enter the picture by translating the property damage, loss of life or lost workdays into direct economic loss estimates. Aside from the controversy over the value of human life, this is a straightforward process.</w:t>
      </w:r>
      <w:r w:rsidRPr="00B8606B">
        <w:rPr>
          <w:vertAlign w:val="superscript"/>
        </w:rPr>
        <w:endnoteReference w:id="1"/>
      </w:r>
      <w:r w:rsidRPr="00B8606B">
        <w:t xml:space="preserve"> </w:t>
      </w:r>
    </w:p>
    <w:p w:rsidR="00B8606B" w:rsidRPr="00B8606B" w:rsidRDefault="00B8606B" w:rsidP="00B8606B"/>
    <w:p w:rsidR="00B8606B" w:rsidRPr="00B8606B" w:rsidRDefault="00B8606B" w:rsidP="00B8606B">
      <w:r w:rsidRPr="00B8606B">
        <w:t>The analysis of broader, often termed ‘indirect’, effects stems from the field of economic impact analysis. This dates back to the first operational models capable of examining the workings of the entire economy, i.e., Keynesian models and input-output (I-O) models tracing back to the 1930s. Typical applications were to broad-based initiatives, such as fiscal policy, war build-ups and strategic bombing campaigns (see, for example, United State Strategic Bombing Survey, 1945; Baran and Galbraith, 1947; Leontief, 1948). More focused were economic impact studies examining the opening of a new mine or closing of a factory. Most of these studies were more appropriately undertaken at the regional level, where simple approaches, such as economic base or I-O models, could readily be constructed (see, for example, Isard, 1960; Leontief, 1966). The relative stability between the indirect effects and direct effects was often very straightforward and was congealed into ‘impact multipliers.’ The field was streamlined even further by the publication of tables of output, income, and employment multipliers for the US or its various regions (Kim, 1985; Cartwright et al. 1981). It became well established that one could use rules of thumb for such analyses, for example, that the multiplier effects for a medium-sized city or small state would be on the order of 1.5 to 2.0 and that a large city or medium-sized state would have an overall multiplier between 2.0 and 2.5, etc.</w:t>
      </w:r>
      <w:r w:rsidRPr="00B8606B">
        <w:rPr>
          <w:vertAlign w:val="superscript"/>
        </w:rPr>
        <w:endnoteReference w:id="2"/>
      </w:r>
      <w:r w:rsidRPr="00B8606B">
        <w:t xml:space="preserve">  </w:t>
      </w:r>
    </w:p>
    <w:p w:rsidR="00B8606B" w:rsidRPr="00B8606B" w:rsidRDefault="00B8606B" w:rsidP="00B8606B"/>
    <w:p w:rsidR="00B8606B" w:rsidRPr="00B8606B" w:rsidRDefault="00B8606B" w:rsidP="00B8606B">
      <w:r w:rsidRPr="00B8606B">
        <w:t xml:space="preserve">Features of these two threads merged into </w:t>
      </w:r>
      <w:r w:rsidRPr="00B8606B">
        <w:rPr>
          <w:i/>
        </w:rPr>
        <w:t xml:space="preserve">hazard loss estimation </w:t>
      </w:r>
      <w:r w:rsidRPr="00B8606B">
        <w:t>in the 1990s, typically applied to natural events (see, for example, West and Lenze, 1994; FEMA, 1997</w:t>
      </w:r>
      <w:r w:rsidRPr="00B8606B">
        <w:rPr>
          <w:vertAlign w:val="superscript"/>
        </w:rPr>
        <w:endnoteReference w:id="3"/>
      </w:r>
      <w:r w:rsidRPr="00B8606B">
        <w:t xml:space="preserve">  Shinozuka et al., 1998). Another feature was added – that of </w:t>
      </w:r>
      <w:r w:rsidRPr="00B8606B">
        <w:rPr>
          <w:i/>
        </w:rPr>
        <w:t>resilience</w:t>
      </w:r>
      <w:r w:rsidRPr="00B8606B">
        <w:t>, or the ability to mute the economic impacts of disasters by more efficient utilization of remaining resources and by accelerating the pace of recovery (Rose et al., 1997).</w:t>
      </w:r>
      <w:r w:rsidRPr="00B8606B">
        <w:rPr>
          <w:vertAlign w:val="superscript"/>
        </w:rPr>
        <w:endnoteReference w:id="4"/>
      </w:r>
      <w:r w:rsidRPr="00B8606B">
        <w:t xml:space="preserve"> </w:t>
      </w:r>
      <w:r w:rsidRPr="00B8606B">
        <w:lastRenderedPageBreak/>
        <w:t>Rose (2004, 2007) has proposed a straightforward metric of resilience as the avoided losses resulting from implementing a given resilient tactic divided by the maximum potential losses for a given event in the absence of that tactic. Rose et al. (2009) measured the resilience of the New York Metropolitan Area economy to the 9/11 attacks at 72 per cent as a result of business relocation as a resilient response. This stemmed from the fact that 95 per cent of the businesses, comprising 98 per cent of the employment, in the World Trade Center area did not shut down but rather relocated their operations, mainly in the New York Metro Area (the losses are simply due to the time lags in the relocation). Simulation studies for resilient consumer responses (for example, conservation, input substitution) to hypothetical water and power disruptions caused by terrorist attacks in Los Angeles indicated a potential resilience effectiveness exceeding 80 per cent (Rose et al., 2007). The major option here is ‘production recapture’, or the ability of firms to turn on their production lines or otherwise open for business as soon as water and power services are restored and to make up for lost production.</w:t>
      </w:r>
      <w:r w:rsidRPr="00B8606B">
        <w:rPr>
          <w:vertAlign w:val="superscript"/>
        </w:rPr>
        <w:endnoteReference w:id="5"/>
      </w:r>
      <w:r w:rsidRPr="00B8606B">
        <w:t xml:space="preserve"> </w:t>
      </w:r>
    </w:p>
    <w:p w:rsidR="00B8606B" w:rsidRPr="00B8606B" w:rsidRDefault="00B8606B" w:rsidP="00B8606B"/>
    <w:p w:rsidR="00B8606B" w:rsidRPr="00B8606B" w:rsidRDefault="00B8606B" w:rsidP="00B8606B">
      <w:r w:rsidRPr="00B8606B">
        <w:t xml:space="preserve">In the past decade, the major extension of economic consequence analysis has been to include behavioral considerations. A prime example is the ‘fear factor’, which refers to changes in risk perception that translate into changes in economic behavior. Gordon et al. (2007) pointed this out in an assessment of the MANPADS tactic to reduce the terrorist threat to commercial aviation, citing the experience following 9/11, which resulted in a nearly 2-year downturn in air travel and related tourism </w:t>
      </w:r>
      <w:bookmarkStart w:id="0" w:name="_GoBack"/>
      <w:bookmarkEnd w:id="0"/>
      <w:r w:rsidRPr="00B8606B">
        <w:t>in the US. Rose et al. (2009) refined the analysis of the post 9/11 attack by de-trending for the effect of the ongoing recession in 2001 but found even the adjusted consequence was as high as $45 billion, which accounted for over 80 per cent of the estimated direct business interruption losses stemming from the event. A recent study by Giesecke et al. (2011) of a potential RDD (“dirty bomb”) attack on the financial district of Los Angeles would lead to social amplification of risk and stigma effects (see Kasperson et al., 1994; Burns and Slovic, 2010) that could exceed the conventional ‘resource loss’ effects by several fold.</w:t>
      </w:r>
    </w:p>
    <w:p w:rsidR="00B8606B" w:rsidRPr="00B8606B" w:rsidRDefault="00B8606B" w:rsidP="00B8606B">
      <w:r w:rsidRPr="00B8606B">
        <w:t xml:space="preserve"> </w:t>
      </w:r>
    </w:p>
    <w:p w:rsidR="00B8606B" w:rsidRPr="00B8606B" w:rsidRDefault="00B8606B" w:rsidP="00B8606B">
      <w:r w:rsidRPr="00B8606B">
        <w:t xml:space="preserve">A schematic of a broadened loss estimation framework developed by Rose (2009) is presented in Figure 10.1. It shows the inclusion of </w:t>
      </w:r>
      <w:r w:rsidRPr="00B8606B">
        <w:rPr>
          <w:i/>
        </w:rPr>
        <w:t>resilience</w:t>
      </w:r>
      <w:r w:rsidRPr="00B8606B">
        <w:t xml:space="preserve"> and </w:t>
      </w:r>
      <w:r w:rsidRPr="00B8606B">
        <w:rPr>
          <w:i/>
        </w:rPr>
        <w:t>behavioral linkages</w:t>
      </w:r>
      <w:r w:rsidRPr="00B8606B">
        <w:t xml:space="preserve"> in the overall economic consequence analysis picture. It also includes two other aspects that need to be included in the overall picture, the implications of which are often misinterpreted. The first is remediation, which is typically not part of traditional economic impact analysis and has a conventional role in hazard loss estimation as simply repair and reconstruction. In the case of a terrorist attack, this can take on a much larger role, especially if the attack is caused by an insidious chemical, biological or radiological agent. For example, Rose (2008) found that the cost of remediation for a radionuclide attack on a reservoir of a small city of 100 000 was equal to the sum of the property and business interruption losses. </w:t>
      </w:r>
    </w:p>
    <w:p w:rsidR="00B8606B" w:rsidRPr="00B8606B" w:rsidRDefault="00B8606B" w:rsidP="00B8606B"/>
    <w:p w:rsidR="00B8606B" w:rsidRPr="00B8606B" w:rsidRDefault="00B8606B" w:rsidP="00B8606B">
      <w:r w:rsidRPr="00B8606B">
        <w:t>The cost of mitigation tactics also enters the picture of a comprehensive economic consequence framework in its move toward a full-blown BCA. The interesting consideration here is the interpretation by many that remediation and mitigation have benefits stemming from their direct expenditures alone (aside from the standard benefits of avoided losses). This ignores the basic principle that resources are expended in the course of implementing remediation or mitigation, and that these resources typically must be diverted from productive use elsewhere. This mistake is more easily made by the use of I-O models, which do not include resource constraints or price adjustments.</w:t>
      </w:r>
      <w:r w:rsidRPr="00B8606B">
        <w:rPr>
          <w:vertAlign w:val="superscript"/>
        </w:rPr>
        <w:endnoteReference w:id="6"/>
      </w:r>
      <w:r w:rsidRPr="00B8606B">
        <w:t xml:space="preserve"> I discuss further below how more advanced models, such as CGE analysis, can sort out these issues and more accurately assess the impacts on gross domestic (or regional) product.</w:t>
      </w:r>
    </w:p>
    <w:p w:rsidR="00B8606B" w:rsidRPr="00B8606B" w:rsidRDefault="00B8606B" w:rsidP="00B8606B">
      <w:pPr>
        <w:rPr>
          <w:b/>
        </w:rPr>
      </w:pPr>
    </w:p>
    <w:p w:rsidR="00B8606B" w:rsidRDefault="00B8606B" w:rsidP="00B8606B">
      <w:r w:rsidRPr="00B8606B">
        <w:t xml:space="preserve">              One final note is that economic consequence analysis, especially at the macro level, is usually measured in terms of national account categories such as income, GDP or gross output. This is in </w:t>
      </w:r>
      <w:r w:rsidRPr="00B8606B">
        <w:lastRenderedPageBreak/>
        <w:t>contrast to welfare measures (for example, consumer surplus proxied by equivalent or compensating variation), which are more standard in microeconomic analysis. For an excellent analysis of the use of welfare measures in CGE analysis in particular and the complexity of measurement issues in general, the reader is referred to Klaiber and Smith (2011).</w:t>
      </w:r>
    </w:p>
    <w:p w:rsidR="00C23FDC" w:rsidRDefault="00C23FDC" w:rsidP="00B8606B"/>
    <w:p w:rsidR="00C23FDC" w:rsidRDefault="00C23FDC" w:rsidP="00C23FDC">
      <w:pPr>
        <w:rPr>
          <w:b/>
        </w:rPr>
      </w:pPr>
      <w:r w:rsidRPr="00C23FDC">
        <w:rPr>
          <w:b/>
        </w:rPr>
        <w:t>CGE MODELING OF SPECIAL FEATURES OF CONSEQUENCES</w:t>
      </w:r>
      <w:r>
        <w:rPr>
          <w:b/>
        </w:rPr>
        <w:t xml:space="preserve"> OF DISASTERS</w:t>
      </w:r>
    </w:p>
    <w:p w:rsidR="00C23FDC" w:rsidRPr="00C23FDC" w:rsidRDefault="00C23FDC" w:rsidP="00C23FDC">
      <w:pPr>
        <w:rPr>
          <w:b/>
        </w:rPr>
      </w:pPr>
    </w:p>
    <w:p w:rsidR="00C23FDC" w:rsidRPr="00C23FDC" w:rsidRDefault="00C23FDC" w:rsidP="00C23FDC">
      <w:pPr>
        <w:rPr>
          <w:b/>
        </w:rPr>
      </w:pPr>
      <w:r w:rsidRPr="00C23FDC">
        <w:rPr>
          <w:b/>
        </w:rPr>
        <w:t>Resilience in the Context of CGE Models</w:t>
      </w:r>
    </w:p>
    <w:p w:rsidR="00C23FDC" w:rsidRPr="00C23FDC" w:rsidRDefault="00C23FDC" w:rsidP="00C23FDC"/>
    <w:p w:rsidR="00C23FDC" w:rsidRPr="00C23FDC" w:rsidRDefault="00C23FDC" w:rsidP="00C23FDC">
      <w:r w:rsidRPr="00C23FDC">
        <w:t xml:space="preserve">The production side of the standard CGE model is composed of a standard, nested (multi-tiered),  CES production function for each sector (see, for example, Rose and Liao, 2005; Dixon et al., 2010; Giesecke et al., 2011). The production function is normally applied to aggregate categories of major inputs of capital, labor, energy and materials, with subaggregates possible for each (for example, the energy aggregate is often decomposed by fuel type − electricity, oil, gas, and coal − and the labor input can be distinguished by occupational category). This production function represents a type of hierarchical or sequential decision-making process. For a given level of output, the firm’s manager first chooses the optimal combination of capital and energy. He/she next juxtaposes that combination to labor to determine the optimal choice of inputs in the third tier, etc. In the top tier, input decisions are made regarding the previous aggregate combination and material inputs (intermediate goods). Materials are often modeled in terms of fixed input coefficients, but special provision can be made for substitution possibilities for select types (see, for example, Rose et al., 2009). </w:t>
      </w:r>
    </w:p>
    <w:p w:rsidR="00C23FDC" w:rsidRPr="00C23FDC" w:rsidRDefault="00C23FDC" w:rsidP="00C23FDC"/>
    <w:p w:rsidR="00C23FDC" w:rsidRPr="00C23FDC" w:rsidRDefault="00C23FDC" w:rsidP="00C23FDC">
      <w:r w:rsidRPr="00C23FDC">
        <w:t xml:space="preserve">Many types of inherent resilience are already built into CGE models, including input and import substitution, use of inventories, and relocation (implicitly through interregional trade changes).  Adaptive resilience refers to the instances where these outcomes are enhanced through ingenuity or learning.  Examples are increased input or import substitution possibilities or increased inventory levels.  These require parameter changes.  Rose and Liao (2005) developed algorithms to solve for the necessary changes in elasticities of substitution in CES production functions.  Essentially, this required empirical or simulation data on an input limitation and of the corresponding output levels attained under stress.  The algorithm then solves for the increased elasticity values as the dependent variables.  Given the complexity of the problem, however, a definitive analytical solution is not possible, and numerical methods had to be used.  An algorithm for changing the productivity parameter of the production function for changes in the adaptive resilience tactic of increased conservation of scarce inputs was also developed by Rose and Liao.  This, however, is a simpler problem and can be solved analytically.  </w:t>
      </w:r>
    </w:p>
    <w:p w:rsidR="00C23FDC" w:rsidRPr="00C23FDC" w:rsidRDefault="00C23FDC" w:rsidP="00C23FDC"/>
    <w:p w:rsidR="00C23FDC" w:rsidRPr="00C23FDC" w:rsidRDefault="00C23FDC" w:rsidP="00C23FDC">
      <w:r w:rsidRPr="00C23FDC">
        <w:t>Other major resilience strategies include technological change and production recapture (making up lost production after business activities have stabilized).  At this time, the former is addressed by ad hoc methods such as replacement or adjustments of a production function with external data. In the case of the latter, some "recapture factors" have been developed (Rose and Lim, 2002; FEMA, 2010) that simply represent scalars to adjust lost production.  The cost of implementing this resilience tactic is rather small (overtime pay but only in some instances) and so is usually not incorporated into the analysis, though it readily could be via a change in the wage rate.</w:t>
      </w:r>
      <w:r w:rsidRPr="00C23FDC">
        <w:rPr>
          <w:vertAlign w:val="superscript"/>
        </w:rPr>
        <w:endnoteReference w:id="7"/>
      </w:r>
    </w:p>
    <w:p w:rsidR="00C23FDC" w:rsidRDefault="00C23FDC" w:rsidP="00C23FDC">
      <w:pPr>
        <w:rPr>
          <w:b/>
        </w:rPr>
      </w:pPr>
    </w:p>
    <w:p w:rsidR="00C23FDC" w:rsidRPr="00C23FDC" w:rsidRDefault="00C23FDC" w:rsidP="00C23FDC">
      <w:pPr>
        <w:rPr>
          <w:b/>
        </w:rPr>
      </w:pPr>
      <w:r w:rsidRPr="00C23FDC">
        <w:rPr>
          <w:b/>
        </w:rPr>
        <w:t xml:space="preserve">Behavioral Effects  </w:t>
      </w:r>
    </w:p>
    <w:p w:rsidR="00C23FDC" w:rsidRPr="00C23FDC" w:rsidRDefault="00C23FDC" w:rsidP="00C23FDC"/>
    <w:p w:rsidR="00C23FDC" w:rsidRPr="00C23FDC" w:rsidRDefault="00C23FDC" w:rsidP="00C23FDC">
      <w:r w:rsidRPr="00C23FDC">
        <w:t xml:space="preserve">Up to this point, our discussion has focused on what might be termed ‘resource loss’ effects. We now turn our attention to the economic ramifications of what we term ‘behavioral effects’. Fischhoff et al. (1981) did some of the pioneering work on perceived risk associated with various types of hazards, </w:t>
      </w:r>
      <w:r w:rsidRPr="00C23FDC">
        <w:lastRenderedPageBreak/>
        <w:t xml:space="preserve">finding that perceptions are mainly driven by uncertainty and dread. Slovic (1987) suggested that hazardous events signaled some increased future risk. Kasperson et al. (1988) proposed a framework relating to the ‘social amplification of risk’ through the interaction of psychological, institutional and cultural processes. Additional research on hazard situations indicated the possibility of long-term consequences through stigma attached to the affected areas. </w:t>
      </w:r>
    </w:p>
    <w:p w:rsidR="00C23FDC" w:rsidRPr="00C23FDC" w:rsidRDefault="00C23FDC" w:rsidP="00C23FDC"/>
    <w:p w:rsidR="00C23FDC" w:rsidRPr="00C23FDC" w:rsidRDefault="00C23FDC" w:rsidP="00C23FDC">
      <w:r w:rsidRPr="00C23FDC">
        <w:t xml:space="preserve">Moreover, these changes in risk perception can alter economic behavior in the short term and the long term. For example, employees are likely to require a premium to work at a site previously attacked or perceived to be a major target. Investors are likely to require a higher rate of return at such a site as well. Shoppers or tourists are likely to require a discount for goods, food or lodging at or near the site. These premia and discounts are likely to increase with the insidious nature of the attack. Chemical, biological and radiological agents provide little experience and are likely to incite dread on the population. Media coverage of such events will amplify the risk response. The difficulty of decontamination, and sometimes a lack of trust of government, will cause the adverse situation to linger. </w:t>
      </w:r>
    </w:p>
    <w:p w:rsidR="00C23FDC" w:rsidRPr="00C23FDC" w:rsidRDefault="00C23FDC" w:rsidP="00C23FDC"/>
    <w:p w:rsidR="00C23FDC" w:rsidRPr="00C23FDC" w:rsidRDefault="00C23FDC" w:rsidP="00C23FDC">
      <w:r w:rsidRPr="00C23FDC">
        <w:t xml:space="preserve">              Giesecke et al. (2011) recently analyzed the behavioral impacts of a hypothetical RDD, or ‘dirty bomb, on the financial district of Los Angeles, and compared the effects with ordinary loss effects. This involved a GIS overlay of the model to pin capture unique features of economic activity of the directly affected area. Wage premia and shopper discounts were estimated through experiments and then were translated in the shift in supply demand functions in a regional CGE model. Investor premia were estimated through benefit transfer of behavioral responses to other types of hazards. The resulting values were typically in the range of 10 to 20 per cent. The results indicated that short-run behavioral effects were only slightly smaller than resource loss effects. However, ordinary business interruption losses decrease to zero in a rather short time, while the persistent behavioral effects begin to add up. For just the first year, behavioral effects were 2.5 times the resource loss effects. If the stigma were to last 10 years, the behavioral effects would be nearly fifteen times as high as the ordinary resource loss effects, even after discounting at 5 per cent. </w:t>
      </w:r>
    </w:p>
    <w:p w:rsidR="00C23FDC" w:rsidRPr="00C23FDC" w:rsidRDefault="00C23FDC" w:rsidP="00C23FDC"/>
    <w:p w:rsidR="00C23FDC" w:rsidRPr="00C23FDC" w:rsidRDefault="00C23FDC" w:rsidP="00C23FDC">
      <w:r w:rsidRPr="00C23FDC">
        <w:t xml:space="preserve">              The results have obvious policy implications relating to risk communication. Accurate and nonsensational news reporting can lower the damage from a terrorist attack, as can thorough cleanup and adept assurances by both the public and private sectors (Elcock et al., 2004). </w:t>
      </w:r>
    </w:p>
    <w:p w:rsidR="00C23FDC" w:rsidRPr="00B8606B" w:rsidRDefault="00C23FDC" w:rsidP="00B8606B"/>
    <w:p w:rsidR="00B8606B" w:rsidRDefault="00B8606B"/>
    <w:sectPr w:rsidR="00B8606B">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06B" w:rsidRDefault="00B8606B" w:rsidP="00B8606B">
      <w:r>
        <w:separator/>
      </w:r>
    </w:p>
  </w:endnote>
  <w:endnote w:type="continuationSeparator" w:id="0">
    <w:p w:rsidR="00B8606B" w:rsidRDefault="00B8606B" w:rsidP="00B8606B">
      <w:r>
        <w:continuationSeparator/>
      </w:r>
    </w:p>
  </w:endnote>
  <w:endnote w:id="1">
    <w:p w:rsidR="00B8606B" w:rsidRPr="006B1994" w:rsidRDefault="00B8606B" w:rsidP="00B8606B">
      <w:pPr>
        <w:pStyle w:val="EndnoteText"/>
      </w:pPr>
      <w:r>
        <w:rPr>
          <w:rStyle w:val="EndnoteReference"/>
        </w:rPr>
        <w:endnoteRef/>
      </w:r>
      <w:r>
        <w:t xml:space="preserve">   </w:t>
      </w:r>
      <w:r w:rsidRPr="006B1994">
        <w:t>Some complications arose with respect to basic conceptual issues in impact analysis and related CBA.  One example is the valuation of labor in cases of less than full employment.  Some have proposed that labor would have a zero value (cost) in this context, but others, beginning with Haveman and Krutilla (1967) have offered some excellent alternatives.  Haveman and Farrow (2011) cogently summarized this literature by suggesting the best approach is to value unemployed labor at its reservation wage.  They also suggest including general equilibrium effects.  At the same time, ex-ante, one cannot know precisely what proportion of workers involved will come from the ranks of the unemployed or simply change jobs.  A probabilistic approach to this issue is favored but raises additional complications (see, e.g., Boardman et al.  2011).</w:t>
      </w:r>
    </w:p>
  </w:endnote>
  <w:endnote w:id="2">
    <w:p w:rsidR="00B8606B" w:rsidRPr="006B1994" w:rsidRDefault="00B8606B" w:rsidP="00B8606B">
      <w:pPr>
        <w:pStyle w:val="EndnoteText"/>
      </w:pPr>
      <w:r w:rsidRPr="006B1994">
        <w:rPr>
          <w:rStyle w:val="EndnoteReference"/>
        </w:rPr>
        <w:endnoteRef/>
      </w:r>
      <w:r w:rsidRPr="006B1994">
        <w:t xml:space="preserve"> </w:t>
      </w:r>
      <w:r w:rsidRPr="006B1994">
        <w:tab/>
        <w:t xml:space="preserve">Multipliers referred to here are known as ‘Type II’, and include </w:t>
      </w:r>
      <w:r w:rsidRPr="006B1994">
        <w:rPr>
          <w:i/>
        </w:rPr>
        <w:t>indirect</w:t>
      </w:r>
      <w:r w:rsidRPr="006B1994">
        <w:t xml:space="preserve"> (or interindustry) effects plus </w:t>
      </w:r>
      <w:r w:rsidRPr="006B1994">
        <w:rPr>
          <w:i/>
        </w:rPr>
        <w:t>induced</w:t>
      </w:r>
      <w:r w:rsidRPr="006B1994">
        <w:t xml:space="preserve"> (interactions between households’ income/spending and industry production) (Miller and Blair, 2009). Note that the stability referred to stems from the fact that nearly all of these analyses assumed constancy in technology and overall economic structure (industry mix). An early exception by Isard and Kuenne (1953), which took into account patterns of industrial location, was more realistic but was rarely incorporated into subsequent impact analyses by others.</w:t>
      </w:r>
    </w:p>
  </w:endnote>
  <w:endnote w:id="3">
    <w:p w:rsidR="00B8606B" w:rsidRPr="006B1994" w:rsidRDefault="00B8606B" w:rsidP="00B8606B">
      <w:pPr>
        <w:pStyle w:val="EndnoteText"/>
      </w:pPr>
      <w:r w:rsidRPr="006B1994">
        <w:rPr>
          <w:rStyle w:val="EndnoteReference"/>
        </w:rPr>
        <w:endnoteRef/>
      </w:r>
      <w:r w:rsidRPr="006B1994">
        <w:t xml:space="preserve"> </w:t>
      </w:r>
      <w:r w:rsidRPr="006B1994">
        <w:tab/>
        <w:t>The Federal Emergency Management Agency sponsored the development of hazard loss estimation software known as HAZUS, which combined important features such as a building inventory for the entire US, earthquake damage functions and even a flexible I-O based indirect loss module. More recently HAZUS has been upgraded to ‘multi-hazard’ status by being broadened to apply to floods and wind damage as well (FEMA, 2009).</w:t>
      </w:r>
    </w:p>
  </w:endnote>
  <w:endnote w:id="4">
    <w:p w:rsidR="00B8606B" w:rsidRPr="006B1994" w:rsidRDefault="00B8606B" w:rsidP="00B8606B">
      <w:pPr>
        <w:pStyle w:val="EndnoteText"/>
      </w:pPr>
      <w:r w:rsidRPr="006B1994">
        <w:rPr>
          <w:rStyle w:val="EndnoteReference"/>
        </w:rPr>
        <w:endnoteRef/>
      </w:r>
      <w:r w:rsidRPr="006B1994">
        <w:t xml:space="preserve"> </w:t>
      </w:r>
      <w:r w:rsidRPr="006B1994">
        <w:tab/>
        <w:t>The focus of most loss estimation is on BI rather than property damage. Property damage takes place at a given point in time, while BI only begins at the point of the shock and then proceeds until recovery to the original or ‘new normal’ state has been attained. This flow measure has many advantages, including being able to factor in resilience and features of recovery policy, as well as being more compatible with the flow basis of benefit-cost analysis.</w:t>
      </w:r>
    </w:p>
  </w:endnote>
  <w:endnote w:id="5">
    <w:p w:rsidR="00B8606B" w:rsidRPr="006B1994" w:rsidRDefault="00B8606B" w:rsidP="00B8606B">
      <w:pPr>
        <w:pStyle w:val="EndnoteText"/>
      </w:pPr>
      <w:r w:rsidRPr="006B1994">
        <w:rPr>
          <w:rStyle w:val="EndnoteReference"/>
        </w:rPr>
        <w:endnoteRef/>
      </w:r>
      <w:r w:rsidRPr="006B1994">
        <w:t xml:space="preserve"> </w:t>
      </w:r>
      <w:r w:rsidRPr="006B1994">
        <w:tab/>
        <w:t>The cost penalty for most businesses is likely to be minimal, involving only overtime pay for workers, though some businesses, such as primary metals, could have significant startup costs stemming from the cleanup of their production processes. Note also that the recapture potential is much greater from a terrorist attack than a natural hazard. In the former, the terrorist targets the water or power system, leaving the remainder of the economy unscathed, while an earthquake would be indiscriminant as to its targets, thus reducing the productive capacity of all aspects of the economy.</w:t>
      </w:r>
    </w:p>
  </w:endnote>
  <w:endnote w:id="6">
    <w:p w:rsidR="00B8606B" w:rsidRPr="006B1994" w:rsidRDefault="00B8606B" w:rsidP="00B8606B">
      <w:pPr>
        <w:pStyle w:val="EndnoteText"/>
      </w:pPr>
      <w:r w:rsidRPr="006B1994">
        <w:rPr>
          <w:rStyle w:val="EndnoteReference"/>
        </w:rPr>
        <w:endnoteRef/>
      </w:r>
      <w:r w:rsidRPr="006B1994">
        <w:t xml:space="preserve"> </w:t>
      </w:r>
      <w:r w:rsidRPr="006B1994">
        <w:tab/>
        <w:t>This mistake is also more readily made in a regional context. It is not unusual (for example, the Northridge Earthquake) for a regional economy to actually go through a boom after a disaster because of the infusion of insurance payments, philanthropic aid and government aid. Of course, all these flows are a drain on the rest of the economy of the country. Thus, it is also best to perform economic consequence analysis in a comparative static mode by analyzing the various components individually and then adding in the outside aid flows. This provides the analyst with insight into the difference each component can make on the overall impacts. Otherwise, the impacts of a disaster itself are difficult to ascertain.</w:t>
      </w:r>
    </w:p>
  </w:endnote>
  <w:endnote w:id="7">
    <w:p w:rsidR="00C23FDC" w:rsidRPr="006B1994" w:rsidRDefault="00C23FDC" w:rsidP="00C23FDC">
      <w:pPr>
        <w:pStyle w:val="EndnoteText"/>
      </w:pPr>
      <w:r w:rsidRPr="006B1994">
        <w:rPr>
          <w:rStyle w:val="EndnoteReference"/>
        </w:rPr>
        <w:endnoteRef/>
      </w:r>
      <w:r w:rsidRPr="006B1994">
        <w:t xml:space="preserve"> The cost of input substitution is reflected in the adjustment process, and the negative cost (cost-savings) of conservation is reflected in improved productivity of the conserved input.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8956874"/>
      <w:docPartObj>
        <w:docPartGallery w:val="Page Numbers (Bottom of Page)"/>
        <w:docPartUnique/>
      </w:docPartObj>
    </w:sdtPr>
    <w:sdtEndPr>
      <w:rPr>
        <w:noProof/>
      </w:rPr>
    </w:sdtEndPr>
    <w:sdtContent>
      <w:p w:rsidR="00C23FDC" w:rsidRDefault="00C23FD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C23FDC" w:rsidRDefault="00C23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06B" w:rsidRDefault="00B8606B" w:rsidP="00B8606B">
      <w:r>
        <w:separator/>
      </w:r>
    </w:p>
  </w:footnote>
  <w:footnote w:type="continuationSeparator" w:id="0">
    <w:p w:rsidR="00B8606B" w:rsidRDefault="00B8606B" w:rsidP="00B86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06B" w:rsidRPr="00B8606B" w:rsidRDefault="00B8606B" w:rsidP="00B8606B">
    <w:pPr>
      <w:pStyle w:val="Header"/>
      <w:jc w:val="right"/>
      <w:rPr>
        <w:sz w:val="18"/>
        <w:szCs w:val="18"/>
      </w:rPr>
    </w:pPr>
    <w:r w:rsidRPr="00B8606B">
      <w:rPr>
        <w:sz w:val="18"/>
        <w:szCs w:val="18"/>
      </w:rPr>
      <w:t>4/15/21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06B"/>
    <w:rsid w:val="00B8606B"/>
    <w:rsid w:val="00C23FDC"/>
    <w:rsid w:val="00C503F4"/>
    <w:rsid w:val="00CC3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8E9FC"/>
  <w15:chartTrackingRefBased/>
  <w15:docId w15:val="{6CDEA60B-1697-4849-A03E-3A7189280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06B"/>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06B"/>
    <w:pPr>
      <w:tabs>
        <w:tab w:val="center" w:pos="4680"/>
        <w:tab w:val="right" w:pos="9360"/>
      </w:tabs>
    </w:pPr>
  </w:style>
  <w:style w:type="character" w:customStyle="1" w:styleId="HeaderChar">
    <w:name w:val="Header Char"/>
    <w:basedOn w:val="DefaultParagraphFont"/>
    <w:link w:val="Header"/>
    <w:uiPriority w:val="99"/>
    <w:rsid w:val="00B8606B"/>
    <w:rPr>
      <w:rFonts w:ascii="Calibri" w:hAnsi="Calibri" w:cs="Calibri"/>
    </w:rPr>
  </w:style>
  <w:style w:type="paragraph" w:styleId="Footer">
    <w:name w:val="footer"/>
    <w:basedOn w:val="Normal"/>
    <w:link w:val="FooterChar"/>
    <w:uiPriority w:val="99"/>
    <w:unhideWhenUsed/>
    <w:rsid w:val="00B8606B"/>
    <w:pPr>
      <w:tabs>
        <w:tab w:val="center" w:pos="4680"/>
        <w:tab w:val="right" w:pos="9360"/>
      </w:tabs>
    </w:pPr>
  </w:style>
  <w:style w:type="character" w:customStyle="1" w:styleId="FooterChar">
    <w:name w:val="Footer Char"/>
    <w:basedOn w:val="DefaultParagraphFont"/>
    <w:link w:val="Footer"/>
    <w:uiPriority w:val="99"/>
    <w:rsid w:val="00B8606B"/>
    <w:rPr>
      <w:rFonts w:ascii="Calibri" w:hAnsi="Calibri" w:cs="Calibri"/>
    </w:rPr>
  </w:style>
  <w:style w:type="paragraph" w:styleId="EndnoteText">
    <w:name w:val="endnote text"/>
    <w:basedOn w:val="Normal"/>
    <w:link w:val="EndnoteTextChar"/>
    <w:uiPriority w:val="99"/>
    <w:semiHidden/>
    <w:unhideWhenUsed/>
    <w:rsid w:val="00B8606B"/>
    <w:rPr>
      <w:sz w:val="20"/>
      <w:szCs w:val="20"/>
    </w:rPr>
  </w:style>
  <w:style w:type="character" w:customStyle="1" w:styleId="EndnoteTextChar">
    <w:name w:val="Endnote Text Char"/>
    <w:basedOn w:val="DefaultParagraphFont"/>
    <w:link w:val="EndnoteText"/>
    <w:uiPriority w:val="99"/>
    <w:semiHidden/>
    <w:rsid w:val="00B8606B"/>
    <w:rPr>
      <w:rFonts w:ascii="Calibri" w:hAnsi="Calibri" w:cs="Calibri"/>
      <w:sz w:val="20"/>
      <w:szCs w:val="20"/>
    </w:rPr>
  </w:style>
  <w:style w:type="character" w:styleId="EndnoteReference">
    <w:name w:val="endnote reference"/>
    <w:rsid w:val="00B8606B"/>
    <w:rPr>
      <w:rFonts w:ascii="Times New Roman" w:hAnsi="Times New Roman" w:cs="Times New Roman"/>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59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2183</Words>
  <Characters>12446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USC Sol Price School of Public Policy</Company>
  <LinksUpToDate>false</LinksUpToDate>
  <CharactersWithSpaces>14600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Adam</dc:creator>
  <cp:keywords/>
  <dc:description/>
  <cp:lastModifiedBy>Rose, Adam</cp:lastModifiedBy>
  <cp:revision>1</cp:revision>
  <dcterms:created xsi:type="dcterms:W3CDTF">2021-04-16T01:43:00Z</dcterms:created>
  <dcterms:modified xsi:type="dcterms:W3CDTF">2021-04-16T01:58:00Z</dcterms:modified>
</cp:coreProperties>
</file>