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B7480" w14:textId="7592FE2C" w:rsidR="006135EF" w:rsidRPr="004D51E1" w:rsidRDefault="00502D19" w:rsidP="00E938AC">
      <w:pPr>
        <w:pStyle w:val="Heading1"/>
      </w:pPr>
      <w:r w:rsidRPr="004D51E1">
        <w:t>Implication of Climate Driven Supply of Renewable Energy</w:t>
      </w:r>
      <w:r w:rsidR="00011C0A" w:rsidRPr="004D51E1">
        <w:t xml:space="preserve"> </w:t>
      </w:r>
      <w:r w:rsidRPr="004D51E1">
        <w:t>Along the Electrification Pathway Toward Mitigation</w:t>
      </w:r>
    </w:p>
    <w:p w14:paraId="3E206F1B" w14:textId="39DD5ABC" w:rsidR="004D51E1" w:rsidRPr="00F5326E" w:rsidRDefault="004D51E1" w:rsidP="004D51E1">
      <w:pPr>
        <w:spacing w:before="360"/>
        <w:jc w:val="center"/>
        <w:rPr>
          <w:color w:val="000000" w:themeColor="text1"/>
          <w:vertAlign w:val="superscript"/>
        </w:rPr>
      </w:pPr>
      <w:r w:rsidRPr="00F5326E">
        <w:t>Mei Yuan</w:t>
      </w:r>
      <w:r w:rsidR="00474DEA" w:rsidRPr="00474DEA">
        <w:rPr>
          <w:vertAlign w:val="superscript"/>
        </w:rPr>
        <w:t>1</w:t>
      </w:r>
      <w:r w:rsidRPr="00F5326E">
        <w:t>, Karen Tapia-Ahumada</w:t>
      </w:r>
      <w:r w:rsidRPr="00F5326E">
        <w:rPr>
          <w:vertAlign w:val="superscript"/>
        </w:rPr>
        <w:t>2</w:t>
      </w:r>
      <w:r>
        <w:rPr>
          <w:color w:val="000000" w:themeColor="text1"/>
        </w:rPr>
        <w:t>, Xiang Gao</w:t>
      </w:r>
      <w:r w:rsidRPr="00F5326E">
        <w:rPr>
          <w:color w:val="000000" w:themeColor="text1"/>
          <w:vertAlign w:val="superscript"/>
        </w:rPr>
        <w:t>1</w:t>
      </w:r>
    </w:p>
    <w:p w14:paraId="7D533A84" w14:textId="77777777" w:rsidR="004D51E1" w:rsidRPr="00F5326E" w:rsidRDefault="004D51E1" w:rsidP="004D51E1">
      <w:pPr>
        <w:spacing w:before="0" w:after="0"/>
        <w:jc w:val="center"/>
        <w:rPr>
          <w:i/>
        </w:rPr>
      </w:pPr>
      <w:r w:rsidRPr="00F5326E">
        <w:rPr>
          <w:i/>
          <w:vertAlign w:val="superscript"/>
        </w:rPr>
        <w:t xml:space="preserve">1 </w:t>
      </w:r>
      <w:r w:rsidRPr="00F5326E">
        <w:rPr>
          <w:i/>
        </w:rPr>
        <w:t>MIT Joint Program on the Science and Policy of Global Change</w:t>
      </w:r>
    </w:p>
    <w:p w14:paraId="7CF8E6BD" w14:textId="77777777" w:rsidR="004D51E1" w:rsidRPr="00F5326E" w:rsidRDefault="004D51E1" w:rsidP="004D51E1">
      <w:pPr>
        <w:spacing w:before="0" w:after="0"/>
        <w:jc w:val="center"/>
        <w:rPr>
          <w:i/>
        </w:rPr>
      </w:pPr>
      <w:r w:rsidRPr="00F5326E">
        <w:rPr>
          <w:i/>
          <w:vertAlign w:val="superscript"/>
        </w:rPr>
        <w:t>2</w:t>
      </w:r>
      <w:r w:rsidRPr="00F5326E">
        <w:rPr>
          <w:i/>
        </w:rPr>
        <w:t xml:space="preserve"> MIT Energy Initiative</w:t>
      </w:r>
    </w:p>
    <w:p w14:paraId="73B8EC8C" w14:textId="781F350B" w:rsidR="004D51E1" w:rsidRPr="00F5326E" w:rsidRDefault="004D51E1" w:rsidP="004D51E1">
      <w:pPr>
        <w:jc w:val="center"/>
      </w:pPr>
      <w:r>
        <w:t>April</w:t>
      </w:r>
      <w:r w:rsidRPr="007254A2">
        <w:t xml:space="preserve"> 2021</w:t>
      </w:r>
    </w:p>
    <w:p w14:paraId="2A1A4648" w14:textId="77777777" w:rsidR="00905B01" w:rsidRPr="00E938AC" w:rsidRDefault="00905B01" w:rsidP="00E938AC">
      <w:pPr>
        <w:pStyle w:val="Heading1"/>
      </w:pPr>
      <w:r w:rsidRPr="00E938AC">
        <w:t>Abstract</w:t>
      </w:r>
    </w:p>
    <w:p w14:paraId="233BD5F5" w14:textId="3F72E597" w:rsidR="00D73AF5" w:rsidRPr="00E938AC" w:rsidRDefault="00AB4F2A" w:rsidP="00883D11">
      <w:pPr>
        <w:pStyle w:val="text"/>
      </w:pPr>
      <w:r w:rsidRPr="00E938AC">
        <w:t>The U.S. power sector faces unprecedented changes and challenges over the next decades as it integrates vast amounts of renewables, with unpredictable effects of climate change on intermittent supply, even as patterns of demand are likely to change as broad swaths of the economy electrify. It is estimated that about two trillion dollars of investment will be needed in the secto</w:t>
      </w:r>
      <w:r w:rsidR="002B63F7" w:rsidRPr="00E938AC">
        <w:t>r over the next several decades.</w:t>
      </w:r>
      <w:r w:rsidR="002B63F7" w:rsidRPr="00E938AC">
        <w:rPr>
          <w:vertAlign w:val="superscript"/>
        </w:rPr>
        <w:footnoteReference w:id="1"/>
      </w:r>
      <w:r w:rsidRPr="00E938AC">
        <w:t xml:space="preserve"> Without new model-based tools to better identify robust regional sources and appropriate technologies for deployment, investment dollars may be wasted or the power system subject to blackouts or rolling brownouts if supply and demand cannot be matched. Meeting this challenge requires an integration of the global climate model analysis with the economy and its electric sector</w:t>
      </w:r>
      <w:r w:rsidR="00844836" w:rsidRPr="00E938AC">
        <w:t>. In this study</w:t>
      </w:r>
      <w:r w:rsidRPr="00E938AC">
        <w:t xml:space="preserve">, we </w:t>
      </w:r>
      <w:r w:rsidR="00B26689">
        <w:t>use</w:t>
      </w:r>
      <w:r w:rsidRPr="00E938AC">
        <w:t xml:space="preserve"> large ensemble of climate projections to an MIT-developed integrated framework that </w:t>
      </w:r>
      <w:r w:rsidR="00844836" w:rsidRPr="00E938AC">
        <w:t xml:space="preserve">integrates </w:t>
      </w:r>
      <w:r w:rsidRPr="00E938AC">
        <w:t>a recursive dyna</w:t>
      </w:r>
      <w:r w:rsidR="002B63F7" w:rsidRPr="00E938AC">
        <w:t>m</w:t>
      </w:r>
      <w:r w:rsidRPr="00E938AC">
        <w:t>ic multi-sector computable general equilibrium model with an hourly dispatch and capacity expansion electricity model</w:t>
      </w:r>
      <w:r w:rsidR="00844836" w:rsidRPr="00E938AC">
        <w:t xml:space="preserve"> to examine </w:t>
      </w:r>
      <w:r w:rsidR="00A05450" w:rsidRPr="00E938AC">
        <w:t xml:space="preserve">the </w:t>
      </w:r>
      <w:r w:rsidRPr="00E938AC">
        <w:t>climate impact</w:t>
      </w:r>
      <w:r w:rsidR="00844836" w:rsidRPr="00E938AC">
        <w:t>s</w:t>
      </w:r>
      <w:r w:rsidRPr="00E938AC">
        <w:t xml:space="preserve"> on the </w:t>
      </w:r>
      <w:r w:rsidR="00583382" w:rsidRPr="00E938AC">
        <w:t xml:space="preserve">electric </w:t>
      </w:r>
      <w:r w:rsidRPr="00E938AC">
        <w:t xml:space="preserve">power </w:t>
      </w:r>
      <w:r w:rsidR="00583382" w:rsidRPr="00E938AC">
        <w:t>system</w:t>
      </w:r>
      <w:r w:rsidR="00D23723" w:rsidRPr="00E938AC">
        <w:t>. Our model takes</w:t>
      </w:r>
      <w:r w:rsidR="00A05450" w:rsidRPr="00E938AC">
        <w:t xml:space="preserve"> into account</w:t>
      </w:r>
      <w:r w:rsidRPr="00E938AC">
        <w:t xml:space="preserve"> the interaction</w:t>
      </w:r>
      <w:r w:rsidR="00844836" w:rsidRPr="00E938AC">
        <w:t>s</w:t>
      </w:r>
      <w:r w:rsidRPr="00E938AC">
        <w:t xml:space="preserve"> between the supply of the </w:t>
      </w:r>
      <w:r w:rsidR="00583382" w:rsidRPr="00E938AC">
        <w:t xml:space="preserve">generation </w:t>
      </w:r>
      <w:r w:rsidRPr="00E938AC">
        <w:t xml:space="preserve">sector and load demand by the end-use electrification. </w:t>
      </w:r>
      <w:r w:rsidR="00883D11">
        <w:t xml:space="preserve">We study New York that adopted ambitious decarbonization targets. </w:t>
      </w:r>
      <w:r w:rsidR="00DD3B6B">
        <w:t xml:space="preserve">The preliminary results </w:t>
      </w:r>
      <w:r w:rsidR="00883D11">
        <w:t>show that</w:t>
      </w:r>
      <w:r w:rsidR="00EE5B22">
        <w:t xml:space="preserve"> the decarbonization</w:t>
      </w:r>
      <w:r w:rsidR="00883D11">
        <w:t xml:space="preserve"> policy indu</w:t>
      </w:r>
      <w:r w:rsidR="00EE5B22">
        <w:t>ces</w:t>
      </w:r>
      <w:r w:rsidR="00883D11">
        <w:t xml:space="preserve"> </w:t>
      </w:r>
      <w:r w:rsidR="00EE5B22">
        <w:t xml:space="preserve">more </w:t>
      </w:r>
      <w:r w:rsidR="00883D11">
        <w:t>electricity price spikes in the summer</w:t>
      </w:r>
      <w:r w:rsidR="00EE5B22">
        <w:t xml:space="preserve">.  </w:t>
      </w:r>
      <w:r w:rsidR="008E0D8C">
        <w:t>Hi</w:t>
      </w:r>
      <w:r w:rsidR="00883D11" w:rsidRPr="00883D11">
        <w:t>gh</w:t>
      </w:r>
      <w:r w:rsidR="008E0D8C">
        <w:t>er rate of</w:t>
      </w:r>
      <w:r w:rsidR="00883D11" w:rsidRPr="00883D11">
        <w:t xml:space="preserve"> electrifying technology adoption leads to </w:t>
      </w:r>
      <w:r w:rsidR="00883D11">
        <w:t xml:space="preserve">more frequent and </w:t>
      </w:r>
      <w:r w:rsidR="00883D11" w:rsidRPr="00883D11">
        <w:t xml:space="preserve">greater </w:t>
      </w:r>
      <w:r w:rsidR="00883D11">
        <w:t>changes</w:t>
      </w:r>
      <w:r w:rsidR="00883D11" w:rsidRPr="00883D11">
        <w:t xml:space="preserve"> in </w:t>
      </w:r>
      <w:r w:rsidR="008E0D8C">
        <w:t xml:space="preserve">electricity </w:t>
      </w:r>
      <w:r w:rsidR="00883D11" w:rsidRPr="00883D11">
        <w:t>price</w:t>
      </w:r>
      <w:r w:rsidR="00883D11">
        <w:t>s</w:t>
      </w:r>
      <w:r w:rsidR="00883D11" w:rsidRPr="00883D11">
        <w:t xml:space="preserve"> in the wint</w:t>
      </w:r>
      <w:r w:rsidR="00883D11">
        <w:t xml:space="preserve">er.  </w:t>
      </w:r>
    </w:p>
    <w:p w14:paraId="2DE506E8" w14:textId="69F45DC2" w:rsidR="004D51E1" w:rsidRDefault="004D51E1">
      <w:pPr>
        <w:spacing w:before="0" w:line="259" w:lineRule="auto"/>
        <w:ind w:firstLine="0"/>
        <w:jc w:val="left"/>
        <w:rPr>
          <w:rFonts w:eastAsiaTheme="majorEastAsia" w:cstheme="majorBidi"/>
          <w:b/>
          <w:sz w:val="24"/>
          <w:szCs w:val="26"/>
        </w:rPr>
      </w:pPr>
    </w:p>
    <w:p w14:paraId="498BDFA3" w14:textId="5EC7B12D" w:rsidR="00967616" w:rsidRPr="00B058EB" w:rsidRDefault="00F136F0" w:rsidP="00E938AC">
      <w:pPr>
        <w:pStyle w:val="Heading2"/>
      </w:pPr>
      <w:r w:rsidRPr="00B058EB">
        <w:t>Modeling Approach</w:t>
      </w:r>
    </w:p>
    <w:p w14:paraId="160F3C92" w14:textId="175AA964" w:rsidR="003A4C1B" w:rsidRPr="00E938AC" w:rsidRDefault="006B5442" w:rsidP="001C2A82">
      <w:r w:rsidRPr="00E938AC">
        <w:t>On</w:t>
      </w:r>
      <w:r w:rsidR="00152002" w:rsidRPr="00E938AC">
        <w:t xml:space="preserve"> the climate-energy-economy nexus, </w:t>
      </w:r>
      <w:r w:rsidR="003A4C1B" w:rsidRPr="00E938AC">
        <w:t xml:space="preserve">we </w:t>
      </w:r>
      <w:r w:rsidR="00667FA3" w:rsidRPr="00E938AC">
        <w:t xml:space="preserve">build </w:t>
      </w:r>
      <w:r w:rsidR="003A4C1B" w:rsidRPr="00E938AC">
        <w:t>a framework that incorporates</w:t>
      </w:r>
      <w:r w:rsidR="00162943" w:rsidRPr="00E938AC">
        <w:t xml:space="preserve"> climate</w:t>
      </w:r>
      <w:r w:rsidR="003A4C1B" w:rsidRPr="00E938AC">
        <w:t xml:space="preserve"> prediction into an integrated </w:t>
      </w:r>
      <w:r w:rsidR="008C22C2" w:rsidRPr="00E938AC">
        <w:t xml:space="preserve">energy-economy </w:t>
      </w:r>
      <w:r w:rsidR="003A4C1B" w:rsidRPr="00E938AC">
        <w:t xml:space="preserve">model that </w:t>
      </w:r>
      <w:r w:rsidR="000C0D36" w:rsidRPr="00E938AC">
        <w:t xml:space="preserve">uses </w:t>
      </w:r>
      <w:r w:rsidR="003A4C1B" w:rsidRPr="00E938AC">
        <w:t>two paradigms used by policy and decision makers, namely a top-down and bottom-up approach that combines a multi-region multi-sector dynamic general equilibrium model of the U.S. economy (MIT</w:t>
      </w:r>
      <w:r w:rsidR="00F54869" w:rsidRPr="00E938AC">
        <w:t xml:space="preserve"> U.S. Regional Energy Policy, USREP</w:t>
      </w:r>
      <w:r w:rsidR="003A4C1B" w:rsidRPr="00E938AC">
        <w:t>) with a chronological dispatch and capacity expansion electricity model (</w:t>
      </w:r>
      <w:r w:rsidR="00715A84" w:rsidRPr="00E938AC">
        <w:t xml:space="preserve">MIT </w:t>
      </w:r>
      <w:r w:rsidR="00F54869" w:rsidRPr="00E938AC">
        <w:t xml:space="preserve">Electricity Model, </w:t>
      </w:r>
      <w:r w:rsidR="003A4C1B" w:rsidRPr="00E938AC">
        <w:t>EleMod)</w:t>
      </w:r>
      <w:r w:rsidR="000C0D36" w:rsidRPr="00E938AC">
        <w:t xml:space="preserve"> [1, 2, 3, 4]</w:t>
      </w:r>
      <w:r w:rsidR="003A4C1B" w:rsidRPr="00E938AC">
        <w:t xml:space="preserve">. The </w:t>
      </w:r>
      <w:r w:rsidR="00427E73" w:rsidRPr="00E938AC">
        <w:t xml:space="preserve">USREP-EleMod </w:t>
      </w:r>
      <w:r w:rsidR="003A4C1B" w:rsidRPr="00E938AC">
        <w:t xml:space="preserve">portrays </w:t>
      </w:r>
      <w:r w:rsidR="003A4C1B" w:rsidRPr="00E938AC">
        <w:lastRenderedPageBreak/>
        <w:t>an economy with all sectors interrelated through markets where prices and quantitie</w:t>
      </w:r>
      <w:r w:rsidR="00427E73" w:rsidRPr="00E938AC">
        <w:t xml:space="preserve">s are </w:t>
      </w:r>
      <w:r w:rsidR="00851CE4" w:rsidRPr="00E938AC">
        <w:t xml:space="preserve">simultaneously </w:t>
      </w:r>
      <w:r w:rsidR="00427E73" w:rsidRPr="00E938AC">
        <w:t xml:space="preserve">determined. </w:t>
      </w:r>
      <w:r w:rsidR="003A4C1B" w:rsidRPr="00E938AC">
        <w:t xml:space="preserve">EleMod explicitly takes into consideration hourly demand and hourly supply of wind and solar by geographic region </w:t>
      </w:r>
      <w:r w:rsidR="0089460A" w:rsidRPr="00E938AC">
        <w:t xml:space="preserve">and thus </w:t>
      </w:r>
      <w:r w:rsidR="003A4C1B" w:rsidRPr="00E938AC">
        <w:t>provide</w:t>
      </w:r>
      <w:r w:rsidR="0089460A" w:rsidRPr="00E938AC">
        <w:t>s</w:t>
      </w:r>
      <w:r w:rsidR="003A4C1B" w:rsidRPr="00E938AC">
        <w:t xml:space="preserve"> a fine spatiotemporal representation of the electricity system.</w:t>
      </w:r>
    </w:p>
    <w:p w14:paraId="61936409" w14:textId="00A4BA6A" w:rsidR="00162943" w:rsidRPr="00E938AC" w:rsidRDefault="00060E84" w:rsidP="001C2A82">
      <w:r w:rsidRPr="00E938AC">
        <w:t xml:space="preserve">Figure 1 </w:t>
      </w:r>
      <w:r w:rsidR="00162943" w:rsidRPr="00E938AC">
        <w:t xml:space="preserve">illustrates the </w:t>
      </w:r>
      <w:r w:rsidR="00851CE4" w:rsidRPr="00E938AC">
        <w:t xml:space="preserve">interactions among </w:t>
      </w:r>
      <w:r w:rsidR="00162943" w:rsidRPr="00E938AC">
        <w:t xml:space="preserve">the key components of </w:t>
      </w:r>
      <w:r w:rsidR="00996CA8" w:rsidRPr="00E938AC">
        <w:t xml:space="preserve">our </w:t>
      </w:r>
      <w:r w:rsidR="00162943" w:rsidRPr="00E938AC">
        <w:t xml:space="preserve">framework. The panels on the left illustrate </w:t>
      </w:r>
      <w:r w:rsidR="00844836" w:rsidRPr="00E938AC">
        <w:t>various climate scenarios</w:t>
      </w:r>
      <w:r w:rsidR="00162943" w:rsidRPr="00E938AC">
        <w:t xml:space="preserve"> that </w:t>
      </w:r>
      <w:r w:rsidR="00844836" w:rsidRPr="00E938AC">
        <w:t xml:space="preserve">may </w:t>
      </w:r>
      <w:r w:rsidR="00162943" w:rsidRPr="00E938AC">
        <w:t xml:space="preserve">alter the availability of wind and solar energy resources over space and time (see </w:t>
      </w:r>
      <w:r w:rsidR="004413EB" w:rsidRPr="00E938AC">
        <w:t xml:space="preserve">panel </w:t>
      </w:r>
      <w:r w:rsidR="00162943" w:rsidRPr="00E938AC">
        <w:t xml:space="preserve">(b) and </w:t>
      </w:r>
      <w:r w:rsidR="004413EB" w:rsidRPr="00E938AC">
        <w:t xml:space="preserve">panel </w:t>
      </w:r>
      <w:r w:rsidR="00162943" w:rsidRPr="00E938AC">
        <w:t xml:space="preserve">(c)). We </w:t>
      </w:r>
      <w:r w:rsidR="00667FA3" w:rsidRPr="00E938AC">
        <w:t>t</w:t>
      </w:r>
      <w:r w:rsidR="00162943" w:rsidRPr="00E938AC">
        <w:t xml:space="preserve">o </w:t>
      </w:r>
      <w:r w:rsidR="00844836" w:rsidRPr="00E938AC">
        <w:t xml:space="preserve">examine </w:t>
      </w:r>
      <w:r w:rsidR="00162943" w:rsidRPr="00E938AC">
        <w:t xml:space="preserve">the shifts in </w:t>
      </w:r>
      <w:r w:rsidR="00844836" w:rsidRPr="00E938AC">
        <w:t xml:space="preserve">climate </w:t>
      </w:r>
      <w:r w:rsidR="00162943" w:rsidRPr="00E938AC">
        <w:t>patterns from a large ensemble of climate model projections over the 2015-2</w:t>
      </w:r>
      <w:r w:rsidR="004F50A4" w:rsidRPr="00E938AC">
        <w:t>10</w:t>
      </w:r>
      <w:r w:rsidR="00162943" w:rsidRPr="00E938AC">
        <w:t>0 period generated under</w:t>
      </w:r>
      <w:r w:rsidR="00917818" w:rsidRPr="00E938AC">
        <w:t xml:space="preserve"> the ScenarioMIP</w:t>
      </w:r>
      <w:r w:rsidR="00162943" w:rsidRPr="00E938AC">
        <w:t xml:space="preserve"> </w:t>
      </w:r>
      <w:r w:rsidR="00E22ED6" w:rsidRPr="00E938AC">
        <w:t>[</w:t>
      </w:r>
      <w:r w:rsidR="000F25A6" w:rsidRPr="00E938AC">
        <w:t>5</w:t>
      </w:r>
      <w:r w:rsidR="00E22ED6" w:rsidRPr="00E938AC">
        <w:t>]</w:t>
      </w:r>
      <w:r w:rsidR="00074572" w:rsidRPr="00E938AC">
        <w:t xml:space="preserve"> </w:t>
      </w:r>
      <w:r w:rsidR="00162943" w:rsidRPr="00E938AC">
        <w:t>from the Coupled Model Intercomparison Project (CMIP6)</w:t>
      </w:r>
      <w:r w:rsidR="00E22ED6" w:rsidRPr="00E938AC">
        <w:t xml:space="preserve"> to support Intergovernmental Panel on Climate Change (IPCC)</w:t>
      </w:r>
      <w:r w:rsidR="00162943" w:rsidRPr="00E938AC">
        <w:t>. ScenarioMIP includes simulations of more than 30 climate models performing a matrix of scenario combinations shown in (a). Each cell represents a combination of shared socioeconomic pathway</w:t>
      </w:r>
      <w:r w:rsidR="00162943" w:rsidRPr="00E938AC">
        <w:rPr>
          <w:vertAlign w:val="superscript"/>
        </w:rPr>
        <w:footnoteReference w:id="2"/>
      </w:r>
      <w:r w:rsidR="00162943" w:rsidRPr="00E938AC">
        <w:t xml:space="preserve"> (SSP) and climate outcome based on a specific representative concentration pathway (RCP). Our </w:t>
      </w:r>
      <w:r w:rsidR="00AB7610" w:rsidRPr="00E938AC">
        <w:t>study</w:t>
      </w:r>
      <w:r w:rsidR="00162943" w:rsidRPr="00E938AC">
        <w:t xml:space="preserve"> focus</w:t>
      </w:r>
      <w:r w:rsidR="00AB7610" w:rsidRPr="00E938AC">
        <w:t>es</w:t>
      </w:r>
      <w:r w:rsidR="00162943" w:rsidRPr="00E938AC">
        <w:t xml:space="preserve"> on the dark blue cell scenarios shown in </w:t>
      </w:r>
      <w:r w:rsidR="00996CA8" w:rsidRPr="00E938AC">
        <w:t>panel</w:t>
      </w:r>
      <w:r w:rsidR="00162943" w:rsidRPr="00E938AC">
        <w:t xml:space="preserve"> (a). </w:t>
      </w:r>
    </w:p>
    <w:p w14:paraId="6990067D" w14:textId="479697E2" w:rsidR="00FE1E54" w:rsidRPr="00E938AC" w:rsidRDefault="00FE1E54" w:rsidP="00E938AC"/>
    <w:p w14:paraId="16FAFD7A" w14:textId="62FC99A6" w:rsidR="00FE1E54" w:rsidRPr="00E938AC" w:rsidRDefault="00FE1E54" w:rsidP="00E938AC">
      <w:pPr>
        <w:pStyle w:val="Figure"/>
      </w:pPr>
      <w:bookmarkStart w:id="0" w:name="_Ref61644449"/>
      <w:r w:rsidRPr="00E938AC">
        <w:rPr>
          <w:lang w:eastAsia="zh-CN"/>
        </w:rPr>
        <w:drawing>
          <wp:anchor distT="0" distB="0" distL="114300" distR="114300" simplePos="0" relativeHeight="251658240" behindDoc="0" locked="0" layoutInCell="1" allowOverlap="0" wp14:anchorId="324777B6" wp14:editId="4AA56781">
            <wp:simplePos x="0" y="0"/>
            <wp:positionH relativeFrom="column">
              <wp:posOffset>630702</wp:posOffset>
            </wp:positionH>
            <wp:positionV relativeFrom="paragraph">
              <wp:posOffset>-440</wp:posOffset>
            </wp:positionV>
            <wp:extent cx="4864608" cy="2871216"/>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4608" cy="28712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38AC">
        <w:rPr>
          <w:b/>
        </w:rPr>
        <w:t xml:space="preserve">Figure </w:t>
      </w:r>
      <w:r w:rsidRPr="00E938AC">
        <w:rPr>
          <w:b/>
        </w:rPr>
        <w:fldChar w:fldCharType="begin"/>
      </w:r>
      <w:r w:rsidRPr="00E938AC">
        <w:rPr>
          <w:b/>
        </w:rPr>
        <w:instrText xml:space="preserve"> SEQ Figure \* ARABIC </w:instrText>
      </w:r>
      <w:r w:rsidRPr="00E938AC">
        <w:rPr>
          <w:b/>
        </w:rPr>
        <w:fldChar w:fldCharType="separate"/>
      </w:r>
      <w:r w:rsidR="00A27DE7" w:rsidRPr="00E938AC">
        <w:rPr>
          <w:b/>
        </w:rPr>
        <w:t>1</w:t>
      </w:r>
      <w:r w:rsidRPr="00E938AC">
        <w:rPr>
          <w:b/>
        </w:rPr>
        <w:fldChar w:fldCharType="end"/>
      </w:r>
      <w:bookmarkEnd w:id="0"/>
      <w:r w:rsidRPr="00E938AC">
        <w:rPr>
          <w:b/>
        </w:rPr>
        <w:t xml:space="preserve">: </w:t>
      </w:r>
      <w:r w:rsidRPr="00E938AC">
        <w:t>An illustration of interaction between climate-driven resource supply for electricity generation and variability in sectoral load demand. (a) SSP-RCP scenario matrix in ScenarioMIP of CMIP6 [5]; (b)</w:t>
      </w:r>
      <w:r w:rsidRPr="00E938AC" w:rsidDel="00730BB7">
        <w:t xml:space="preserve"> </w:t>
      </w:r>
      <w:r w:rsidRPr="00E938AC">
        <w:t xml:space="preserve">Annual average wind speed at 80m over the U.S. [6]; (c) Illustrative WPD profile showing the fluctuations in wind [7]; (d) EV charging profiles by location [8]; (e) Electricity demand </w:t>
      </w:r>
      <w:r w:rsidRPr="00E938AC">
        <w:lastRenderedPageBreak/>
        <w:t>load shapes by sector [9]; and (f) Example profiles of wind and solar supply profile and the load profile over 24 hours in a day.</w:t>
      </w:r>
    </w:p>
    <w:p w14:paraId="3943F7B6" w14:textId="63AA97D3" w:rsidR="00162943" w:rsidRPr="00E938AC" w:rsidRDefault="00162943" w:rsidP="001C2A82">
      <w:r w:rsidRPr="00E938AC">
        <w:t xml:space="preserve">With the conversion of the projected renewable energy </w:t>
      </w:r>
      <w:r w:rsidR="00996CA8" w:rsidRPr="00E938AC">
        <w:t>(</w:t>
      </w:r>
      <w:r w:rsidR="0079471C" w:rsidRPr="00E938AC">
        <w:t>i.e.</w:t>
      </w:r>
      <w:r w:rsidR="009E7501" w:rsidRPr="00E938AC">
        <w:t>,</w:t>
      </w:r>
      <w:r w:rsidR="0079471C" w:rsidRPr="00E938AC">
        <w:t xml:space="preserve"> </w:t>
      </w:r>
      <w:r w:rsidRPr="00E938AC">
        <w:t>wind speed and solar radiation</w:t>
      </w:r>
      <w:r w:rsidR="00996CA8" w:rsidRPr="00E938AC">
        <w:t xml:space="preserve">) </w:t>
      </w:r>
      <w:r w:rsidRPr="00E938AC">
        <w:t xml:space="preserve">to renewable power that can be outputted by generating technologies </w:t>
      </w:r>
      <w:r w:rsidR="00996CA8" w:rsidRPr="00E938AC">
        <w:t>(</w:t>
      </w:r>
      <w:r w:rsidR="0079471C" w:rsidRPr="00E938AC">
        <w:t>i.e.</w:t>
      </w:r>
      <w:r w:rsidR="009E7501" w:rsidRPr="00E938AC">
        <w:t>,</w:t>
      </w:r>
      <w:r w:rsidR="0079471C" w:rsidRPr="00E938AC">
        <w:t xml:space="preserve"> </w:t>
      </w:r>
      <w:r w:rsidRPr="00E938AC">
        <w:t>wind turbine and solar photovoltaic panel</w:t>
      </w:r>
      <w:r w:rsidR="00996CA8" w:rsidRPr="00E938AC">
        <w:t>)</w:t>
      </w:r>
      <w:r w:rsidRPr="00E938AC">
        <w:t xml:space="preserve">, we </w:t>
      </w:r>
      <w:r w:rsidR="00B33BA7" w:rsidRPr="00E938AC">
        <w:t xml:space="preserve">are able to </w:t>
      </w:r>
      <w:r w:rsidRPr="00E938AC">
        <w:t>integrate the climat</w:t>
      </w:r>
      <w:r w:rsidR="00844836" w:rsidRPr="00E938AC">
        <w:t xml:space="preserve">e model projected </w:t>
      </w:r>
      <w:r w:rsidRPr="00E938AC">
        <w:t>renewable</w:t>
      </w:r>
      <w:r w:rsidR="00B33BA7" w:rsidRPr="00E938AC">
        <w:t xml:space="preserve"> sources</w:t>
      </w:r>
      <w:r w:rsidRPr="00E938AC">
        <w:t xml:space="preserve"> to an hourly dispatch and capacity investment electricity model, moving from the left panels to </w:t>
      </w:r>
      <w:r w:rsidR="00996CA8" w:rsidRPr="00E938AC">
        <w:t xml:space="preserve">panel </w:t>
      </w:r>
      <w:r w:rsidRPr="00E938AC">
        <w:t xml:space="preserve">(f). </w:t>
      </w:r>
      <w:r w:rsidR="00844836" w:rsidRPr="00E938AC">
        <w:t>Under each</w:t>
      </w:r>
      <w:r w:rsidRPr="00E938AC">
        <w:t xml:space="preserve"> SSP-RCP scenario, there is an associated emissions pathway which we will use to define the economy-wide emissions targets in the model that projects changing demand for electricity in all sectors of the economy. This ensures the consistency between the climate model</w:t>
      </w:r>
      <w:r w:rsidR="0089460A" w:rsidRPr="00E938AC">
        <w:t xml:space="preserve"> projections</w:t>
      </w:r>
      <w:r w:rsidRPr="00E938AC">
        <w:t xml:space="preserve"> and the integrated </w:t>
      </w:r>
      <w:r w:rsidR="00996CA8" w:rsidRPr="00E938AC">
        <w:t xml:space="preserve">energy-economy </w:t>
      </w:r>
      <w:r w:rsidRPr="00E938AC">
        <w:t>model in the emissions outcome.</w:t>
      </w:r>
    </w:p>
    <w:p w14:paraId="7F82C0CD" w14:textId="1E149BC0" w:rsidR="0024532F" w:rsidRPr="00E938AC" w:rsidRDefault="00162943" w:rsidP="004629E0">
      <w:r w:rsidRPr="00E938AC">
        <w:t xml:space="preserve">To meet economy-wide decarbonization targets, electricity demand may go through a massive structural change due to large-scale deployment of electrification. These changes may vary by sector. The variabilities captured by charging load profiles shown in </w:t>
      </w:r>
      <w:r w:rsidR="00996CA8" w:rsidRPr="00E938AC">
        <w:t>panel</w:t>
      </w:r>
      <w:r w:rsidRPr="00E938AC">
        <w:t xml:space="preserve"> (d) and </w:t>
      </w:r>
      <w:r w:rsidR="00616EDA" w:rsidRPr="00E938AC">
        <w:t xml:space="preserve">panel </w:t>
      </w:r>
      <w:r w:rsidRPr="00E938AC">
        <w:t xml:space="preserve">(e) are driven by sectoral demand growth, </w:t>
      </w:r>
      <w:r w:rsidR="004629E0">
        <w:t xml:space="preserve">electrifying </w:t>
      </w:r>
      <w:r w:rsidRPr="00E938AC">
        <w:t xml:space="preserve">technology </w:t>
      </w:r>
      <w:r w:rsidR="004629E0">
        <w:t xml:space="preserve">adoption and </w:t>
      </w:r>
      <w:r w:rsidRPr="00E938AC">
        <w:t>advancement, sensitivity to the pricing scheme, behavior</w:t>
      </w:r>
      <w:r w:rsidR="004629E0">
        <w:t xml:space="preserve"> of the consumers, etc. We </w:t>
      </w:r>
      <w:r w:rsidR="002C22D3">
        <w:t>adopt</w:t>
      </w:r>
      <w:r w:rsidRPr="00E938AC">
        <w:t xml:space="preserve"> the charging load profiles by referring to </w:t>
      </w:r>
      <w:r w:rsidR="004629E0">
        <w:t>those produced by NREL’s Electrification Futures Study</w:t>
      </w:r>
      <w:r w:rsidR="00AB6DB0">
        <w:t xml:space="preserve"> (EFS)</w:t>
      </w:r>
      <w:r w:rsidR="004629E0">
        <w:t xml:space="preserve"> [10]</w:t>
      </w:r>
      <w:r w:rsidR="002C22D3">
        <w:t xml:space="preserve">.  </w:t>
      </w:r>
    </w:p>
    <w:p w14:paraId="562B87CF" w14:textId="55D8F53F" w:rsidR="00B7571E" w:rsidRPr="00E938AC" w:rsidRDefault="00B7571E" w:rsidP="00E938AC">
      <w:pPr>
        <w:pStyle w:val="Heading2"/>
      </w:pPr>
      <w:r w:rsidRPr="00E938AC">
        <w:t>Scenarios</w:t>
      </w:r>
    </w:p>
    <w:p w14:paraId="5F05FC78" w14:textId="2D816C15" w:rsidR="00C52259" w:rsidRPr="00E938AC" w:rsidRDefault="00877D09" w:rsidP="001C2A82">
      <w:r w:rsidRPr="00E938AC">
        <w:t xml:space="preserve">We </w:t>
      </w:r>
      <w:r w:rsidR="00C248DE" w:rsidRPr="00E938AC">
        <w:t>analyze several</w:t>
      </w:r>
      <w:r w:rsidRPr="00E938AC">
        <w:t xml:space="preserve"> scenarios</w:t>
      </w:r>
      <w:r w:rsidR="00FF5F3F" w:rsidRPr="00E938AC">
        <w:t xml:space="preserve"> to investigate </w:t>
      </w:r>
      <w:r w:rsidR="003154FF" w:rsidRPr="00E938AC">
        <w:t xml:space="preserve">the </w:t>
      </w:r>
      <w:r w:rsidR="0089460A" w:rsidRPr="00E938AC">
        <w:t>climate impacts</w:t>
      </w:r>
      <w:r w:rsidR="00FF5F3F" w:rsidRPr="00E938AC">
        <w:t xml:space="preserve"> on the adaptation of the electric power sector to increasi</w:t>
      </w:r>
      <w:r w:rsidR="003154FF" w:rsidRPr="00E938AC">
        <w:t xml:space="preserve">ng renewable generation, the effect of </w:t>
      </w:r>
      <w:r w:rsidR="00FF5F3F" w:rsidRPr="00E938AC">
        <w:t>evolving demand due to the trend of increased electrification</w:t>
      </w:r>
      <w:r w:rsidR="003154FF" w:rsidRPr="00E938AC">
        <w:t xml:space="preserve">, and </w:t>
      </w:r>
      <w:r w:rsidR="00AF2528" w:rsidRPr="00E938AC">
        <w:t xml:space="preserve">the effect on the electric system that balances the </w:t>
      </w:r>
      <w:r w:rsidR="001203E1" w:rsidRPr="00E938AC">
        <w:t xml:space="preserve">grid given the interaction </w:t>
      </w:r>
      <w:r w:rsidR="00DE6CD3" w:rsidRPr="00E938AC">
        <w:t xml:space="preserve">between </w:t>
      </w:r>
      <w:r w:rsidR="00E24E45" w:rsidRPr="00E938AC">
        <w:t xml:space="preserve">the uncertainty </w:t>
      </w:r>
      <w:r w:rsidR="00E24E45" w:rsidRPr="00E938AC">
        <w:rPr>
          <w:color w:val="000000" w:themeColor="text1"/>
        </w:rPr>
        <w:t xml:space="preserve">associated with </w:t>
      </w:r>
      <w:r w:rsidR="00E24E45" w:rsidRPr="00E938AC">
        <w:t xml:space="preserve">climate-driven renewable energy </w:t>
      </w:r>
      <w:r w:rsidR="00AF2528" w:rsidRPr="00E938AC">
        <w:t xml:space="preserve">supply and </w:t>
      </w:r>
      <w:r w:rsidR="00E24E45" w:rsidRPr="00E938AC">
        <w:t>variability associated with the electrification deployment</w:t>
      </w:r>
      <w:r w:rsidR="00AF2528" w:rsidRPr="00E938AC">
        <w:t>.</w:t>
      </w:r>
    </w:p>
    <w:p w14:paraId="03B3737F" w14:textId="0C85F40B" w:rsidR="00056FE0" w:rsidRPr="00E938AC" w:rsidRDefault="00536ABA" w:rsidP="00E938AC">
      <w:pPr>
        <w:pStyle w:val="ListParagraph"/>
        <w:numPr>
          <w:ilvl w:val="0"/>
          <w:numId w:val="4"/>
        </w:numPr>
      </w:pPr>
      <w:r>
        <w:t>[</w:t>
      </w:r>
      <w:r w:rsidRPr="00536ABA">
        <w:rPr>
          <w:b/>
        </w:rPr>
        <w:t>C</w:t>
      </w:r>
      <w:r>
        <w:rPr>
          <w:b/>
        </w:rPr>
        <w:t>limate</w:t>
      </w:r>
      <w:r>
        <w:t xml:space="preserve">] </w:t>
      </w:r>
      <w:r w:rsidR="00D36CB0" w:rsidRPr="00E938AC">
        <w:t>The</w:t>
      </w:r>
      <w:r w:rsidR="00056FE0" w:rsidRPr="00E938AC">
        <w:t xml:space="preserve"> </w:t>
      </w:r>
      <w:r w:rsidR="00077ABD" w:rsidRPr="00E938AC">
        <w:rPr>
          <w:b/>
        </w:rPr>
        <w:t>climate uncertainty</w:t>
      </w:r>
      <w:r w:rsidR="00056FE0" w:rsidRPr="00E938AC">
        <w:t xml:space="preserve"> </w:t>
      </w:r>
      <w:r w:rsidR="00056FE0" w:rsidRPr="00E938AC">
        <w:rPr>
          <w:b/>
        </w:rPr>
        <w:t>scenario</w:t>
      </w:r>
      <w:r w:rsidR="00056FE0" w:rsidRPr="00E938AC">
        <w:t xml:space="preserve"> </w:t>
      </w:r>
      <w:r w:rsidR="00077ABD" w:rsidRPr="00E938AC">
        <w:t>involves the conversion of climate projected wind speed and solar radiation to renewable power that can be outputted by generating technologies</w:t>
      </w:r>
      <w:r w:rsidR="0089460A" w:rsidRPr="00E938AC">
        <w:t xml:space="preserve"> (</w:t>
      </w:r>
      <w:r w:rsidR="00077ABD" w:rsidRPr="00E938AC">
        <w:t>wind turbine and solar photovoltaic panel</w:t>
      </w:r>
      <w:r w:rsidR="0089460A" w:rsidRPr="00E938AC">
        <w:t>)</w:t>
      </w:r>
      <w:r w:rsidR="00077ABD" w:rsidRPr="00E938AC">
        <w:t xml:space="preserve">, and </w:t>
      </w:r>
      <w:r w:rsidR="003128FE" w:rsidRPr="00E938AC">
        <w:t xml:space="preserve">the </w:t>
      </w:r>
      <w:r w:rsidR="00077ABD" w:rsidRPr="00E938AC">
        <w:t>integration of c</w:t>
      </w:r>
      <w:r w:rsidR="0089460A" w:rsidRPr="00E938AC">
        <w:t xml:space="preserve">onverted </w:t>
      </w:r>
      <w:r w:rsidR="00077ABD" w:rsidRPr="00E938AC">
        <w:t>renewable</w:t>
      </w:r>
      <w:r w:rsidR="003128FE" w:rsidRPr="00E938AC">
        <w:t xml:space="preserve"> resource</w:t>
      </w:r>
      <w:r w:rsidR="00077ABD" w:rsidRPr="00E938AC">
        <w:t>s to an hourly dispatch and capacity investment electricity model.</w:t>
      </w:r>
      <w:r w:rsidR="002C22D3">
        <w:t xml:space="preserve">  This scenario considers climate projection under the SSP5-RCP8.5 (SSP585), SSP2-RCP4.5 (SSP245) and SSP1-RCP2.6 (SSP126) scenarios </w:t>
      </w:r>
      <w:r>
        <w:t xml:space="preserve">in the CMIP6 matrix. </w:t>
      </w:r>
    </w:p>
    <w:p w14:paraId="166271D5" w14:textId="2F6DD106" w:rsidR="00AF2528" w:rsidRPr="00E938AC" w:rsidRDefault="00536ABA" w:rsidP="00E938AC">
      <w:pPr>
        <w:pStyle w:val="ListParagraph"/>
        <w:numPr>
          <w:ilvl w:val="0"/>
          <w:numId w:val="4"/>
        </w:numPr>
      </w:pPr>
      <w:r>
        <w:t>[</w:t>
      </w:r>
      <w:r>
        <w:rPr>
          <w:b/>
        </w:rPr>
        <w:t>Load</w:t>
      </w:r>
      <w:r>
        <w:t xml:space="preserve">] </w:t>
      </w:r>
      <w:r w:rsidR="00056FE0" w:rsidRPr="00E938AC">
        <w:t xml:space="preserve">The </w:t>
      </w:r>
      <w:r w:rsidR="00077ABD" w:rsidRPr="00E938AC">
        <w:rPr>
          <w:b/>
        </w:rPr>
        <w:t xml:space="preserve">load variability </w:t>
      </w:r>
      <w:r w:rsidR="00056FE0" w:rsidRPr="00E938AC">
        <w:rPr>
          <w:b/>
        </w:rPr>
        <w:t>scenario</w:t>
      </w:r>
      <w:r w:rsidR="00F73FCC" w:rsidRPr="00E938AC">
        <w:t xml:space="preserve"> </w:t>
      </w:r>
      <w:r w:rsidR="00F37D01" w:rsidRPr="00E938AC">
        <w:t xml:space="preserve">examines </w:t>
      </w:r>
      <w:r w:rsidR="00F73FCC" w:rsidRPr="00E938AC">
        <w:t xml:space="preserve">the </w:t>
      </w:r>
      <w:r w:rsidR="00F37D01" w:rsidRPr="00E938AC">
        <w:t xml:space="preserve">impact of load variability driven by rapid electrification which is expected to </w:t>
      </w:r>
      <w:r w:rsidR="007133BF" w:rsidRPr="00E938AC">
        <w:t xml:space="preserve">cause </w:t>
      </w:r>
      <w:r w:rsidR="00F37D01" w:rsidRPr="00E938AC">
        <w:t xml:space="preserve">an increase in aggregate load demand and lead the daily </w:t>
      </w:r>
      <w:r w:rsidR="00F37D01" w:rsidRPr="00E938AC">
        <w:lastRenderedPageBreak/>
        <w:t>load profile to vary</w:t>
      </w:r>
      <w:r>
        <w:t xml:space="preserve"> in pattern</w:t>
      </w:r>
      <w:r w:rsidR="00F37D01" w:rsidRPr="00E938AC">
        <w:t>.</w:t>
      </w:r>
      <w:r>
        <w:t xml:space="preserve">  This scenario considers the sectoral load profiles produced by NREL’s </w:t>
      </w:r>
      <w:r w:rsidR="00AB6DB0">
        <w:t>EFS</w:t>
      </w:r>
      <w:r>
        <w:t xml:space="preserve"> [10].</w:t>
      </w:r>
    </w:p>
    <w:p w14:paraId="59B5AFAD" w14:textId="5C903396" w:rsidR="00077ABD" w:rsidRDefault="00536ABA" w:rsidP="00E938AC">
      <w:pPr>
        <w:pStyle w:val="ListParagraph"/>
        <w:numPr>
          <w:ilvl w:val="0"/>
          <w:numId w:val="4"/>
        </w:numPr>
      </w:pPr>
      <w:r>
        <w:t>[</w:t>
      </w:r>
      <w:r>
        <w:rPr>
          <w:b/>
        </w:rPr>
        <w:t>Interaction</w:t>
      </w:r>
      <w:r>
        <w:t xml:space="preserve">] </w:t>
      </w:r>
      <w:r w:rsidR="00D36CB0" w:rsidRPr="00E938AC">
        <w:t xml:space="preserve">The </w:t>
      </w:r>
      <w:r w:rsidR="007133BF" w:rsidRPr="00E938AC">
        <w:rPr>
          <w:b/>
        </w:rPr>
        <w:t>i</w:t>
      </w:r>
      <w:r w:rsidR="00D36CB0" w:rsidRPr="00E938AC">
        <w:rPr>
          <w:b/>
        </w:rPr>
        <w:t>nteraction</w:t>
      </w:r>
      <w:r w:rsidR="00D36CB0" w:rsidRPr="00E938AC">
        <w:t xml:space="preserve"> </w:t>
      </w:r>
      <w:r w:rsidR="00D36CB0" w:rsidRPr="00E938AC">
        <w:rPr>
          <w:b/>
        </w:rPr>
        <w:t>scenario</w:t>
      </w:r>
      <w:r w:rsidR="00247EEC" w:rsidRPr="00E938AC">
        <w:t xml:space="preserve"> provides information on when (time) and where (region) the electricity system is likely being stressed under a given climate outcome and demand change, therefore support</w:t>
      </w:r>
      <w:r w:rsidR="006D21F1" w:rsidRPr="00E938AC">
        <w:t>ing</w:t>
      </w:r>
      <w:r w:rsidR="00247EEC" w:rsidRPr="00E938AC">
        <w:t xml:space="preserve"> the local power system planning process.</w:t>
      </w:r>
      <w:r>
        <w:t xml:space="preserve">  This scenario explores the combination of the </w:t>
      </w:r>
      <w:r w:rsidRPr="00536ABA">
        <w:rPr>
          <w:b/>
        </w:rPr>
        <w:t>Climate</w:t>
      </w:r>
      <w:r>
        <w:t xml:space="preserve"> and </w:t>
      </w:r>
      <w:r w:rsidRPr="00536ABA">
        <w:rPr>
          <w:b/>
        </w:rPr>
        <w:t>Load</w:t>
      </w:r>
      <w:r>
        <w:t xml:space="preserve"> scenario.</w:t>
      </w:r>
    </w:p>
    <w:p w14:paraId="2317E05A" w14:textId="0E50526E" w:rsidR="001E6F87" w:rsidRPr="00E938AC" w:rsidRDefault="009D1475" w:rsidP="001E6F87">
      <w:r>
        <w:t>For this study, w</w:t>
      </w:r>
      <w:r w:rsidR="001E6F87">
        <w:t xml:space="preserve">e </w:t>
      </w:r>
      <w:r>
        <w:t>limit our scope to New York (NY) where ambitious energy and climate policies are adopted to decarbonize its power sector and a long-term economy-wide mitigation target.</w:t>
      </w:r>
      <w:r w:rsidRPr="009D1475">
        <w:t xml:space="preserve"> </w:t>
      </w:r>
      <w:r w:rsidRPr="00F5326E">
        <w:t xml:space="preserve">We develop a </w:t>
      </w:r>
      <w:r w:rsidR="008B1B8E" w:rsidRPr="008B1B8E">
        <w:rPr>
          <w:b/>
        </w:rPr>
        <w:t>Reference</w:t>
      </w:r>
      <w:r w:rsidRPr="00F5326E">
        <w:t xml:space="preserve"> scenario that </w:t>
      </w:r>
      <w:r w:rsidR="00AB6DB0">
        <w:t xml:space="preserve">uses the estimates of wind and solar capacity in SSP585 and assumes the sectoral load profile following </w:t>
      </w:r>
      <w:r w:rsidR="008E5E36">
        <w:t xml:space="preserve">the </w:t>
      </w:r>
      <w:r w:rsidR="00AB6DB0">
        <w:t>EFS’s Reference technology adoption scenario. In the</w:t>
      </w:r>
      <w:r w:rsidRPr="00F5326E">
        <w:t xml:space="preserve"> counterfactual scenarios</w:t>
      </w:r>
      <w:r w:rsidR="00AB6DB0">
        <w:t>,</w:t>
      </w:r>
      <w:r w:rsidRPr="00F5326E">
        <w:t xml:space="preserve"> an economy-wide emis</w:t>
      </w:r>
      <w:r>
        <w:t xml:space="preserve">sions policy for </w:t>
      </w:r>
      <w:r w:rsidR="00AB6DB0">
        <w:t>NY is imposed to achieve an 80% reduction by 2050 relative to the 1990 level.</w:t>
      </w:r>
      <w:r w:rsidR="00896592">
        <w:t xml:space="preserve"> </w:t>
      </w:r>
      <w:r w:rsidR="0025778F">
        <w:t>Furthermore</w:t>
      </w:r>
      <w:r w:rsidR="008E5E36">
        <w:t>, we assume that</w:t>
      </w:r>
      <w:r w:rsidR="0025778F">
        <w:t xml:space="preserve"> the economy-wide decarbonization expedites the adoption of electrifying technologies</w:t>
      </w:r>
      <w:r w:rsidR="008E5E36">
        <w:t xml:space="preserve">, i.e. the load profile switching to the EFS’s High technology adoption scenario. The </w:t>
      </w:r>
      <w:r w:rsidR="008E5E36" w:rsidRPr="008E5E36">
        <w:rPr>
          <w:b/>
        </w:rPr>
        <w:t xml:space="preserve">Load </w:t>
      </w:r>
      <w:r w:rsidR="008E5E36">
        <w:t>scenario</w:t>
      </w:r>
      <w:r w:rsidR="00212019">
        <w:t>s</w:t>
      </w:r>
      <w:r w:rsidR="008E5E36">
        <w:t xml:space="preserve"> </w:t>
      </w:r>
      <w:r w:rsidR="005571E7">
        <w:t>are</w:t>
      </w:r>
      <w:r w:rsidR="008E5E36">
        <w:t xml:space="preserve"> set up to investigate the potential impact on power system due to the change in electrifying technology adoption, holding the </w:t>
      </w:r>
      <w:r w:rsidR="008B1B8E">
        <w:t>wind and solar capacity constant at the reference level.</w:t>
      </w:r>
      <w:r w:rsidR="005571E7">
        <w:t xml:space="preserve"> The </w:t>
      </w:r>
      <w:r w:rsidR="005571E7" w:rsidRPr="005571E7">
        <w:rPr>
          <w:b/>
        </w:rPr>
        <w:t>Climate</w:t>
      </w:r>
      <w:r w:rsidR="005571E7">
        <w:t xml:space="preserve"> scenarios are constructed similarly with a stronger assumption that the economy-wide decarbonization </w:t>
      </w:r>
      <w:r w:rsidR="00382682">
        <w:t>is a global event such that the climate-driven wind and solar capacities vary. The load profiles in</w:t>
      </w:r>
      <w:r w:rsidR="00382682" w:rsidRPr="00382682">
        <w:t xml:space="preserve"> </w:t>
      </w:r>
      <w:r w:rsidR="00382682">
        <w:t>t</w:t>
      </w:r>
      <w:r w:rsidR="00382682">
        <w:t xml:space="preserve">he </w:t>
      </w:r>
      <w:r w:rsidR="00382682" w:rsidRPr="00382682">
        <w:rPr>
          <w:b/>
        </w:rPr>
        <w:t>Climate</w:t>
      </w:r>
      <w:r w:rsidR="00382682">
        <w:t xml:space="preserve"> scenarios</w:t>
      </w:r>
      <w:r w:rsidR="00382682">
        <w:t xml:space="preserve"> are held constant as in the </w:t>
      </w:r>
      <w:r w:rsidR="00382682" w:rsidRPr="00382682">
        <w:rPr>
          <w:b/>
        </w:rPr>
        <w:t>Reference</w:t>
      </w:r>
      <w:r w:rsidR="00382682">
        <w:t xml:space="preserve"> scenario.</w:t>
      </w:r>
    </w:p>
    <w:p w14:paraId="2A215BA3" w14:textId="31544307" w:rsidR="00E44452" w:rsidRDefault="00E6575D" w:rsidP="00E938AC">
      <w:pPr>
        <w:pStyle w:val="Heading2"/>
      </w:pPr>
      <w:r w:rsidRPr="00E938AC">
        <w:t>Results</w:t>
      </w:r>
    </w:p>
    <w:p w14:paraId="55D8981C" w14:textId="77777777" w:rsidR="00DB7749" w:rsidRPr="00DB7749" w:rsidRDefault="00DB7749" w:rsidP="00DB7749">
      <w:pPr>
        <w:pStyle w:val="Level2"/>
      </w:pPr>
      <w:r w:rsidRPr="00DB7749">
        <w:t>Data Summary</w:t>
      </w:r>
    </w:p>
    <w:p w14:paraId="0F296F86" w14:textId="76B964CB" w:rsidR="008D4EC9" w:rsidRPr="00DB7749" w:rsidRDefault="00E123F7" w:rsidP="00DB7749">
      <w:pPr>
        <w:pStyle w:val="Level3"/>
      </w:pPr>
      <w:r w:rsidRPr="00DB7749">
        <w:t>Wind Capacity</w:t>
      </w:r>
    </w:p>
    <w:p w14:paraId="415CB994" w14:textId="49BAB52E" w:rsidR="00DB7749" w:rsidRDefault="00474DEA" w:rsidP="00DB7749">
      <w:r>
        <w:t xml:space="preserve">Wind capacity shows </w:t>
      </w:r>
      <w:r w:rsidR="008F3000">
        <w:t xml:space="preserve">a common pattern across </w:t>
      </w:r>
      <w:r w:rsidR="009253EE">
        <w:t xml:space="preserve">the SSP-RCP scenarios </w:t>
      </w:r>
      <w:r w:rsidR="00D34032">
        <w:t xml:space="preserve">with low capacity in the summer and high capacity in the winter. Variations across the SSP-RCP exist </w:t>
      </w:r>
      <w:r w:rsidR="009253EE">
        <w:t>especially for the winter months in the out years.</w:t>
      </w:r>
      <w:bookmarkStart w:id="1" w:name="_GoBack"/>
      <w:bookmarkEnd w:id="1"/>
    </w:p>
    <w:p w14:paraId="5AC2F068" w14:textId="469E2790" w:rsidR="000116E5" w:rsidRDefault="000116E5" w:rsidP="00DB7749">
      <w:pPr>
        <w:pStyle w:val="Figure"/>
      </w:pPr>
      <w:r w:rsidRPr="00822363">
        <w:lastRenderedPageBreak/>
        <w:drawing>
          <wp:inline distT="0" distB="0" distL="0" distR="0" wp14:anchorId="57AE427C" wp14:editId="53397493">
            <wp:extent cx="2437107" cy="13716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7107" cy="1371600"/>
                    </a:xfrm>
                    <a:prstGeom prst="rect">
                      <a:avLst/>
                    </a:prstGeom>
                    <a:noFill/>
                    <a:ln>
                      <a:noFill/>
                    </a:ln>
                  </pic:spPr>
                </pic:pic>
              </a:graphicData>
            </a:graphic>
          </wp:inline>
        </w:drawing>
      </w:r>
      <w:r w:rsidRPr="00822363">
        <w:drawing>
          <wp:inline distT="0" distB="0" distL="0" distR="0" wp14:anchorId="5E3A09F6" wp14:editId="739D050C">
            <wp:extent cx="2437107" cy="13716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7107" cy="1371600"/>
                    </a:xfrm>
                    <a:prstGeom prst="rect">
                      <a:avLst/>
                    </a:prstGeom>
                    <a:noFill/>
                    <a:ln>
                      <a:noFill/>
                    </a:ln>
                  </pic:spPr>
                </pic:pic>
              </a:graphicData>
            </a:graphic>
          </wp:inline>
        </w:drawing>
      </w:r>
      <w:r w:rsidRPr="00822363">
        <w:drawing>
          <wp:inline distT="0" distB="0" distL="0" distR="0" wp14:anchorId="69D77FAA" wp14:editId="0B498297">
            <wp:extent cx="2444395" cy="1371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4395" cy="1371600"/>
                    </a:xfrm>
                    <a:prstGeom prst="rect">
                      <a:avLst/>
                    </a:prstGeom>
                    <a:noFill/>
                    <a:ln>
                      <a:noFill/>
                    </a:ln>
                  </pic:spPr>
                </pic:pic>
              </a:graphicData>
            </a:graphic>
          </wp:inline>
        </w:drawing>
      </w:r>
      <w:r w:rsidRPr="00822363">
        <w:drawing>
          <wp:inline distT="0" distB="0" distL="0" distR="0" wp14:anchorId="1E238890" wp14:editId="543ACE82">
            <wp:extent cx="2437107" cy="13716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7107" cy="1371600"/>
                    </a:xfrm>
                    <a:prstGeom prst="rect">
                      <a:avLst/>
                    </a:prstGeom>
                    <a:noFill/>
                    <a:ln>
                      <a:noFill/>
                    </a:ln>
                  </pic:spPr>
                </pic:pic>
              </a:graphicData>
            </a:graphic>
          </wp:inline>
        </w:drawing>
      </w:r>
    </w:p>
    <w:p w14:paraId="4029AEC5" w14:textId="13816E7E" w:rsidR="000116E5" w:rsidRDefault="002C22D3" w:rsidP="001C2A82">
      <w:pPr>
        <w:rPr>
          <w:b/>
        </w:rPr>
      </w:pPr>
      <w:r w:rsidRPr="00E938AC">
        <w:rPr>
          <w:b/>
        </w:rPr>
        <w:t xml:space="preserve">Figure </w:t>
      </w:r>
      <w:r w:rsidRPr="00E938AC">
        <w:rPr>
          <w:b/>
        </w:rPr>
        <w:fldChar w:fldCharType="begin"/>
      </w:r>
      <w:r w:rsidRPr="00E938AC">
        <w:rPr>
          <w:b/>
        </w:rPr>
        <w:instrText xml:space="preserve"> SEQ Figure \* ARABIC </w:instrText>
      </w:r>
      <w:r w:rsidRPr="00E938AC">
        <w:rPr>
          <w:b/>
        </w:rPr>
        <w:fldChar w:fldCharType="separate"/>
      </w:r>
      <w:r w:rsidR="00174F71">
        <w:rPr>
          <w:b/>
          <w:noProof/>
        </w:rPr>
        <w:t>2</w:t>
      </w:r>
      <w:r w:rsidRPr="00E938AC">
        <w:rPr>
          <w:b/>
        </w:rPr>
        <w:fldChar w:fldCharType="end"/>
      </w:r>
      <w:r w:rsidRPr="00E938AC">
        <w:rPr>
          <w:b/>
        </w:rPr>
        <w:t>:</w:t>
      </w:r>
      <w:r w:rsidR="00DB7749">
        <w:rPr>
          <w:b/>
        </w:rPr>
        <w:t xml:space="preserve"> </w:t>
      </w:r>
      <w:r w:rsidR="00DB7749">
        <w:t>Mean wind power under the CIMP6 scenarios (kW)</w:t>
      </w:r>
    </w:p>
    <w:p w14:paraId="00A1EB42" w14:textId="77777777" w:rsidR="00DB7749" w:rsidRDefault="00DB7749" w:rsidP="001C2A82">
      <w:pPr>
        <w:rPr>
          <w:b/>
        </w:rPr>
      </w:pPr>
    </w:p>
    <w:p w14:paraId="20722AE1" w14:textId="362BF9EC" w:rsidR="00B555CC" w:rsidRDefault="00DB7749" w:rsidP="00DB7749">
      <w:pPr>
        <w:pStyle w:val="Level3"/>
      </w:pPr>
      <w:r>
        <w:t>Load Profile</w:t>
      </w:r>
    </w:p>
    <w:p w14:paraId="2E685B13" w14:textId="6D748F19" w:rsidR="002D677B" w:rsidRDefault="00DD3B6B" w:rsidP="002D677B">
      <w:r>
        <w:fldChar w:fldCharType="begin"/>
      </w:r>
      <w:r>
        <w:instrText xml:space="preserve"> REF _Ref69420116 \h </w:instrText>
      </w:r>
      <w:r>
        <w:fldChar w:fldCharType="separate"/>
      </w:r>
      <w:r w:rsidRPr="00E938AC">
        <w:rPr>
          <w:b/>
        </w:rPr>
        <w:t xml:space="preserve">Figure </w:t>
      </w:r>
      <w:r>
        <w:rPr>
          <w:b/>
          <w:noProof/>
        </w:rPr>
        <w:t>3</w:t>
      </w:r>
      <w:r>
        <w:fldChar w:fldCharType="end"/>
      </w:r>
      <w:r>
        <w:t xml:space="preserve"> compares the </w:t>
      </w:r>
      <w:r w:rsidR="002D677B">
        <w:t xml:space="preserve">sectoral </w:t>
      </w:r>
      <w:r>
        <w:t>load profiles extracted from NREL’s EFS technology adoption scenarios</w:t>
      </w:r>
      <w:r w:rsidR="002D677B">
        <w:t xml:space="preserve"> between the reference technology adoption and high technology adoption scenarios</w:t>
      </w:r>
      <w:r>
        <w:t xml:space="preserve">. </w:t>
      </w:r>
      <w:r w:rsidR="002D677B">
        <w:t xml:space="preserve">Each profile adds up to one over 8760 hours in a year. The variation in the residential and commercial sector shows greater share of annual load for the winter and lower share for the summer in the </w:t>
      </w:r>
      <w:r w:rsidR="002D677B">
        <w:t xml:space="preserve">high adoption </w:t>
      </w:r>
      <w:r w:rsidR="002D677B">
        <w:t xml:space="preserve">scenario compared to the </w:t>
      </w:r>
      <w:r w:rsidR="002D677B">
        <w:t xml:space="preserve">reference adoption </w:t>
      </w:r>
      <w:r w:rsidR="00B1474A">
        <w:t xml:space="preserve">scenario. </w:t>
      </w:r>
      <w:r w:rsidR="002D677B">
        <w:t>For the industrial and transportation sectors, there is little variation in the profile.</w:t>
      </w:r>
      <w:r w:rsidR="00A173DE">
        <w:t xml:space="preserve"> </w:t>
      </w:r>
      <w:r w:rsidR="002D677B">
        <w:t xml:space="preserve">The comparison suggests </w:t>
      </w:r>
      <w:r w:rsidR="00A173DE">
        <w:t>that the seasonal results should</w:t>
      </w:r>
      <w:r w:rsidR="002D677B">
        <w:t xml:space="preserve"> reveal more interesting findings than the annual results.</w:t>
      </w:r>
    </w:p>
    <w:p w14:paraId="0D86C6F2" w14:textId="55271EC9" w:rsidR="00B555CC" w:rsidRDefault="00DB7749" w:rsidP="00356E6D">
      <w:pPr>
        <w:pStyle w:val="Figure"/>
      </w:pPr>
      <w:r w:rsidRPr="00DB7749">
        <w:lastRenderedPageBreak/>
        <w:drawing>
          <wp:inline distT="0" distB="0" distL="0" distR="0" wp14:anchorId="591C9088" wp14:editId="55BDB0FB">
            <wp:extent cx="6126480" cy="1289785"/>
            <wp:effectExtent l="0" t="0" r="762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6480" cy="1289785"/>
                    </a:xfrm>
                    <a:prstGeom prst="rect">
                      <a:avLst/>
                    </a:prstGeom>
                    <a:noFill/>
                    <a:ln>
                      <a:noFill/>
                    </a:ln>
                  </pic:spPr>
                </pic:pic>
              </a:graphicData>
            </a:graphic>
          </wp:inline>
        </w:drawing>
      </w:r>
    </w:p>
    <w:p w14:paraId="58D4E227" w14:textId="2F78AC9F" w:rsidR="00DB7749" w:rsidRDefault="00DB7749" w:rsidP="00356E6D">
      <w:pPr>
        <w:pStyle w:val="Figure"/>
      </w:pPr>
      <w:r w:rsidRPr="00DB7749">
        <w:drawing>
          <wp:inline distT="0" distB="0" distL="0" distR="0" wp14:anchorId="09578063" wp14:editId="6DEE3BFA">
            <wp:extent cx="6126480" cy="1289785"/>
            <wp:effectExtent l="0" t="0" r="762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6480" cy="1289785"/>
                    </a:xfrm>
                    <a:prstGeom prst="rect">
                      <a:avLst/>
                    </a:prstGeom>
                    <a:noFill/>
                    <a:ln>
                      <a:noFill/>
                    </a:ln>
                  </pic:spPr>
                </pic:pic>
              </a:graphicData>
            </a:graphic>
          </wp:inline>
        </w:drawing>
      </w:r>
    </w:p>
    <w:p w14:paraId="43831213" w14:textId="08804E34" w:rsidR="00DB7749" w:rsidRDefault="00DB7749" w:rsidP="00356E6D">
      <w:pPr>
        <w:pStyle w:val="Figure"/>
      </w:pPr>
      <w:r w:rsidRPr="00DB7749">
        <w:drawing>
          <wp:inline distT="0" distB="0" distL="0" distR="0" wp14:anchorId="34D5CCC1" wp14:editId="565ECAF2">
            <wp:extent cx="6126480" cy="1289785"/>
            <wp:effectExtent l="0" t="0" r="762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6480" cy="1289785"/>
                    </a:xfrm>
                    <a:prstGeom prst="rect">
                      <a:avLst/>
                    </a:prstGeom>
                    <a:noFill/>
                    <a:ln>
                      <a:noFill/>
                    </a:ln>
                  </pic:spPr>
                </pic:pic>
              </a:graphicData>
            </a:graphic>
          </wp:inline>
        </w:drawing>
      </w:r>
    </w:p>
    <w:p w14:paraId="76DAC6D3" w14:textId="506DAF7E" w:rsidR="00DB7749" w:rsidRDefault="00DB7749" w:rsidP="00356E6D">
      <w:pPr>
        <w:pStyle w:val="Figure"/>
      </w:pPr>
      <w:r w:rsidRPr="00DB7749">
        <w:drawing>
          <wp:inline distT="0" distB="0" distL="0" distR="0" wp14:anchorId="55BC7CB2" wp14:editId="03F666D4">
            <wp:extent cx="6126480" cy="1289785"/>
            <wp:effectExtent l="0" t="0" r="762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6480" cy="1289785"/>
                    </a:xfrm>
                    <a:prstGeom prst="rect">
                      <a:avLst/>
                    </a:prstGeom>
                    <a:noFill/>
                    <a:ln>
                      <a:noFill/>
                    </a:ln>
                  </pic:spPr>
                </pic:pic>
              </a:graphicData>
            </a:graphic>
          </wp:inline>
        </w:drawing>
      </w:r>
    </w:p>
    <w:p w14:paraId="1AF25163" w14:textId="6DEEB41F" w:rsidR="00356E6D" w:rsidRDefault="00356E6D" w:rsidP="00356E6D">
      <w:pPr>
        <w:pStyle w:val="Figure"/>
      </w:pPr>
      <w:r>
        <w:drawing>
          <wp:inline distT="0" distB="0" distL="0" distR="0" wp14:anchorId="7980FE85" wp14:editId="0398D9B3">
            <wp:extent cx="2441448" cy="137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41448" cy="137160"/>
                    </a:xfrm>
                    <a:prstGeom prst="rect">
                      <a:avLst/>
                    </a:prstGeom>
                  </pic:spPr>
                </pic:pic>
              </a:graphicData>
            </a:graphic>
          </wp:inline>
        </w:drawing>
      </w:r>
    </w:p>
    <w:p w14:paraId="38BB531E" w14:textId="07B7FE11" w:rsidR="00356E6D" w:rsidRDefault="00356E6D" w:rsidP="00356E6D">
      <w:pPr>
        <w:rPr>
          <w:b/>
        </w:rPr>
      </w:pPr>
      <w:bookmarkStart w:id="2" w:name="_Ref69420116"/>
      <w:r w:rsidRPr="00E938AC">
        <w:rPr>
          <w:b/>
        </w:rPr>
        <w:t xml:space="preserve">Figure </w:t>
      </w:r>
      <w:r w:rsidRPr="00E938AC">
        <w:rPr>
          <w:b/>
        </w:rPr>
        <w:fldChar w:fldCharType="begin"/>
      </w:r>
      <w:r w:rsidRPr="00E938AC">
        <w:rPr>
          <w:b/>
        </w:rPr>
        <w:instrText xml:space="preserve"> SEQ Figure \* ARABIC </w:instrText>
      </w:r>
      <w:r w:rsidRPr="00E938AC">
        <w:rPr>
          <w:b/>
        </w:rPr>
        <w:fldChar w:fldCharType="separate"/>
      </w:r>
      <w:r w:rsidR="00174F71">
        <w:rPr>
          <w:b/>
          <w:noProof/>
        </w:rPr>
        <w:t>3</w:t>
      </w:r>
      <w:r w:rsidRPr="00E938AC">
        <w:rPr>
          <w:b/>
        </w:rPr>
        <w:fldChar w:fldCharType="end"/>
      </w:r>
      <w:bookmarkEnd w:id="2"/>
      <w:r w:rsidRPr="00E938AC">
        <w:rPr>
          <w:b/>
        </w:rPr>
        <w:t>:</w:t>
      </w:r>
      <w:r>
        <w:rPr>
          <w:b/>
        </w:rPr>
        <w:t xml:space="preserve"> </w:t>
      </w:r>
      <w:r>
        <w:t>Sectoral load profile based on NREL’s EFS Reference and High technology adoption scenarios for 2050</w:t>
      </w:r>
    </w:p>
    <w:p w14:paraId="5CBF9424" w14:textId="25A4BC20" w:rsidR="00356E6D" w:rsidRDefault="00174F71" w:rsidP="00C72288">
      <w:pPr>
        <w:pStyle w:val="Level2"/>
      </w:pPr>
      <w:r>
        <w:t>Load Scenario</w:t>
      </w:r>
    </w:p>
    <w:p w14:paraId="3BD1CBDA" w14:textId="2456000A" w:rsidR="002D677B" w:rsidRDefault="008132DF" w:rsidP="002D677B">
      <w:r>
        <w:t xml:space="preserve">To understand the impact of a changing load due to higher adoption of electrifying technology, we compared the daily electricity prices under the </w:t>
      </w:r>
      <w:r w:rsidRPr="008132DF">
        <w:rPr>
          <w:b/>
        </w:rPr>
        <w:t>Reference</w:t>
      </w:r>
      <w:r>
        <w:t xml:space="preserve"> and the </w:t>
      </w:r>
      <w:r w:rsidRPr="008132DF">
        <w:rPr>
          <w:b/>
        </w:rPr>
        <w:t>Load</w:t>
      </w:r>
      <w:r>
        <w:t xml:space="preserve"> scenarios.  </w:t>
      </w:r>
      <w:r w:rsidR="00E859B2">
        <w:t>The two</w:t>
      </w:r>
      <w:r>
        <w:t xml:space="preserve"> </w:t>
      </w:r>
      <w:r w:rsidRPr="008132DF">
        <w:rPr>
          <w:b/>
        </w:rPr>
        <w:t>Load</w:t>
      </w:r>
      <w:r>
        <w:t xml:space="preserve"> scenarios </w:t>
      </w:r>
      <w:r w:rsidR="00E859B2">
        <w:t xml:space="preserve">differ by the load profile. The </w:t>
      </w:r>
      <w:r w:rsidR="00E859B2" w:rsidRPr="00E859B2">
        <w:rPr>
          <w:b/>
        </w:rPr>
        <w:t>Load_ReferenceAdoption</w:t>
      </w:r>
      <w:r w:rsidR="00E859B2">
        <w:t xml:space="preserve"> assumes the reference technology adoption remain as in the </w:t>
      </w:r>
      <w:r w:rsidR="00E859B2" w:rsidRPr="00E859B2">
        <w:rPr>
          <w:b/>
        </w:rPr>
        <w:t>Reference</w:t>
      </w:r>
      <w:r w:rsidR="00E859B2">
        <w:t xml:space="preserve"> scenario whereas the </w:t>
      </w:r>
      <w:r w:rsidR="00E859B2" w:rsidRPr="00E859B2">
        <w:rPr>
          <w:b/>
        </w:rPr>
        <w:t>Load_HighAdoption</w:t>
      </w:r>
      <w:r w:rsidR="00E859B2">
        <w:t xml:space="preserve"> uses the high technology adoption load profile.  </w:t>
      </w:r>
      <w:r w:rsidR="00E859B2">
        <w:lastRenderedPageBreak/>
        <w:t xml:space="preserve">The electricity price </w:t>
      </w:r>
      <w:r w:rsidRPr="008132DF">
        <w:t>spike reflect</w:t>
      </w:r>
      <w:r w:rsidR="00E859B2">
        <w:t>s</w:t>
      </w:r>
      <w:r w:rsidRPr="008132DF">
        <w:t xml:space="preserve"> the shortage of units to meet demand and/or reserves. Although </w:t>
      </w:r>
      <w:r w:rsidR="00535BF7">
        <w:t>the model</w:t>
      </w:r>
      <w:r w:rsidRPr="008132DF">
        <w:t xml:space="preserve"> </w:t>
      </w:r>
      <w:r w:rsidR="00535BF7">
        <w:t>tends to overbuild</w:t>
      </w:r>
      <w:r w:rsidRPr="008132DF">
        <w:t xml:space="preserve"> capacity, it may not have enough dispatchable units to cover those situations.</w:t>
      </w:r>
      <w:r>
        <w:t xml:space="preserve"> </w:t>
      </w:r>
      <w:r w:rsidR="002D677B">
        <w:t xml:space="preserve">The preliminary results show </w:t>
      </w:r>
      <w:r w:rsidR="00535BF7">
        <w:t xml:space="preserve">(1) </w:t>
      </w:r>
      <w:r w:rsidR="002D677B">
        <w:t>that the decarbonization policy induces more electricity price spikes in the summer</w:t>
      </w:r>
      <w:r w:rsidR="00535BF7">
        <w:t xml:space="preserve">; (2) </w:t>
      </w:r>
      <w:r w:rsidR="002D677B">
        <w:t>Hi</w:t>
      </w:r>
      <w:r w:rsidR="002D677B" w:rsidRPr="00883D11">
        <w:t>gh</w:t>
      </w:r>
      <w:r w:rsidR="002D677B">
        <w:t>er rate of</w:t>
      </w:r>
      <w:r w:rsidR="002D677B" w:rsidRPr="00883D11">
        <w:t xml:space="preserve"> electrifying technology adoption leads to </w:t>
      </w:r>
      <w:r w:rsidR="002D677B">
        <w:t xml:space="preserve">more frequent and </w:t>
      </w:r>
      <w:r w:rsidR="002D677B" w:rsidRPr="00883D11">
        <w:t xml:space="preserve">greater </w:t>
      </w:r>
      <w:r w:rsidR="002D677B">
        <w:t>changes</w:t>
      </w:r>
      <w:r w:rsidR="002D677B" w:rsidRPr="00883D11">
        <w:t xml:space="preserve"> in </w:t>
      </w:r>
      <w:r w:rsidR="002D677B">
        <w:t xml:space="preserve">electricity </w:t>
      </w:r>
      <w:r w:rsidR="002D677B" w:rsidRPr="00883D11">
        <w:t>price</w:t>
      </w:r>
      <w:r w:rsidR="002D677B">
        <w:t>s</w:t>
      </w:r>
      <w:r w:rsidR="002D677B" w:rsidRPr="00883D11">
        <w:t xml:space="preserve"> in the wint</w:t>
      </w:r>
      <w:r w:rsidR="002D677B">
        <w:t xml:space="preserve">er.  </w:t>
      </w:r>
    </w:p>
    <w:p w14:paraId="24D37A8E" w14:textId="7A04B40C" w:rsidR="00174F71" w:rsidRDefault="002D677B" w:rsidP="002D677B">
      <w:pPr>
        <w:pStyle w:val="Figure"/>
      </w:pPr>
      <w:r w:rsidRPr="002D677B">
        <w:drawing>
          <wp:inline distT="0" distB="0" distL="0" distR="0" wp14:anchorId="7001CB3C" wp14:editId="248793B5">
            <wp:extent cx="6126480" cy="2186864"/>
            <wp:effectExtent l="0" t="0" r="762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6480" cy="2186864"/>
                    </a:xfrm>
                    <a:prstGeom prst="rect">
                      <a:avLst/>
                    </a:prstGeom>
                    <a:noFill/>
                    <a:ln>
                      <a:noFill/>
                    </a:ln>
                  </pic:spPr>
                </pic:pic>
              </a:graphicData>
            </a:graphic>
          </wp:inline>
        </w:drawing>
      </w:r>
    </w:p>
    <w:p w14:paraId="49772672" w14:textId="579ADCFC" w:rsidR="00174F71" w:rsidRPr="00174F71" w:rsidRDefault="00174F71" w:rsidP="00174F71">
      <w:pPr>
        <w:rPr>
          <w:b/>
        </w:rPr>
      </w:pPr>
      <w:r w:rsidRPr="00E938AC">
        <w:rPr>
          <w:b/>
        </w:rPr>
        <w:t xml:space="preserve">Figure </w:t>
      </w:r>
      <w:r w:rsidRPr="00E938AC">
        <w:rPr>
          <w:b/>
        </w:rPr>
        <w:fldChar w:fldCharType="begin"/>
      </w:r>
      <w:r w:rsidRPr="00E938AC">
        <w:rPr>
          <w:b/>
        </w:rPr>
        <w:instrText xml:space="preserve"> SEQ Figure \* ARABIC </w:instrText>
      </w:r>
      <w:r w:rsidRPr="00E938AC">
        <w:rPr>
          <w:b/>
        </w:rPr>
        <w:fldChar w:fldCharType="separate"/>
      </w:r>
      <w:r>
        <w:rPr>
          <w:b/>
        </w:rPr>
        <w:t>4</w:t>
      </w:r>
      <w:r w:rsidRPr="00E938AC">
        <w:rPr>
          <w:b/>
        </w:rPr>
        <w:fldChar w:fldCharType="end"/>
      </w:r>
      <w:r w:rsidRPr="00E938AC">
        <w:rPr>
          <w:b/>
        </w:rPr>
        <w:t>:</w:t>
      </w:r>
      <w:r w:rsidR="00474DEA">
        <w:rPr>
          <w:b/>
        </w:rPr>
        <w:t xml:space="preserve"> Electricity price</w:t>
      </w:r>
    </w:p>
    <w:p w14:paraId="1C0BE720" w14:textId="650E9B7A" w:rsidR="00B555CC" w:rsidRPr="00E938AC" w:rsidRDefault="00DB7749" w:rsidP="00B555CC">
      <w:pPr>
        <w:pStyle w:val="Heading2"/>
      </w:pPr>
      <w:r>
        <w:t>Conclusion</w:t>
      </w:r>
    </w:p>
    <w:p w14:paraId="5CC5433F" w14:textId="6747D959" w:rsidR="00CB17E3" w:rsidRPr="00E938AC" w:rsidRDefault="00035B7F" w:rsidP="001C2A82">
      <w:r w:rsidRPr="00E938AC">
        <w:t xml:space="preserve">Our study </w:t>
      </w:r>
      <w:r w:rsidR="00B555CC">
        <w:t xml:space="preserve">aims to </w:t>
      </w:r>
      <w:r w:rsidRPr="00E938AC">
        <w:t xml:space="preserve">investigate the </w:t>
      </w:r>
      <w:r w:rsidR="006D21F1" w:rsidRPr="00E938AC">
        <w:t>climate impacts</w:t>
      </w:r>
      <w:r w:rsidRPr="00E938AC">
        <w:t xml:space="preserve"> on the adaptation of the electric power sector to increasing renewable generation, and to evolving demand due to the trend of increased electrification</w:t>
      </w:r>
      <w:r w:rsidR="006831F5" w:rsidRPr="00E938AC">
        <w:t xml:space="preserve"> in various economic sectors</w:t>
      </w:r>
      <w:r w:rsidRPr="00E938AC">
        <w:t xml:space="preserve">. Together with the uncertainty associated with the supply and demand in the energy system, we gain insights into the extent of climate impact </w:t>
      </w:r>
      <w:r w:rsidR="00B555CC">
        <w:t xml:space="preserve">and electrifying technology </w:t>
      </w:r>
      <w:r w:rsidRPr="00E938AC">
        <w:t xml:space="preserve">on this energy transition. </w:t>
      </w:r>
      <w:r w:rsidR="00AB7610" w:rsidRPr="00E938AC">
        <w:t>Our</w:t>
      </w:r>
      <w:r w:rsidRPr="00E938AC">
        <w:t xml:space="preserve"> framework will be particularly useful for policy makers as they design energy and environmental policies at the state and regional level, and for stakeholders who must assess and mitigate the climate associated risk to the revised electric system structure. With </w:t>
      </w:r>
      <w:r w:rsidR="006D21F1" w:rsidRPr="00E938AC">
        <w:t xml:space="preserve">a probabilistic </w:t>
      </w:r>
      <w:r w:rsidRPr="00E938AC">
        <w:t xml:space="preserve">distribution quantification of these risks over </w:t>
      </w:r>
      <w:r w:rsidR="006D21F1" w:rsidRPr="00E938AC">
        <w:t xml:space="preserve">various </w:t>
      </w:r>
      <w:r w:rsidRPr="00E938AC">
        <w:t>targeted time horizons (near</w:t>
      </w:r>
      <w:r w:rsidR="006831F5" w:rsidRPr="00E938AC">
        <w:t>-</w:t>
      </w:r>
      <w:r w:rsidRPr="00E938AC">
        <w:t>term by 2030, mid-century by 2050, and the end of the century by 2100), decision makers will be better able to manage the transition pathway given the</w:t>
      </w:r>
      <w:r w:rsidR="006831F5" w:rsidRPr="00E938AC">
        <w:t xml:space="preserve"> </w:t>
      </w:r>
      <w:r w:rsidRPr="00E938AC">
        <w:t>effects on electricity prices and demand, primary energy use, energy-related emissions, energy efficiency improvement and distributional effects.</w:t>
      </w:r>
      <w:r w:rsidR="005E6585" w:rsidRPr="00E938AC">
        <w:t xml:space="preserve"> In addition, w</w:t>
      </w:r>
      <w:r w:rsidR="00FF584E" w:rsidRPr="00E938AC">
        <w:t xml:space="preserve">e expect to provide insights on </w:t>
      </w:r>
      <w:r w:rsidR="0055123F" w:rsidRPr="00E938AC">
        <w:t xml:space="preserve">the challenges to meet the proposed decarbonization targets as well as the opportunities created </w:t>
      </w:r>
      <w:r w:rsidRPr="00E938AC">
        <w:t>for the energy transition</w:t>
      </w:r>
      <w:r w:rsidR="00F633B6" w:rsidRPr="00E938AC">
        <w:t>.</w:t>
      </w:r>
    </w:p>
    <w:p w14:paraId="3894E12F" w14:textId="405A1F77" w:rsidR="001C2A82" w:rsidRDefault="001C2A82" w:rsidP="001C2A82"/>
    <w:p w14:paraId="74A7E312" w14:textId="00422164" w:rsidR="001C2A82" w:rsidRDefault="001C2A82" w:rsidP="00E36886">
      <w:pPr>
        <w:ind w:firstLine="0"/>
      </w:pPr>
    </w:p>
    <w:p w14:paraId="16B1A939" w14:textId="753CF93B" w:rsidR="00CB17E3" w:rsidRPr="00E938AC" w:rsidRDefault="00CB17E3" w:rsidP="002B6175">
      <w:pPr>
        <w:pStyle w:val="Heading2"/>
        <w:numPr>
          <w:ilvl w:val="0"/>
          <w:numId w:val="0"/>
        </w:numPr>
        <w:ind w:left="360" w:hanging="360"/>
      </w:pPr>
      <w:r w:rsidRPr="00E938AC">
        <w:lastRenderedPageBreak/>
        <w:t>References</w:t>
      </w:r>
    </w:p>
    <w:p w14:paraId="306F9932" w14:textId="77777777" w:rsidR="00E938AC" w:rsidRDefault="001E4512" w:rsidP="00E938AC">
      <w:pPr>
        <w:pStyle w:val="Reference"/>
        <w:numPr>
          <w:ilvl w:val="0"/>
          <w:numId w:val="17"/>
        </w:numPr>
      </w:pPr>
      <w:r w:rsidRPr="00E938AC">
        <w:t>Yuan, M., K.D. Tapia-Ahumada, J. Reilly, 2021: The Role of Cross-Border Electricity Trade in Transition to A Low-Carbon Economy in the Northeastern U.S. Energy Policy. Forthcoming.</w:t>
      </w:r>
    </w:p>
    <w:p w14:paraId="019CCB35" w14:textId="77777777" w:rsidR="00E938AC" w:rsidRDefault="00E938AC" w:rsidP="00E938AC">
      <w:pPr>
        <w:pStyle w:val="Reference"/>
        <w:numPr>
          <w:ilvl w:val="0"/>
          <w:numId w:val="17"/>
        </w:numPr>
      </w:pPr>
      <w:r>
        <w:t>Tapia</w:t>
      </w:r>
      <w:r w:rsidR="001E4512" w:rsidRPr="00E938AC">
        <w:t>-Ahumada, K.D., 2021: EleMod: A model for capacity expansion planning, hourly operation and economic dispatch in electric power systems with intermittent renewable generation. MIT Joint Program on the Science and Policy of Global Change, Technical Note TN#19. </w:t>
      </w:r>
    </w:p>
    <w:p w14:paraId="1929EB25" w14:textId="77777777" w:rsidR="00E938AC" w:rsidRDefault="001E4512" w:rsidP="00E938AC">
      <w:pPr>
        <w:pStyle w:val="Reference"/>
        <w:numPr>
          <w:ilvl w:val="0"/>
          <w:numId w:val="17"/>
        </w:numPr>
      </w:pPr>
      <w:r w:rsidRPr="00E938AC">
        <w:t>Yuan, M., K. D. Tapia-Ahumada, S. Paltsev, 2020: Challenges and Opportunities of the Economy-Wide Decarbonization Pathways in California, Th 23rd Annual Conference on Global Economic Analysis, GTAP Resource #6131</w:t>
      </w:r>
    </w:p>
    <w:p w14:paraId="5DDCF039" w14:textId="77777777" w:rsidR="00E938AC" w:rsidRDefault="001E4512" w:rsidP="00E938AC">
      <w:pPr>
        <w:pStyle w:val="Reference"/>
        <w:numPr>
          <w:ilvl w:val="0"/>
          <w:numId w:val="17"/>
        </w:numPr>
      </w:pPr>
      <w:r w:rsidRPr="00E938AC">
        <w:t>Yuan, M., K. D. Tapia-Ahumada and D. Montgomery, 2019: Effective Capacity Expansion of Renewable Energy for Decarbonization, The 22nd Annual Conference on Global Economic Analysis, GTAP Resource #5789.</w:t>
      </w:r>
    </w:p>
    <w:p w14:paraId="01FA0BC2" w14:textId="77777777" w:rsidR="00E938AC" w:rsidRDefault="004C70DC" w:rsidP="00E938AC">
      <w:pPr>
        <w:pStyle w:val="Reference"/>
        <w:numPr>
          <w:ilvl w:val="0"/>
          <w:numId w:val="17"/>
        </w:numPr>
      </w:pPr>
      <w:r w:rsidRPr="00E938AC">
        <w:t>O'Neill, et al., 2016: The Scenario Model Intercomparison Project (ScenarioMIP) for CMIP6, Geosci. Model Dev., 9, 3461-3482.</w:t>
      </w:r>
    </w:p>
    <w:p w14:paraId="2BCACF1B" w14:textId="77777777" w:rsidR="00E938AC" w:rsidRDefault="00074572" w:rsidP="00E938AC">
      <w:pPr>
        <w:pStyle w:val="Reference"/>
        <w:numPr>
          <w:ilvl w:val="0"/>
          <w:numId w:val="17"/>
        </w:numPr>
      </w:pPr>
      <w:r w:rsidRPr="00E938AC">
        <w:t>Wind resource estimates developed by AWS T</w:t>
      </w:r>
      <w:r w:rsidR="00FC31D6" w:rsidRPr="00E938AC">
        <w:t>ruepower, LLC for windNavigator</w:t>
      </w:r>
      <w:r w:rsidRPr="00E938AC">
        <w:t xml:space="preserve">. Web: http://www.windnavigator.com | http://www.awstruepower.com. Spatial resolution of wind resource data: 2.5 km. Projection: Albers Equal Area WGS84. </w:t>
      </w:r>
    </w:p>
    <w:p w14:paraId="79B243F5" w14:textId="77777777" w:rsidR="00E938AC" w:rsidRDefault="00157924" w:rsidP="00E938AC">
      <w:pPr>
        <w:pStyle w:val="Reference"/>
        <w:numPr>
          <w:ilvl w:val="0"/>
          <w:numId w:val="17"/>
        </w:numPr>
      </w:pPr>
      <w:r w:rsidRPr="00E938AC">
        <w:t>Gunturu, U. B. and C. A. Schlosser, 2012: Characterization of wind power resource in the United States, Atmos. Chem. Phys., 12, 9687–9702.</w:t>
      </w:r>
    </w:p>
    <w:p w14:paraId="4BBD5F24" w14:textId="77777777" w:rsidR="00E938AC" w:rsidRDefault="00EA0ADC" w:rsidP="00E938AC">
      <w:pPr>
        <w:pStyle w:val="Reference"/>
        <w:numPr>
          <w:ilvl w:val="0"/>
          <w:numId w:val="17"/>
        </w:numPr>
      </w:pPr>
      <w:r w:rsidRPr="00E938AC">
        <w:t>Muratori, M., 2019: Integrating EVs in the Electricity System.</w:t>
      </w:r>
    </w:p>
    <w:p w14:paraId="1480FE35" w14:textId="624C893F" w:rsidR="00EA0ADC" w:rsidRDefault="00157924" w:rsidP="00E938AC">
      <w:pPr>
        <w:pStyle w:val="Reference"/>
        <w:numPr>
          <w:ilvl w:val="0"/>
          <w:numId w:val="17"/>
        </w:numPr>
      </w:pPr>
      <w:r w:rsidRPr="00E938AC">
        <w:t>Hale, E. T., 2018: The demand-side grid (dsgrid) model.</w:t>
      </w:r>
    </w:p>
    <w:p w14:paraId="2D3A2754" w14:textId="70DE2465" w:rsidR="004629E0" w:rsidRPr="00E938AC" w:rsidRDefault="004629E0" w:rsidP="005760D9">
      <w:pPr>
        <w:pStyle w:val="Reference"/>
        <w:numPr>
          <w:ilvl w:val="0"/>
          <w:numId w:val="17"/>
        </w:numPr>
      </w:pPr>
      <w:r>
        <w:t xml:space="preserve"> </w:t>
      </w:r>
      <w:r>
        <w:t xml:space="preserve">Trieu </w:t>
      </w:r>
      <w:r w:rsidR="00E0388B">
        <w:t>M.</w:t>
      </w:r>
      <w:r>
        <w:t xml:space="preserve">, </w:t>
      </w:r>
      <w:r w:rsidR="00E0388B">
        <w:t xml:space="preserve">P. </w:t>
      </w:r>
      <w:r>
        <w:t>Jadun, J</w:t>
      </w:r>
      <w:r w:rsidR="00E0388B">
        <w:t>.</w:t>
      </w:r>
      <w:r>
        <w:t xml:space="preserve"> Logan, C</w:t>
      </w:r>
      <w:r w:rsidR="00E0388B">
        <w:t>.</w:t>
      </w:r>
      <w:r>
        <w:t xml:space="preserve"> McMillan,</w:t>
      </w:r>
      <w:r>
        <w:t xml:space="preserve"> </w:t>
      </w:r>
      <w:r>
        <w:t>M</w:t>
      </w:r>
      <w:r w:rsidR="00E0388B">
        <w:t>.</w:t>
      </w:r>
      <w:r>
        <w:t xml:space="preserve"> Muratori, D</w:t>
      </w:r>
      <w:r w:rsidR="00E0388B">
        <w:t>.</w:t>
      </w:r>
      <w:r>
        <w:t xml:space="preserve"> Steinberg, and L</w:t>
      </w:r>
      <w:r w:rsidR="00E0388B">
        <w:t>.</w:t>
      </w:r>
      <w:r>
        <w:t xml:space="preserve"> Vimmerstedt</w:t>
      </w:r>
      <w:r>
        <w:t xml:space="preserve">, 2018: </w:t>
      </w:r>
      <w:r>
        <w:t>Electrification Futures Study: Scenarios</w:t>
      </w:r>
      <w:r>
        <w:t xml:space="preserve"> </w:t>
      </w:r>
      <w:r>
        <w:t>of Electric Technology Adoption and</w:t>
      </w:r>
      <w:r>
        <w:t xml:space="preserve"> </w:t>
      </w:r>
      <w:r>
        <w:t>Power Consumption for the United States</w:t>
      </w:r>
      <w:r>
        <w:t xml:space="preserve">, </w:t>
      </w:r>
      <w:r>
        <w:t>National Renewable Energy Laboratory</w:t>
      </w:r>
      <w:r w:rsidR="00E0388B">
        <w:t xml:space="preserve">. </w:t>
      </w:r>
    </w:p>
    <w:sectPr w:rsidR="004629E0" w:rsidRPr="00E938AC" w:rsidSect="00D23723">
      <w:footerReference w:type="default" r:id="rId22"/>
      <w:pgSz w:w="12240" w:h="15840"/>
      <w:pgMar w:top="1296" w:right="1296" w:bottom="1296" w:left="1296" w:header="432"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C616E" w16cex:dateUtc="2021-01-15T23:46:00Z"/>
  <w16cex:commentExtensible w16cex:durableId="23AC7986" w16cex:dateUtc="2021-01-16T01:28:00Z"/>
  <w16cex:commentExtensible w16cex:durableId="23AC79BB" w16cex:dateUtc="2021-01-16T0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3DD312" w16cid:durableId="23AC616E"/>
  <w16cid:commentId w16cid:paraId="1477794A" w16cid:durableId="23AC7986"/>
  <w16cid:commentId w16cid:paraId="25795986" w16cid:durableId="23AC79BB"/>
  <w16cid:commentId w16cid:paraId="6116F9AA" w16cid:durableId="23AC381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EBE55" w14:textId="77777777" w:rsidR="00DF5577" w:rsidRDefault="00DF5577" w:rsidP="00E938AC">
      <w:r>
        <w:separator/>
      </w:r>
    </w:p>
    <w:p w14:paraId="740885A3" w14:textId="77777777" w:rsidR="00DF5577" w:rsidRDefault="00DF5577" w:rsidP="00E938AC"/>
    <w:p w14:paraId="05FBB85A" w14:textId="77777777" w:rsidR="00DF5577" w:rsidRDefault="00DF5577" w:rsidP="00E938AC"/>
  </w:endnote>
  <w:endnote w:type="continuationSeparator" w:id="0">
    <w:p w14:paraId="28A54C7C" w14:textId="77777777" w:rsidR="00DF5577" w:rsidRDefault="00DF5577" w:rsidP="00E938AC">
      <w:r>
        <w:continuationSeparator/>
      </w:r>
    </w:p>
    <w:p w14:paraId="6873FF0C" w14:textId="77777777" w:rsidR="00DF5577" w:rsidRDefault="00DF5577" w:rsidP="00E938AC"/>
    <w:p w14:paraId="450C4C92" w14:textId="77777777" w:rsidR="00DF5577" w:rsidRDefault="00DF5577" w:rsidP="00E93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0"/>
    <w:family w:val="roman"/>
    <w:notTrueType/>
    <w:pitch w:val="default"/>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797170"/>
      <w:docPartObj>
        <w:docPartGallery w:val="Page Numbers (Bottom of Page)"/>
        <w:docPartUnique/>
      </w:docPartObj>
    </w:sdtPr>
    <w:sdtEndPr>
      <w:rPr>
        <w:noProof/>
      </w:rPr>
    </w:sdtEndPr>
    <w:sdtContent>
      <w:p w14:paraId="6B9793B5" w14:textId="3B1B05DF" w:rsidR="00776636" w:rsidRDefault="00776636" w:rsidP="00E938AC">
        <w:pPr>
          <w:pStyle w:val="Footer"/>
        </w:pPr>
        <w:r>
          <w:fldChar w:fldCharType="begin"/>
        </w:r>
        <w:r>
          <w:instrText xml:space="preserve"> PAGE   \* MERGEFORMAT </w:instrText>
        </w:r>
        <w:r>
          <w:fldChar w:fldCharType="separate"/>
        </w:r>
        <w:r w:rsidR="00D34032">
          <w:rPr>
            <w:noProof/>
          </w:rPr>
          <w:t>4</w:t>
        </w:r>
        <w:r>
          <w:rPr>
            <w:noProof/>
          </w:rPr>
          <w:fldChar w:fldCharType="end"/>
        </w:r>
      </w:p>
    </w:sdtContent>
  </w:sdt>
  <w:p w14:paraId="5B03710D" w14:textId="77777777" w:rsidR="0079491B" w:rsidRDefault="0079491B" w:rsidP="00E938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27F55" w14:textId="77777777" w:rsidR="00DF5577" w:rsidRDefault="00DF5577" w:rsidP="00E938AC">
      <w:r>
        <w:separator/>
      </w:r>
    </w:p>
  </w:footnote>
  <w:footnote w:type="continuationSeparator" w:id="0">
    <w:p w14:paraId="3FF8552D" w14:textId="77777777" w:rsidR="00DF5577" w:rsidRDefault="00DF5577" w:rsidP="00E938AC">
      <w:r>
        <w:continuationSeparator/>
      </w:r>
    </w:p>
    <w:p w14:paraId="34E8719F" w14:textId="77777777" w:rsidR="00DF5577" w:rsidRDefault="00DF5577" w:rsidP="00E938AC"/>
    <w:p w14:paraId="545BB0A2" w14:textId="77777777" w:rsidR="00DF5577" w:rsidRDefault="00DF5577" w:rsidP="00E938AC"/>
  </w:footnote>
  <w:footnote w:id="1">
    <w:p w14:paraId="16EA4189" w14:textId="77777777" w:rsidR="002B63F7" w:rsidRDefault="002B63F7" w:rsidP="00E938AC">
      <w:pPr>
        <w:pStyle w:val="FootnoteText"/>
      </w:pPr>
      <w:r>
        <w:rPr>
          <w:rStyle w:val="FootnoteReference"/>
        </w:rPr>
        <w:footnoteRef/>
      </w:r>
      <w:r>
        <w:t xml:space="preserve"> </w:t>
      </w:r>
      <w:r w:rsidRPr="002B63F7">
        <w:t xml:space="preserve">IEA reports an estimated annual power generation investment around 90 billion dollars over 2025-2030. See the detail at </w:t>
      </w:r>
      <w:hyperlink r:id="rId1" w:history="1">
        <w:r w:rsidRPr="002B63F7">
          <w:t>https://www.iea.org/reports/world-energy-investment-2019/power-sector</w:t>
        </w:r>
      </w:hyperlink>
      <w:r w:rsidRPr="002B63F7">
        <w:t>.</w:t>
      </w:r>
    </w:p>
  </w:footnote>
  <w:footnote w:id="2">
    <w:p w14:paraId="33E0ECED" w14:textId="2A8C0F75" w:rsidR="00162943" w:rsidRDefault="00162943" w:rsidP="00E938AC">
      <w:pPr>
        <w:pStyle w:val="footnotetext0"/>
      </w:pPr>
      <w:r>
        <w:rPr>
          <w:rStyle w:val="FootnoteReference"/>
        </w:rPr>
        <w:footnoteRef/>
      </w:r>
      <w:r>
        <w:t xml:space="preserve"> The </w:t>
      </w:r>
      <w:r w:rsidR="00667FA3">
        <w:t xml:space="preserve">simulated </w:t>
      </w:r>
      <w:r>
        <w:t xml:space="preserve">scenarios represent </w:t>
      </w:r>
      <w:r w:rsidRPr="000709E5">
        <w:t>sustainability</w:t>
      </w:r>
      <w:r>
        <w:t xml:space="preserve"> (</w:t>
      </w:r>
      <w:r w:rsidRPr="000709E5">
        <w:t>SSP1</w:t>
      </w:r>
      <w:r>
        <w:t>)</w:t>
      </w:r>
      <w:r w:rsidRPr="000709E5">
        <w:t>, middle of the road</w:t>
      </w:r>
      <w:r>
        <w:t xml:space="preserve"> (</w:t>
      </w:r>
      <w:r w:rsidRPr="000709E5">
        <w:t>SSP2</w:t>
      </w:r>
      <w:r>
        <w:t>)</w:t>
      </w:r>
      <w:r w:rsidRPr="000709E5">
        <w:t>, regional rivalry</w:t>
      </w:r>
      <w:r>
        <w:t xml:space="preserve"> (</w:t>
      </w:r>
      <w:r w:rsidRPr="000709E5">
        <w:t>SSP3</w:t>
      </w:r>
      <w:r>
        <w:t>)</w:t>
      </w:r>
      <w:r w:rsidRPr="000709E5">
        <w:t>, inequality</w:t>
      </w:r>
      <w:r>
        <w:t xml:space="preserve"> (</w:t>
      </w:r>
      <w:r w:rsidRPr="000709E5">
        <w:t>SP4</w:t>
      </w:r>
      <w:r>
        <w:t>)</w:t>
      </w:r>
      <w:r w:rsidRPr="000709E5">
        <w:t xml:space="preserve">, and fossil-fueled </w:t>
      </w:r>
      <w:r>
        <w:t>development (</w:t>
      </w:r>
      <w:r w:rsidRPr="000709E5">
        <w:t>SSP5</w:t>
      </w:r>
      <w:r>
        <w:t>)</w:t>
      </w:r>
      <w:r w:rsidRPr="000709E5">
        <w:t xml:space="preserve"> </w:t>
      </w:r>
      <w:r>
        <w:t xml:space="preserve">based </w:t>
      </w:r>
      <w:r w:rsidRPr="006658C2">
        <w:t xml:space="preserve">on </w:t>
      </w:r>
      <w:r w:rsidR="005B4128">
        <w:t>[5</w:t>
      </w:r>
      <w:r w:rsidR="00885832" w:rsidRPr="006658C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27B38"/>
    <w:multiLevelType w:val="hybridMultilevel"/>
    <w:tmpl w:val="E73EF474"/>
    <w:lvl w:ilvl="0" w:tplc="DDC66D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8E2719"/>
    <w:multiLevelType w:val="hybridMultilevel"/>
    <w:tmpl w:val="538C86A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9F2377"/>
    <w:multiLevelType w:val="hybridMultilevel"/>
    <w:tmpl w:val="9C52944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5572A4"/>
    <w:multiLevelType w:val="multilevel"/>
    <w:tmpl w:val="E4BE0F98"/>
    <w:lvl w:ilvl="0">
      <w:start w:val="1"/>
      <w:numFmt w:val="decimal"/>
      <w:pStyle w:val="Level1"/>
      <w:lvlText w:val="%1."/>
      <w:lvlJc w:val="left"/>
      <w:pPr>
        <w:ind w:left="360" w:hanging="360"/>
      </w:pPr>
      <w:rPr>
        <w:rFonts w:asciiTheme="minorHAnsi" w:hAnsiTheme="minorHAns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7864A3"/>
    <w:multiLevelType w:val="hybridMultilevel"/>
    <w:tmpl w:val="34D64D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3F621B"/>
    <w:multiLevelType w:val="hybridMultilevel"/>
    <w:tmpl w:val="C2D895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5623C"/>
    <w:multiLevelType w:val="multilevel"/>
    <w:tmpl w:val="C11AA9D0"/>
    <w:lvl w:ilvl="0">
      <w:start w:val="1"/>
      <w:numFmt w:val="decimal"/>
      <w:pStyle w:val="Heading2"/>
      <w:lvlText w:val="%1."/>
      <w:lvlJc w:val="left"/>
      <w:pPr>
        <w:ind w:left="360" w:hanging="360"/>
      </w:pPr>
    </w:lvl>
    <w:lvl w:ilvl="1">
      <w:start w:val="1"/>
      <w:numFmt w:val="decimal"/>
      <w:pStyle w:val="Level2"/>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42203C"/>
    <w:multiLevelType w:val="multilevel"/>
    <w:tmpl w:val="F1CCE108"/>
    <w:lvl w:ilvl="0">
      <w:start w:val="1"/>
      <w:numFmt w:val="decimal"/>
      <w:lvlText w:val="%1."/>
      <w:lvlJc w:val="left"/>
      <w:pPr>
        <w:ind w:left="360" w:hanging="360"/>
      </w:p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97CA7"/>
    <w:multiLevelType w:val="hybridMultilevel"/>
    <w:tmpl w:val="EE4689D8"/>
    <w:lvl w:ilvl="0" w:tplc="F19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44FD8"/>
    <w:multiLevelType w:val="hybridMultilevel"/>
    <w:tmpl w:val="B0C03654"/>
    <w:lvl w:ilvl="0" w:tplc="3ABCD242">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72664A1"/>
    <w:multiLevelType w:val="hybridMultilevel"/>
    <w:tmpl w:val="5F62CA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1A5116A"/>
    <w:multiLevelType w:val="hybridMultilevel"/>
    <w:tmpl w:val="A18AC0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7D2022"/>
    <w:multiLevelType w:val="hybridMultilevel"/>
    <w:tmpl w:val="EDC6834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E3B6938"/>
    <w:multiLevelType w:val="hybridMultilevel"/>
    <w:tmpl w:val="A93AAA58"/>
    <w:lvl w:ilvl="0" w:tplc="F19454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9686E"/>
    <w:multiLevelType w:val="hybridMultilevel"/>
    <w:tmpl w:val="964C5154"/>
    <w:lvl w:ilvl="0" w:tplc="7C3C8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E1723"/>
    <w:multiLevelType w:val="hybridMultilevel"/>
    <w:tmpl w:val="96BA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3"/>
  </w:num>
  <w:num w:numId="4">
    <w:abstractNumId w:val="8"/>
  </w:num>
  <w:num w:numId="5">
    <w:abstractNumId w:val="2"/>
  </w:num>
  <w:num w:numId="6">
    <w:abstractNumId w:val="9"/>
  </w:num>
  <w:num w:numId="7">
    <w:abstractNumId w:val="12"/>
  </w:num>
  <w:num w:numId="8">
    <w:abstractNumId w:val="11"/>
  </w:num>
  <w:num w:numId="9">
    <w:abstractNumId w:val="11"/>
  </w:num>
  <w:num w:numId="10">
    <w:abstractNumId w:val="10"/>
  </w:num>
  <w:num w:numId="11">
    <w:abstractNumId w:val="6"/>
  </w:num>
  <w:num w:numId="12">
    <w:abstractNumId w:val="1"/>
  </w:num>
  <w:num w:numId="13">
    <w:abstractNumId w:val="5"/>
  </w:num>
  <w:num w:numId="14">
    <w:abstractNumId w:val="4"/>
  </w:num>
  <w:num w:numId="15">
    <w:abstractNumId w:val="7"/>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activeWritingStyle w:appName="MSWord" w:lang="es-CL"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CL" w:vendorID="64" w:dllVersion="4096"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C1B"/>
    <w:rsid w:val="00004776"/>
    <w:rsid w:val="000111E0"/>
    <w:rsid w:val="000116E5"/>
    <w:rsid w:val="00011C0A"/>
    <w:rsid w:val="000125DF"/>
    <w:rsid w:val="00020E99"/>
    <w:rsid w:val="0002187C"/>
    <w:rsid w:val="000332BD"/>
    <w:rsid w:val="00035B7F"/>
    <w:rsid w:val="00036194"/>
    <w:rsid w:val="00043ABA"/>
    <w:rsid w:val="00051626"/>
    <w:rsid w:val="00055975"/>
    <w:rsid w:val="00056FE0"/>
    <w:rsid w:val="00060E84"/>
    <w:rsid w:val="000641C1"/>
    <w:rsid w:val="0006680C"/>
    <w:rsid w:val="00074572"/>
    <w:rsid w:val="00074C01"/>
    <w:rsid w:val="00077ABD"/>
    <w:rsid w:val="00082561"/>
    <w:rsid w:val="000874A1"/>
    <w:rsid w:val="00093AAD"/>
    <w:rsid w:val="00096322"/>
    <w:rsid w:val="000A13B6"/>
    <w:rsid w:val="000A18F1"/>
    <w:rsid w:val="000C0D36"/>
    <w:rsid w:val="000E14A7"/>
    <w:rsid w:val="000E2BEE"/>
    <w:rsid w:val="000F0A2E"/>
    <w:rsid w:val="000F16A0"/>
    <w:rsid w:val="000F187D"/>
    <w:rsid w:val="000F25A6"/>
    <w:rsid w:val="000F342B"/>
    <w:rsid w:val="00102CBD"/>
    <w:rsid w:val="00104DB0"/>
    <w:rsid w:val="001203E1"/>
    <w:rsid w:val="00123255"/>
    <w:rsid w:val="001312E1"/>
    <w:rsid w:val="00131CCB"/>
    <w:rsid w:val="00132A42"/>
    <w:rsid w:val="00132EC1"/>
    <w:rsid w:val="00142AA2"/>
    <w:rsid w:val="0014543E"/>
    <w:rsid w:val="00146EBB"/>
    <w:rsid w:val="001512AD"/>
    <w:rsid w:val="00151758"/>
    <w:rsid w:val="00152002"/>
    <w:rsid w:val="00157924"/>
    <w:rsid w:val="00162943"/>
    <w:rsid w:val="00172733"/>
    <w:rsid w:val="0017328A"/>
    <w:rsid w:val="00174F71"/>
    <w:rsid w:val="001A639A"/>
    <w:rsid w:val="001A7215"/>
    <w:rsid w:val="001B1F7C"/>
    <w:rsid w:val="001B49F5"/>
    <w:rsid w:val="001B4F96"/>
    <w:rsid w:val="001B7EDD"/>
    <w:rsid w:val="001C2A82"/>
    <w:rsid w:val="001C3626"/>
    <w:rsid w:val="001D2738"/>
    <w:rsid w:val="001E04A0"/>
    <w:rsid w:val="001E4512"/>
    <w:rsid w:val="001E6F87"/>
    <w:rsid w:val="001E7FDF"/>
    <w:rsid w:val="001F1E8F"/>
    <w:rsid w:val="001F525F"/>
    <w:rsid w:val="002005F0"/>
    <w:rsid w:val="00204E13"/>
    <w:rsid w:val="00212019"/>
    <w:rsid w:val="00214F7E"/>
    <w:rsid w:val="00221701"/>
    <w:rsid w:val="002227FC"/>
    <w:rsid w:val="00235CE3"/>
    <w:rsid w:val="00237FDF"/>
    <w:rsid w:val="0024156E"/>
    <w:rsid w:val="0024532F"/>
    <w:rsid w:val="00246C92"/>
    <w:rsid w:val="00247EEC"/>
    <w:rsid w:val="0025778F"/>
    <w:rsid w:val="002845BC"/>
    <w:rsid w:val="002A24A3"/>
    <w:rsid w:val="002A3CDC"/>
    <w:rsid w:val="002A785F"/>
    <w:rsid w:val="002A7D14"/>
    <w:rsid w:val="002B6175"/>
    <w:rsid w:val="002B63F7"/>
    <w:rsid w:val="002C22D3"/>
    <w:rsid w:val="002D4CA8"/>
    <w:rsid w:val="002D677B"/>
    <w:rsid w:val="002F43FA"/>
    <w:rsid w:val="002F7F68"/>
    <w:rsid w:val="0030295F"/>
    <w:rsid w:val="00303B10"/>
    <w:rsid w:val="003128FE"/>
    <w:rsid w:val="003139AF"/>
    <w:rsid w:val="003154FF"/>
    <w:rsid w:val="0033503C"/>
    <w:rsid w:val="00335CC6"/>
    <w:rsid w:val="0035065A"/>
    <w:rsid w:val="00354CBD"/>
    <w:rsid w:val="00356E6D"/>
    <w:rsid w:val="00361146"/>
    <w:rsid w:val="00382682"/>
    <w:rsid w:val="003959D4"/>
    <w:rsid w:val="003A4C1B"/>
    <w:rsid w:val="003A6572"/>
    <w:rsid w:val="003C0B78"/>
    <w:rsid w:val="003D12E2"/>
    <w:rsid w:val="003E2865"/>
    <w:rsid w:val="003E3864"/>
    <w:rsid w:val="00427E73"/>
    <w:rsid w:val="00436451"/>
    <w:rsid w:val="004413EB"/>
    <w:rsid w:val="004629E0"/>
    <w:rsid w:val="00465686"/>
    <w:rsid w:val="00466ACC"/>
    <w:rsid w:val="00466FE5"/>
    <w:rsid w:val="00470B0B"/>
    <w:rsid w:val="00474DEA"/>
    <w:rsid w:val="004859DD"/>
    <w:rsid w:val="00495001"/>
    <w:rsid w:val="004B261A"/>
    <w:rsid w:val="004B3F51"/>
    <w:rsid w:val="004B7B30"/>
    <w:rsid w:val="004C70DC"/>
    <w:rsid w:val="004D51E1"/>
    <w:rsid w:val="004E1CC9"/>
    <w:rsid w:val="004E31A1"/>
    <w:rsid w:val="004E5E12"/>
    <w:rsid w:val="004F50A4"/>
    <w:rsid w:val="00500180"/>
    <w:rsid w:val="00502D19"/>
    <w:rsid w:val="00502DA7"/>
    <w:rsid w:val="00504D9A"/>
    <w:rsid w:val="00505008"/>
    <w:rsid w:val="00507AF0"/>
    <w:rsid w:val="005137AD"/>
    <w:rsid w:val="0052795C"/>
    <w:rsid w:val="00527DDA"/>
    <w:rsid w:val="005324C0"/>
    <w:rsid w:val="00535BF7"/>
    <w:rsid w:val="00535F3A"/>
    <w:rsid w:val="00536ABA"/>
    <w:rsid w:val="00544EFC"/>
    <w:rsid w:val="0055123F"/>
    <w:rsid w:val="005571E7"/>
    <w:rsid w:val="005619AD"/>
    <w:rsid w:val="00570886"/>
    <w:rsid w:val="00583382"/>
    <w:rsid w:val="005914E0"/>
    <w:rsid w:val="00597CD8"/>
    <w:rsid w:val="005A1652"/>
    <w:rsid w:val="005A4B77"/>
    <w:rsid w:val="005A64AC"/>
    <w:rsid w:val="005A7A57"/>
    <w:rsid w:val="005B4128"/>
    <w:rsid w:val="005B59E4"/>
    <w:rsid w:val="005C3742"/>
    <w:rsid w:val="005C52E1"/>
    <w:rsid w:val="005C7B85"/>
    <w:rsid w:val="005D481A"/>
    <w:rsid w:val="005E4523"/>
    <w:rsid w:val="005E6585"/>
    <w:rsid w:val="005E78F4"/>
    <w:rsid w:val="005F4761"/>
    <w:rsid w:val="005F61C1"/>
    <w:rsid w:val="005F7A2D"/>
    <w:rsid w:val="006131EB"/>
    <w:rsid w:val="006135EF"/>
    <w:rsid w:val="0061410F"/>
    <w:rsid w:val="00616EDA"/>
    <w:rsid w:val="00625EE0"/>
    <w:rsid w:val="006260EE"/>
    <w:rsid w:val="006321F1"/>
    <w:rsid w:val="00654C1D"/>
    <w:rsid w:val="00656BFD"/>
    <w:rsid w:val="006623BA"/>
    <w:rsid w:val="00665190"/>
    <w:rsid w:val="00665793"/>
    <w:rsid w:val="006658C2"/>
    <w:rsid w:val="00667FA3"/>
    <w:rsid w:val="00676D7F"/>
    <w:rsid w:val="006831F5"/>
    <w:rsid w:val="006B5442"/>
    <w:rsid w:val="006C5A21"/>
    <w:rsid w:val="006D05D4"/>
    <w:rsid w:val="006D05E3"/>
    <w:rsid w:val="006D0B73"/>
    <w:rsid w:val="006D21F1"/>
    <w:rsid w:val="006D4444"/>
    <w:rsid w:val="006D7E1F"/>
    <w:rsid w:val="006E4150"/>
    <w:rsid w:val="006F091A"/>
    <w:rsid w:val="006F27F2"/>
    <w:rsid w:val="006F298F"/>
    <w:rsid w:val="006F3AAE"/>
    <w:rsid w:val="006F6678"/>
    <w:rsid w:val="0071312D"/>
    <w:rsid w:val="007133BF"/>
    <w:rsid w:val="00715A84"/>
    <w:rsid w:val="00721CAE"/>
    <w:rsid w:val="0073362A"/>
    <w:rsid w:val="00743539"/>
    <w:rsid w:val="00745158"/>
    <w:rsid w:val="00755084"/>
    <w:rsid w:val="00776636"/>
    <w:rsid w:val="00783695"/>
    <w:rsid w:val="00791F9F"/>
    <w:rsid w:val="0079266D"/>
    <w:rsid w:val="0079471C"/>
    <w:rsid w:val="0079491B"/>
    <w:rsid w:val="00797648"/>
    <w:rsid w:val="007B02F9"/>
    <w:rsid w:val="007D190A"/>
    <w:rsid w:val="007D3CCE"/>
    <w:rsid w:val="007E3124"/>
    <w:rsid w:val="007F4F66"/>
    <w:rsid w:val="00806E6E"/>
    <w:rsid w:val="008132DF"/>
    <w:rsid w:val="0082052C"/>
    <w:rsid w:val="00821112"/>
    <w:rsid w:val="008303B1"/>
    <w:rsid w:val="00836C22"/>
    <w:rsid w:val="00844836"/>
    <w:rsid w:val="00851CE4"/>
    <w:rsid w:val="00866D4E"/>
    <w:rsid w:val="00867E8F"/>
    <w:rsid w:val="00877D09"/>
    <w:rsid w:val="008807B8"/>
    <w:rsid w:val="00881862"/>
    <w:rsid w:val="00883D11"/>
    <w:rsid w:val="00885832"/>
    <w:rsid w:val="0089460A"/>
    <w:rsid w:val="00896592"/>
    <w:rsid w:val="008A59DB"/>
    <w:rsid w:val="008B1B8E"/>
    <w:rsid w:val="008C0AFD"/>
    <w:rsid w:val="008C22C2"/>
    <w:rsid w:val="008C7740"/>
    <w:rsid w:val="008D23FE"/>
    <w:rsid w:val="008D43FD"/>
    <w:rsid w:val="008D4EC9"/>
    <w:rsid w:val="008E0249"/>
    <w:rsid w:val="008E0450"/>
    <w:rsid w:val="008E0D8C"/>
    <w:rsid w:val="008E0F9E"/>
    <w:rsid w:val="008E3FCF"/>
    <w:rsid w:val="008E5E36"/>
    <w:rsid w:val="008E66C5"/>
    <w:rsid w:val="008F3000"/>
    <w:rsid w:val="008F791D"/>
    <w:rsid w:val="009037A7"/>
    <w:rsid w:val="00905B01"/>
    <w:rsid w:val="00912DFA"/>
    <w:rsid w:val="00917582"/>
    <w:rsid w:val="00917818"/>
    <w:rsid w:val="0092512F"/>
    <w:rsid w:val="009253EE"/>
    <w:rsid w:val="009318E5"/>
    <w:rsid w:val="00936E4C"/>
    <w:rsid w:val="00952183"/>
    <w:rsid w:val="00957BFF"/>
    <w:rsid w:val="00961C10"/>
    <w:rsid w:val="00967616"/>
    <w:rsid w:val="00972DD2"/>
    <w:rsid w:val="009740A5"/>
    <w:rsid w:val="0097714E"/>
    <w:rsid w:val="0098753C"/>
    <w:rsid w:val="00996CA8"/>
    <w:rsid w:val="00997CD0"/>
    <w:rsid w:val="009B1ED2"/>
    <w:rsid w:val="009C19C0"/>
    <w:rsid w:val="009C30B5"/>
    <w:rsid w:val="009C5E26"/>
    <w:rsid w:val="009C71DE"/>
    <w:rsid w:val="009D1475"/>
    <w:rsid w:val="009D779B"/>
    <w:rsid w:val="009E4372"/>
    <w:rsid w:val="009E7139"/>
    <w:rsid w:val="009E7501"/>
    <w:rsid w:val="009F38B2"/>
    <w:rsid w:val="009F6393"/>
    <w:rsid w:val="00A04101"/>
    <w:rsid w:val="00A05450"/>
    <w:rsid w:val="00A11DED"/>
    <w:rsid w:val="00A173DE"/>
    <w:rsid w:val="00A20546"/>
    <w:rsid w:val="00A20782"/>
    <w:rsid w:val="00A20BB6"/>
    <w:rsid w:val="00A22B8D"/>
    <w:rsid w:val="00A23F80"/>
    <w:rsid w:val="00A240B8"/>
    <w:rsid w:val="00A27DE7"/>
    <w:rsid w:val="00A31B92"/>
    <w:rsid w:val="00A3360C"/>
    <w:rsid w:val="00A35CBB"/>
    <w:rsid w:val="00A62EF7"/>
    <w:rsid w:val="00A70367"/>
    <w:rsid w:val="00A72F19"/>
    <w:rsid w:val="00A757B4"/>
    <w:rsid w:val="00A77F5D"/>
    <w:rsid w:val="00A874CE"/>
    <w:rsid w:val="00A90306"/>
    <w:rsid w:val="00A9299C"/>
    <w:rsid w:val="00A96338"/>
    <w:rsid w:val="00AA0104"/>
    <w:rsid w:val="00AA546A"/>
    <w:rsid w:val="00AB2855"/>
    <w:rsid w:val="00AB4F2A"/>
    <w:rsid w:val="00AB6DB0"/>
    <w:rsid w:val="00AB7610"/>
    <w:rsid w:val="00AC0A04"/>
    <w:rsid w:val="00AC34FF"/>
    <w:rsid w:val="00AC35CB"/>
    <w:rsid w:val="00AC47E3"/>
    <w:rsid w:val="00AC4998"/>
    <w:rsid w:val="00AC4FC2"/>
    <w:rsid w:val="00AC6EE9"/>
    <w:rsid w:val="00AD375F"/>
    <w:rsid w:val="00AE3A6F"/>
    <w:rsid w:val="00AF2528"/>
    <w:rsid w:val="00AF6559"/>
    <w:rsid w:val="00B058EB"/>
    <w:rsid w:val="00B06066"/>
    <w:rsid w:val="00B07106"/>
    <w:rsid w:val="00B121F5"/>
    <w:rsid w:val="00B1474A"/>
    <w:rsid w:val="00B14F29"/>
    <w:rsid w:val="00B17270"/>
    <w:rsid w:val="00B173F7"/>
    <w:rsid w:val="00B23938"/>
    <w:rsid w:val="00B26689"/>
    <w:rsid w:val="00B268E0"/>
    <w:rsid w:val="00B33BA7"/>
    <w:rsid w:val="00B36308"/>
    <w:rsid w:val="00B54870"/>
    <w:rsid w:val="00B555CC"/>
    <w:rsid w:val="00B7571E"/>
    <w:rsid w:val="00B8710C"/>
    <w:rsid w:val="00B87441"/>
    <w:rsid w:val="00B901E7"/>
    <w:rsid w:val="00B966B4"/>
    <w:rsid w:val="00BA1774"/>
    <w:rsid w:val="00BC168F"/>
    <w:rsid w:val="00BC17AE"/>
    <w:rsid w:val="00BC23D4"/>
    <w:rsid w:val="00BC318B"/>
    <w:rsid w:val="00BD68FF"/>
    <w:rsid w:val="00BF35F6"/>
    <w:rsid w:val="00C11740"/>
    <w:rsid w:val="00C171A1"/>
    <w:rsid w:val="00C226CE"/>
    <w:rsid w:val="00C236E9"/>
    <w:rsid w:val="00C248DE"/>
    <w:rsid w:val="00C27E98"/>
    <w:rsid w:val="00C303AA"/>
    <w:rsid w:val="00C32C99"/>
    <w:rsid w:val="00C343BF"/>
    <w:rsid w:val="00C41F33"/>
    <w:rsid w:val="00C4291F"/>
    <w:rsid w:val="00C51D2F"/>
    <w:rsid w:val="00C52259"/>
    <w:rsid w:val="00C56A4F"/>
    <w:rsid w:val="00C63C1B"/>
    <w:rsid w:val="00C668A3"/>
    <w:rsid w:val="00C679D7"/>
    <w:rsid w:val="00C72288"/>
    <w:rsid w:val="00C93331"/>
    <w:rsid w:val="00CB17E3"/>
    <w:rsid w:val="00CB64C2"/>
    <w:rsid w:val="00CB6CE6"/>
    <w:rsid w:val="00CC0948"/>
    <w:rsid w:val="00CC0CF9"/>
    <w:rsid w:val="00CC33B6"/>
    <w:rsid w:val="00CC3DCC"/>
    <w:rsid w:val="00CC618E"/>
    <w:rsid w:val="00CD11E2"/>
    <w:rsid w:val="00CD21BE"/>
    <w:rsid w:val="00CF4DB2"/>
    <w:rsid w:val="00CF5048"/>
    <w:rsid w:val="00CF78FE"/>
    <w:rsid w:val="00D104D8"/>
    <w:rsid w:val="00D23723"/>
    <w:rsid w:val="00D248DB"/>
    <w:rsid w:val="00D2526A"/>
    <w:rsid w:val="00D34032"/>
    <w:rsid w:val="00D34271"/>
    <w:rsid w:val="00D36CB0"/>
    <w:rsid w:val="00D40C61"/>
    <w:rsid w:val="00D40F41"/>
    <w:rsid w:val="00D429B8"/>
    <w:rsid w:val="00D52757"/>
    <w:rsid w:val="00D631BE"/>
    <w:rsid w:val="00D63E07"/>
    <w:rsid w:val="00D71118"/>
    <w:rsid w:val="00D73AF5"/>
    <w:rsid w:val="00D7499A"/>
    <w:rsid w:val="00D76B7E"/>
    <w:rsid w:val="00D80D27"/>
    <w:rsid w:val="00D84939"/>
    <w:rsid w:val="00D875A8"/>
    <w:rsid w:val="00D92723"/>
    <w:rsid w:val="00DB7749"/>
    <w:rsid w:val="00DC56F1"/>
    <w:rsid w:val="00DD3B6B"/>
    <w:rsid w:val="00DD6391"/>
    <w:rsid w:val="00DE4BAE"/>
    <w:rsid w:val="00DE6CD3"/>
    <w:rsid w:val="00DE71BE"/>
    <w:rsid w:val="00DF08DF"/>
    <w:rsid w:val="00DF159A"/>
    <w:rsid w:val="00DF4D82"/>
    <w:rsid w:val="00DF5577"/>
    <w:rsid w:val="00E03016"/>
    <w:rsid w:val="00E0388B"/>
    <w:rsid w:val="00E045FA"/>
    <w:rsid w:val="00E123F7"/>
    <w:rsid w:val="00E1551D"/>
    <w:rsid w:val="00E22ED6"/>
    <w:rsid w:val="00E24A65"/>
    <w:rsid w:val="00E24E45"/>
    <w:rsid w:val="00E25BFD"/>
    <w:rsid w:val="00E31628"/>
    <w:rsid w:val="00E31DFF"/>
    <w:rsid w:val="00E321FF"/>
    <w:rsid w:val="00E36886"/>
    <w:rsid w:val="00E3706A"/>
    <w:rsid w:val="00E37299"/>
    <w:rsid w:val="00E44452"/>
    <w:rsid w:val="00E507FA"/>
    <w:rsid w:val="00E50AFE"/>
    <w:rsid w:val="00E544C9"/>
    <w:rsid w:val="00E54A46"/>
    <w:rsid w:val="00E57FD2"/>
    <w:rsid w:val="00E63336"/>
    <w:rsid w:val="00E63698"/>
    <w:rsid w:val="00E6575D"/>
    <w:rsid w:val="00E65C1B"/>
    <w:rsid w:val="00E8227C"/>
    <w:rsid w:val="00E859B2"/>
    <w:rsid w:val="00E86824"/>
    <w:rsid w:val="00E8717F"/>
    <w:rsid w:val="00E938AC"/>
    <w:rsid w:val="00E96265"/>
    <w:rsid w:val="00E971E6"/>
    <w:rsid w:val="00E97B48"/>
    <w:rsid w:val="00EA0ADC"/>
    <w:rsid w:val="00EA496E"/>
    <w:rsid w:val="00EC60B3"/>
    <w:rsid w:val="00ED075F"/>
    <w:rsid w:val="00ED3C10"/>
    <w:rsid w:val="00ED7C33"/>
    <w:rsid w:val="00EE31E3"/>
    <w:rsid w:val="00EE5B22"/>
    <w:rsid w:val="00EF67D9"/>
    <w:rsid w:val="00EF7B4D"/>
    <w:rsid w:val="00F07DEC"/>
    <w:rsid w:val="00F1213B"/>
    <w:rsid w:val="00F12185"/>
    <w:rsid w:val="00F136F0"/>
    <w:rsid w:val="00F20078"/>
    <w:rsid w:val="00F20C95"/>
    <w:rsid w:val="00F21B00"/>
    <w:rsid w:val="00F25A2F"/>
    <w:rsid w:val="00F35A98"/>
    <w:rsid w:val="00F36A06"/>
    <w:rsid w:val="00F37D01"/>
    <w:rsid w:val="00F4431D"/>
    <w:rsid w:val="00F47435"/>
    <w:rsid w:val="00F5259B"/>
    <w:rsid w:val="00F54869"/>
    <w:rsid w:val="00F633B6"/>
    <w:rsid w:val="00F678E5"/>
    <w:rsid w:val="00F73FCC"/>
    <w:rsid w:val="00F758A2"/>
    <w:rsid w:val="00F808E1"/>
    <w:rsid w:val="00F82DD5"/>
    <w:rsid w:val="00F84D3F"/>
    <w:rsid w:val="00FA0B29"/>
    <w:rsid w:val="00FA17F9"/>
    <w:rsid w:val="00FA1EB6"/>
    <w:rsid w:val="00FA3E53"/>
    <w:rsid w:val="00FA66A3"/>
    <w:rsid w:val="00FA6B11"/>
    <w:rsid w:val="00FA7BB3"/>
    <w:rsid w:val="00FB6CCF"/>
    <w:rsid w:val="00FC31D6"/>
    <w:rsid w:val="00FC5F88"/>
    <w:rsid w:val="00FD4E58"/>
    <w:rsid w:val="00FE1E54"/>
    <w:rsid w:val="00FE35E8"/>
    <w:rsid w:val="00FE3ED6"/>
    <w:rsid w:val="00FF37FE"/>
    <w:rsid w:val="00FF584E"/>
    <w:rsid w:val="00FF5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24CB"/>
  <w15:chartTrackingRefBased/>
  <w15:docId w15:val="{1FD6DA49-EB4E-9149-B1A0-166415F4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8AC"/>
    <w:pPr>
      <w:spacing w:before="120" w:line="360" w:lineRule="auto"/>
      <w:ind w:firstLine="360"/>
      <w:jc w:val="both"/>
    </w:pPr>
    <w:rPr>
      <w:rFonts w:cs="Times New Roman"/>
    </w:rPr>
  </w:style>
  <w:style w:type="paragraph" w:styleId="Heading1">
    <w:name w:val="heading 1"/>
    <w:basedOn w:val="Subtitle"/>
    <w:next w:val="Normal"/>
    <w:link w:val="Heading1Char"/>
    <w:uiPriority w:val="9"/>
    <w:qFormat/>
    <w:rsid w:val="00132EC1"/>
    <w:pPr>
      <w:spacing w:after="0"/>
      <w:jc w:val="center"/>
      <w:outlineLvl w:val="0"/>
    </w:pPr>
    <w:rPr>
      <w:b/>
      <w:color w:val="000000" w:themeColor="text1"/>
      <w:sz w:val="32"/>
    </w:rPr>
  </w:style>
  <w:style w:type="paragraph" w:styleId="Heading2">
    <w:name w:val="heading 2"/>
    <w:basedOn w:val="Normal"/>
    <w:next w:val="Normal"/>
    <w:link w:val="Heading2Char"/>
    <w:uiPriority w:val="9"/>
    <w:unhideWhenUsed/>
    <w:qFormat/>
    <w:rsid w:val="00A20546"/>
    <w:pPr>
      <w:keepNext/>
      <w:keepLines/>
      <w:numPr>
        <w:numId w:val="11"/>
      </w:numP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214F7E"/>
    <w:pPr>
      <w:keepNext/>
      <w:keepLines/>
      <w:numPr>
        <w:ilvl w:val="1"/>
        <w:numId w:val="15"/>
      </w:numPr>
      <w:ind w:left="45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EC1"/>
    <w:rPr>
      <w:rFonts w:cs="Times New Roman"/>
      <w:b/>
      <w:color w:val="000000" w:themeColor="text1"/>
      <w:spacing w:val="15"/>
      <w:sz w:val="32"/>
    </w:rPr>
  </w:style>
  <w:style w:type="paragraph" w:styleId="Title">
    <w:name w:val="Title"/>
    <w:basedOn w:val="Normal"/>
    <w:next w:val="Normal"/>
    <w:link w:val="TitleChar"/>
    <w:uiPriority w:val="10"/>
    <w:qFormat/>
    <w:rsid w:val="00C63C1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C1B"/>
    <w:rPr>
      <w:rFonts w:asciiTheme="majorHAnsi" w:eastAsiaTheme="majorEastAsia" w:hAnsiTheme="majorHAnsi" w:cstheme="majorBidi"/>
      <w:spacing w:val="-10"/>
      <w:kern w:val="28"/>
      <w:sz w:val="56"/>
      <w:szCs w:val="56"/>
    </w:rPr>
  </w:style>
  <w:style w:type="paragraph" w:customStyle="1" w:styleId="Default">
    <w:name w:val="Default"/>
    <w:rsid w:val="00905B01"/>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905B01"/>
    <w:pPr>
      <w:numPr>
        <w:ilvl w:val="1"/>
      </w:numPr>
      <w:ind w:firstLine="360"/>
    </w:pPr>
    <w:rPr>
      <w:color w:val="5A5A5A" w:themeColor="text1" w:themeTint="A5"/>
      <w:spacing w:val="15"/>
    </w:rPr>
  </w:style>
  <w:style w:type="character" w:customStyle="1" w:styleId="SubtitleChar">
    <w:name w:val="Subtitle Char"/>
    <w:basedOn w:val="DefaultParagraphFont"/>
    <w:link w:val="Subtitle"/>
    <w:uiPriority w:val="11"/>
    <w:rsid w:val="00905B01"/>
    <w:rPr>
      <w:color w:val="5A5A5A" w:themeColor="text1" w:themeTint="A5"/>
      <w:spacing w:val="15"/>
    </w:rPr>
  </w:style>
  <w:style w:type="paragraph" w:styleId="Header">
    <w:name w:val="header"/>
    <w:basedOn w:val="Normal"/>
    <w:link w:val="HeaderChar"/>
    <w:uiPriority w:val="99"/>
    <w:unhideWhenUsed/>
    <w:rsid w:val="000125DF"/>
    <w:pPr>
      <w:tabs>
        <w:tab w:val="center" w:pos="4680"/>
        <w:tab w:val="right" w:pos="9360"/>
      </w:tabs>
      <w:spacing w:after="0"/>
    </w:pPr>
  </w:style>
  <w:style w:type="character" w:customStyle="1" w:styleId="HeaderChar">
    <w:name w:val="Header Char"/>
    <w:basedOn w:val="DefaultParagraphFont"/>
    <w:link w:val="Header"/>
    <w:uiPriority w:val="99"/>
    <w:rsid w:val="000125DF"/>
  </w:style>
  <w:style w:type="paragraph" w:styleId="Footer">
    <w:name w:val="footer"/>
    <w:basedOn w:val="Normal"/>
    <w:link w:val="FooterChar"/>
    <w:uiPriority w:val="99"/>
    <w:unhideWhenUsed/>
    <w:rsid w:val="000125DF"/>
    <w:pPr>
      <w:tabs>
        <w:tab w:val="center" w:pos="4680"/>
        <w:tab w:val="right" w:pos="9360"/>
      </w:tabs>
      <w:spacing w:after="0"/>
    </w:pPr>
  </w:style>
  <w:style w:type="character" w:customStyle="1" w:styleId="FooterChar">
    <w:name w:val="Footer Char"/>
    <w:basedOn w:val="DefaultParagraphFont"/>
    <w:link w:val="Footer"/>
    <w:uiPriority w:val="99"/>
    <w:rsid w:val="000125DF"/>
  </w:style>
  <w:style w:type="paragraph" w:styleId="Caption">
    <w:name w:val="caption"/>
    <w:basedOn w:val="Normal"/>
    <w:next w:val="Normal"/>
    <w:link w:val="CaptionChar"/>
    <w:uiPriority w:val="35"/>
    <w:unhideWhenUsed/>
    <w:qFormat/>
    <w:rsid w:val="00A31B92"/>
    <w:pPr>
      <w:spacing w:after="200"/>
      <w:ind w:firstLine="0"/>
    </w:pPr>
    <w:rPr>
      <w:iCs/>
      <w:color w:val="000000" w:themeColor="text1"/>
      <w:sz w:val="18"/>
      <w:szCs w:val="18"/>
    </w:rPr>
  </w:style>
  <w:style w:type="character" w:customStyle="1" w:styleId="Heading2Char">
    <w:name w:val="Heading 2 Char"/>
    <w:basedOn w:val="DefaultParagraphFont"/>
    <w:link w:val="Heading2"/>
    <w:uiPriority w:val="9"/>
    <w:rsid w:val="00A20546"/>
    <w:rPr>
      <w:rFonts w:eastAsiaTheme="majorEastAsia" w:cstheme="majorBidi"/>
      <w:b/>
      <w:sz w:val="24"/>
      <w:szCs w:val="26"/>
    </w:rPr>
  </w:style>
  <w:style w:type="paragraph" w:styleId="ListParagraph">
    <w:name w:val="List Paragraph"/>
    <w:basedOn w:val="Normal"/>
    <w:link w:val="ListParagraphChar"/>
    <w:uiPriority w:val="34"/>
    <w:qFormat/>
    <w:rsid w:val="005E78F4"/>
    <w:pPr>
      <w:ind w:left="720"/>
      <w:contextualSpacing/>
    </w:pPr>
  </w:style>
  <w:style w:type="character" w:styleId="CommentReference">
    <w:name w:val="annotation reference"/>
    <w:basedOn w:val="DefaultParagraphFont"/>
    <w:uiPriority w:val="99"/>
    <w:semiHidden/>
    <w:unhideWhenUsed/>
    <w:rsid w:val="00BF35F6"/>
    <w:rPr>
      <w:sz w:val="16"/>
      <w:szCs w:val="16"/>
    </w:rPr>
  </w:style>
  <w:style w:type="paragraph" w:styleId="CommentText">
    <w:name w:val="annotation text"/>
    <w:basedOn w:val="Normal"/>
    <w:link w:val="CommentTextChar"/>
    <w:uiPriority w:val="99"/>
    <w:unhideWhenUsed/>
    <w:rsid w:val="00BF35F6"/>
    <w:rPr>
      <w:sz w:val="20"/>
      <w:szCs w:val="20"/>
    </w:rPr>
  </w:style>
  <w:style w:type="character" w:customStyle="1" w:styleId="CommentTextChar">
    <w:name w:val="Comment Text Char"/>
    <w:basedOn w:val="DefaultParagraphFont"/>
    <w:link w:val="CommentText"/>
    <w:uiPriority w:val="99"/>
    <w:rsid w:val="00BF35F6"/>
    <w:rPr>
      <w:sz w:val="20"/>
      <w:szCs w:val="20"/>
    </w:rPr>
  </w:style>
  <w:style w:type="paragraph" w:styleId="CommentSubject">
    <w:name w:val="annotation subject"/>
    <w:basedOn w:val="CommentText"/>
    <w:next w:val="CommentText"/>
    <w:link w:val="CommentSubjectChar"/>
    <w:uiPriority w:val="99"/>
    <w:semiHidden/>
    <w:unhideWhenUsed/>
    <w:rsid w:val="00BF35F6"/>
    <w:rPr>
      <w:b/>
      <w:bCs/>
    </w:rPr>
  </w:style>
  <w:style w:type="character" w:customStyle="1" w:styleId="CommentSubjectChar">
    <w:name w:val="Comment Subject Char"/>
    <w:basedOn w:val="CommentTextChar"/>
    <w:link w:val="CommentSubject"/>
    <w:uiPriority w:val="99"/>
    <w:semiHidden/>
    <w:rsid w:val="00BF35F6"/>
    <w:rPr>
      <w:b/>
      <w:bCs/>
      <w:sz w:val="20"/>
      <w:szCs w:val="20"/>
    </w:rPr>
  </w:style>
  <w:style w:type="paragraph" w:styleId="BalloonText">
    <w:name w:val="Balloon Text"/>
    <w:basedOn w:val="Normal"/>
    <w:link w:val="BalloonTextChar"/>
    <w:uiPriority w:val="99"/>
    <w:semiHidden/>
    <w:unhideWhenUsed/>
    <w:rsid w:val="00BF35F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5F6"/>
    <w:rPr>
      <w:rFonts w:ascii="Segoe UI" w:hAnsi="Segoe UI" w:cs="Segoe UI"/>
      <w:sz w:val="18"/>
      <w:szCs w:val="18"/>
    </w:rPr>
  </w:style>
  <w:style w:type="paragraph" w:styleId="FootnoteText">
    <w:name w:val="footnote text"/>
    <w:basedOn w:val="Normal"/>
    <w:link w:val="FootnoteTextChar"/>
    <w:uiPriority w:val="99"/>
    <w:unhideWhenUsed/>
    <w:qFormat/>
    <w:rsid w:val="00221701"/>
    <w:pPr>
      <w:spacing w:before="0" w:after="0"/>
      <w:ind w:left="630" w:hanging="270"/>
    </w:pPr>
    <w:rPr>
      <w:rFonts w:eastAsiaTheme="minorHAnsi"/>
      <w:sz w:val="18"/>
      <w:szCs w:val="18"/>
      <w:lang w:eastAsia="en-US"/>
    </w:rPr>
  </w:style>
  <w:style w:type="character" w:customStyle="1" w:styleId="FootnoteTextChar">
    <w:name w:val="Footnote Text Char"/>
    <w:basedOn w:val="DefaultParagraphFont"/>
    <w:link w:val="FootnoteText"/>
    <w:uiPriority w:val="99"/>
    <w:rsid w:val="00221701"/>
    <w:rPr>
      <w:rFonts w:ascii="Times New Roman" w:eastAsiaTheme="minorHAnsi" w:hAnsi="Times New Roman" w:cs="Times New Roman"/>
      <w:sz w:val="18"/>
      <w:szCs w:val="18"/>
      <w:lang w:eastAsia="en-US"/>
    </w:rPr>
  </w:style>
  <w:style w:type="character" w:styleId="FootnoteReference">
    <w:name w:val="footnote reference"/>
    <w:basedOn w:val="DefaultParagraphFont"/>
    <w:uiPriority w:val="99"/>
    <w:unhideWhenUsed/>
    <w:rsid w:val="00755084"/>
    <w:rPr>
      <w:vertAlign w:val="superscript"/>
    </w:rPr>
  </w:style>
  <w:style w:type="character" w:customStyle="1" w:styleId="Heading3Char">
    <w:name w:val="Heading 3 Char"/>
    <w:basedOn w:val="DefaultParagraphFont"/>
    <w:link w:val="Heading3"/>
    <w:uiPriority w:val="9"/>
    <w:rsid w:val="00214F7E"/>
    <w:rPr>
      <w:rFonts w:ascii="Times New Roman" w:eastAsiaTheme="majorEastAsia" w:hAnsi="Times New Roman" w:cstheme="majorBidi"/>
      <w:b/>
      <w:sz w:val="24"/>
      <w:szCs w:val="24"/>
    </w:rPr>
  </w:style>
  <w:style w:type="paragraph" w:customStyle="1" w:styleId="Figure">
    <w:name w:val="Figure"/>
    <w:basedOn w:val="Normal"/>
    <w:link w:val="FigureChar"/>
    <w:qFormat/>
    <w:rsid w:val="005A1652"/>
    <w:pPr>
      <w:keepNext/>
      <w:spacing w:before="240" w:after="0"/>
      <w:ind w:firstLine="0"/>
      <w:jc w:val="center"/>
    </w:pPr>
    <w:rPr>
      <w:rFonts w:ascii="Arial" w:eastAsia="Times New Roman" w:hAnsi="Arial" w:cs="Arial"/>
      <w:noProof/>
      <w:color w:val="000000" w:themeColor="text1"/>
      <w:szCs w:val="24"/>
      <w:lang w:eastAsia="en-US"/>
    </w:rPr>
  </w:style>
  <w:style w:type="character" w:customStyle="1" w:styleId="FigureChar">
    <w:name w:val="Figure Char"/>
    <w:basedOn w:val="DefaultParagraphFont"/>
    <w:link w:val="Figure"/>
    <w:rsid w:val="005A1652"/>
    <w:rPr>
      <w:rFonts w:ascii="Arial" w:eastAsia="Times New Roman" w:hAnsi="Arial" w:cs="Arial"/>
      <w:noProof/>
      <w:color w:val="000000" w:themeColor="text1"/>
      <w:szCs w:val="24"/>
      <w:lang w:eastAsia="en-US"/>
    </w:rPr>
  </w:style>
  <w:style w:type="character" w:customStyle="1" w:styleId="CaptionChar">
    <w:name w:val="Caption Char"/>
    <w:basedOn w:val="DefaultParagraphFont"/>
    <w:link w:val="Caption"/>
    <w:uiPriority w:val="35"/>
    <w:rsid w:val="00A31B92"/>
    <w:rPr>
      <w:rFonts w:ascii="Times New Roman" w:hAnsi="Times New Roman" w:cs="Times New Roman"/>
      <w:iCs/>
      <w:color w:val="000000" w:themeColor="text1"/>
      <w:sz w:val="18"/>
      <w:szCs w:val="18"/>
    </w:rPr>
  </w:style>
  <w:style w:type="table" w:styleId="TableGrid">
    <w:name w:val="Table Grid"/>
    <w:basedOn w:val="TableNormal"/>
    <w:uiPriority w:val="39"/>
    <w:rsid w:val="0024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bleIndent">
    <w:name w:val="DoubleIndent"/>
    <w:basedOn w:val="Normal"/>
    <w:link w:val="DoubleIndentChar"/>
    <w:qFormat/>
    <w:rsid w:val="0024532F"/>
    <w:pPr>
      <w:snapToGrid w:val="0"/>
      <w:spacing w:before="80" w:line="480" w:lineRule="auto"/>
      <w:ind w:firstLine="720"/>
    </w:pPr>
    <w:rPr>
      <w:rFonts w:eastAsia="ヒラギノ角ゴ Pro W3"/>
      <w:color w:val="000000"/>
      <w:szCs w:val="24"/>
    </w:rPr>
  </w:style>
  <w:style w:type="character" w:customStyle="1" w:styleId="DoubleIndentChar">
    <w:name w:val="DoubleIndent Char"/>
    <w:basedOn w:val="DefaultParagraphFont"/>
    <w:link w:val="DoubleIndent"/>
    <w:rsid w:val="0024532F"/>
    <w:rPr>
      <w:rFonts w:ascii="Times New Roman" w:eastAsia="ヒラギノ角ゴ Pro W3" w:hAnsi="Times New Roman"/>
      <w:color w:val="000000"/>
      <w:sz w:val="24"/>
      <w:szCs w:val="24"/>
    </w:rPr>
  </w:style>
  <w:style w:type="character" w:styleId="Hyperlink">
    <w:name w:val="Hyperlink"/>
    <w:basedOn w:val="DefaultParagraphFont"/>
    <w:uiPriority w:val="99"/>
    <w:unhideWhenUsed/>
    <w:rsid w:val="00B268E0"/>
    <w:rPr>
      <w:color w:val="0563C1" w:themeColor="hyperlink"/>
      <w:u w:val="single"/>
    </w:rPr>
  </w:style>
  <w:style w:type="character" w:customStyle="1" w:styleId="UnresolvedMention1">
    <w:name w:val="Unresolved Mention1"/>
    <w:basedOn w:val="DefaultParagraphFont"/>
    <w:uiPriority w:val="99"/>
    <w:semiHidden/>
    <w:unhideWhenUsed/>
    <w:rsid w:val="00F633B6"/>
    <w:rPr>
      <w:color w:val="605E5C"/>
      <w:shd w:val="clear" w:color="auto" w:fill="E1DFDD"/>
    </w:rPr>
  </w:style>
  <w:style w:type="paragraph" w:customStyle="1" w:styleId="Reference">
    <w:name w:val="Reference"/>
    <w:basedOn w:val="Normal"/>
    <w:link w:val="ReferenceChar"/>
    <w:qFormat/>
    <w:rsid w:val="00E938AC"/>
    <w:pPr>
      <w:spacing w:before="0" w:after="60"/>
      <w:ind w:firstLine="0"/>
    </w:pPr>
  </w:style>
  <w:style w:type="character" w:customStyle="1" w:styleId="ReferenceChar">
    <w:name w:val="Reference Char"/>
    <w:basedOn w:val="DefaultParagraphFont"/>
    <w:link w:val="Reference"/>
    <w:rsid w:val="00E938AC"/>
    <w:rPr>
      <w:rFonts w:cs="Times New Roman"/>
    </w:rPr>
  </w:style>
  <w:style w:type="paragraph" w:customStyle="1" w:styleId="footnotetext0">
    <w:name w:val="footnote_text"/>
    <w:basedOn w:val="FootnoteText"/>
    <w:link w:val="footnotetextChar0"/>
    <w:qFormat/>
    <w:rsid w:val="002B63F7"/>
    <w:pPr>
      <w:ind w:left="0" w:firstLine="0"/>
    </w:pPr>
    <w:rPr>
      <w:rFonts w:ascii="Times New Roman" w:eastAsia="SimSun" w:hAnsi="Times New Roman" w:cs="Arial"/>
      <w:szCs w:val="20"/>
    </w:rPr>
  </w:style>
  <w:style w:type="character" w:customStyle="1" w:styleId="footnotetextChar0">
    <w:name w:val="footnote_text Char"/>
    <w:basedOn w:val="FootnoteTextChar"/>
    <w:link w:val="footnotetext0"/>
    <w:rsid w:val="002B63F7"/>
    <w:rPr>
      <w:rFonts w:ascii="Times New Roman" w:eastAsia="SimSun" w:hAnsi="Times New Roman" w:cs="Arial"/>
      <w:sz w:val="18"/>
      <w:szCs w:val="20"/>
      <w:lang w:eastAsia="en-US"/>
    </w:rPr>
  </w:style>
  <w:style w:type="paragraph" w:customStyle="1" w:styleId="text">
    <w:name w:val="text"/>
    <w:basedOn w:val="Normal"/>
    <w:link w:val="textChar"/>
    <w:qFormat/>
    <w:rsid w:val="005D481A"/>
    <w:pPr>
      <w:spacing w:line="280" w:lineRule="exact"/>
      <w:ind w:firstLine="0"/>
    </w:pPr>
    <w:rPr>
      <w:rFonts w:eastAsia="SimSun"/>
      <w:szCs w:val="24"/>
      <w:lang w:eastAsia="en-US"/>
    </w:rPr>
  </w:style>
  <w:style w:type="character" w:customStyle="1" w:styleId="textChar">
    <w:name w:val="text Char"/>
    <w:basedOn w:val="DefaultParagraphFont"/>
    <w:link w:val="text"/>
    <w:rsid w:val="005D481A"/>
    <w:rPr>
      <w:rFonts w:eastAsia="SimSun" w:cs="Times New Roman"/>
      <w:szCs w:val="24"/>
      <w:lang w:eastAsia="en-US"/>
    </w:rPr>
  </w:style>
  <w:style w:type="paragraph" w:customStyle="1" w:styleId="Level1">
    <w:name w:val="Level 1"/>
    <w:basedOn w:val="ListParagraph"/>
    <w:link w:val="Level1Char"/>
    <w:qFormat/>
    <w:rsid w:val="00162943"/>
    <w:pPr>
      <w:numPr>
        <w:numId w:val="16"/>
      </w:numPr>
    </w:pPr>
    <w:rPr>
      <w:rFonts w:ascii="Calibri" w:eastAsia="SimSun" w:hAnsi="Calibri"/>
      <w:b/>
      <w:szCs w:val="32"/>
      <w:lang w:eastAsia="en-US"/>
    </w:rPr>
  </w:style>
  <w:style w:type="paragraph" w:customStyle="1" w:styleId="Level2">
    <w:name w:val="Level 2"/>
    <w:basedOn w:val="ListParagraph"/>
    <w:link w:val="Level2Char"/>
    <w:qFormat/>
    <w:rsid w:val="00DB7749"/>
    <w:pPr>
      <w:numPr>
        <w:ilvl w:val="1"/>
        <w:numId w:val="11"/>
      </w:numPr>
      <w:ind w:left="144" w:hanging="144"/>
    </w:pPr>
    <w:rPr>
      <w:b/>
    </w:rPr>
  </w:style>
  <w:style w:type="character" w:customStyle="1" w:styleId="Level1Char">
    <w:name w:val="Level 1 Char"/>
    <w:basedOn w:val="DefaultParagraphFont"/>
    <w:link w:val="Level1"/>
    <w:rsid w:val="00162943"/>
    <w:rPr>
      <w:rFonts w:ascii="Calibri" w:eastAsia="SimSun" w:hAnsi="Calibri" w:cs="Times New Roman"/>
      <w:b/>
      <w:szCs w:val="32"/>
      <w:lang w:eastAsia="en-US"/>
    </w:rPr>
  </w:style>
  <w:style w:type="paragraph" w:styleId="Date">
    <w:name w:val="Date"/>
    <w:basedOn w:val="Normal"/>
    <w:next w:val="Normal"/>
    <w:link w:val="DateChar"/>
    <w:uiPriority w:val="99"/>
    <w:semiHidden/>
    <w:unhideWhenUsed/>
    <w:rsid w:val="00EF7B4D"/>
  </w:style>
  <w:style w:type="character" w:customStyle="1" w:styleId="DateChar">
    <w:name w:val="Date Char"/>
    <w:basedOn w:val="DefaultParagraphFont"/>
    <w:link w:val="Date"/>
    <w:uiPriority w:val="99"/>
    <w:semiHidden/>
    <w:rsid w:val="00EF7B4D"/>
    <w:rPr>
      <w:rFonts w:cs="Times New Roman"/>
    </w:rPr>
  </w:style>
  <w:style w:type="paragraph" w:customStyle="1" w:styleId="Level3">
    <w:name w:val="Level 3"/>
    <w:basedOn w:val="Level2"/>
    <w:link w:val="Level3Char"/>
    <w:qFormat/>
    <w:rsid w:val="00DB7749"/>
    <w:pPr>
      <w:numPr>
        <w:ilvl w:val="2"/>
      </w:numPr>
      <w:ind w:left="432" w:hanging="432"/>
    </w:pPr>
    <w:rPr>
      <w:b w:val="0"/>
    </w:rPr>
  </w:style>
  <w:style w:type="character" w:customStyle="1" w:styleId="ListParagraphChar">
    <w:name w:val="List Paragraph Char"/>
    <w:basedOn w:val="DefaultParagraphFont"/>
    <w:link w:val="ListParagraph"/>
    <w:uiPriority w:val="34"/>
    <w:rsid w:val="00DB7749"/>
    <w:rPr>
      <w:rFonts w:cs="Times New Roman"/>
    </w:rPr>
  </w:style>
  <w:style w:type="character" w:customStyle="1" w:styleId="Level2Char">
    <w:name w:val="Level 2 Char"/>
    <w:basedOn w:val="ListParagraphChar"/>
    <w:link w:val="Level2"/>
    <w:rsid w:val="00DB7749"/>
    <w:rPr>
      <w:rFonts w:cs="Times New Roman"/>
      <w:b/>
    </w:rPr>
  </w:style>
  <w:style w:type="character" w:customStyle="1" w:styleId="Level3Char">
    <w:name w:val="Level 3 Char"/>
    <w:basedOn w:val="Level2Char"/>
    <w:link w:val="Level3"/>
    <w:rsid w:val="00DB7749"/>
    <w:rPr>
      <w:rFonts w:cs="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00753">
      <w:bodyDiv w:val="1"/>
      <w:marLeft w:val="0"/>
      <w:marRight w:val="0"/>
      <w:marTop w:val="0"/>
      <w:marBottom w:val="0"/>
      <w:divBdr>
        <w:top w:val="none" w:sz="0" w:space="0" w:color="auto"/>
        <w:left w:val="none" w:sz="0" w:space="0" w:color="auto"/>
        <w:bottom w:val="none" w:sz="0" w:space="0" w:color="auto"/>
        <w:right w:val="none" w:sz="0" w:space="0" w:color="auto"/>
      </w:divBdr>
    </w:div>
    <w:div w:id="733087264">
      <w:bodyDiv w:val="1"/>
      <w:marLeft w:val="0"/>
      <w:marRight w:val="0"/>
      <w:marTop w:val="0"/>
      <w:marBottom w:val="0"/>
      <w:divBdr>
        <w:top w:val="none" w:sz="0" w:space="0" w:color="auto"/>
        <w:left w:val="none" w:sz="0" w:space="0" w:color="auto"/>
        <w:bottom w:val="none" w:sz="0" w:space="0" w:color="auto"/>
        <w:right w:val="none" w:sz="0" w:space="0" w:color="auto"/>
      </w:divBdr>
    </w:div>
    <w:div w:id="1155531184">
      <w:bodyDiv w:val="1"/>
      <w:marLeft w:val="0"/>
      <w:marRight w:val="0"/>
      <w:marTop w:val="0"/>
      <w:marBottom w:val="0"/>
      <w:divBdr>
        <w:top w:val="none" w:sz="0" w:space="0" w:color="auto"/>
        <w:left w:val="none" w:sz="0" w:space="0" w:color="auto"/>
        <w:bottom w:val="none" w:sz="0" w:space="0" w:color="auto"/>
        <w:right w:val="none" w:sz="0" w:space="0" w:color="auto"/>
      </w:divBdr>
    </w:div>
    <w:div w:id="1322199000">
      <w:bodyDiv w:val="1"/>
      <w:marLeft w:val="0"/>
      <w:marRight w:val="0"/>
      <w:marTop w:val="0"/>
      <w:marBottom w:val="0"/>
      <w:divBdr>
        <w:top w:val="none" w:sz="0" w:space="0" w:color="auto"/>
        <w:left w:val="none" w:sz="0" w:space="0" w:color="auto"/>
        <w:bottom w:val="none" w:sz="0" w:space="0" w:color="auto"/>
        <w:right w:val="none" w:sz="0" w:space="0" w:color="auto"/>
      </w:divBdr>
    </w:div>
    <w:div w:id="1370103824">
      <w:bodyDiv w:val="1"/>
      <w:marLeft w:val="0"/>
      <w:marRight w:val="0"/>
      <w:marTop w:val="0"/>
      <w:marBottom w:val="0"/>
      <w:divBdr>
        <w:top w:val="none" w:sz="0" w:space="0" w:color="auto"/>
        <w:left w:val="none" w:sz="0" w:space="0" w:color="auto"/>
        <w:bottom w:val="none" w:sz="0" w:space="0" w:color="auto"/>
        <w:right w:val="none" w:sz="0" w:space="0" w:color="auto"/>
      </w:divBdr>
    </w:div>
    <w:div w:id="1502161900">
      <w:bodyDiv w:val="1"/>
      <w:marLeft w:val="0"/>
      <w:marRight w:val="0"/>
      <w:marTop w:val="0"/>
      <w:marBottom w:val="0"/>
      <w:divBdr>
        <w:top w:val="none" w:sz="0" w:space="0" w:color="auto"/>
        <w:left w:val="none" w:sz="0" w:space="0" w:color="auto"/>
        <w:bottom w:val="none" w:sz="0" w:space="0" w:color="auto"/>
        <w:right w:val="none" w:sz="0" w:space="0" w:color="auto"/>
      </w:divBdr>
    </w:div>
    <w:div w:id="2044475179">
      <w:bodyDiv w:val="1"/>
      <w:marLeft w:val="0"/>
      <w:marRight w:val="0"/>
      <w:marTop w:val="0"/>
      <w:marBottom w:val="0"/>
      <w:divBdr>
        <w:top w:val="none" w:sz="0" w:space="0" w:color="auto"/>
        <w:left w:val="none" w:sz="0" w:space="0" w:color="auto"/>
        <w:bottom w:val="none" w:sz="0" w:space="0" w:color="auto"/>
        <w:right w:val="none" w:sz="0" w:space="0" w:color="auto"/>
      </w:divBdr>
    </w:div>
    <w:div w:id="21421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ea.org/reports/world-energy-investment-2019/power-s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4F12D8DD79284FAB08C9041AD05BE3" ma:contentTypeVersion="13" ma:contentTypeDescription="Create a new document." ma:contentTypeScope="" ma:versionID="e18fc040ed4d672f765f529246ad5523">
  <xsd:schema xmlns:xsd="http://www.w3.org/2001/XMLSchema" xmlns:xs="http://www.w3.org/2001/XMLSchema" xmlns:p="http://schemas.microsoft.com/office/2006/metadata/properties" xmlns:ns3="5af03ded-d5cd-49f7-a8fc-f8981792221f" xmlns:ns4="ce58e6da-e940-4fd7-9a2d-d3c273300249" targetNamespace="http://schemas.microsoft.com/office/2006/metadata/properties" ma:root="true" ma:fieldsID="4dc23d83a8b14bee0cbce4b7d4fde4e5" ns3:_="" ns4:_="">
    <xsd:import namespace="5af03ded-d5cd-49f7-a8fc-f8981792221f"/>
    <xsd:import namespace="ce58e6da-e940-4fd7-9a2d-d3c2733002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3ded-d5cd-49f7-a8fc-f898179222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8e6da-e940-4fd7-9a2d-d3c2733002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D199-9C23-425F-99AD-9D9A174E2EB2}">
  <ds:schemaRefs>
    <ds:schemaRef ds:uri="http://schemas.microsoft.com/sharepoint/v3/contenttype/forms"/>
  </ds:schemaRefs>
</ds:datastoreItem>
</file>

<file path=customXml/itemProps2.xml><?xml version="1.0" encoding="utf-8"?>
<ds:datastoreItem xmlns:ds="http://schemas.openxmlformats.org/officeDocument/2006/customXml" ds:itemID="{2B2A0A87-DE92-4157-852D-A048BB018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3ded-d5cd-49f7-a8fc-f8981792221f"/>
    <ds:schemaRef ds:uri="ce58e6da-e940-4fd7-9a2d-d3c273300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0D4232-C24E-4DE4-8EB5-2C67CC639E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16A319-C5FD-4660-A210-67126BC71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8</Pages>
  <Words>1990</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Massachusetts Institute of Technology</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Yuan</dc:creator>
  <cp:keywords/>
  <dc:description/>
  <cp:lastModifiedBy>Mei Yuan</cp:lastModifiedBy>
  <cp:revision>45</cp:revision>
  <cp:lastPrinted>2021-01-16T04:12:00Z</cp:lastPrinted>
  <dcterms:created xsi:type="dcterms:W3CDTF">2021-04-15T09:25:00Z</dcterms:created>
  <dcterms:modified xsi:type="dcterms:W3CDTF">2021-04-16T03:55:00Z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0x010100A94F12D8DD79284FAB08C9041AD05BE3</vt:lpwstr>
  </property>
</Properties>
</file>