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8FB23" w14:textId="77777777" w:rsidR="004E3AC6" w:rsidRDefault="004E3AC6" w:rsidP="004E3AC6">
      <w:pPr>
        <w:jc w:val="center"/>
        <w:rPr>
          <w:rFonts w:asciiTheme="minorHAnsi" w:hAnsiTheme="minorHAnsi" w:cstheme="minorHAnsi"/>
          <w:color w:val="000000"/>
          <w:lang w:val="en-US"/>
        </w:rPr>
      </w:pPr>
      <w:bookmarkStart w:id="0" w:name="_Hlk97549448"/>
      <w:bookmarkEnd w:id="0"/>
      <w:r w:rsidRPr="00306066">
        <w:rPr>
          <w:rStyle w:val="largeboldtext"/>
          <w:rFonts w:asciiTheme="minorHAnsi" w:hAnsiTheme="minorHAnsi" w:cstheme="minorHAnsi"/>
          <w:b/>
          <w:bCs/>
          <w:color w:val="000000"/>
          <w:sz w:val="28"/>
          <w:szCs w:val="28"/>
          <w:shd w:val="clear" w:color="auto" w:fill="FFFFFF"/>
          <w:lang w:val="en-US"/>
        </w:rPr>
        <w:t>25th Annual Conference on Global Economic Analysis</w:t>
      </w:r>
      <w:r>
        <w:rPr>
          <w:rFonts w:asciiTheme="minorHAnsi" w:hAnsiTheme="minorHAnsi" w:cstheme="minorHAnsi"/>
          <w:color w:val="000000"/>
          <w:lang w:val="en-US"/>
        </w:rPr>
        <w:t xml:space="preserve"> </w:t>
      </w:r>
    </w:p>
    <w:p w14:paraId="6E9742D5" w14:textId="77777777" w:rsidR="004E3AC6" w:rsidRPr="00306066" w:rsidRDefault="004E3AC6" w:rsidP="004E3AC6">
      <w:pPr>
        <w:jc w:val="center"/>
        <w:rPr>
          <w:rStyle w:val="largeboldgraytext"/>
          <w:rFonts w:asciiTheme="minorHAnsi" w:hAnsiTheme="minorHAnsi" w:cstheme="minorHAnsi"/>
          <w:b/>
          <w:bCs/>
          <w:color w:val="737373"/>
          <w:sz w:val="28"/>
          <w:szCs w:val="28"/>
          <w:shd w:val="clear" w:color="auto" w:fill="FFFFFF"/>
          <w:lang w:val="en-US"/>
        </w:rPr>
      </w:pPr>
      <w:r w:rsidRPr="00306066">
        <w:rPr>
          <w:rStyle w:val="largeboldgraytext"/>
          <w:rFonts w:asciiTheme="minorHAnsi" w:hAnsiTheme="minorHAnsi" w:cstheme="minorHAnsi"/>
          <w:lang w:val="en-US"/>
        </w:rPr>
        <w:t>Accelerating Economic Transformation, Diversification and Job Creation</w:t>
      </w:r>
    </w:p>
    <w:p w14:paraId="2A5FC4AD" w14:textId="3A9B5490" w:rsidR="004E3AC6" w:rsidRDefault="004E3AC6" w:rsidP="00A714DD">
      <w:pPr>
        <w:pStyle w:val="Titelberschrift"/>
        <w:jc w:val="center"/>
        <w:rPr>
          <w:rFonts w:asciiTheme="minorHAnsi" w:hAnsiTheme="minorHAnsi" w:cstheme="minorHAnsi"/>
          <w:lang w:val="en-US"/>
        </w:rPr>
      </w:pPr>
    </w:p>
    <w:p w14:paraId="069C88FB" w14:textId="77777777" w:rsidR="004E3AC6" w:rsidRPr="004E3AC6" w:rsidRDefault="004E3AC6" w:rsidP="004E3AC6">
      <w:pPr>
        <w:rPr>
          <w:lang w:val="en-US"/>
        </w:rPr>
      </w:pPr>
    </w:p>
    <w:p w14:paraId="4910BDFA" w14:textId="7481717E" w:rsidR="00DC21D1" w:rsidRPr="000E5D59" w:rsidRDefault="00DC21D1" w:rsidP="00A714DD">
      <w:pPr>
        <w:pStyle w:val="Titelberschrift"/>
        <w:jc w:val="center"/>
        <w:rPr>
          <w:rFonts w:asciiTheme="minorHAnsi" w:hAnsiTheme="minorHAnsi" w:cstheme="minorHAnsi"/>
          <w:lang w:val="en-US"/>
        </w:rPr>
      </w:pPr>
      <w:bookmarkStart w:id="1" w:name="_GoBack"/>
      <w:r w:rsidRPr="000E5D59">
        <w:rPr>
          <w:rFonts w:asciiTheme="minorHAnsi" w:hAnsiTheme="minorHAnsi" w:cstheme="minorHAnsi"/>
          <w:lang w:val="en-US"/>
        </w:rPr>
        <w:t>Investigating Poultry Interventions in Ghana and Senegal</w:t>
      </w:r>
      <w:bookmarkEnd w:id="1"/>
    </w:p>
    <w:p w14:paraId="7E283DB6" w14:textId="61717E99" w:rsidR="001E7B63" w:rsidRPr="000E5D59" w:rsidRDefault="001E7B63" w:rsidP="001E7B63">
      <w:pPr>
        <w:jc w:val="center"/>
        <w:rPr>
          <w:rFonts w:asciiTheme="minorHAnsi" w:hAnsiTheme="minorHAnsi" w:cstheme="minorHAnsi"/>
          <w:lang w:val="en-US"/>
        </w:rPr>
      </w:pPr>
      <w:r w:rsidRPr="000E5D59">
        <w:rPr>
          <w:rFonts w:asciiTheme="minorHAnsi" w:hAnsiTheme="minorHAnsi" w:cstheme="minorHAnsi"/>
          <w:lang w:val="en-US"/>
        </w:rPr>
        <w:t>Omid Zamani</w:t>
      </w:r>
      <w:r w:rsidR="004A1422" w:rsidRPr="004A1422">
        <w:rPr>
          <w:rFonts w:asciiTheme="minorHAnsi" w:hAnsiTheme="minorHAnsi" w:cstheme="minorHAnsi"/>
          <w:vertAlign w:val="superscript"/>
          <w:lang w:val="en-US"/>
        </w:rPr>
        <w:t>1</w:t>
      </w:r>
      <w:r w:rsidRPr="000E5D59">
        <w:rPr>
          <w:rFonts w:asciiTheme="minorHAnsi" w:hAnsiTheme="minorHAnsi" w:cstheme="minorHAnsi"/>
          <w:lang w:val="en-US"/>
        </w:rPr>
        <w:t>, Craig Chibanda</w:t>
      </w:r>
      <w:r w:rsidR="004A1422" w:rsidRPr="004A1422">
        <w:rPr>
          <w:rFonts w:asciiTheme="minorHAnsi" w:hAnsiTheme="minorHAnsi" w:cstheme="minorHAnsi"/>
          <w:vertAlign w:val="superscript"/>
          <w:lang w:val="en-US"/>
        </w:rPr>
        <w:t>2</w:t>
      </w:r>
      <w:r w:rsidRPr="000E5D59">
        <w:rPr>
          <w:rFonts w:asciiTheme="minorHAnsi" w:hAnsiTheme="minorHAnsi" w:cstheme="minorHAnsi"/>
          <w:lang w:val="en-US"/>
        </w:rPr>
        <w:t>, Janine Pelikan</w:t>
      </w:r>
      <w:r w:rsidR="004A1422" w:rsidRPr="004A1422">
        <w:rPr>
          <w:rFonts w:asciiTheme="minorHAnsi" w:hAnsiTheme="minorHAnsi" w:cstheme="minorHAnsi"/>
          <w:vertAlign w:val="superscript"/>
          <w:lang w:val="en-US"/>
        </w:rPr>
        <w:t>1</w:t>
      </w:r>
    </w:p>
    <w:p w14:paraId="6E34912A" w14:textId="77777777" w:rsidR="004A1422" w:rsidRPr="00E663A7" w:rsidRDefault="004A1422" w:rsidP="004A1422">
      <w:pPr>
        <w:pStyle w:val="ListParagraph"/>
        <w:numPr>
          <w:ilvl w:val="0"/>
          <w:numId w:val="12"/>
        </w:numPr>
        <w:jc w:val="center"/>
      </w:pPr>
      <w:r w:rsidRPr="00E663A7">
        <w:t xml:space="preserve">Thünen Institute </w:t>
      </w:r>
      <w:proofErr w:type="spellStart"/>
      <w:r w:rsidRPr="00E663A7">
        <w:t>of</w:t>
      </w:r>
      <w:proofErr w:type="spellEnd"/>
      <w:r w:rsidRPr="00E663A7">
        <w:t xml:space="preserve"> Market Analysis, Bundesallee 63, </w:t>
      </w:r>
      <w:r w:rsidRPr="00E663A7">
        <w:rPr>
          <w:rFonts w:cs="Arial"/>
        </w:rPr>
        <w:t>38116</w:t>
      </w:r>
      <w:r w:rsidRPr="00E663A7">
        <w:t>, Braunschweig, Germany</w:t>
      </w:r>
    </w:p>
    <w:p w14:paraId="71B1DAC9" w14:textId="25A82160" w:rsidR="004A1422" w:rsidRDefault="004A1422" w:rsidP="004A1422">
      <w:pPr>
        <w:pStyle w:val="ListParagraph"/>
        <w:numPr>
          <w:ilvl w:val="0"/>
          <w:numId w:val="12"/>
        </w:numPr>
        <w:jc w:val="center"/>
      </w:pPr>
      <w:r w:rsidRPr="00E663A7">
        <w:t xml:space="preserve">Thünen </w:t>
      </w:r>
      <w:r w:rsidRPr="00807B1D">
        <w:t xml:space="preserve">Institute </w:t>
      </w:r>
      <w:proofErr w:type="spellStart"/>
      <w:r w:rsidRPr="00807B1D">
        <w:t>of</w:t>
      </w:r>
      <w:proofErr w:type="spellEnd"/>
      <w:r w:rsidRPr="00807B1D">
        <w:t xml:space="preserve"> Farm Economic</w:t>
      </w:r>
      <w:r>
        <w:t>s</w:t>
      </w:r>
      <w:r w:rsidRPr="00807B1D">
        <w:t>, Bundesallee 63,</w:t>
      </w:r>
      <w:r>
        <w:t xml:space="preserve"> </w:t>
      </w:r>
      <w:r w:rsidRPr="00E663A7">
        <w:rPr>
          <w:rFonts w:cs="Arial"/>
        </w:rPr>
        <w:t>38116</w:t>
      </w:r>
      <w:r w:rsidRPr="00E663A7">
        <w:t>,</w:t>
      </w:r>
      <w:r w:rsidRPr="00807B1D">
        <w:t xml:space="preserve"> Braunschweig, Germany</w:t>
      </w:r>
    </w:p>
    <w:p w14:paraId="5A496647" w14:textId="4CE586D6" w:rsidR="004E3AC6" w:rsidRDefault="004E3AC6" w:rsidP="004E3AC6">
      <w:pPr>
        <w:jc w:val="center"/>
      </w:pPr>
    </w:p>
    <w:p w14:paraId="1C729FCE" w14:textId="18DBF2BC" w:rsidR="004E3AC6" w:rsidRDefault="004E3AC6" w:rsidP="004E3AC6">
      <w:pPr>
        <w:jc w:val="center"/>
      </w:pPr>
    </w:p>
    <w:p w14:paraId="48FBC43A" w14:textId="7DA3CC2B" w:rsidR="004E3AC6" w:rsidRDefault="004E3AC6" w:rsidP="004E3AC6">
      <w:pPr>
        <w:jc w:val="center"/>
      </w:pPr>
    </w:p>
    <w:p w14:paraId="0FDC8B6E" w14:textId="1ADDAD8A" w:rsidR="004E3AC6" w:rsidRDefault="004E3AC6" w:rsidP="004E3AC6">
      <w:pPr>
        <w:jc w:val="center"/>
      </w:pPr>
    </w:p>
    <w:p w14:paraId="455751E9" w14:textId="41EE3C20" w:rsidR="004E3AC6" w:rsidRDefault="004E3AC6" w:rsidP="004E3AC6">
      <w:pPr>
        <w:jc w:val="center"/>
      </w:pPr>
    </w:p>
    <w:p w14:paraId="6B85615A" w14:textId="76F4AFB4" w:rsidR="004E3AC6" w:rsidRDefault="004E3AC6" w:rsidP="004E3AC6">
      <w:pPr>
        <w:jc w:val="center"/>
      </w:pPr>
    </w:p>
    <w:p w14:paraId="24058FE4" w14:textId="046DEF47" w:rsidR="004E3AC6" w:rsidRDefault="004E3AC6" w:rsidP="004E3AC6">
      <w:pPr>
        <w:jc w:val="center"/>
      </w:pPr>
    </w:p>
    <w:p w14:paraId="08813B48" w14:textId="77777777" w:rsidR="004E3AC6" w:rsidRDefault="004E3AC6" w:rsidP="004E3AC6">
      <w:pPr>
        <w:jc w:val="center"/>
      </w:pPr>
    </w:p>
    <w:p w14:paraId="073178CA" w14:textId="0FF3A458" w:rsidR="004E3AC6" w:rsidRDefault="004E3AC6" w:rsidP="004E3AC6">
      <w:pPr>
        <w:jc w:val="center"/>
      </w:pPr>
    </w:p>
    <w:p w14:paraId="10F477F9" w14:textId="0DAB412F" w:rsidR="004E3AC6" w:rsidRDefault="004E3AC6" w:rsidP="004E3AC6">
      <w:pPr>
        <w:jc w:val="center"/>
      </w:pPr>
    </w:p>
    <w:p w14:paraId="7DF0649D" w14:textId="0A50D240" w:rsidR="004E3AC6" w:rsidRDefault="004E3AC6" w:rsidP="004E3AC6">
      <w:pPr>
        <w:jc w:val="center"/>
      </w:pPr>
    </w:p>
    <w:p w14:paraId="33B0F5C3" w14:textId="77777777" w:rsidR="004E3AC6" w:rsidRPr="00306066" w:rsidRDefault="004E3AC6" w:rsidP="004E3AC6">
      <w:pPr>
        <w:jc w:val="center"/>
        <w:rPr>
          <w:rFonts w:asciiTheme="minorHAnsi" w:hAnsiTheme="minorHAnsi" w:cstheme="minorHAnsi"/>
          <w:lang w:val="en-US"/>
        </w:rPr>
      </w:pPr>
      <w:r w:rsidRPr="00306066">
        <w:rPr>
          <w:rFonts w:asciiTheme="minorHAnsi" w:hAnsiTheme="minorHAnsi" w:cstheme="minorHAnsi"/>
          <w:color w:val="FF0000"/>
          <w:lang w:val="en-US"/>
        </w:rPr>
        <w:t>PRELEMINARY DRAFT – PLEASE DO NOT CITE OR QUOTE</w:t>
      </w:r>
    </w:p>
    <w:p w14:paraId="26D0FD5A" w14:textId="77777777" w:rsidR="004E3AC6" w:rsidRPr="00306066" w:rsidRDefault="004E3AC6" w:rsidP="004E3AC6">
      <w:pPr>
        <w:rPr>
          <w:rFonts w:asciiTheme="minorHAnsi" w:hAnsiTheme="minorHAnsi" w:cstheme="minorHAnsi"/>
          <w:color w:val="000000"/>
          <w:sz w:val="22"/>
          <w:szCs w:val="22"/>
          <w:lang w:val="en-US"/>
        </w:rPr>
      </w:pPr>
    </w:p>
    <w:p w14:paraId="3A94326C" w14:textId="77777777" w:rsidR="004E3AC6" w:rsidRPr="002C3C35" w:rsidRDefault="004E3AC6" w:rsidP="004E3AC6">
      <w:pPr>
        <w:jc w:val="left"/>
        <w:rPr>
          <w:rFonts w:asciiTheme="minorHAnsi" w:hAnsiTheme="minorHAnsi" w:cstheme="minorHAnsi"/>
          <w:color w:val="000000"/>
          <w:sz w:val="20"/>
          <w:shd w:val="clear" w:color="auto" w:fill="FFFFFF"/>
          <w:lang w:val="en-US"/>
        </w:rPr>
      </w:pPr>
      <w:r w:rsidRPr="002C3C35">
        <w:rPr>
          <w:rFonts w:asciiTheme="minorHAnsi" w:hAnsiTheme="minorHAnsi" w:cstheme="minorHAnsi"/>
          <w:color w:val="000000"/>
          <w:sz w:val="20"/>
          <w:shd w:val="clear" w:color="auto" w:fill="FFFFFF"/>
          <w:lang w:val="en-US"/>
        </w:rPr>
        <w:t xml:space="preserve">8-10 June, 2022, </w:t>
      </w:r>
      <w:r w:rsidRPr="002C3C35">
        <w:rPr>
          <w:rFonts w:asciiTheme="minorHAnsi" w:hAnsiTheme="minorHAnsi" w:cstheme="minorHAnsi"/>
          <w:color w:val="000000"/>
          <w:sz w:val="20"/>
          <w:lang w:val="en-US"/>
        </w:rPr>
        <w:t>Virtual Conference</w:t>
      </w:r>
    </w:p>
    <w:p w14:paraId="4ACF96E0" w14:textId="77777777" w:rsidR="004E3AC6" w:rsidRPr="00807B1D" w:rsidRDefault="004E3AC6" w:rsidP="004E3AC6">
      <w:pPr>
        <w:jc w:val="center"/>
      </w:pPr>
    </w:p>
    <w:p w14:paraId="225504E7" w14:textId="77777777" w:rsidR="00DC21D1" w:rsidRPr="000E5D59" w:rsidRDefault="00DC21D1" w:rsidP="00DC21D1">
      <w:pPr>
        <w:pStyle w:val="Heading1"/>
        <w:rPr>
          <w:rFonts w:asciiTheme="minorHAnsi" w:hAnsiTheme="minorHAnsi" w:cstheme="minorHAnsi"/>
          <w:lang w:val="en-US"/>
        </w:rPr>
      </w:pPr>
      <w:r w:rsidRPr="000E5D59">
        <w:rPr>
          <w:rFonts w:asciiTheme="minorHAnsi" w:hAnsiTheme="minorHAnsi" w:cstheme="minorHAnsi"/>
          <w:lang w:val="en-US"/>
        </w:rPr>
        <w:lastRenderedPageBreak/>
        <w:t>Introduction</w:t>
      </w:r>
    </w:p>
    <w:p w14:paraId="32A9C6AB" w14:textId="3228F2E2" w:rsidR="00DC21D1" w:rsidRPr="000E5D59" w:rsidRDefault="00DC21D1" w:rsidP="000A5617">
      <w:pPr>
        <w:rPr>
          <w:rFonts w:asciiTheme="minorHAnsi" w:hAnsiTheme="minorHAnsi" w:cstheme="minorHAnsi"/>
          <w:lang w:val="en-US"/>
        </w:rPr>
      </w:pPr>
      <w:r w:rsidRPr="000E5D59">
        <w:rPr>
          <w:rFonts w:asciiTheme="minorHAnsi" w:hAnsiTheme="minorHAnsi" w:cstheme="minorHAnsi"/>
          <w:lang w:val="en-US"/>
        </w:rPr>
        <w:t xml:space="preserve">Poultry meat </w:t>
      </w:r>
      <w:r w:rsidR="000A5617" w:rsidRPr="000E5D59">
        <w:rPr>
          <w:rFonts w:asciiTheme="minorHAnsi" w:hAnsiTheme="minorHAnsi" w:cstheme="minorHAnsi"/>
          <w:lang w:val="en-US"/>
        </w:rPr>
        <w:t xml:space="preserve">continues to be an important </w:t>
      </w:r>
      <w:r w:rsidRPr="000E5D59">
        <w:rPr>
          <w:rFonts w:asciiTheme="minorHAnsi" w:hAnsiTheme="minorHAnsi" w:cstheme="minorHAnsi"/>
          <w:lang w:val="en-US"/>
        </w:rPr>
        <w:t>source of animal protein in</w:t>
      </w:r>
      <w:r w:rsidR="000A5617" w:rsidRPr="000E5D59">
        <w:rPr>
          <w:rFonts w:asciiTheme="minorHAnsi" w:hAnsiTheme="minorHAnsi" w:cstheme="minorHAnsi"/>
          <w:lang w:val="en-US"/>
        </w:rPr>
        <w:t xml:space="preserve"> sub-Saharan African countries including</w:t>
      </w:r>
      <w:r w:rsidRPr="000E5D59">
        <w:rPr>
          <w:rFonts w:asciiTheme="minorHAnsi" w:hAnsiTheme="minorHAnsi" w:cstheme="minorHAnsi"/>
          <w:lang w:val="en-US"/>
        </w:rPr>
        <w:t xml:space="preserve"> </w:t>
      </w:r>
      <w:r w:rsidR="000A5617" w:rsidRPr="000E5D59">
        <w:rPr>
          <w:rFonts w:asciiTheme="minorHAnsi" w:hAnsiTheme="minorHAnsi" w:cstheme="minorHAnsi"/>
          <w:lang w:val="en-US"/>
        </w:rPr>
        <w:t>Ghana</w:t>
      </w:r>
      <w:r w:rsidRPr="000E5D59">
        <w:rPr>
          <w:rFonts w:asciiTheme="minorHAnsi" w:hAnsiTheme="minorHAnsi" w:cstheme="minorHAnsi"/>
          <w:lang w:val="en-US"/>
        </w:rPr>
        <w:t>. Increasing urbanization and income combined with rapid population growth has led to a growing demand for animal products in many African countries (</w:t>
      </w:r>
      <w:sdt>
        <w:sdtPr>
          <w:rPr>
            <w:rFonts w:asciiTheme="minorHAnsi" w:hAnsiTheme="minorHAnsi" w:cstheme="minorHAnsi"/>
            <w:lang w:val="en-US"/>
          </w:rPr>
          <w:alias w:val="To edit, see citavi.com/edit"/>
          <w:tag w:val="CitaviPlaceholder#0ff8c757-7090-4906-b2c2-d0a6666d96b6"/>
          <w:id w:val="-1567031435"/>
          <w:placeholder>
            <w:docPart w:val="5828B38320EB42EE92CFD44CF34BF082"/>
          </w:placeholder>
        </w:sdtPr>
        <w:sdtEndPr/>
        <w:sdtContent>
          <w:r w:rsidRPr="000E5D59">
            <w:rPr>
              <w:rFonts w:asciiTheme="minorHAnsi" w:hAnsiTheme="minorHAnsi" w:cstheme="minorHAnsi"/>
              <w:lang w:val="en-US"/>
            </w:rPr>
            <w:fldChar w:fldCharType="begin"/>
          </w:r>
          <w:r w:rsidRPr="000E5D59">
            <w:rPr>
              <w:rFonts w:asciiTheme="minorHAnsi" w:hAnsiTheme="minorHAnsi" w:cstheme="minorHAnsi"/>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mOTFjNzNiLTRhZWQtNGIyMy1hNTg4LTc5NGFhZDM0MWM0NSIsIlJhbmdlTGVuZ3RoIjoyNCwiUmVmZXJlbmNlSWQiOiI5YjA2MjIzNy00OTYwLTQwYmQtOThjMy1iYzIzMTVhMmUzNDk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S4iLCJMYXN0TmFtZSI6Ik1vdHRldCIsIlByb3RlY3RlZCI6ZmFsc2UsIlNleCI6MCwiQ3JlYXRlZEJ5IjoiX09taWQgWmFtYW5pIiwiQ3JlYXRlZE9uIjoiMjAyMS0wMi0yNlQxNjowNzo0MyIsIk1vZGlmaWVkQnkiOiJfT21pZCBaYW1hbmkiLCJJZCI6ImYwMzNlYmVkLWI5NmEtNGExOS1hMDNiLTgzODYwYmYwMjJhMCIsIk1vZGlmaWVkT24iOiIyMDIxLTAyLTI2VDE2OjA3OjQzIiwiUHJvamVjdCI6eyIkaWQiOiI1IiwiJHR5cGUiOiJTd2lzc0FjYWRlbWljLkNpdGF2aS5Qcm9qZWN0LCBTd2lzc0FjYWRlbWljLkNpdGF2aSJ9fSx7IiRpZCI6IjYiLCIkdHlwZSI6IlN3aXNzQWNhZGVtaWMuQ2l0YXZpLlBlcnNvbiwgU3dpc3NBY2FkZW1pYy5DaXRhdmkiLCJGaXJzdE5hbWUiOiJHLiIsIkxhc3ROYW1lIjoiVGVtcGlvIiwiUHJvdGVjdGVkIjpmYWxzZSwiU2V4IjowLCJDcmVhdGVkQnkiOiJfT21pZCBaYW1hbmkiLCJDcmVhdGVkT24iOiIyMDIxLTAyLTI2VDE2OjA3OjQzIiwiTW9kaWZpZWRCeSI6Il9PbWlkIFphbWFuaSIsIklkIjoiN2M2MDY0YjYtMWI4OS00YjQwLWFkNzctZjYzYjZmODlkMmViIiwiTW9kaWZpZWRPbiI6IjIwMjEtMDItMjZUMTY6MDc6NDMiLCJQcm9qZWN0Ijp7IiRyZWYiOiI1In19XSwiQ2l0YXRpb25LZXlVcGRhdGVUeXBlIjowLCJDb2xsYWJvcmF0b3JzIjpbXSwiQ292ZXJQYXRoIjp7IiRpZCI6IjciLCIkdHlwZSI6IlN3aXNzQWNhZGVtaWMuQ2l0YXZpLkxpbmtlZFJlc291cmNlLCBTd2lzc0FjYWRlbWljLkNpdGF2aSIsIkxpbmtlZFJlc291cmNlVHlwZSI6MiwiT3JpZ2luYWxTdHJpbmciOiJDOlxcVXNlcnNcXHphbWFuaVxcQXBwRGF0YVxcTG9jYWxcXFRlbXBcXHRybmhlNGxuLmpwZyIsIlVyaVN0cmluZyI6IjliMDYyMjM3LTQ5NjAtNDBiZC05OGMzLWJjMjMxNWEyZTM0OS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xNy9TMDA0MzkzMzkxNzAwMDA3MS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xNy9TMDA0MzkzMzkxNzAwMDA3MSIsIlVyaVN0cmluZyI6Imh0dHBzOi8vZG9pLm9yZy8xMC4xMDE3L1MwMDQzOTMzOTE3MDAwMDc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PbWlkIFphbWFuaSIsIkNyZWF0ZWRPbiI6IjIwMjEtMDItMjZUMTY6MDc6NDMiLCJNb2RpZmllZEJ5IjoiX09taWQgWmFtYW5pIiwiSWQiOiIyNWVlOTY3NS03Y2JkLTQ5ZWYtOTM0MC1jOWNkODAzNmI4NTkiLCJNb2RpZmllZE9uIjoiMjAyMS0wMi0yNlQxNjowNzo0MyIsIlByb2plY3QiOnsiJHJlZiI6IjUifX1dLCJOdW1iZXIiOiIyIiwiT3JnYW5pemF0aW9ucyI6W10sIk90aGVyc0ludm9sdmVkIjpbXSwiUGFnZUNvdW50IjoiMTMiLCJQYWdlUmFuZ2UiOiI8c3A+XHJcbiAgPG4+MjQ1PC9uPlxyXG4gIDxpbj50cnVlPC9pbj5cclxuICA8b3M+MjQ1PC9vcz5cclxuICA8cHM+MjQ1PC9wcz5cclxuPC9zcD5cclxuPGVwPlxyXG4gIDxuPjI1Njwvbj5cclxuICA8aW4+dHJ1ZTwvaW4+XHJcbiAgPG9zPjI1Njwvb3M+XHJcbiAgPHBzPjI1NjwvcHM+XHJcbjwvZXA+XHJcbjxvcz4yNDUtMjU2PC9vcz4iLCJQZXJpb2RpY2FsIjp7IiRpZCI6IjEyIiwiJHR5cGUiOiJTd2lzc0FjYWRlbWljLkNpdGF2aS5QZXJpb2RpY2FsLCBTd2lzc0FjYWRlbWljLkNpdGF2aSIsIkVpc3NuIjoiMTc0My00Nzc3IiwiSXNzbiI6IjAwNDMtOTMzOSIsIk5hbWUiOiJXb3JsZCdzIFBvdWx0cnkgU2NpZW5jZSBKb3VybmFsIiwiUGFnaW5hdGlvbiI6MCwiUHJvdGVjdGVkIjpmYWxzZSwiQ3JlYXRlZEJ5IjoiX09taWQgWmFtYW5pIiwiQ3JlYXRlZE9uIjoiMjAyMS0wMi0yNlQxMjo0NTo1OSIsIk1vZGlmaWVkQnkiOiJfT21pZCBaYW1hbmkiLCJJZCI6IjRjMjEyYjk4LTA5NDMtNDYxZi05MmM0LTc5NGIxNDdlYzVhMiIsIk1vZGlmaWVkT24iOiIyMDIxLTAyLTI2VDEyOjQ1OjU5IiwiUHJvamVjdCI6eyIkcmVmIjoiNSJ9fSwiUHVibGlzaGVycyI6W10sIlF1b3RhdGlvbnMiOltdLCJSZWZlcmVuY2VUeXBlIjoiSm91cm5hbEFydGljbGUiLCJTaG9ydFRpdGxlIjoiTW90dGV0LCBUZW1waW8gMjAxNyDigJMgR2xvYmFsIHBvdWx0cnkgcHJvZHVjdGlvbiIsIlNob3J0VGl0bGVVcGRhdGVUeXBlIjowLCJTb3VyY2VPZkJpYmxpb2dyYXBoaWNJbmZvcm1hdGlvbiI6IkNyb3NzUmVmIiwiU3RhdGljSWRzIjpbIjVlM2M4ZWE0LTBkODMtNDRlZS1iNWY2LWNlNTgzMzgwOWRiZCJdLCJUYWJsZU9mQ29udGVudHNDb21wbGV4aXR5IjowLCJUYWJsZU9mQ29udGVudHNTb3VyY2VUZXh0Rm9ybWF0IjowLCJUYXNrcyI6W10sIlRpdGxlIjoiR2xvYmFsIHBvdWx0cnkgcHJvZHVjdGlvbjogY3VycmVudCBzdGF0ZSBhbmQgZnV0dXJlIG91dGxvb2sgYW5kIGNoYWxsZW5nZXMiLCJUcmFuc2xhdG9ycyI6W10sIlZvbHVtZSI6IjczIiwiWWVhciI6IjIwMTciLCJZZWFyUmVzb2x2ZWQiOiIyMDE3IiwiQ3JlYXRlZEJ5IjoiX09taWQgWmFtYW5pIiwiQ3JlYXRlZE9uIjoiMjAyMS0wMi0yNlQxNjowNzo0MyIsIk1vZGlmaWVkQnkiOiJfWmFtYW5pIiwiSWQiOiI5YjA2MjIzNy00OTYwLTQwYmQtOThjMy1iYzIzMTVhMmUzNDkiLCJNb2RpZmllZE9uIjoiMjAyMi0wMS0xM1QwOTo1Mzo1MCIsIlByb2plY3QiOnsiJHJlZiI6IjUifX0sIlVzZU51bWJlcmluZ1R5cGVPZlBhcmVudERvY3VtZW50IjpmYWxzZX1dLCJGb3JtYXR0ZWRUZXh0Ijp7IiRpZCI6IjEzIiwiQ291bnQiOjEsIlRleHRVbml0cyI6W3siJGlkIjoiMTQiLCJGb250U3R5bGUiOnsiJGlkIjoiMTUiLCJOZXV0cmFsIjp0cnVlfSwiUmVhZGluZ09yZGVyIjoxLCJUZXh0IjoiKE1vdHRldCBhbmQgVGVtcGlvIDIwMTcpIn1dfSwiVGFnIjoiQ2l0YXZpUGxhY2Vob2xkZXIjMGZmOGM3NTctNzA5MC00OTA2LWIyYzItZDBhNjY2NmQ5NmI2IiwiVGV4dCI6IihNb3R0ZXQgYW5kIFRlbXBpbyAyMDE3KSIsIldBSVZlcnNpb24iOiI2LjUuMC4wIn0=}</w:instrText>
          </w:r>
          <w:r w:rsidRPr="000E5D59">
            <w:rPr>
              <w:rFonts w:asciiTheme="minorHAnsi" w:hAnsiTheme="minorHAnsi" w:cstheme="minorHAnsi"/>
              <w:lang w:val="en-US"/>
            </w:rPr>
            <w:fldChar w:fldCharType="separate"/>
          </w:r>
          <w:r w:rsidRPr="000E5D59">
            <w:rPr>
              <w:rFonts w:asciiTheme="minorHAnsi" w:hAnsiTheme="minorHAnsi" w:cstheme="minorHAnsi"/>
              <w:lang w:val="en-US"/>
            </w:rPr>
            <w:t>Mottet and Tempio 2017)</w:t>
          </w:r>
          <w:r w:rsidRPr="000E5D59">
            <w:rPr>
              <w:rFonts w:asciiTheme="minorHAnsi" w:hAnsiTheme="minorHAnsi" w:cstheme="minorHAnsi"/>
              <w:lang w:val="en-US"/>
            </w:rPr>
            <w:fldChar w:fldCharType="end"/>
          </w:r>
        </w:sdtContent>
      </w:sdt>
      <w:r w:rsidRPr="000E5D59">
        <w:rPr>
          <w:rFonts w:asciiTheme="minorHAnsi" w:hAnsiTheme="minorHAnsi" w:cstheme="minorHAnsi"/>
          <w:lang w:val="en-US"/>
        </w:rPr>
        <w:t xml:space="preserve">. </w:t>
      </w:r>
      <w:r w:rsidR="000A5617" w:rsidRPr="000E5D59">
        <w:rPr>
          <w:rFonts w:asciiTheme="minorHAnsi" w:hAnsiTheme="minorHAnsi" w:cstheme="minorHAnsi"/>
          <w:lang w:val="en-US"/>
        </w:rPr>
        <w:t xml:space="preserve"> In 2020, per capita consumption reached about 11.4 kg, and it is forecast to reach 409,000 mt in 2022, which is a 29% increase over the 2019 estimates (318,000 mt) (USDA database, 2022). </w:t>
      </w:r>
      <w:r w:rsidRPr="000E5D59">
        <w:rPr>
          <w:rFonts w:asciiTheme="minorHAnsi" w:hAnsiTheme="minorHAnsi" w:cstheme="minorHAnsi"/>
          <w:lang w:val="en-US"/>
        </w:rPr>
        <w:t xml:space="preserve">To meet growing demand, poultry imports by some African countries are rapidly increasing and are much higher than the local production </w:t>
      </w:r>
      <w:sdt>
        <w:sdtPr>
          <w:rPr>
            <w:rFonts w:asciiTheme="minorHAnsi" w:hAnsiTheme="minorHAnsi" w:cstheme="minorHAnsi"/>
          </w:rPr>
          <w:alias w:val="To edit, see citavi.com/edit"/>
          <w:tag w:val="CitaviPlaceholder#8aa38ed2-5ebc-4b65-bfd5-11dec0eceb6e"/>
          <w:id w:val="-1693146472"/>
          <w:placeholder>
            <w:docPart w:val="5828B38320EB42EE92CFD44CF34BF082"/>
          </w:placeholder>
        </w:sdtPr>
        <w:sdtEndPr/>
        <w:sdtContent>
          <w:r w:rsidRPr="000E5D59">
            <w:rPr>
              <w:rFonts w:asciiTheme="minorHAnsi" w:hAnsiTheme="minorHAnsi" w:cstheme="minorHAnsi"/>
            </w:rPr>
            <w:fldChar w:fldCharType="begin"/>
          </w:r>
          <w:r w:rsidRPr="000E5D59">
            <w:rPr>
              <w:rFonts w:asciiTheme="minorHAnsi" w:hAnsiTheme="minorHAnsi" w:cstheme="minorHAnsi"/>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1MTFiZmM5LTkwNmMtNGNlZC05Mzg1LWJmMjViYmJjNGVlZCIsIlJhbmdlTGVuZ3RoIjo1LCJSZWZlcmVuY2VJZCI6ImZkNDFiOTEyLTUzODUtNDg1ZC05NTgxLTQ4OGU3ODVlNTc2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ZBTyIsIlByb3RlY3RlZCI6ZmFsc2UsIlNleCI6MCwiQ3JlYXRlZEJ5IjoiX09taWQgWmFtYW5pIiwiQ3JlYXRlZE9uIjoiMjAyMS0wMi0yNlQxNjowNzo0MyIsIk1vZGlmaWVkQnkiOiJfT21pZCBaYW1hbmkiLCJJZCI6IjVhZDRiNGRiLTJkNzgtNGJlNi05NzFhLWIyNzJmMDc3NWE4YiIsIk1vZGlmaWVkT24iOiIyMDIxLTAyLTI2VDE2OjA3OjQz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IsIk9yaWdpbmFsU3RyaW5nIjoiQzpcXFVzZXJzXFx6YW1hbmlcXEFwcERhdGFcXExvY2FsXFxUZW1wXFxnZmNkenlpbC5qcGciLCJVcmlTdHJpbmciOiJmZDQxYjkxMi01Mzg1LTQ4NWQtOTU4MS00ODhlNzg1ZTU3NjQ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3JnYW5pemF0aW9ucyI6W10sIk90aGVyc0ludm9sdmVkIjpbXSwiUGFnZUNvdW50IjoiNDA2IiwiUHVibGlzaGVycyI6W10sIlF1b3RhdGlvbnMiOltdLCJSZWZlcmVuY2VUeXBlIjoiSm91cm5hbEFydGljbGUiLCJTaG9ydFRpdGxlIjoiRkFPIOKAkyBBZ3JpY3VsdHVyYWwgR3Jvd3RoIGluIFdlc3QgQWZyaWNhIiwiU2hvcnRUaXRsZVVwZGF0ZVR5cGUiOjAsIlN0YXRpY0lkcyI6WyI4M2YzNjhmOC1iYTlmLTQ3OWUtYWIzMy01Y2M1OGUyZjA0MmQiXSwiVGFibGVPZkNvbnRlbnRzIjoiU3ludGhlc2lzXHJcblBhcnQgSSBcdFxyXG5Ecml2ZXJzIG9mIFN0cnVjdHVyYWwgQ2hhbmdlIGluIFdlc3QgQWZyaWNhbiBBZ3JpY3VsdHVyZSBcclxuUHJvZHVjdGlvbiBSZXNwb25zZVxyXG5UcmFkZSBSZXNwb25zZVxyXG5Gb2N1cyBTZWN0aW9uIEFcclxuRGVtYW5kIGFuZCBDb25zdXB0aW9uIFRyZW5kcyBpbiBXZXN0IEFmcmljYVxyXG5UcmVuZHMgaW4gQXBwYXJlbnQgUGVyIENhcGl0YSBGb29kIENvbnN1bXB0aW9uXHJcbkhvdyBkbyBVcmJhbml6YXRpb24gYW5kIEluY29tZSBMZXZlbHMgYWZmZWN0IEZvb2QgQ29uc3VtcHRpb24/IEluc2lnaHRzIGZyb20gQnVkZ2V0LUNvbnN1bXB0aW9uIFN0dWRpZXNcclxuVGhlIFJpc2luZyBNaWRkbGUgQ2xhc3MgYW5kIEV2b2x2aW5nIEZvb2QgRGVtYW5kIFxyXG5pbiBHaGFuYSBhbmQgTmlnZXJpYVxyXG5Ib3cgYXJlIFdlc3QgQWZyaWNhbiBBZ3JpZm9vZCBTeXN0ZW1zIFJlc3BvbmRpbmcgdG8gTWFya2V0IFRyXHJcbjguMeKAiyBCYWNrZ3JvdW5kOiBnbG9iYWwgZXZpZGVuY2Ugb24gdGhlIOKAnHN1cGVybWFya2V0IHJldm9sdXRpb27igJ1cclxuQ2hhcHRlciA5XHJcblJlc3BvbnNlIG9mIFNlbGVjdGVkIFZhbHVlIENoYWluc1xyXG5Qb2xpY2llcyBmb3IgQWdyaWZvb2QgU3lzdGVtcyBEZXZlbG9wbWVudCBpbiBXZXN0IEFmcmljYVxyXG5DaGFwdGVyIDExXHJcbkZvY3VzIFNlY3Rpb24gQlxyXG5Gb2N1cyBTZWN0aW9uIENcclxuRm9jdXMgU2VjdGlvbiBEXHJcbkNoYXB0ZXIgMTJcclxuQ2hhcHRlciAxM1xyXG5CaWJsaW9ncmFwaHkiLCJUYWJsZU9mQ29udGVudHNDb21wbGV4aXR5IjowLCJUYWJsZU9mQ29udGVudHNTb3VyY2VUZXh0Rm9ybWF0IjowLCJUYXNrcyI6W10sIlRpdGxlIjoiQWdyaWN1bHR1cmFsIEdyb3d0aCBpbiBXZXN0IEFmcmljYSAoQUdXQSkuIE1hcmtldCBhbmQgUG9saWN5IERyaXZlcnMiLCJUcmFuc2xhdG9ycyI6W10sIkNyZWF0ZWRCeSI6Il9PbWlkIFphbWFuaSIsIkNyZWF0ZWRPbiI6IjIwMjEtMDItMjZUMTY6MDc6NDMiLCJNb2RpZmllZEJ5IjoiX1phbWFuaSIsIklkIjoiZmQ0MWI5MTItNTM4NS00ODVkLTk1ODEtNDg4ZTc4NWU1NzY0IiwiTW9kaWZpZWRPbiI6IjIwMjItMDEtMTFUMDc6MjA6MDUiLCJQcm9qZWN0Ijp7IiRyZWYiOiI1In19LCJVc2VOdW1iZXJpbmdUeXBlT2ZQYXJlbnREb2N1bWVudCI6ZmFsc2V9XSwiRm9ybWF0dGVkVGV4dCI6eyIkaWQiOiI4IiwiQ291bnQiOjEsIlRleHRVbml0cyI6W3siJGlkIjoiOSIsIkZvbnRTdHlsZSI6eyIkaWQiOiIxMCIsIk5ldXRyYWwiOnRydWV9LCJSZWFkaW5nT3JkZXIiOjEsIlRleHQiOiIoRkFPKSJ9XX0sIlRhZyI6IkNpdGF2aVBsYWNlaG9sZGVyIzhhYTM4ZWQyLTVlYmMtNGI2NS1iZmQ1LTExZGVjMGVjZWI2ZSIsIlRleHQiOiIoRkFPKSIsIldBSVZlcnNpb24iOiI2LjUuMC4wIn0=}</w:instrText>
          </w:r>
          <w:r w:rsidRPr="000E5D59">
            <w:rPr>
              <w:rFonts w:asciiTheme="minorHAnsi" w:hAnsiTheme="minorHAnsi" w:cstheme="minorHAnsi"/>
            </w:rPr>
            <w:fldChar w:fldCharType="separate"/>
          </w:r>
          <w:r w:rsidRPr="000E5D59">
            <w:rPr>
              <w:rFonts w:asciiTheme="minorHAnsi" w:hAnsiTheme="minorHAnsi" w:cstheme="minorHAnsi"/>
              <w:lang w:val="en-US"/>
            </w:rPr>
            <w:t>(FAOSTAT, 2020)</w:t>
          </w:r>
          <w:r w:rsidRPr="000E5D59">
            <w:rPr>
              <w:rFonts w:asciiTheme="minorHAnsi" w:hAnsiTheme="minorHAnsi" w:cstheme="minorHAnsi"/>
            </w:rPr>
            <w:fldChar w:fldCharType="end"/>
          </w:r>
        </w:sdtContent>
      </w:sdt>
      <w:r w:rsidRPr="000E5D59">
        <w:rPr>
          <w:rFonts w:asciiTheme="minorHAnsi" w:hAnsiTheme="minorHAnsi" w:cstheme="minorHAnsi"/>
          <w:lang w:val="en-US"/>
        </w:rPr>
        <w:t xml:space="preserve">. </w:t>
      </w:r>
      <w:r w:rsidR="000A5617" w:rsidRPr="000E5D59">
        <w:rPr>
          <w:rFonts w:asciiTheme="minorHAnsi" w:hAnsiTheme="minorHAnsi" w:cstheme="minorHAnsi"/>
          <w:lang w:val="en-US"/>
        </w:rPr>
        <w:t>Improving</w:t>
      </w:r>
      <w:r w:rsidRPr="000E5D59">
        <w:rPr>
          <w:rFonts w:asciiTheme="minorHAnsi" w:hAnsiTheme="minorHAnsi" w:cstheme="minorHAnsi"/>
          <w:lang w:val="en-US"/>
        </w:rPr>
        <w:t xml:space="preserve"> the competitiveness of local industries is viewed as a promising way to </w:t>
      </w:r>
      <w:r w:rsidR="000A5617" w:rsidRPr="000E5D59">
        <w:rPr>
          <w:rFonts w:asciiTheme="minorHAnsi" w:hAnsiTheme="minorHAnsi" w:cstheme="minorHAnsi"/>
          <w:lang w:val="en-US"/>
        </w:rPr>
        <w:t>increase domestic poultry production</w:t>
      </w:r>
      <w:r w:rsidRPr="000E5D59">
        <w:rPr>
          <w:rFonts w:asciiTheme="minorHAnsi" w:hAnsiTheme="minorHAnsi" w:cstheme="minorHAnsi"/>
          <w:lang w:val="en-US"/>
        </w:rPr>
        <w:t xml:space="preserve">. </w:t>
      </w:r>
      <w:r w:rsidR="00B702D1" w:rsidRPr="000E5D59">
        <w:rPr>
          <w:rFonts w:asciiTheme="minorHAnsi" w:hAnsiTheme="minorHAnsi" w:cstheme="minorHAnsi"/>
          <w:lang w:val="en-US"/>
        </w:rPr>
        <w:t>In this line</w:t>
      </w:r>
      <w:r w:rsidRPr="000E5D59">
        <w:rPr>
          <w:rFonts w:asciiTheme="minorHAnsi" w:hAnsiTheme="minorHAnsi" w:cstheme="minorHAnsi"/>
          <w:lang w:val="en-US"/>
        </w:rPr>
        <w:t xml:space="preserve">, </w:t>
      </w:r>
      <w:r w:rsidR="00B702D1" w:rsidRPr="000E5D59">
        <w:rPr>
          <w:rFonts w:asciiTheme="minorHAnsi" w:hAnsiTheme="minorHAnsi" w:cstheme="minorHAnsi"/>
          <w:lang w:val="en-US"/>
        </w:rPr>
        <w:t>the Ghanaian</w:t>
      </w:r>
      <w:r w:rsidRPr="000E5D59">
        <w:rPr>
          <w:rFonts w:asciiTheme="minorHAnsi" w:hAnsiTheme="minorHAnsi" w:cstheme="minorHAnsi"/>
          <w:lang w:val="en-US"/>
        </w:rPr>
        <w:t xml:space="preserve"> policymakers have been keen </w:t>
      </w:r>
      <w:r w:rsidR="00B702D1" w:rsidRPr="000E5D59">
        <w:rPr>
          <w:rFonts w:asciiTheme="minorHAnsi" w:hAnsiTheme="minorHAnsi" w:cstheme="minorHAnsi"/>
          <w:lang w:val="en-US"/>
        </w:rPr>
        <w:t>to formulate</w:t>
      </w:r>
      <w:r w:rsidRPr="000E5D59">
        <w:rPr>
          <w:rFonts w:asciiTheme="minorHAnsi" w:hAnsiTheme="minorHAnsi" w:cstheme="minorHAnsi"/>
          <w:lang w:val="en-US"/>
        </w:rPr>
        <w:t xml:space="preserve"> various supporting policies to reverse the country’s dependency on imports. For poultry production,</w:t>
      </w:r>
      <w:r w:rsidR="00B702D1" w:rsidRPr="000E5D59">
        <w:rPr>
          <w:rFonts w:asciiTheme="minorHAnsi" w:hAnsiTheme="minorHAnsi" w:cstheme="minorHAnsi"/>
          <w:lang w:val="en-US"/>
        </w:rPr>
        <w:t xml:space="preserve"> </w:t>
      </w:r>
      <w:r w:rsidRPr="000E5D59">
        <w:rPr>
          <w:rFonts w:asciiTheme="minorHAnsi" w:hAnsiTheme="minorHAnsi" w:cstheme="minorHAnsi"/>
          <w:lang w:val="en-US"/>
        </w:rPr>
        <w:t xml:space="preserve">existing literature highlights lowering feed costs as a key factor for an increase </w:t>
      </w:r>
      <w:r w:rsidR="00B702D1" w:rsidRPr="000E5D59">
        <w:rPr>
          <w:rFonts w:asciiTheme="minorHAnsi" w:hAnsiTheme="minorHAnsi" w:cstheme="minorHAnsi"/>
          <w:lang w:val="en-US"/>
        </w:rPr>
        <w:t>in</w:t>
      </w:r>
      <w:r w:rsidRPr="000E5D59">
        <w:rPr>
          <w:rFonts w:asciiTheme="minorHAnsi" w:hAnsiTheme="minorHAnsi" w:cstheme="minorHAnsi"/>
          <w:lang w:val="en-US"/>
        </w:rPr>
        <w:t xml:space="preserve"> competitiveness in </w:t>
      </w:r>
      <w:r w:rsidR="004E3AC6" w:rsidRPr="000E5D59">
        <w:rPr>
          <w:rFonts w:asciiTheme="minorHAnsi" w:hAnsiTheme="minorHAnsi" w:cstheme="minorHAnsi"/>
          <w:lang w:val="en-US"/>
        </w:rPr>
        <w:t>Ghanaian</w:t>
      </w:r>
      <w:r w:rsidR="00B702D1" w:rsidRPr="000E5D59">
        <w:rPr>
          <w:rFonts w:asciiTheme="minorHAnsi" w:hAnsiTheme="minorHAnsi" w:cstheme="minorHAnsi"/>
          <w:lang w:val="en-US"/>
        </w:rPr>
        <w:t xml:space="preserve"> poultry production</w:t>
      </w:r>
      <w:r w:rsidRPr="000E5D59">
        <w:rPr>
          <w:rFonts w:asciiTheme="minorHAnsi" w:hAnsiTheme="minorHAnsi" w:cstheme="minorHAnsi"/>
          <w:lang w:val="en-US"/>
        </w:rPr>
        <w:t xml:space="preserve"> (</w:t>
      </w:r>
      <w:proofErr w:type="spellStart"/>
      <w:r w:rsidRPr="000E5D59">
        <w:rPr>
          <w:rFonts w:asciiTheme="minorHAnsi" w:hAnsiTheme="minorHAnsi" w:cstheme="minorHAnsi"/>
          <w:lang w:val="en-US"/>
        </w:rPr>
        <w:t>Andam</w:t>
      </w:r>
      <w:proofErr w:type="spellEnd"/>
      <w:r w:rsidRPr="000E5D59">
        <w:rPr>
          <w:rFonts w:asciiTheme="minorHAnsi" w:hAnsiTheme="minorHAnsi" w:cstheme="minorHAnsi"/>
          <w:lang w:val="en-US"/>
        </w:rPr>
        <w:t xml:space="preserve"> et al. 2017). </w:t>
      </w:r>
      <w:r w:rsidR="00B702D1" w:rsidRPr="000E5D59">
        <w:rPr>
          <w:rFonts w:asciiTheme="minorHAnsi" w:hAnsiTheme="minorHAnsi" w:cstheme="minorHAnsi"/>
          <w:lang w:val="en-US"/>
        </w:rPr>
        <w:t>Additionally</w:t>
      </w:r>
      <w:r w:rsidRPr="000E5D59">
        <w:rPr>
          <w:rFonts w:asciiTheme="minorHAnsi" w:hAnsiTheme="minorHAnsi" w:cstheme="minorHAnsi"/>
          <w:lang w:val="en-US"/>
        </w:rPr>
        <w:t xml:space="preserve">, </w:t>
      </w:r>
      <w:r w:rsidR="00B702D1" w:rsidRPr="000E5D59">
        <w:rPr>
          <w:rFonts w:asciiTheme="minorHAnsi" w:hAnsiTheme="minorHAnsi" w:cstheme="minorHAnsi"/>
          <w:lang w:val="en-US"/>
        </w:rPr>
        <w:t xml:space="preserve">the outbreak of production costs implies that the high feed costs are caused by </w:t>
      </w:r>
      <w:r w:rsidRPr="000E5D59">
        <w:rPr>
          <w:rFonts w:asciiTheme="minorHAnsi" w:hAnsiTheme="minorHAnsi" w:cstheme="minorHAnsi"/>
          <w:lang w:val="en-US"/>
        </w:rPr>
        <w:t xml:space="preserve">various drivers </w:t>
      </w:r>
      <w:r w:rsidR="00B702D1" w:rsidRPr="000E5D59">
        <w:rPr>
          <w:rFonts w:asciiTheme="minorHAnsi" w:hAnsiTheme="minorHAnsi" w:cstheme="minorHAnsi"/>
          <w:lang w:val="en-US"/>
        </w:rPr>
        <w:t xml:space="preserve">at different levels </w:t>
      </w:r>
      <w:r w:rsidRPr="000E5D59">
        <w:rPr>
          <w:rFonts w:asciiTheme="minorHAnsi" w:hAnsiTheme="minorHAnsi" w:cstheme="minorHAnsi"/>
          <w:lang w:val="en-US"/>
        </w:rPr>
        <w:t xml:space="preserve">(e.g. </w:t>
      </w:r>
      <w:proofErr w:type="spellStart"/>
      <w:r w:rsidRPr="000E5D59">
        <w:rPr>
          <w:rFonts w:asciiTheme="minorHAnsi" w:hAnsiTheme="minorHAnsi" w:cstheme="minorHAnsi"/>
          <w:lang w:val="en-US"/>
        </w:rPr>
        <w:t>Sumberg</w:t>
      </w:r>
      <w:proofErr w:type="spellEnd"/>
      <w:r w:rsidRPr="000E5D59">
        <w:rPr>
          <w:rFonts w:asciiTheme="minorHAnsi" w:hAnsiTheme="minorHAnsi" w:cstheme="minorHAnsi"/>
          <w:lang w:val="en-US"/>
        </w:rPr>
        <w:t xml:space="preserve"> et al., 2017; Netherlands Enterprise Agency, </w:t>
      </w:r>
      <w:r w:rsidR="00A45A8C">
        <w:rPr>
          <w:rFonts w:asciiTheme="minorHAnsi" w:hAnsiTheme="minorHAnsi" w:cstheme="minorHAnsi"/>
          <w:lang w:val="en-US"/>
        </w:rPr>
        <w:t>2019</w:t>
      </w:r>
      <w:r w:rsidRPr="000E5D59">
        <w:rPr>
          <w:rFonts w:asciiTheme="minorHAnsi" w:hAnsiTheme="minorHAnsi" w:cstheme="minorHAnsi"/>
          <w:lang w:val="en-US"/>
        </w:rPr>
        <w:t>). The present paper primarily aims to compare different key factor</w:t>
      </w:r>
      <w:r w:rsidR="00B702D1" w:rsidRPr="000E5D59">
        <w:rPr>
          <w:rFonts w:asciiTheme="minorHAnsi" w:hAnsiTheme="minorHAnsi" w:cstheme="minorHAnsi"/>
          <w:lang w:val="en-US"/>
        </w:rPr>
        <w:t>s</w:t>
      </w:r>
      <w:r w:rsidRPr="000E5D59">
        <w:rPr>
          <w:rFonts w:asciiTheme="minorHAnsi" w:hAnsiTheme="minorHAnsi" w:cstheme="minorHAnsi"/>
          <w:lang w:val="en-US"/>
        </w:rPr>
        <w:t xml:space="preserve"> behind </w:t>
      </w:r>
      <w:r w:rsidR="00B702D1" w:rsidRPr="000E5D59">
        <w:rPr>
          <w:rFonts w:asciiTheme="minorHAnsi" w:hAnsiTheme="minorHAnsi" w:cstheme="minorHAnsi"/>
          <w:lang w:val="en-US"/>
        </w:rPr>
        <w:t xml:space="preserve">the </w:t>
      </w:r>
      <w:r w:rsidRPr="000E5D59">
        <w:rPr>
          <w:rFonts w:asciiTheme="minorHAnsi" w:hAnsiTheme="minorHAnsi" w:cstheme="minorHAnsi"/>
          <w:lang w:val="en-US"/>
        </w:rPr>
        <w:t xml:space="preserve">high cost of production in the Ghanaian poultry value chain and investigate the possible scenarios to reduce </w:t>
      </w:r>
      <w:r w:rsidR="00B702D1" w:rsidRPr="000E5D59">
        <w:rPr>
          <w:rFonts w:asciiTheme="minorHAnsi" w:hAnsiTheme="minorHAnsi" w:cstheme="minorHAnsi"/>
          <w:lang w:val="en-US"/>
        </w:rPr>
        <w:t>it</w:t>
      </w:r>
      <w:r w:rsidRPr="000E5D59">
        <w:rPr>
          <w:rFonts w:asciiTheme="minorHAnsi" w:hAnsiTheme="minorHAnsi" w:cstheme="minorHAnsi"/>
          <w:lang w:val="en-US"/>
        </w:rPr>
        <w:t xml:space="preserve">. In the case of Senegal, </w:t>
      </w:r>
      <w:r w:rsidR="00B702D1" w:rsidRPr="000E5D59">
        <w:rPr>
          <w:rFonts w:asciiTheme="minorHAnsi" w:hAnsiTheme="minorHAnsi" w:cstheme="minorHAnsi"/>
          <w:lang w:val="en-US"/>
        </w:rPr>
        <w:t xml:space="preserve">the </w:t>
      </w:r>
      <w:r w:rsidRPr="000E5D59">
        <w:rPr>
          <w:rFonts w:asciiTheme="minorHAnsi" w:hAnsiTheme="minorHAnsi" w:cstheme="minorHAnsi"/>
          <w:lang w:val="en-US"/>
        </w:rPr>
        <w:t xml:space="preserve">poultry ban is the major policy intervention in the poultry market. </w:t>
      </w:r>
      <w:r w:rsidRPr="000E5D59">
        <w:rPr>
          <w:rFonts w:asciiTheme="minorHAnsi" w:hAnsiTheme="minorHAnsi" w:cstheme="minorHAnsi"/>
          <w:lang w:val="en-US" w:bidi="fa-IR"/>
        </w:rPr>
        <w:t xml:space="preserve">Since 2005, the Senegalese poultry sector has been experiencing a trade ban on poultry imports to prevent </w:t>
      </w:r>
      <w:r w:rsidR="00B702D1" w:rsidRPr="000E5D59">
        <w:rPr>
          <w:rFonts w:asciiTheme="minorHAnsi" w:hAnsiTheme="minorHAnsi" w:cstheme="minorHAnsi"/>
          <w:lang w:val="en-US" w:bidi="fa-IR"/>
        </w:rPr>
        <w:t xml:space="preserve">the </w:t>
      </w:r>
      <w:r w:rsidRPr="000E5D59">
        <w:rPr>
          <w:rFonts w:asciiTheme="minorHAnsi" w:hAnsiTheme="minorHAnsi" w:cstheme="minorHAnsi"/>
          <w:lang w:val="en-US" w:bidi="fa-IR"/>
        </w:rPr>
        <w:t>Avian Influenzas outbreak. W</w:t>
      </w:r>
      <w:r w:rsidRPr="000E5D59">
        <w:rPr>
          <w:rFonts w:asciiTheme="minorHAnsi" w:hAnsiTheme="minorHAnsi" w:cstheme="minorHAnsi"/>
          <w:lang w:val="en-US"/>
        </w:rPr>
        <w:t>e evaluate the potential effects of the ban policy on</w:t>
      </w:r>
      <w:r w:rsidR="00B702D1" w:rsidRPr="000E5D59">
        <w:rPr>
          <w:rFonts w:asciiTheme="minorHAnsi" w:hAnsiTheme="minorHAnsi" w:cstheme="minorHAnsi"/>
          <w:lang w:val="en-US"/>
        </w:rPr>
        <w:t xml:space="preserve"> the performance of poultry </w:t>
      </w:r>
      <w:r w:rsidRPr="000E5D59">
        <w:rPr>
          <w:rFonts w:asciiTheme="minorHAnsi" w:hAnsiTheme="minorHAnsi" w:cstheme="minorHAnsi"/>
          <w:lang w:val="en-US"/>
        </w:rPr>
        <w:t>farm</w:t>
      </w:r>
      <w:r w:rsidR="00B702D1" w:rsidRPr="000E5D59">
        <w:rPr>
          <w:rFonts w:asciiTheme="minorHAnsi" w:hAnsiTheme="minorHAnsi" w:cstheme="minorHAnsi"/>
          <w:lang w:val="en-US"/>
        </w:rPr>
        <w:t>s</w:t>
      </w:r>
      <w:r w:rsidRPr="000E5D59">
        <w:rPr>
          <w:rFonts w:asciiTheme="minorHAnsi" w:hAnsiTheme="minorHAnsi" w:cstheme="minorHAnsi"/>
          <w:lang w:val="en-US"/>
        </w:rPr>
        <w:t xml:space="preserve"> using </w:t>
      </w:r>
      <w:r w:rsidR="00B702D1" w:rsidRPr="000E5D59">
        <w:rPr>
          <w:rFonts w:asciiTheme="minorHAnsi" w:hAnsiTheme="minorHAnsi" w:cstheme="minorHAnsi"/>
          <w:lang w:val="en-US"/>
        </w:rPr>
        <w:t xml:space="preserve">a </w:t>
      </w:r>
      <w:r w:rsidRPr="000E5D59">
        <w:rPr>
          <w:rFonts w:asciiTheme="minorHAnsi" w:hAnsiTheme="minorHAnsi" w:cstheme="minorHAnsi"/>
          <w:lang w:val="en-US"/>
        </w:rPr>
        <w:t xml:space="preserve">comparative analysis between Senegal and Ghana. </w:t>
      </w:r>
    </w:p>
    <w:p w14:paraId="3637632A" w14:textId="74F9C2A4"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Firstly, we classify the high feed cost drivers into three main levels, farm-level, national-level</w:t>
      </w:r>
      <w:r w:rsidR="00B702D1" w:rsidRPr="000E5D59">
        <w:rPr>
          <w:rFonts w:asciiTheme="minorHAnsi" w:hAnsiTheme="minorHAnsi" w:cstheme="minorHAnsi"/>
          <w:lang w:val="en-US"/>
        </w:rPr>
        <w:t>,</w:t>
      </w:r>
      <w:r w:rsidRPr="000E5D59">
        <w:rPr>
          <w:rFonts w:asciiTheme="minorHAnsi" w:hAnsiTheme="minorHAnsi" w:cstheme="minorHAnsi"/>
          <w:lang w:val="en-US"/>
        </w:rPr>
        <w:t xml:space="preserve"> and macro-level factors. 99 Since the tariff rate of feed ingredients is around 5%, the reduction of border protection for feed has little effect on agricultural trade and costs (Zamani et al. 2022). Here, the improvement of the feed processing capacity and efficiency may help producers to reduce the cost of production. Besides, trade restriction including a complete ban on poultry product imports is the major policy intervention in the Senegalese poultry sector.</w:t>
      </w:r>
    </w:p>
    <w:p w14:paraId="05E42252"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 xml:space="preserve">Given the scope of our analysis and data availabilities, we use different methods to evaluate the policies of interest. To begin with, we develop a spatial partial equilibrium model including different stages to assess spillover effects of feed costs on the poultry meat market. Figure 1 presents the input and product flow in a typical poultry value chain in Ghana from farm to home. The model is based on a spatial partial equilibrium model developed by Samuelson (1952) and extended by Takayama, and Judge (1964). The final calibrated model is applied to investigate the impact of feed processing capacity and efficiency on poultry meat production. In our analysis, the main advantage of using a partial equilibrium approach compared to general equilibrium is that it permits analysis within the value chain context including feed conversion ratio and processing details. Additionally, it allows us to assess the effects of policies at price levels. </w:t>
      </w:r>
    </w:p>
    <w:p w14:paraId="1C055206"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lastRenderedPageBreak/>
        <w:t xml:space="preserve">The rest of paper is organized as follow. Next section reviews the literature to draw a general picture of problem and elaborate on the possible solutions. Section 3 presents the framework to evaluate the scenarios. </w:t>
      </w:r>
    </w:p>
    <w:p w14:paraId="1328666E" w14:textId="77777777" w:rsidR="00DC21D1" w:rsidRPr="000E5D59" w:rsidRDefault="00DC21D1" w:rsidP="002A6138">
      <w:pPr>
        <w:pStyle w:val="Heading1"/>
        <w:rPr>
          <w:rFonts w:asciiTheme="minorHAnsi" w:hAnsiTheme="minorHAnsi" w:cstheme="minorHAnsi"/>
          <w:lang w:val="en-US"/>
        </w:rPr>
      </w:pPr>
      <w:r w:rsidRPr="000E5D59">
        <w:rPr>
          <w:rFonts w:asciiTheme="minorHAnsi" w:hAnsiTheme="minorHAnsi" w:cstheme="minorHAnsi"/>
          <w:lang w:val="en-US"/>
        </w:rPr>
        <w:t xml:space="preserve">Literature </w:t>
      </w:r>
      <w:r w:rsidRPr="000E5D59">
        <w:rPr>
          <w:rFonts w:asciiTheme="minorHAnsi" w:hAnsiTheme="minorHAnsi" w:cstheme="minorHAnsi"/>
        </w:rPr>
        <w:t>review</w:t>
      </w:r>
    </w:p>
    <w:p w14:paraId="44A321BC" w14:textId="77777777" w:rsidR="00DC21D1" w:rsidRPr="000E5D59" w:rsidRDefault="00DC21D1" w:rsidP="002A6138">
      <w:pPr>
        <w:pStyle w:val="Heading2"/>
        <w:rPr>
          <w:rFonts w:asciiTheme="minorHAnsi" w:hAnsiTheme="minorHAnsi" w:cstheme="minorHAnsi"/>
          <w:lang w:val="en-US"/>
        </w:rPr>
      </w:pPr>
      <w:r w:rsidRPr="000E5D59">
        <w:rPr>
          <w:rFonts w:asciiTheme="minorHAnsi" w:hAnsiTheme="minorHAnsi" w:cstheme="minorHAnsi"/>
          <w:lang w:val="en-US"/>
        </w:rPr>
        <w:t>Exchange rate and prices</w:t>
      </w:r>
    </w:p>
    <w:p w14:paraId="41520562"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 xml:space="preserve">A critical objective of most central banks in developing economies including Ghana is to maintain low and stable inflation (Amoah and </w:t>
      </w:r>
      <w:proofErr w:type="spellStart"/>
      <w:r w:rsidRPr="000E5D59">
        <w:rPr>
          <w:rFonts w:asciiTheme="minorHAnsi" w:hAnsiTheme="minorHAnsi" w:cstheme="minorHAnsi"/>
          <w:lang w:val="en-US"/>
        </w:rPr>
        <w:t>Aziakpono</w:t>
      </w:r>
      <w:proofErr w:type="spellEnd"/>
      <w:r w:rsidRPr="000E5D59">
        <w:rPr>
          <w:rFonts w:asciiTheme="minorHAnsi" w:hAnsiTheme="minorHAnsi" w:cstheme="minorHAnsi"/>
          <w:lang w:val="en-US"/>
        </w:rPr>
        <w:t xml:space="preserve"> 2018). A key instrument to attain this objective is the exchange rate. The empirical literature highlights the significant pass-through of exchange rate changes to consumer prices in Ghana (e.g. Amoah and </w:t>
      </w:r>
      <w:proofErr w:type="spellStart"/>
      <w:r w:rsidRPr="000E5D59">
        <w:rPr>
          <w:rFonts w:asciiTheme="minorHAnsi" w:hAnsiTheme="minorHAnsi" w:cstheme="minorHAnsi"/>
          <w:lang w:val="en-US"/>
        </w:rPr>
        <w:t>Aziakpono</w:t>
      </w:r>
      <w:proofErr w:type="spellEnd"/>
      <w:r w:rsidRPr="000E5D59">
        <w:rPr>
          <w:rFonts w:asciiTheme="minorHAnsi" w:hAnsiTheme="minorHAnsi" w:cstheme="minorHAnsi"/>
          <w:lang w:val="en-US"/>
        </w:rPr>
        <w:t xml:space="preserve"> 2018). This may result in increased uncertainty levels which can negatively affect household and firm budget planning in Ghana. As mentioned above, the Ghanaian poultry sector is a significant subsector in terms of food security. However, this sector is highly dependent on imports (Zamani et al., 2021). </w:t>
      </w:r>
    </w:p>
    <w:p w14:paraId="02A56383" w14:textId="78C30188"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 xml:space="preserve">Exchange rate policies have a direct effect on food prices and an indirect effect </w:t>
      </w:r>
      <w:r w:rsidR="000A5617" w:rsidRPr="000E5D59">
        <w:rPr>
          <w:rFonts w:asciiTheme="minorHAnsi" w:hAnsiTheme="minorHAnsi" w:cstheme="minorHAnsi"/>
          <w:lang w:val="en-US"/>
        </w:rPr>
        <w:t xml:space="preserve">by raising the </w:t>
      </w:r>
      <w:r w:rsidRPr="000E5D59">
        <w:rPr>
          <w:rFonts w:asciiTheme="minorHAnsi" w:hAnsiTheme="minorHAnsi" w:cstheme="minorHAnsi"/>
          <w:lang w:val="en-US"/>
        </w:rPr>
        <w:t xml:space="preserve">cost of production. </w:t>
      </w:r>
      <w:r w:rsidR="000A5617" w:rsidRPr="000E5D59">
        <w:rPr>
          <w:rFonts w:asciiTheme="minorHAnsi" w:hAnsiTheme="minorHAnsi" w:cstheme="minorHAnsi"/>
          <w:lang w:val="en-US"/>
        </w:rPr>
        <w:t>A r</w:t>
      </w:r>
      <w:r w:rsidRPr="000E5D59">
        <w:rPr>
          <w:rFonts w:asciiTheme="minorHAnsi" w:hAnsiTheme="minorHAnsi" w:cstheme="minorHAnsi"/>
          <w:lang w:val="en-US"/>
        </w:rPr>
        <w:t>ising exchange rate means higher prices for imports. In our case, exchange depreciation can increase the prices of poultry meat and therefor</w:t>
      </w:r>
      <w:r w:rsidR="000A5617" w:rsidRPr="000E5D59">
        <w:rPr>
          <w:rFonts w:asciiTheme="minorHAnsi" w:hAnsiTheme="minorHAnsi" w:cstheme="minorHAnsi"/>
          <w:lang w:val="en-US"/>
        </w:rPr>
        <w:t>e</w:t>
      </w:r>
      <w:r w:rsidRPr="000E5D59">
        <w:rPr>
          <w:rFonts w:asciiTheme="minorHAnsi" w:hAnsiTheme="minorHAnsi" w:cstheme="minorHAnsi"/>
          <w:lang w:val="en-US"/>
        </w:rPr>
        <w:t xml:space="preserve"> reduce its imports, especially if the domestic consumption is significantly met by imports. Moreover, </w:t>
      </w:r>
      <w:r w:rsidR="000A5617" w:rsidRPr="000E5D59">
        <w:rPr>
          <w:rFonts w:asciiTheme="minorHAnsi" w:hAnsiTheme="minorHAnsi" w:cstheme="minorHAnsi"/>
          <w:lang w:val="en-US"/>
        </w:rPr>
        <w:t xml:space="preserve">an </w:t>
      </w:r>
      <w:r w:rsidRPr="000E5D59">
        <w:rPr>
          <w:rFonts w:asciiTheme="minorHAnsi" w:hAnsiTheme="minorHAnsi" w:cstheme="minorHAnsi"/>
          <w:lang w:val="en-US"/>
        </w:rPr>
        <w:t xml:space="preserve">increase in exchange rate affects production through its effects on input prices. Devaluation indirectly might be correlated with the cost of food production if it encourages substitution between foods and cash crops (Alderman and Shively, 1996). In this regard, Weissman (1990) reports that Ghana’s drastic devaluation in the mid- 1980s had overall negative effects on food-producing regions over the country. It should be kept in mind that the final effects on product prices depend on the share of imported products and production inputs as well as the interaction between different stages along the value chain. For instance, suppose half of the production inputs are imported </w:t>
      </w:r>
      <w:r w:rsidR="000A5617" w:rsidRPr="000E5D59">
        <w:rPr>
          <w:rFonts w:asciiTheme="minorHAnsi" w:hAnsiTheme="minorHAnsi" w:cstheme="minorHAnsi"/>
          <w:lang w:val="en-US"/>
        </w:rPr>
        <w:t>in</w:t>
      </w:r>
      <w:r w:rsidRPr="000E5D59">
        <w:rPr>
          <w:rFonts w:asciiTheme="minorHAnsi" w:hAnsiTheme="minorHAnsi" w:cstheme="minorHAnsi"/>
          <w:lang w:val="en-US"/>
        </w:rPr>
        <w:t xml:space="preserve"> foreign currency. According to the basic economic theories, a 20% depreciation of </w:t>
      </w:r>
      <w:r w:rsidR="000A5617" w:rsidRPr="000E5D59">
        <w:rPr>
          <w:rFonts w:asciiTheme="minorHAnsi" w:hAnsiTheme="minorHAnsi" w:cstheme="minorHAnsi"/>
          <w:lang w:val="en-US"/>
        </w:rPr>
        <w:t xml:space="preserve">the </w:t>
      </w:r>
      <w:r w:rsidRPr="000E5D59">
        <w:rPr>
          <w:rFonts w:asciiTheme="minorHAnsi" w:hAnsiTheme="minorHAnsi" w:cstheme="minorHAnsi"/>
          <w:lang w:val="en-US"/>
        </w:rPr>
        <w:t xml:space="preserve">exchange rate of foreign currency may lead to an increase in its production cost by 10%. Given increasing imports of poultry meat, we may expect that the direct effect of </w:t>
      </w:r>
      <w:r w:rsidR="000A5617" w:rsidRPr="000E5D59">
        <w:rPr>
          <w:rFonts w:asciiTheme="minorHAnsi" w:hAnsiTheme="minorHAnsi" w:cstheme="minorHAnsi"/>
          <w:lang w:val="en-US"/>
        </w:rPr>
        <w:t xml:space="preserve">the </w:t>
      </w:r>
      <w:r w:rsidRPr="000E5D59">
        <w:rPr>
          <w:rFonts w:asciiTheme="minorHAnsi" w:hAnsiTheme="minorHAnsi" w:cstheme="minorHAnsi"/>
          <w:lang w:val="en-US"/>
        </w:rPr>
        <w:t>exchange rate on import reduction is domina</w:t>
      </w:r>
      <w:r w:rsidR="000A5617" w:rsidRPr="000E5D59">
        <w:rPr>
          <w:rFonts w:asciiTheme="minorHAnsi" w:hAnsiTheme="minorHAnsi" w:cstheme="minorHAnsi"/>
          <w:lang w:val="en-US"/>
        </w:rPr>
        <w:t>nt</w:t>
      </w:r>
      <w:r w:rsidRPr="000E5D59">
        <w:rPr>
          <w:rFonts w:asciiTheme="minorHAnsi" w:hAnsiTheme="minorHAnsi" w:cstheme="minorHAnsi"/>
          <w:lang w:val="en-US"/>
        </w:rPr>
        <w:t xml:space="preserve">. In this regard, van Horn (2018) reports that the reduction of </w:t>
      </w:r>
      <w:r w:rsidR="000A5617" w:rsidRPr="000E5D59">
        <w:rPr>
          <w:rFonts w:asciiTheme="minorHAnsi" w:hAnsiTheme="minorHAnsi" w:cstheme="minorHAnsi"/>
          <w:lang w:val="en-US"/>
        </w:rPr>
        <w:t xml:space="preserve">the </w:t>
      </w:r>
      <w:r w:rsidRPr="000E5D59">
        <w:rPr>
          <w:rFonts w:asciiTheme="minorHAnsi" w:hAnsiTheme="minorHAnsi" w:cstheme="minorHAnsi"/>
          <w:lang w:val="en-US"/>
        </w:rPr>
        <w:t xml:space="preserve">exchange rate leads to a lower offer price of poultry meat </w:t>
      </w:r>
      <w:r w:rsidR="000A5617" w:rsidRPr="000E5D59">
        <w:rPr>
          <w:rFonts w:asciiTheme="minorHAnsi" w:hAnsiTheme="minorHAnsi" w:cstheme="minorHAnsi"/>
          <w:lang w:val="en-US"/>
        </w:rPr>
        <w:t>by</w:t>
      </w:r>
      <w:r w:rsidRPr="000E5D59">
        <w:rPr>
          <w:rFonts w:asciiTheme="minorHAnsi" w:hAnsiTheme="minorHAnsi" w:cstheme="minorHAnsi"/>
          <w:lang w:val="en-US"/>
        </w:rPr>
        <w:t xml:space="preserve"> decreasing </w:t>
      </w:r>
      <w:r w:rsidR="000A5617" w:rsidRPr="000E5D59">
        <w:rPr>
          <w:rFonts w:asciiTheme="minorHAnsi" w:hAnsiTheme="minorHAnsi" w:cstheme="minorHAnsi"/>
          <w:lang w:val="en-US"/>
        </w:rPr>
        <w:t xml:space="preserve">the </w:t>
      </w:r>
      <w:r w:rsidRPr="000E5D59">
        <w:rPr>
          <w:rFonts w:asciiTheme="minorHAnsi" w:hAnsiTheme="minorHAnsi" w:cstheme="minorHAnsi"/>
          <w:lang w:val="en-US"/>
        </w:rPr>
        <w:t xml:space="preserve">cost of production. Additionally, </w:t>
      </w:r>
      <w:proofErr w:type="spellStart"/>
      <w:r w:rsidRPr="000E5D59">
        <w:rPr>
          <w:rFonts w:asciiTheme="minorHAnsi" w:hAnsiTheme="minorHAnsi" w:cstheme="minorHAnsi"/>
          <w:lang w:val="en-US"/>
        </w:rPr>
        <w:t>Enu</w:t>
      </w:r>
      <w:proofErr w:type="spellEnd"/>
      <w:r w:rsidRPr="000E5D59">
        <w:rPr>
          <w:rFonts w:asciiTheme="minorHAnsi" w:hAnsiTheme="minorHAnsi" w:cstheme="minorHAnsi"/>
          <w:lang w:val="en-US"/>
        </w:rPr>
        <w:t xml:space="preserve"> and Attah-</w:t>
      </w:r>
      <w:proofErr w:type="spellStart"/>
      <w:r w:rsidRPr="000E5D59">
        <w:rPr>
          <w:rFonts w:asciiTheme="minorHAnsi" w:hAnsiTheme="minorHAnsi" w:cstheme="minorHAnsi"/>
          <w:lang w:val="en-US"/>
        </w:rPr>
        <w:t>Obneg</w:t>
      </w:r>
      <w:proofErr w:type="spellEnd"/>
      <w:r w:rsidRPr="000E5D59">
        <w:rPr>
          <w:rFonts w:asciiTheme="minorHAnsi" w:hAnsiTheme="minorHAnsi" w:cstheme="minorHAnsi"/>
          <w:lang w:val="en-US"/>
        </w:rPr>
        <w:t xml:space="preserve"> (2013) highlight a positive relationship between the real exchange rate and agricultural production in Ghana. </w:t>
      </w:r>
    </w:p>
    <w:p w14:paraId="1DE74314" w14:textId="77777777" w:rsidR="00DC21D1" w:rsidRPr="000E5D59" w:rsidRDefault="00DC21D1" w:rsidP="00DC21D1">
      <w:pPr>
        <w:pStyle w:val="Heading2"/>
        <w:rPr>
          <w:rFonts w:asciiTheme="minorHAnsi" w:hAnsiTheme="minorHAnsi" w:cstheme="minorHAnsi"/>
          <w:lang w:val="en-US"/>
        </w:rPr>
      </w:pPr>
      <w:r w:rsidRPr="000E5D59">
        <w:rPr>
          <w:rFonts w:asciiTheme="minorHAnsi" w:hAnsiTheme="minorHAnsi" w:cstheme="minorHAnsi"/>
          <w:lang w:val="en-US"/>
        </w:rPr>
        <w:t xml:space="preserve">Trade restrictions and infant-industries </w:t>
      </w:r>
    </w:p>
    <w:p w14:paraId="4944850D" w14:textId="3D0CF73E" w:rsidR="005A274D" w:rsidRPr="000E5D59" w:rsidRDefault="00E92CE0" w:rsidP="005A274D">
      <w:pPr>
        <w:spacing w:line="240" w:lineRule="auto"/>
        <w:rPr>
          <w:rFonts w:asciiTheme="minorHAnsi" w:hAnsiTheme="minorHAnsi" w:cstheme="minorHAnsi"/>
          <w:lang w:val="en-US"/>
        </w:rPr>
      </w:pPr>
      <w:r w:rsidRPr="000E5D59">
        <w:rPr>
          <w:rFonts w:asciiTheme="minorHAnsi" w:hAnsiTheme="minorHAnsi" w:cstheme="minorHAnsi"/>
          <w:lang w:val="en-US"/>
        </w:rPr>
        <w:t xml:space="preserve">This section </w:t>
      </w:r>
      <w:r w:rsidR="00231F2E" w:rsidRPr="000E5D59">
        <w:rPr>
          <w:rFonts w:asciiTheme="minorHAnsi" w:hAnsiTheme="minorHAnsi" w:cstheme="minorHAnsi"/>
          <w:lang w:val="en-US"/>
        </w:rPr>
        <w:t>attempts</w:t>
      </w:r>
      <w:r w:rsidRPr="000E5D59">
        <w:rPr>
          <w:rFonts w:asciiTheme="minorHAnsi" w:hAnsiTheme="minorHAnsi" w:cstheme="minorHAnsi"/>
          <w:lang w:val="en-US"/>
        </w:rPr>
        <w:t xml:space="preserve"> to explain the effects of trade restriction using infant industry argument. </w:t>
      </w:r>
      <w:r w:rsidR="00B702D1" w:rsidRPr="000E5D59">
        <w:rPr>
          <w:rFonts w:asciiTheme="minorHAnsi" w:hAnsiTheme="minorHAnsi" w:cstheme="minorHAnsi"/>
          <w:lang w:val="en-US"/>
        </w:rPr>
        <w:t>A</w:t>
      </w:r>
      <w:r w:rsidR="00DC21D1" w:rsidRPr="000E5D59">
        <w:rPr>
          <w:rFonts w:asciiTheme="minorHAnsi" w:hAnsiTheme="minorHAnsi" w:cstheme="minorHAnsi"/>
          <w:lang w:val="en-US"/>
        </w:rPr>
        <w:t xml:space="preserve">n import </w:t>
      </w:r>
      <w:r w:rsidR="00B702D1" w:rsidRPr="000E5D59">
        <w:rPr>
          <w:rFonts w:asciiTheme="minorHAnsi" w:hAnsiTheme="minorHAnsi" w:cstheme="minorHAnsi"/>
          <w:lang w:val="en-US"/>
        </w:rPr>
        <w:t>restriction including a partial or complete trade ban</w:t>
      </w:r>
      <w:r w:rsidR="00DC21D1" w:rsidRPr="000E5D59">
        <w:rPr>
          <w:rFonts w:asciiTheme="minorHAnsi" w:hAnsiTheme="minorHAnsi" w:cstheme="minorHAnsi"/>
          <w:lang w:val="en-US"/>
        </w:rPr>
        <w:t xml:space="preserve"> is prohibited for member countries</w:t>
      </w:r>
      <w:r w:rsidR="00B702D1" w:rsidRPr="000E5D59">
        <w:rPr>
          <w:rFonts w:asciiTheme="minorHAnsi" w:hAnsiTheme="minorHAnsi" w:cstheme="minorHAnsi"/>
          <w:lang w:val="en-US"/>
        </w:rPr>
        <w:t xml:space="preserve"> according to the World Trade Organization (WTO)</w:t>
      </w:r>
      <w:r w:rsidR="00DC21D1" w:rsidRPr="000E5D59">
        <w:rPr>
          <w:rFonts w:asciiTheme="minorHAnsi" w:hAnsiTheme="minorHAnsi" w:cstheme="minorHAnsi"/>
          <w:lang w:val="en-US"/>
        </w:rPr>
        <w:t xml:space="preserve">. Exceptions are </w:t>
      </w:r>
      <w:proofErr w:type="gramStart"/>
      <w:r w:rsidR="00B702D1" w:rsidRPr="000E5D59">
        <w:rPr>
          <w:rFonts w:asciiTheme="minorHAnsi" w:hAnsiTheme="minorHAnsi" w:cstheme="minorHAnsi"/>
          <w:lang w:val="en-US"/>
        </w:rPr>
        <w:t>taken into account</w:t>
      </w:r>
      <w:proofErr w:type="gramEnd"/>
      <w:r w:rsidR="00DC21D1" w:rsidRPr="000E5D59">
        <w:rPr>
          <w:rFonts w:asciiTheme="minorHAnsi" w:hAnsiTheme="minorHAnsi" w:cstheme="minorHAnsi"/>
          <w:lang w:val="en-US"/>
        </w:rPr>
        <w:t xml:space="preserve"> under defined conditions such as safeguarding mechanisms, and human, livestock, and plant health-related issues (see GATT 1994 article XI). </w:t>
      </w:r>
      <w:r w:rsidR="004E0B87" w:rsidRPr="000E5D59">
        <w:rPr>
          <w:rFonts w:asciiTheme="minorHAnsi" w:hAnsiTheme="minorHAnsi" w:cstheme="minorHAnsi"/>
          <w:lang w:val="en-US"/>
        </w:rPr>
        <w:t xml:space="preserve">Aiming at increasing self-sufficiency -through protecting domestic producers- and preventing animal diseases outbreak, import restriction has drawn </w:t>
      </w:r>
      <w:r w:rsidR="004E0B87" w:rsidRPr="000E5D59">
        <w:rPr>
          <w:rFonts w:asciiTheme="minorHAnsi" w:hAnsiTheme="minorHAnsi" w:cstheme="minorHAnsi"/>
          <w:lang w:val="en-US"/>
        </w:rPr>
        <w:lastRenderedPageBreak/>
        <w:t>particular attention among West African policymakers (</w:t>
      </w:r>
      <w:proofErr w:type="spellStart"/>
      <w:r w:rsidR="004E0B87" w:rsidRPr="000E5D59">
        <w:rPr>
          <w:rFonts w:asciiTheme="minorHAnsi" w:hAnsiTheme="minorHAnsi" w:cstheme="minorHAnsi"/>
          <w:lang w:val="en-US"/>
        </w:rPr>
        <w:t>Akunzule</w:t>
      </w:r>
      <w:proofErr w:type="spellEnd"/>
      <w:r w:rsidR="004E0B87" w:rsidRPr="000E5D59">
        <w:rPr>
          <w:rFonts w:asciiTheme="minorHAnsi" w:hAnsiTheme="minorHAnsi" w:cstheme="minorHAnsi"/>
          <w:lang w:val="en-US"/>
        </w:rPr>
        <w:t xml:space="preserve"> et al., 2009; Johnson, 2011; </w:t>
      </w:r>
      <w:proofErr w:type="spellStart"/>
      <w:r w:rsidR="004E0B87" w:rsidRPr="000E5D59">
        <w:rPr>
          <w:rFonts w:asciiTheme="minorHAnsi" w:hAnsiTheme="minorHAnsi" w:cstheme="minorHAnsi"/>
          <w:lang w:val="en-US"/>
        </w:rPr>
        <w:t>Naggujja</w:t>
      </w:r>
      <w:proofErr w:type="spellEnd"/>
      <w:r w:rsidR="004E0B87" w:rsidRPr="000E5D59">
        <w:rPr>
          <w:rFonts w:asciiTheme="minorHAnsi" w:hAnsiTheme="minorHAnsi" w:cstheme="minorHAnsi"/>
          <w:lang w:val="en-US"/>
        </w:rPr>
        <w:t xml:space="preserve"> et al., 2020). The contemporary trade policies in poultry sectors of West African countries have been characterized by different import ban policies (Zamani et al. 2021; Zamani et al. 2022). </w:t>
      </w:r>
      <w:r w:rsidR="005A274D" w:rsidRPr="000E5D59">
        <w:rPr>
          <w:rFonts w:asciiTheme="minorHAnsi" w:hAnsiTheme="minorHAnsi" w:cstheme="minorHAnsi"/>
          <w:lang w:val="en-US"/>
        </w:rPr>
        <w:t xml:space="preserve">Existing literature shows that the trade ban policy effect varies from country to country. </w:t>
      </w:r>
      <w:r w:rsidR="004E0B87" w:rsidRPr="000E5D59">
        <w:rPr>
          <w:rFonts w:asciiTheme="minorHAnsi" w:hAnsiTheme="minorHAnsi" w:cstheme="minorHAnsi"/>
          <w:lang w:val="en-US"/>
        </w:rPr>
        <w:t>For instance, Ghana’s government recently imposed an import ban on poultry products from four European countries in 2021 (Zamani et al. 2022). Nevertheless, this is not the first time that Ghana has experienced a partial ban. During the 2006-2007 Avian Influenza outbreak, Ghana applied a partial ban on imports from less important trading partners (</w:t>
      </w:r>
      <w:proofErr w:type="spellStart"/>
      <w:r w:rsidR="004E0B87" w:rsidRPr="000E5D59">
        <w:rPr>
          <w:rFonts w:asciiTheme="minorHAnsi" w:hAnsiTheme="minorHAnsi" w:cstheme="minorHAnsi"/>
          <w:lang w:val="en-US"/>
        </w:rPr>
        <w:t>Akunzule</w:t>
      </w:r>
      <w:proofErr w:type="spellEnd"/>
      <w:r w:rsidR="004E0B87" w:rsidRPr="000E5D59">
        <w:rPr>
          <w:rFonts w:asciiTheme="minorHAnsi" w:hAnsiTheme="minorHAnsi" w:cstheme="minorHAnsi"/>
          <w:lang w:val="en-US"/>
        </w:rPr>
        <w:t xml:space="preserve"> et al., 2009; Johnson, 2011). Despite this ban, imports to Ghana continued to increase over the corresponding period. However, local production was protected from a large outbreak of avian influenza (</w:t>
      </w:r>
      <w:proofErr w:type="spellStart"/>
      <w:r w:rsidR="004E0B87" w:rsidRPr="000E5D59">
        <w:rPr>
          <w:rFonts w:asciiTheme="minorHAnsi" w:hAnsiTheme="minorHAnsi" w:cstheme="minorHAnsi"/>
          <w:lang w:val="en-US"/>
        </w:rPr>
        <w:t>Akunzule</w:t>
      </w:r>
      <w:proofErr w:type="spellEnd"/>
      <w:r w:rsidR="004E0B87" w:rsidRPr="000E5D59">
        <w:rPr>
          <w:rFonts w:asciiTheme="minorHAnsi" w:hAnsiTheme="minorHAnsi" w:cstheme="minorHAnsi"/>
          <w:lang w:val="en-US"/>
        </w:rPr>
        <w:t xml:space="preserve"> et al., 2009).</w:t>
      </w:r>
      <w:r w:rsidR="005A274D" w:rsidRPr="000E5D59">
        <w:rPr>
          <w:rFonts w:asciiTheme="minorHAnsi" w:hAnsiTheme="minorHAnsi" w:cstheme="minorHAnsi"/>
          <w:lang w:val="en-US"/>
        </w:rPr>
        <w:t xml:space="preserve"> </w:t>
      </w:r>
    </w:p>
    <w:p w14:paraId="0F0FC8ED" w14:textId="70957458" w:rsidR="00E92CE0" w:rsidRPr="000E5D59" w:rsidRDefault="00E92CE0" w:rsidP="00E92CE0">
      <w:pPr>
        <w:spacing w:line="240" w:lineRule="auto"/>
        <w:rPr>
          <w:rFonts w:asciiTheme="minorHAnsi" w:hAnsiTheme="minorHAnsi" w:cstheme="minorHAnsi"/>
          <w:lang w:val="en-US"/>
        </w:rPr>
      </w:pPr>
      <w:r w:rsidRPr="000E5D59">
        <w:rPr>
          <w:rFonts w:asciiTheme="minorHAnsi" w:hAnsiTheme="minorHAnsi" w:cstheme="minorHAnsi"/>
          <w:lang w:val="en-US"/>
        </w:rPr>
        <w:t xml:space="preserve">Apart from the aforementioned effects, there are other externalities of the trade </w:t>
      </w:r>
      <w:r w:rsidR="00BD7475" w:rsidRPr="000E5D59">
        <w:rPr>
          <w:rFonts w:asciiTheme="minorHAnsi" w:hAnsiTheme="minorHAnsi" w:cstheme="minorHAnsi"/>
          <w:lang w:val="en-US"/>
        </w:rPr>
        <w:t>restrictions</w:t>
      </w:r>
      <w:r w:rsidRPr="000E5D59">
        <w:rPr>
          <w:rFonts w:asciiTheme="minorHAnsi" w:hAnsiTheme="minorHAnsi" w:cstheme="minorHAnsi"/>
          <w:lang w:val="en-US"/>
        </w:rPr>
        <w:t xml:space="preserve">. </w:t>
      </w:r>
      <w:proofErr w:type="spellStart"/>
      <w:r w:rsidRPr="000E5D59">
        <w:rPr>
          <w:rFonts w:asciiTheme="minorHAnsi" w:hAnsiTheme="minorHAnsi" w:cstheme="minorHAnsi"/>
          <w:lang w:val="en-US"/>
        </w:rPr>
        <w:t>Andriamananjara</w:t>
      </w:r>
      <w:proofErr w:type="spellEnd"/>
      <w:r w:rsidRPr="000E5D59">
        <w:rPr>
          <w:rFonts w:asciiTheme="minorHAnsi" w:hAnsiTheme="minorHAnsi" w:cstheme="minorHAnsi"/>
          <w:lang w:val="en-US"/>
        </w:rPr>
        <w:t xml:space="preserve"> et al. (2009) and Golub (2012) highlight the </w:t>
      </w:r>
      <w:r w:rsidR="00231F2E" w:rsidRPr="000E5D59">
        <w:rPr>
          <w:rFonts w:asciiTheme="minorHAnsi" w:hAnsiTheme="minorHAnsi" w:cstheme="minorHAnsi"/>
          <w:lang w:val="en-US"/>
        </w:rPr>
        <w:t>impact</w:t>
      </w:r>
      <w:r w:rsidRPr="000E5D59">
        <w:rPr>
          <w:rFonts w:asciiTheme="minorHAnsi" w:hAnsiTheme="minorHAnsi" w:cstheme="minorHAnsi"/>
          <w:lang w:val="en-US"/>
        </w:rPr>
        <w:t xml:space="preserve"> of poultry trade restrictions on </w:t>
      </w:r>
      <w:r w:rsidR="00231F2E" w:rsidRPr="000E5D59">
        <w:rPr>
          <w:rFonts w:asciiTheme="minorHAnsi" w:hAnsiTheme="minorHAnsi" w:cstheme="minorHAnsi"/>
          <w:lang w:val="en-US"/>
        </w:rPr>
        <w:t xml:space="preserve">increased </w:t>
      </w:r>
      <w:r w:rsidR="00231F2E" w:rsidRPr="000E5D59">
        <w:rPr>
          <w:rFonts w:asciiTheme="minorHAnsi" w:hAnsiTheme="minorHAnsi" w:cstheme="minorHAnsi"/>
          <w:lang w:val="en-US" w:bidi="fa-IR"/>
        </w:rPr>
        <w:t xml:space="preserve">tendency to smuggle </w:t>
      </w:r>
      <w:r w:rsidR="00231F2E" w:rsidRPr="000E5D59">
        <w:rPr>
          <w:rFonts w:asciiTheme="minorHAnsi" w:hAnsiTheme="minorHAnsi" w:cstheme="minorHAnsi"/>
          <w:lang w:val="en-US"/>
        </w:rPr>
        <w:t>(</w:t>
      </w:r>
      <w:r w:rsidRPr="000E5D59">
        <w:rPr>
          <w:rFonts w:asciiTheme="minorHAnsi" w:hAnsiTheme="minorHAnsi" w:cstheme="minorHAnsi"/>
          <w:lang w:val="en-US"/>
        </w:rPr>
        <w:t>illegal trade</w:t>
      </w:r>
      <w:r w:rsidR="00231F2E" w:rsidRPr="000E5D59">
        <w:rPr>
          <w:rFonts w:asciiTheme="minorHAnsi" w:hAnsiTheme="minorHAnsi" w:cstheme="minorHAnsi"/>
          <w:lang w:val="en-US"/>
        </w:rPr>
        <w:t>)</w:t>
      </w:r>
      <w:r w:rsidRPr="000E5D59">
        <w:rPr>
          <w:rFonts w:asciiTheme="minorHAnsi" w:hAnsiTheme="minorHAnsi" w:cstheme="minorHAnsi"/>
          <w:lang w:val="en-US"/>
        </w:rPr>
        <w:t xml:space="preserve"> of frozen meat. Furthermore, an import ban on inputs of poultry production leads to an increase in maize prices. Maize prices tripled from 2007 to 2008 and left many poultry producers unable to provide sufficient feed quantities (Killebrew et al., 2010). </w:t>
      </w:r>
      <w:bookmarkStart w:id="2" w:name="_Hlk78457956"/>
      <w:r w:rsidRPr="000E5D59">
        <w:rPr>
          <w:rFonts w:asciiTheme="minorHAnsi" w:hAnsiTheme="minorHAnsi" w:cstheme="minorHAnsi"/>
          <w:lang w:val="en-US"/>
        </w:rPr>
        <w:t xml:space="preserve">Zamani et a (2022) simulate the effects of the 2021 partial import ban on poultry products in Ghana. Due to a “cushioning” effect, </w:t>
      </w:r>
      <w:r w:rsidR="00BD7475" w:rsidRPr="000E5D59">
        <w:rPr>
          <w:rFonts w:asciiTheme="minorHAnsi" w:hAnsiTheme="minorHAnsi" w:cstheme="minorHAnsi"/>
          <w:lang w:val="en-US"/>
        </w:rPr>
        <w:t xml:space="preserve">the total imports of corresponding products do not change following </w:t>
      </w:r>
      <w:r w:rsidRPr="000E5D59">
        <w:rPr>
          <w:rFonts w:asciiTheme="minorHAnsi" w:hAnsiTheme="minorHAnsi" w:cstheme="minorHAnsi"/>
          <w:lang w:val="en-US"/>
        </w:rPr>
        <w:t>the partial ban</w:t>
      </w:r>
      <w:bookmarkEnd w:id="2"/>
      <w:r w:rsidR="00BD7475" w:rsidRPr="000E5D59">
        <w:rPr>
          <w:rFonts w:asciiTheme="minorHAnsi" w:hAnsiTheme="minorHAnsi" w:cstheme="minorHAnsi"/>
          <w:lang w:val="en-US"/>
        </w:rPr>
        <w:t xml:space="preserve">. </w:t>
      </w:r>
      <w:r w:rsidRPr="000E5D59">
        <w:rPr>
          <w:rFonts w:asciiTheme="minorHAnsi" w:hAnsiTheme="minorHAnsi" w:cstheme="minorHAnsi"/>
          <w:lang w:val="en-US"/>
        </w:rPr>
        <w:t xml:space="preserve">However, a complete ban has larger effects on the value chain and causes domestic production to increase substantially. </w:t>
      </w:r>
      <w:r w:rsidR="00BD7475" w:rsidRPr="000E5D59">
        <w:rPr>
          <w:rFonts w:asciiTheme="minorHAnsi" w:hAnsiTheme="minorHAnsi" w:cstheme="minorHAnsi"/>
          <w:lang w:val="en-US"/>
        </w:rPr>
        <w:t xml:space="preserve">In </w:t>
      </w:r>
      <w:r w:rsidRPr="000E5D59">
        <w:rPr>
          <w:rFonts w:asciiTheme="minorHAnsi" w:hAnsiTheme="minorHAnsi" w:cstheme="minorHAnsi"/>
          <w:lang w:val="en-US"/>
        </w:rPr>
        <w:t>Nigeria</w:t>
      </w:r>
      <w:r w:rsidR="00BD7475" w:rsidRPr="000E5D59">
        <w:rPr>
          <w:rFonts w:asciiTheme="minorHAnsi" w:hAnsiTheme="minorHAnsi" w:cstheme="minorHAnsi"/>
          <w:lang w:val="en-US"/>
        </w:rPr>
        <w:t xml:space="preserve">, the complete ban has led to </w:t>
      </w:r>
      <w:r w:rsidRPr="000E5D59">
        <w:rPr>
          <w:rFonts w:asciiTheme="minorHAnsi" w:hAnsiTheme="minorHAnsi" w:cstheme="minorHAnsi"/>
          <w:lang w:val="en-US"/>
        </w:rPr>
        <w:t xml:space="preserve">a reduction in the per capita consumption of chicken meat from an annual average of 1.32 kg/person in 1995-to 1999 to an annual average of 0.85kg/person in 2011–2015 </w:t>
      </w:r>
      <w:r w:rsidR="00BD7475" w:rsidRPr="000E5D59">
        <w:rPr>
          <w:rFonts w:asciiTheme="minorHAnsi" w:hAnsiTheme="minorHAnsi" w:cstheme="minorHAnsi"/>
          <w:lang w:val="en-US"/>
        </w:rPr>
        <w:t>(</w:t>
      </w:r>
      <w:proofErr w:type="spellStart"/>
      <w:r w:rsidRPr="000E5D59">
        <w:rPr>
          <w:rFonts w:asciiTheme="minorHAnsi" w:hAnsiTheme="minorHAnsi" w:cstheme="minorHAnsi"/>
          <w:lang w:val="en-US"/>
        </w:rPr>
        <w:t>Andam</w:t>
      </w:r>
      <w:proofErr w:type="spellEnd"/>
      <w:r w:rsidRPr="000E5D59">
        <w:rPr>
          <w:rFonts w:asciiTheme="minorHAnsi" w:hAnsiTheme="minorHAnsi" w:cstheme="minorHAnsi"/>
          <w:lang w:val="en-US"/>
        </w:rPr>
        <w:t xml:space="preserve"> et al. 2017).</w:t>
      </w:r>
    </w:p>
    <w:p w14:paraId="1FDE5431" w14:textId="77777777" w:rsidR="00231F2E" w:rsidRPr="000E5D59" w:rsidRDefault="004E0B87" w:rsidP="00231F2E">
      <w:pPr>
        <w:spacing w:line="240" w:lineRule="auto"/>
        <w:rPr>
          <w:rFonts w:asciiTheme="minorHAnsi" w:hAnsiTheme="minorHAnsi" w:cstheme="minorHAnsi"/>
          <w:lang w:val="en-US"/>
        </w:rPr>
      </w:pPr>
      <w:r w:rsidRPr="000E5D59">
        <w:rPr>
          <w:rFonts w:asciiTheme="minorHAnsi" w:hAnsiTheme="minorHAnsi" w:cstheme="minorHAnsi"/>
          <w:lang w:val="en-US"/>
        </w:rPr>
        <w:t xml:space="preserve">As mentioned </w:t>
      </w:r>
      <w:r w:rsidR="00E92CE0" w:rsidRPr="000E5D59">
        <w:rPr>
          <w:rFonts w:asciiTheme="minorHAnsi" w:hAnsiTheme="minorHAnsi" w:cstheme="minorHAnsi"/>
          <w:lang w:val="en-US"/>
        </w:rPr>
        <w:t>already</w:t>
      </w:r>
      <w:r w:rsidRPr="000E5D59">
        <w:rPr>
          <w:rFonts w:asciiTheme="minorHAnsi" w:hAnsiTheme="minorHAnsi" w:cstheme="minorHAnsi"/>
          <w:lang w:val="en-US"/>
        </w:rPr>
        <w:t xml:space="preserve">, </w:t>
      </w:r>
      <w:r w:rsidR="005A274D" w:rsidRPr="000E5D59">
        <w:rPr>
          <w:rFonts w:asciiTheme="minorHAnsi" w:hAnsiTheme="minorHAnsi" w:cstheme="minorHAnsi"/>
          <w:lang w:val="en-US"/>
        </w:rPr>
        <w:t>since 2006, Senegal has been experiencing a ban on the import of live poultry, edible poultry meat and offal, and poultry products to prevent Avian Influenza from entering the country and supporting local producers</w:t>
      </w:r>
      <w:r w:rsidR="00E92CE0" w:rsidRPr="000E5D59">
        <w:rPr>
          <w:rStyle w:val="FootnoteReference"/>
          <w:rFonts w:asciiTheme="minorHAnsi" w:hAnsiTheme="minorHAnsi" w:cstheme="minorHAnsi"/>
        </w:rPr>
        <w:footnoteReference w:id="1"/>
      </w:r>
      <w:r w:rsidR="005A274D" w:rsidRPr="000E5D59">
        <w:rPr>
          <w:rFonts w:asciiTheme="minorHAnsi" w:hAnsiTheme="minorHAnsi" w:cstheme="minorHAnsi"/>
          <w:lang w:val="en-US"/>
        </w:rPr>
        <w:t xml:space="preserve">. This public intervention has stimulated domestic production in the years following the import ban. The poultry sector is now able to meet almost 100% of the Senegalese poultry demand. </w:t>
      </w:r>
      <w:r w:rsidR="00E92CE0" w:rsidRPr="000E5D59">
        <w:rPr>
          <w:rFonts w:asciiTheme="minorHAnsi" w:hAnsiTheme="minorHAnsi" w:cstheme="minorHAnsi"/>
          <w:lang w:val="en-US"/>
        </w:rPr>
        <w:t>In contrast to Nigeria</w:t>
      </w:r>
      <w:r w:rsidR="005A274D" w:rsidRPr="000E5D59">
        <w:rPr>
          <w:rFonts w:asciiTheme="minorHAnsi" w:hAnsiTheme="minorHAnsi" w:cstheme="minorHAnsi"/>
          <w:lang w:val="en-US"/>
        </w:rPr>
        <w:t xml:space="preserve">, the inspection of time-series data implies that consumption has increased following the import ban (FAO-STAT, 2021). According to </w:t>
      </w:r>
      <w:proofErr w:type="spellStart"/>
      <w:r w:rsidR="005A274D" w:rsidRPr="000E5D59">
        <w:rPr>
          <w:rFonts w:asciiTheme="minorHAnsi" w:hAnsiTheme="minorHAnsi" w:cstheme="minorHAnsi"/>
          <w:lang w:val="en-US"/>
        </w:rPr>
        <w:t>Arnoldus</w:t>
      </w:r>
      <w:proofErr w:type="spellEnd"/>
      <w:r w:rsidR="005A274D" w:rsidRPr="000E5D59">
        <w:rPr>
          <w:rFonts w:asciiTheme="minorHAnsi" w:hAnsiTheme="minorHAnsi" w:cstheme="minorHAnsi"/>
          <w:lang w:val="en-US"/>
        </w:rPr>
        <w:t xml:space="preserve"> et al. (2020), the per capita consumption of chicken meat increased from 3.1 kg/person in 2007 to around 5 kg/person in 2019. </w:t>
      </w:r>
      <w:bookmarkStart w:id="3" w:name="_Hlk88122692"/>
    </w:p>
    <w:p w14:paraId="4E3805B9" w14:textId="583C15CB" w:rsidR="00BD7475" w:rsidRPr="000E5D59" w:rsidRDefault="00E92CE0" w:rsidP="00BD7475">
      <w:pPr>
        <w:spacing w:line="240" w:lineRule="auto"/>
        <w:rPr>
          <w:rFonts w:asciiTheme="minorHAnsi" w:hAnsiTheme="minorHAnsi" w:cstheme="minorHAnsi"/>
          <w:lang w:val="en-US"/>
        </w:rPr>
      </w:pPr>
      <w:r w:rsidRPr="000E5D59">
        <w:rPr>
          <w:rFonts w:asciiTheme="minorHAnsi" w:hAnsiTheme="minorHAnsi" w:cstheme="minorHAnsi"/>
          <w:lang w:val="en-US"/>
        </w:rPr>
        <w:t xml:space="preserve">According to the above explanations, the difference in the impact of poultry import bans </w:t>
      </w:r>
      <w:r w:rsidR="00231F2E" w:rsidRPr="000E5D59">
        <w:rPr>
          <w:rFonts w:asciiTheme="minorHAnsi" w:hAnsiTheme="minorHAnsi" w:cstheme="minorHAnsi"/>
          <w:lang w:val="en-US"/>
        </w:rPr>
        <w:t>implies</w:t>
      </w:r>
      <w:r w:rsidRPr="000E5D59">
        <w:rPr>
          <w:rFonts w:asciiTheme="minorHAnsi" w:hAnsiTheme="minorHAnsi" w:cstheme="minorHAnsi"/>
          <w:lang w:val="en-US"/>
        </w:rPr>
        <w:t xml:space="preserve"> that the policy implications of a ban policy cannot be generalized based on the effects on other countries but should instead be investigated based on the specific local context. </w:t>
      </w:r>
      <w:r w:rsidR="00BD7475" w:rsidRPr="000E5D59">
        <w:rPr>
          <w:rFonts w:asciiTheme="minorHAnsi" w:hAnsiTheme="minorHAnsi" w:cstheme="minorHAnsi"/>
          <w:lang w:val="en-US"/>
        </w:rPr>
        <w:t>As mentioned above, t</w:t>
      </w:r>
      <w:r w:rsidR="00231F2E" w:rsidRPr="000E5D59">
        <w:rPr>
          <w:rFonts w:asciiTheme="minorHAnsi" w:hAnsiTheme="minorHAnsi" w:cstheme="minorHAnsi"/>
          <w:lang w:val="en-US"/>
        </w:rPr>
        <w:t xml:space="preserve">he protectionism policies in the poultry sector of Senegal and Ghana can be explained by the infant industry argument. The theory </w:t>
      </w:r>
      <w:r w:rsidR="00BD7475" w:rsidRPr="000E5D59">
        <w:rPr>
          <w:rFonts w:asciiTheme="minorHAnsi" w:hAnsiTheme="minorHAnsi" w:cstheme="minorHAnsi"/>
          <w:lang w:val="en-US"/>
        </w:rPr>
        <w:t>is first proposed by Alexander Hamilton and Friedrich List at the beginning of the 19th Century which justify</w:t>
      </w:r>
      <w:r w:rsidR="00231F2E" w:rsidRPr="000E5D59">
        <w:rPr>
          <w:rFonts w:asciiTheme="minorHAnsi" w:hAnsiTheme="minorHAnsi" w:cstheme="minorHAnsi"/>
          <w:lang w:val="en-US"/>
        </w:rPr>
        <w:t xml:space="preserve"> the protection of </w:t>
      </w:r>
      <w:r w:rsidR="00BD7475" w:rsidRPr="000E5D59">
        <w:rPr>
          <w:rFonts w:asciiTheme="minorHAnsi" w:hAnsiTheme="minorHAnsi" w:cstheme="minorHAnsi"/>
          <w:lang w:val="en-US"/>
        </w:rPr>
        <w:t>domestic production</w:t>
      </w:r>
      <w:r w:rsidR="00231F2E" w:rsidRPr="000E5D59">
        <w:rPr>
          <w:rFonts w:asciiTheme="minorHAnsi" w:hAnsiTheme="minorHAnsi" w:cstheme="minorHAnsi"/>
          <w:lang w:val="en-US"/>
        </w:rPr>
        <w:t xml:space="preserve"> from international trade.</w:t>
      </w:r>
      <w:r w:rsidR="00BD7475" w:rsidRPr="000E5D59">
        <w:rPr>
          <w:rFonts w:asciiTheme="minorHAnsi" w:hAnsiTheme="minorHAnsi" w:cstheme="minorHAnsi"/>
          <w:lang w:val="en-US"/>
        </w:rPr>
        <w:t xml:space="preserve"> In the case of West African countries, the domestic poultry productions are high cost relative to the imported products (</w:t>
      </w:r>
      <w:proofErr w:type="spellStart"/>
      <w:r w:rsidR="00BD7475" w:rsidRPr="000E5D59">
        <w:rPr>
          <w:rFonts w:asciiTheme="minorHAnsi" w:hAnsiTheme="minorHAnsi" w:cstheme="minorHAnsi"/>
          <w:lang w:val="en-US"/>
        </w:rPr>
        <w:t>Sumberg</w:t>
      </w:r>
      <w:proofErr w:type="spellEnd"/>
      <w:r w:rsidR="00BD7475" w:rsidRPr="000E5D59">
        <w:rPr>
          <w:rFonts w:asciiTheme="minorHAnsi" w:hAnsiTheme="minorHAnsi" w:cstheme="minorHAnsi"/>
          <w:lang w:val="en-US"/>
        </w:rPr>
        <w:t xml:space="preserve"> et al., 2017). According to the infant industry argument, “</w:t>
      </w:r>
      <w:r w:rsidR="00BD7475" w:rsidRPr="000E5D59">
        <w:rPr>
          <w:rFonts w:asciiTheme="minorHAnsi" w:hAnsiTheme="minorHAnsi" w:cstheme="minorHAnsi"/>
          <w:i/>
          <w:iCs/>
          <w:lang w:val="en-US"/>
        </w:rPr>
        <w:t>the sector requires a temporary period of protection or assistance during which its costs will fall enough to permit it to survive international competition without assistance</w:t>
      </w:r>
      <w:r w:rsidR="00BD7475" w:rsidRPr="000E5D59">
        <w:rPr>
          <w:rFonts w:asciiTheme="minorHAnsi" w:hAnsiTheme="minorHAnsi" w:cstheme="minorHAnsi"/>
          <w:lang w:val="en-US"/>
        </w:rPr>
        <w:t xml:space="preserve">” (Krueger ad </w:t>
      </w:r>
      <w:proofErr w:type="spellStart"/>
      <w:r w:rsidR="00BD7475" w:rsidRPr="000E5D59">
        <w:rPr>
          <w:rFonts w:asciiTheme="minorHAnsi" w:hAnsiTheme="minorHAnsi" w:cstheme="minorHAnsi"/>
          <w:lang w:val="en-US"/>
        </w:rPr>
        <w:lastRenderedPageBreak/>
        <w:t>Tuncer</w:t>
      </w:r>
      <w:proofErr w:type="spellEnd"/>
      <w:r w:rsidR="00BD7475" w:rsidRPr="000E5D59">
        <w:rPr>
          <w:rFonts w:asciiTheme="minorHAnsi" w:hAnsiTheme="minorHAnsi" w:cstheme="minorHAnsi"/>
          <w:lang w:val="en-US"/>
        </w:rPr>
        <w:t xml:space="preserve">, 1982; pp 1143). Given WTO restrictions, the public sector </w:t>
      </w:r>
      <w:r w:rsidR="00231F2E" w:rsidRPr="000E5D59">
        <w:rPr>
          <w:rFonts w:asciiTheme="minorHAnsi" w:hAnsiTheme="minorHAnsi" w:cstheme="minorHAnsi"/>
          <w:lang w:val="en-US"/>
        </w:rPr>
        <w:t xml:space="preserve">can protect the infant industry using </w:t>
      </w:r>
      <w:r w:rsidR="00BD7475" w:rsidRPr="000E5D59">
        <w:rPr>
          <w:rFonts w:asciiTheme="minorHAnsi" w:hAnsiTheme="minorHAnsi" w:cstheme="minorHAnsi"/>
          <w:lang w:val="en-US"/>
        </w:rPr>
        <w:t>different policy instruments like trade protections or subsidies to insure later economics efficiency</w:t>
      </w:r>
      <w:r w:rsidR="00231F2E" w:rsidRPr="000E5D59">
        <w:rPr>
          <w:rFonts w:asciiTheme="minorHAnsi" w:hAnsiTheme="minorHAnsi" w:cstheme="minorHAnsi"/>
          <w:lang w:val="en-US"/>
        </w:rPr>
        <w:t xml:space="preserve">. </w:t>
      </w:r>
      <w:r w:rsidR="00A714DD" w:rsidRPr="000E5D59">
        <w:rPr>
          <w:rFonts w:asciiTheme="minorHAnsi" w:hAnsiTheme="minorHAnsi" w:cstheme="minorHAnsi"/>
          <w:lang w:val="en-US"/>
        </w:rPr>
        <w:t>In other words, t</w:t>
      </w:r>
      <w:r w:rsidR="00BD7475" w:rsidRPr="000E5D59">
        <w:rPr>
          <w:rFonts w:asciiTheme="minorHAnsi" w:hAnsiTheme="minorHAnsi" w:cstheme="minorHAnsi"/>
          <w:lang w:val="en-US"/>
        </w:rPr>
        <w:t xml:space="preserve">he public protections aim to support the infant industry at the early stages to create a reasonable rate of return when it is developed. Nevertheless, it raises the question of whether the long-run benefits can compensate the short-run costs of infant industry protections. </w:t>
      </w:r>
    </w:p>
    <w:bookmarkEnd w:id="3"/>
    <w:p w14:paraId="467DBABF" w14:textId="77777777" w:rsidR="00DC21D1" w:rsidRPr="000E5D59" w:rsidRDefault="00DC21D1" w:rsidP="002A6138">
      <w:pPr>
        <w:pStyle w:val="Heading1"/>
        <w:rPr>
          <w:rFonts w:asciiTheme="minorHAnsi" w:hAnsiTheme="minorHAnsi" w:cstheme="minorHAnsi"/>
          <w:lang w:val="en-US"/>
        </w:rPr>
      </w:pPr>
      <w:r w:rsidRPr="000E5D59">
        <w:rPr>
          <w:rFonts w:asciiTheme="minorHAnsi" w:hAnsiTheme="minorHAnsi" w:cstheme="minorHAnsi"/>
          <w:lang w:val="en-US"/>
        </w:rPr>
        <w:t>Method</w:t>
      </w:r>
    </w:p>
    <w:p w14:paraId="607202C2" w14:textId="4564033C" w:rsidR="00DC21D1" w:rsidRDefault="00DC21D1" w:rsidP="00DC21D1">
      <w:pPr>
        <w:rPr>
          <w:rFonts w:asciiTheme="minorHAnsi" w:hAnsiTheme="minorHAnsi" w:cstheme="minorHAnsi"/>
          <w:lang w:val="en-US"/>
        </w:rPr>
      </w:pPr>
      <w:r w:rsidRPr="000E5D59">
        <w:rPr>
          <w:rFonts w:asciiTheme="minorHAnsi" w:hAnsiTheme="minorHAnsi" w:cstheme="minorHAnsi"/>
          <w:lang w:val="en-US"/>
        </w:rPr>
        <w:t xml:space="preserve">Given the scope of our analysis and data availabilities, we use different methods to evaluate different drivers of feed costs in the poultry market of Senegal and Ghana. To begin with, we develop a spatial partial equilibrium model including different stages to assess </w:t>
      </w:r>
      <w:r w:rsidR="000A5617" w:rsidRPr="000E5D59">
        <w:rPr>
          <w:rFonts w:asciiTheme="minorHAnsi" w:hAnsiTheme="minorHAnsi" w:cstheme="minorHAnsi"/>
          <w:lang w:val="en-US"/>
        </w:rPr>
        <w:t xml:space="preserve">the </w:t>
      </w:r>
      <w:r w:rsidRPr="000E5D59">
        <w:rPr>
          <w:rFonts w:asciiTheme="minorHAnsi" w:hAnsiTheme="minorHAnsi" w:cstheme="minorHAnsi"/>
          <w:lang w:val="en-US"/>
        </w:rPr>
        <w:t xml:space="preserve">spillover effects of feed costs on the poultry meat market. Figure 1 presents the input and product flow in a typical poultry value chain in Ghana from farm to home. The model is based on a spatial partial equilibrium model developed by Samuelson (1952) and extended by Takayama, and Judge (1964). </w:t>
      </w:r>
    </w:p>
    <w:p w14:paraId="28DCF455" w14:textId="77777777" w:rsidR="000E5D59" w:rsidRDefault="000E5D59" w:rsidP="00DC21D1">
      <w:pPr>
        <w:rPr>
          <w:rFonts w:asciiTheme="minorHAnsi" w:hAnsiTheme="minorHAnsi" w:cstheme="minorHAnsi"/>
          <w:lang w:val="en-US"/>
        </w:rPr>
      </w:pPr>
    </w:p>
    <w:p w14:paraId="4E3AEB5C" w14:textId="77777777" w:rsidR="000E5D59" w:rsidRPr="000E5D59" w:rsidRDefault="000E5D59" w:rsidP="000E5D59">
      <w:pPr>
        <w:spacing w:before="0" w:line="360" w:lineRule="auto"/>
        <w:jc w:val="center"/>
        <w:rPr>
          <w:rFonts w:asciiTheme="minorHAnsi" w:hAnsiTheme="minorHAnsi" w:cstheme="minorHAnsi"/>
          <w:b/>
          <w:bCs/>
          <w:lang w:val="en-US"/>
        </w:rPr>
      </w:pPr>
      <w:r w:rsidRPr="000E5D59">
        <w:rPr>
          <w:rFonts w:asciiTheme="minorHAnsi" w:hAnsiTheme="minorHAnsi" w:cstheme="minorHAnsi"/>
          <w:b/>
          <w:bCs/>
          <w:lang w:val="en-US"/>
        </w:rPr>
        <w:t>Figure 1. Framework of policy analysis</w:t>
      </w:r>
    </w:p>
    <w:p w14:paraId="6096D031" w14:textId="2B8354A9" w:rsidR="000E5D59" w:rsidRPr="000E5D59" w:rsidRDefault="000E5D59" w:rsidP="00DC21D1">
      <w:pPr>
        <w:jc w:val="center"/>
        <w:rPr>
          <w:rFonts w:asciiTheme="minorHAnsi" w:hAnsiTheme="minorHAnsi" w:cstheme="minorHAnsi"/>
          <w:lang w:val="en-US"/>
        </w:rPr>
      </w:pPr>
      <w:r w:rsidRPr="000E5D59">
        <w:rPr>
          <w:rFonts w:asciiTheme="minorHAnsi" w:hAnsiTheme="minorHAnsi" w:cstheme="minorHAnsi"/>
          <w:noProof/>
          <w:lang w:val="en-US"/>
        </w:rPr>
        <w:drawing>
          <wp:inline distT="0" distB="0" distL="0" distR="0" wp14:anchorId="65128A21" wp14:editId="70739984">
            <wp:extent cx="5809680" cy="3857185"/>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6127" cy="3861465"/>
                    </a:xfrm>
                    <a:prstGeom prst="rect">
                      <a:avLst/>
                    </a:prstGeom>
                    <a:noFill/>
                  </pic:spPr>
                </pic:pic>
              </a:graphicData>
            </a:graphic>
          </wp:inline>
        </w:drawing>
      </w:r>
    </w:p>
    <w:p w14:paraId="19028BB8" w14:textId="6428D608" w:rsidR="000E5D59" w:rsidRPr="000E5D59" w:rsidRDefault="000E5D59" w:rsidP="000E5D59">
      <w:pPr>
        <w:spacing w:before="0" w:line="360" w:lineRule="auto"/>
        <w:jc w:val="center"/>
        <w:rPr>
          <w:rFonts w:asciiTheme="minorHAnsi" w:hAnsiTheme="minorHAnsi" w:cstheme="minorHAnsi"/>
          <w:rtl/>
          <w:lang w:val="en-US" w:bidi="fa-IR"/>
        </w:rPr>
      </w:pPr>
      <w:r w:rsidRPr="000E5D59">
        <w:rPr>
          <w:rFonts w:asciiTheme="minorHAnsi" w:hAnsiTheme="minorHAnsi" w:cstheme="minorHAnsi"/>
          <w:lang w:val="en-US" w:bidi="fa-IR"/>
        </w:rPr>
        <w:t xml:space="preserve">Source: Own presentation. </w:t>
      </w:r>
    </w:p>
    <w:p w14:paraId="16DA71C5" w14:textId="77777777" w:rsidR="00DC21D1" w:rsidRPr="000E5D59" w:rsidRDefault="00DC21D1" w:rsidP="002A6138">
      <w:pPr>
        <w:pStyle w:val="Heading2"/>
        <w:rPr>
          <w:rFonts w:asciiTheme="minorHAnsi" w:hAnsiTheme="minorHAnsi" w:cstheme="minorHAnsi"/>
          <w:lang w:val="en-US"/>
        </w:rPr>
      </w:pPr>
      <w:r w:rsidRPr="000E5D59">
        <w:rPr>
          <w:rFonts w:asciiTheme="minorHAnsi" w:hAnsiTheme="minorHAnsi" w:cstheme="minorHAnsi"/>
          <w:lang w:val="en-US"/>
        </w:rPr>
        <w:lastRenderedPageBreak/>
        <w:t>Typical farm approach</w:t>
      </w:r>
    </w:p>
    <w:p w14:paraId="554B5CD2"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 xml:space="preserve">The typical farm approach was used to </w:t>
      </w:r>
      <w:proofErr w:type="spellStart"/>
      <w:r w:rsidRPr="000E5D59">
        <w:rPr>
          <w:rFonts w:asciiTheme="minorHAnsi" w:hAnsiTheme="minorHAnsi" w:cstheme="minorHAnsi"/>
          <w:lang w:val="en-US"/>
        </w:rPr>
        <w:t>analyse</w:t>
      </w:r>
      <w:proofErr w:type="spellEnd"/>
      <w:r w:rsidRPr="000E5D59">
        <w:rPr>
          <w:rFonts w:asciiTheme="minorHAnsi" w:hAnsiTheme="minorHAnsi" w:cstheme="minorHAnsi"/>
          <w:lang w:val="en-US"/>
        </w:rPr>
        <w:t xml:space="preserve"> the costs of production and the feed-use efficiency of different broiler farm-types in Ghana and Senegal. The approach employs qualitative methods (semi-structured interviews or/and focus groups) to construct empirically grounded farm data sets that represent the most common farm types in a specific region (</w:t>
      </w:r>
      <w:proofErr w:type="spellStart"/>
      <w:r w:rsidRPr="000E5D59">
        <w:rPr>
          <w:rFonts w:asciiTheme="minorHAnsi" w:hAnsiTheme="minorHAnsi" w:cstheme="minorHAnsi"/>
          <w:lang w:val="en-US"/>
        </w:rPr>
        <w:t>Chibanda</w:t>
      </w:r>
      <w:proofErr w:type="spellEnd"/>
      <w:r w:rsidRPr="000E5D59">
        <w:rPr>
          <w:rFonts w:asciiTheme="minorHAnsi" w:hAnsiTheme="minorHAnsi" w:cstheme="minorHAnsi"/>
          <w:lang w:val="en-US"/>
        </w:rPr>
        <w:t xml:space="preserve"> et al., 2020; </w:t>
      </w:r>
      <w:proofErr w:type="spellStart"/>
      <w:r w:rsidRPr="000E5D59">
        <w:rPr>
          <w:rFonts w:asciiTheme="minorHAnsi" w:hAnsiTheme="minorHAnsi" w:cstheme="minorHAnsi"/>
          <w:lang w:val="en-US"/>
        </w:rPr>
        <w:t>Lasner</w:t>
      </w:r>
      <w:proofErr w:type="spellEnd"/>
      <w:r w:rsidRPr="000E5D59">
        <w:rPr>
          <w:rFonts w:asciiTheme="minorHAnsi" w:hAnsiTheme="minorHAnsi" w:cstheme="minorHAnsi"/>
          <w:lang w:val="en-US"/>
        </w:rPr>
        <w:t xml:space="preserve">, 2020). In case of Ghana, this study expands on the farm economic analysis conducted by </w:t>
      </w:r>
      <w:proofErr w:type="spellStart"/>
      <w:r w:rsidRPr="000E5D59">
        <w:rPr>
          <w:rFonts w:asciiTheme="minorHAnsi" w:hAnsiTheme="minorHAnsi" w:cstheme="minorHAnsi"/>
          <w:lang w:val="en-US"/>
        </w:rPr>
        <w:t>Chibanda</w:t>
      </w:r>
      <w:proofErr w:type="spellEnd"/>
      <w:r w:rsidRPr="000E5D59">
        <w:rPr>
          <w:rFonts w:asciiTheme="minorHAnsi" w:hAnsiTheme="minorHAnsi" w:cstheme="minorHAnsi"/>
          <w:lang w:val="en-US"/>
        </w:rPr>
        <w:t xml:space="preserve"> et al. (2020). </w:t>
      </w:r>
      <w:proofErr w:type="spellStart"/>
      <w:r w:rsidRPr="000E5D59">
        <w:rPr>
          <w:rFonts w:asciiTheme="minorHAnsi" w:hAnsiTheme="minorHAnsi" w:cstheme="minorHAnsi"/>
          <w:lang w:val="en-US"/>
        </w:rPr>
        <w:t>Chibanda</w:t>
      </w:r>
      <w:proofErr w:type="spellEnd"/>
      <w:r w:rsidRPr="000E5D59">
        <w:rPr>
          <w:rFonts w:asciiTheme="minorHAnsi" w:hAnsiTheme="minorHAnsi" w:cstheme="minorHAnsi"/>
          <w:lang w:val="en-US"/>
        </w:rPr>
        <w:t xml:space="preserve"> et al. (2022) provides a detailed step-by-step explanation of how typical farms are constructed and </w:t>
      </w:r>
      <w:proofErr w:type="spellStart"/>
      <w:r w:rsidRPr="000E5D59">
        <w:rPr>
          <w:rFonts w:asciiTheme="minorHAnsi" w:hAnsiTheme="minorHAnsi" w:cstheme="minorHAnsi"/>
          <w:lang w:val="en-US"/>
        </w:rPr>
        <w:t>analysed</w:t>
      </w:r>
      <w:proofErr w:type="spellEnd"/>
      <w:r w:rsidRPr="000E5D59">
        <w:rPr>
          <w:rFonts w:asciiTheme="minorHAnsi" w:hAnsiTheme="minorHAnsi" w:cstheme="minorHAnsi"/>
          <w:lang w:val="en-US"/>
        </w:rPr>
        <w:t>. These steps are summarized below.</w:t>
      </w:r>
    </w:p>
    <w:p w14:paraId="4734BE5A"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Step 1: Identification of the most prevalent conventional broiler production systems and most important production regions</w:t>
      </w:r>
    </w:p>
    <w:p w14:paraId="4D776946"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 xml:space="preserve">The most common broiler production systems in Ghana and Senegal were identified through a literature review and consulting local experts (researchers and extension officers). While the most important production regions “hot spots” were identified through reviewing national statistics. Three conventional broiler production systems that are common in both countries were identified: small scale, medium scale and large-scale integrated production systems. The hot spots for broiler production in Ghana that were identified are Accra, Kumasi and </w:t>
      </w:r>
      <w:proofErr w:type="spellStart"/>
      <w:r w:rsidRPr="000E5D59">
        <w:rPr>
          <w:rFonts w:asciiTheme="minorHAnsi" w:hAnsiTheme="minorHAnsi" w:cstheme="minorHAnsi"/>
          <w:lang w:val="en-US"/>
        </w:rPr>
        <w:t>Dormaa</w:t>
      </w:r>
      <w:proofErr w:type="spellEnd"/>
      <w:r w:rsidRPr="000E5D59">
        <w:rPr>
          <w:rFonts w:asciiTheme="minorHAnsi" w:hAnsiTheme="minorHAnsi" w:cstheme="minorHAnsi"/>
          <w:lang w:val="en-US"/>
        </w:rPr>
        <w:t xml:space="preserve">. While for Senegal they were Dakar and </w:t>
      </w:r>
      <w:proofErr w:type="spellStart"/>
      <w:r w:rsidRPr="000E5D59">
        <w:rPr>
          <w:rFonts w:asciiTheme="minorHAnsi" w:hAnsiTheme="minorHAnsi" w:cstheme="minorHAnsi"/>
          <w:lang w:val="en-US"/>
        </w:rPr>
        <w:t>Thiès</w:t>
      </w:r>
      <w:proofErr w:type="spellEnd"/>
      <w:r w:rsidRPr="000E5D59">
        <w:rPr>
          <w:rFonts w:asciiTheme="minorHAnsi" w:hAnsiTheme="minorHAnsi" w:cstheme="minorHAnsi"/>
          <w:lang w:val="en-US"/>
        </w:rPr>
        <w:t>.</w:t>
      </w:r>
    </w:p>
    <w:p w14:paraId="790E6F74"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Step 2: Farm visits</w:t>
      </w:r>
    </w:p>
    <w:p w14:paraId="39D6AADB"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A farm that represents each production system was then identified in consultation with extension officers. Semi-structured interviews were then used to collect farm data from the selected broiler farms.  This means farm data was collected from three farms in Ghana and three farms in Senegal.</w:t>
      </w:r>
    </w:p>
    <w:p w14:paraId="7B6554D1"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 xml:space="preserve">Step 3: </w:t>
      </w:r>
      <w:proofErr w:type="spellStart"/>
      <w:r w:rsidRPr="000E5D59">
        <w:rPr>
          <w:rFonts w:asciiTheme="minorHAnsi" w:hAnsiTheme="minorHAnsi" w:cstheme="minorHAnsi"/>
          <w:lang w:val="en-US"/>
        </w:rPr>
        <w:t>Typification</w:t>
      </w:r>
      <w:proofErr w:type="spellEnd"/>
      <w:r w:rsidRPr="000E5D59">
        <w:rPr>
          <w:rFonts w:asciiTheme="minorHAnsi" w:hAnsiTheme="minorHAnsi" w:cstheme="minorHAnsi"/>
          <w:lang w:val="en-US"/>
        </w:rPr>
        <w:t xml:space="preserve"> of farm data</w:t>
      </w:r>
    </w:p>
    <w:p w14:paraId="7973DE24"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 xml:space="preserve">According to </w:t>
      </w:r>
      <w:proofErr w:type="spellStart"/>
      <w:r w:rsidRPr="000E5D59">
        <w:rPr>
          <w:rFonts w:asciiTheme="minorHAnsi" w:hAnsiTheme="minorHAnsi" w:cstheme="minorHAnsi"/>
          <w:lang w:val="en-US"/>
        </w:rPr>
        <w:t>Chibanda</w:t>
      </w:r>
      <w:proofErr w:type="spellEnd"/>
      <w:r w:rsidRPr="000E5D59">
        <w:rPr>
          <w:rFonts w:asciiTheme="minorHAnsi" w:hAnsiTheme="minorHAnsi" w:cstheme="minorHAnsi"/>
          <w:lang w:val="en-US"/>
        </w:rPr>
        <w:t xml:space="preserve"> et al. (2020), the </w:t>
      </w:r>
      <w:proofErr w:type="spellStart"/>
      <w:r w:rsidRPr="000E5D59">
        <w:rPr>
          <w:rFonts w:asciiTheme="minorHAnsi" w:hAnsiTheme="minorHAnsi" w:cstheme="minorHAnsi"/>
          <w:lang w:val="en-US"/>
        </w:rPr>
        <w:t>typification</w:t>
      </w:r>
      <w:proofErr w:type="spellEnd"/>
      <w:r w:rsidRPr="000E5D59">
        <w:rPr>
          <w:rFonts w:asciiTheme="minorHAnsi" w:hAnsiTheme="minorHAnsi" w:cstheme="minorHAnsi"/>
          <w:lang w:val="en-US"/>
        </w:rPr>
        <w:t xml:space="preserve"> of farm data (i.e. construction of typical broiler farms) can be done through the use of either focus groups or consulting local poultry expert. In the case of Ghana, focus groups were used to typify the individual farm data collected from the three farms. This was done through the focus group participants discussing each value collected from the farms until they reached a consensus that each figure reflects the most common situation for the specific production system. A total of three focus groups were held, one for each farm-type.  Each focus group discussion was composed of ten participants who included five broiler producers, three extension officers and two local researchers. In the case of Senegal, the individual farm data was ‘typified’ by replacing the farm particularities with typical information that was provided by poultry experts (agricultural officers and researchers) knowledgeable of the production systems and regions. The typical farms that were constructed for Ghana and Senegal were then named according to country code (GH for Ghana and SN for Senegal) and the number of broilers they produce annually (GH_3k, GH_12k, GH_27k, SN_9k, SN_36k and SN_38k).</w:t>
      </w:r>
    </w:p>
    <w:p w14:paraId="6D1E13F8"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lastRenderedPageBreak/>
        <w:t>Step 4: Data analysis</w:t>
      </w:r>
    </w:p>
    <w:p w14:paraId="35F10BE7" w14:textId="68FAA990" w:rsidR="00DC21D1" w:rsidRPr="000E5D59" w:rsidRDefault="00DC21D1" w:rsidP="00DC21D1">
      <w:pPr>
        <w:rPr>
          <w:rFonts w:asciiTheme="minorHAnsi" w:hAnsiTheme="minorHAnsi" w:cstheme="minorHAnsi"/>
          <w:szCs w:val="24"/>
          <w:lang w:val="en-GB" w:eastAsia="en-GB"/>
        </w:rPr>
      </w:pPr>
      <w:r w:rsidRPr="000E5D59">
        <w:rPr>
          <w:rFonts w:asciiTheme="minorHAnsi" w:hAnsiTheme="minorHAnsi" w:cstheme="minorHAnsi"/>
          <w:szCs w:val="24"/>
          <w:lang w:val="en-US" w:eastAsia="en-GB"/>
        </w:rPr>
        <w:t xml:space="preserve">The Technology Impact Policy Impact Calculations (TIPI-CAL) model was used to </w:t>
      </w:r>
      <w:proofErr w:type="spellStart"/>
      <w:r w:rsidRPr="000E5D59">
        <w:rPr>
          <w:rFonts w:asciiTheme="minorHAnsi" w:hAnsiTheme="minorHAnsi" w:cstheme="minorHAnsi"/>
          <w:szCs w:val="24"/>
          <w:lang w:val="en-US" w:eastAsia="en-GB"/>
        </w:rPr>
        <w:t>analyse</w:t>
      </w:r>
      <w:proofErr w:type="spellEnd"/>
      <w:r w:rsidRPr="000E5D59">
        <w:rPr>
          <w:rFonts w:asciiTheme="minorHAnsi" w:hAnsiTheme="minorHAnsi" w:cstheme="minorHAnsi"/>
          <w:szCs w:val="24"/>
          <w:lang w:val="en-US" w:eastAsia="en-GB"/>
        </w:rPr>
        <w:t xml:space="preserve"> the typical farm data. TIPI-CAL is a computer-based policy impact assessment tool used in farm economic analysis as it allows a detailed analysis of farm-level variables (Kress and </w:t>
      </w:r>
      <w:proofErr w:type="spellStart"/>
      <w:r w:rsidRPr="000E5D59">
        <w:rPr>
          <w:rFonts w:asciiTheme="minorHAnsi" w:hAnsiTheme="minorHAnsi" w:cstheme="minorHAnsi"/>
          <w:szCs w:val="24"/>
          <w:lang w:val="en-US" w:eastAsia="en-GB"/>
        </w:rPr>
        <w:t>Verhaagh</w:t>
      </w:r>
      <w:proofErr w:type="spellEnd"/>
      <w:r w:rsidRPr="000E5D59">
        <w:rPr>
          <w:rFonts w:asciiTheme="minorHAnsi" w:hAnsiTheme="minorHAnsi" w:cstheme="minorHAnsi"/>
          <w:szCs w:val="24"/>
          <w:lang w:val="en-US" w:eastAsia="en-GB"/>
        </w:rPr>
        <w:t>, 2019). More specifically, TIPICAL was used to calculate</w:t>
      </w:r>
      <w:r w:rsidRPr="000E5D59">
        <w:rPr>
          <w:rFonts w:asciiTheme="minorHAnsi" w:hAnsiTheme="minorHAnsi" w:cstheme="minorHAnsi"/>
          <w:szCs w:val="24"/>
          <w:lang w:val="en-GB" w:eastAsia="en-GB"/>
        </w:rPr>
        <w:t xml:space="preserve"> </w:t>
      </w:r>
      <w:r w:rsidRPr="000E5D59">
        <w:rPr>
          <w:rFonts w:asciiTheme="minorHAnsi" w:hAnsiTheme="minorHAnsi" w:cstheme="minorHAnsi"/>
          <w:szCs w:val="24"/>
          <w:lang w:val="en-US" w:eastAsia="en-GB"/>
        </w:rPr>
        <w:t xml:space="preserve">the production costs, feed consumption and </w:t>
      </w:r>
      <w:r w:rsidR="000A5617" w:rsidRPr="000E5D59">
        <w:rPr>
          <w:rFonts w:asciiTheme="minorHAnsi" w:hAnsiTheme="minorHAnsi" w:cstheme="minorHAnsi"/>
          <w:szCs w:val="24"/>
          <w:lang w:val="en-US" w:eastAsia="en-GB"/>
        </w:rPr>
        <w:t>f</w:t>
      </w:r>
      <w:r w:rsidRPr="000E5D59">
        <w:rPr>
          <w:rFonts w:asciiTheme="minorHAnsi" w:hAnsiTheme="minorHAnsi" w:cstheme="minorHAnsi"/>
          <w:szCs w:val="24"/>
          <w:lang w:val="en-US" w:eastAsia="en-GB"/>
        </w:rPr>
        <w:t xml:space="preserve">eed conversion ratio (FCR). </w:t>
      </w:r>
      <w:r w:rsidRPr="000E5D59">
        <w:rPr>
          <w:rFonts w:asciiTheme="minorHAnsi" w:hAnsiTheme="minorHAnsi" w:cstheme="minorHAnsi"/>
          <w:szCs w:val="24"/>
          <w:lang w:val="en-GB" w:eastAsia="en-GB"/>
        </w:rPr>
        <w:t xml:space="preserve">The </w:t>
      </w:r>
      <w:r w:rsidRPr="000E5D59">
        <w:rPr>
          <w:rFonts w:asciiTheme="minorHAnsi" w:hAnsiTheme="minorHAnsi" w:cstheme="minorHAnsi"/>
          <w:szCs w:val="24"/>
          <w:lang w:val="en-US" w:eastAsia="en-GB"/>
        </w:rPr>
        <w:t>FCR was</w:t>
      </w:r>
      <w:r w:rsidRPr="000E5D59">
        <w:rPr>
          <w:rFonts w:asciiTheme="minorHAnsi" w:hAnsiTheme="minorHAnsi" w:cstheme="minorHAnsi"/>
          <w:szCs w:val="24"/>
          <w:lang w:val="en-GB" w:eastAsia="en-GB"/>
        </w:rPr>
        <w:t xml:space="preserve"> calculated using the following formula:</w:t>
      </w:r>
    </w:p>
    <w:p w14:paraId="7B626BAA" w14:textId="77777777" w:rsidR="00DC21D1" w:rsidRPr="000E5D59" w:rsidRDefault="00DC21D1" w:rsidP="00DC21D1">
      <w:pPr>
        <w:rPr>
          <w:rFonts w:asciiTheme="minorHAnsi" w:eastAsia="Calibri" w:hAnsiTheme="minorHAnsi" w:cstheme="minorHAnsi"/>
          <w:szCs w:val="24"/>
          <w:lang w:val="en-GB" w:eastAsia="en-US"/>
        </w:rPr>
      </w:pPr>
      <m:oMathPara>
        <m:oMath>
          <m:r>
            <m:rPr>
              <m:sty m:val="p"/>
            </m:rPr>
            <w:rPr>
              <w:rFonts w:ascii="Cambria Math" w:eastAsia="Calibri" w:hAnsi="Cambria Math" w:cstheme="minorHAnsi"/>
              <w:szCs w:val="24"/>
              <w:lang w:val="en-GB" w:eastAsia="en-US"/>
            </w:rPr>
            <m:t>FCR=</m:t>
          </m:r>
          <m:f>
            <m:fPr>
              <m:ctrlPr>
                <w:rPr>
                  <w:rFonts w:ascii="Cambria Math" w:eastAsia="Calibri" w:hAnsi="Cambria Math" w:cstheme="minorHAnsi"/>
                  <w:szCs w:val="24"/>
                  <w:lang w:val="en-GB" w:eastAsia="en-US"/>
                </w:rPr>
              </m:ctrlPr>
            </m:fPr>
            <m:num>
              <m:r>
                <m:rPr>
                  <m:sty m:val="p"/>
                </m:rPr>
                <w:rPr>
                  <w:rFonts w:ascii="Cambria Math" w:eastAsia="Calibri" w:hAnsi="Cambria Math" w:cstheme="minorHAnsi"/>
                  <w:szCs w:val="24"/>
                  <w:lang w:val="en-GB" w:eastAsia="en-US"/>
                </w:rPr>
                <m:t xml:space="preserve">Cumulative feed intake (kg) </m:t>
              </m:r>
            </m:num>
            <m:den>
              <m:r>
                <m:rPr>
                  <m:sty m:val="p"/>
                </m:rPr>
                <w:rPr>
                  <w:rFonts w:ascii="Cambria Math" w:eastAsia="Calibri" w:hAnsi="Cambria Math" w:cstheme="minorHAnsi"/>
                  <w:szCs w:val="24"/>
                  <w:lang w:val="en-GB" w:eastAsia="en-US"/>
                </w:rPr>
                <m:t>Total weight gain (kg)</m:t>
              </m:r>
            </m:den>
          </m:f>
        </m:oMath>
      </m:oMathPara>
    </w:p>
    <w:p w14:paraId="09C9554B" w14:textId="77777777" w:rsidR="00DC21D1" w:rsidRPr="000E5D59" w:rsidRDefault="00DC21D1" w:rsidP="002A6138">
      <w:pPr>
        <w:pStyle w:val="Heading2"/>
        <w:rPr>
          <w:rFonts w:asciiTheme="minorHAnsi" w:hAnsiTheme="minorHAnsi" w:cstheme="minorHAnsi"/>
          <w:lang w:val="en-US"/>
        </w:rPr>
      </w:pPr>
      <w:r w:rsidRPr="000E5D59">
        <w:rPr>
          <w:rFonts w:asciiTheme="minorHAnsi" w:hAnsiTheme="minorHAnsi" w:cstheme="minorHAnsi"/>
          <w:lang w:val="en-US"/>
        </w:rPr>
        <w:t>Spatial Equilibrium Model of Poultry Value Chain</w:t>
      </w:r>
    </w:p>
    <w:p w14:paraId="0BD9CD88" w14:textId="3256BC07" w:rsidR="00DC21D1" w:rsidRDefault="00DC21D1" w:rsidP="00DC21D1">
      <w:pPr>
        <w:rPr>
          <w:rFonts w:asciiTheme="minorHAnsi" w:hAnsiTheme="minorHAnsi" w:cstheme="minorHAnsi"/>
          <w:lang w:val="en-US"/>
        </w:rPr>
      </w:pPr>
      <w:r w:rsidRPr="000E5D59">
        <w:rPr>
          <w:rFonts w:asciiTheme="minorHAnsi" w:hAnsiTheme="minorHAnsi" w:cstheme="minorHAnsi"/>
          <w:lang w:val="en-US"/>
        </w:rPr>
        <w:t xml:space="preserve">Following </w:t>
      </w:r>
      <w:proofErr w:type="spellStart"/>
      <w:r w:rsidRPr="000E5D59">
        <w:rPr>
          <w:rFonts w:asciiTheme="minorHAnsi" w:hAnsiTheme="minorHAnsi" w:cstheme="minorHAnsi"/>
          <w:lang w:val="en-US"/>
        </w:rPr>
        <w:t>Andam</w:t>
      </w:r>
      <w:proofErr w:type="spellEnd"/>
      <w:r w:rsidRPr="000E5D59">
        <w:rPr>
          <w:rFonts w:asciiTheme="minorHAnsi" w:hAnsiTheme="minorHAnsi" w:cstheme="minorHAnsi"/>
          <w:lang w:val="en-US"/>
        </w:rPr>
        <w:t xml:space="preserve"> et al. (2017), we apply a modified form of equilibrium problem to model the poultry value chain of Ghana</w:t>
      </w:r>
      <w:r w:rsidRPr="000E5D59">
        <w:rPr>
          <w:rStyle w:val="FootnoteReference"/>
          <w:rFonts w:asciiTheme="minorHAnsi" w:hAnsiTheme="minorHAnsi" w:cstheme="minorHAnsi"/>
        </w:rPr>
        <w:footnoteReference w:id="2"/>
      </w:r>
      <w:r w:rsidRPr="000E5D59">
        <w:rPr>
          <w:rFonts w:asciiTheme="minorHAnsi" w:hAnsiTheme="minorHAnsi" w:cstheme="minorHAnsi"/>
          <w:lang w:val="en-US"/>
        </w:rPr>
        <w:t>. Figure 1 presents different markets and their relationship along the Ghanaian Poultry Multi-market Equilibrium Model (GPMEM). The model is designed based on the poultry value chain structure incorporating maize, soybean, poultry feed</w:t>
      </w:r>
      <w:r w:rsidR="000A5617" w:rsidRPr="000E5D59">
        <w:rPr>
          <w:rFonts w:asciiTheme="minorHAnsi" w:hAnsiTheme="minorHAnsi" w:cstheme="minorHAnsi"/>
          <w:lang w:val="en-US"/>
        </w:rPr>
        <w:t>,</w:t>
      </w:r>
      <w:r w:rsidRPr="000E5D59">
        <w:rPr>
          <w:rFonts w:asciiTheme="minorHAnsi" w:hAnsiTheme="minorHAnsi" w:cstheme="minorHAnsi"/>
          <w:lang w:val="en-US"/>
        </w:rPr>
        <w:t xml:space="preserve"> and chicken meat market for 8 provinces in Ghana. The spatial equilibrium models are typically solved as a nonlinear optimization problem that maximizes net social welfare subject to transportation costs, a world price for imports, and local supply and demand constraints. </w:t>
      </w:r>
      <w:r w:rsidR="000A5617" w:rsidRPr="000E5D59">
        <w:rPr>
          <w:rFonts w:asciiTheme="minorHAnsi" w:hAnsiTheme="minorHAnsi" w:cstheme="minorHAnsi"/>
          <w:lang w:val="en-US"/>
        </w:rPr>
        <w:t>The n</w:t>
      </w:r>
      <w:r w:rsidRPr="000E5D59">
        <w:rPr>
          <w:rFonts w:asciiTheme="minorHAnsi" w:hAnsiTheme="minorHAnsi" w:cstheme="minorHAnsi"/>
          <w:lang w:val="en-US"/>
        </w:rPr>
        <w:t xml:space="preserve">et quasi welfare function is measured as the integrals of the inverse demand and supply functions. To investigate the effects of scenarios at meso-level e.g. different stages of </w:t>
      </w:r>
      <w:r w:rsidR="000A5617" w:rsidRPr="000E5D59">
        <w:rPr>
          <w:rFonts w:asciiTheme="minorHAnsi" w:hAnsiTheme="minorHAnsi" w:cstheme="minorHAnsi"/>
          <w:lang w:val="en-US"/>
        </w:rPr>
        <w:t xml:space="preserve">the </w:t>
      </w:r>
      <w:r w:rsidRPr="000E5D59">
        <w:rPr>
          <w:rFonts w:asciiTheme="minorHAnsi" w:hAnsiTheme="minorHAnsi" w:cstheme="minorHAnsi"/>
          <w:lang w:val="en-US"/>
        </w:rPr>
        <w:t>poultry value chain, the partial equilibrium model is required to be adopted. Moreover, this model allows us to assess the effects of exchange rate and feed conversion ratio on price levels, production, consumption, trade</w:t>
      </w:r>
      <w:r w:rsidR="000A5617" w:rsidRPr="000E5D59">
        <w:rPr>
          <w:rFonts w:asciiTheme="minorHAnsi" w:hAnsiTheme="minorHAnsi" w:cstheme="minorHAnsi"/>
          <w:lang w:val="en-US"/>
        </w:rPr>
        <w:t>,</w:t>
      </w:r>
      <w:r w:rsidRPr="000E5D59">
        <w:rPr>
          <w:rFonts w:asciiTheme="minorHAnsi" w:hAnsiTheme="minorHAnsi" w:cstheme="minorHAnsi"/>
          <w:lang w:val="en-US"/>
        </w:rPr>
        <w:t xml:space="preserve"> and social welfare. </w:t>
      </w:r>
    </w:p>
    <w:p w14:paraId="44781BE7" w14:textId="4ED35212" w:rsidR="000E5D59" w:rsidRDefault="000E5D59" w:rsidP="00DC21D1">
      <w:pPr>
        <w:rPr>
          <w:rFonts w:asciiTheme="minorHAnsi" w:hAnsiTheme="minorHAnsi" w:cstheme="minorHAnsi"/>
          <w:lang w:val="en-US"/>
        </w:rPr>
      </w:pPr>
    </w:p>
    <w:p w14:paraId="4E6829CC" w14:textId="77777777" w:rsidR="000E5D59" w:rsidRDefault="000E5D59" w:rsidP="000E5D59">
      <w:pPr>
        <w:jc w:val="center"/>
        <w:rPr>
          <w:rFonts w:asciiTheme="minorHAnsi" w:hAnsiTheme="minorHAnsi" w:cstheme="minorHAnsi"/>
          <w:b/>
          <w:bCs/>
          <w:lang w:val="en-US"/>
        </w:rPr>
      </w:pPr>
    </w:p>
    <w:p w14:paraId="7BF9E883" w14:textId="77777777" w:rsidR="000E5D59" w:rsidRDefault="000E5D59" w:rsidP="000E5D59">
      <w:pPr>
        <w:jc w:val="center"/>
        <w:rPr>
          <w:rFonts w:asciiTheme="minorHAnsi" w:hAnsiTheme="minorHAnsi" w:cstheme="minorHAnsi"/>
          <w:b/>
          <w:bCs/>
          <w:lang w:val="en-US"/>
        </w:rPr>
      </w:pPr>
    </w:p>
    <w:p w14:paraId="3ADB7FFB" w14:textId="77777777" w:rsidR="000E5D59" w:rsidRDefault="000E5D59" w:rsidP="000E5D59">
      <w:pPr>
        <w:jc w:val="center"/>
        <w:rPr>
          <w:rFonts w:asciiTheme="minorHAnsi" w:hAnsiTheme="minorHAnsi" w:cstheme="minorHAnsi"/>
          <w:b/>
          <w:bCs/>
          <w:lang w:val="en-US"/>
        </w:rPr>
      </w:pPr>
    </w:p>
    <w:p w14:paraId="7C356039" w14:textId="77777777" w:rsidR="000E5D59" w:rsidRDefault="000E5D59" w:rsidP="000E5D59">
      <w:pPr>
        <w:jc w:val="center"/>
        <w:rPr>
          <w:rFonts w:asciiTheme="minorHAnsi" w:hAnsiTheme="minorHAnsi" w:cstheme="minorHAnsi"/>
          <w:b/>
          <w:bCs/>
          <w:lang w:val="en-US"/>
        </w:rPr>
      </w:pPr>
    </w:p>
    <w:p w14:paraId="2FD1BAA4" w14:textId="77777777" w:rsidR="000E5D59" w:rsidRDefault="000E5D59" w:rsidP="000E5D59">
      <w:pPr>
        <w:jc w:val="center"/>
        <w:rPr>
          <w:rFonts w:asciiTheme="minorHAnsi" w:hAnsiTheme="minorHAnsi" w:cstheme="minorHAnsi"/>
          <w:b/>
          <w:bCs/>
          <w:lang w:val="en-US"/>
        </w:rPr>
      </w:pPr>
    </w:p>
    <w:p w14:paraId="2B14BDBF" w14:textId="77777777" w:rsidR="000E5D59" w:rsidRDefault="000E5D59" w:rsidP="000E5D59">
      <w:pPr>
        <w:jc w:val="center"/>
        <w:rPr>
          <w:rFonts w:asciiTheme="minorHAnsi" w:hAnsiTheme="minorHAnsi" w:cstheme="minorHAnsi"/>
          <w:b/>
          <w:bCs/>
          <w:lang w:val="en-US"/>
        </w:rPr>
      </w:pPr>
    </w:p>
    <w:p w14:paraId="553ACAAF" w14:textId="1BF1ECC3" w:rsidR="000E5D59" w:rsidRPr="000E5D59" w:rsidRDefault="000E5D59" w:rsidP="000E5D59">
      <w:pPr>
        <w:jc w:val="center"/>
        <w:rPr>
          <w:rFonts w:asciiTheme="minorHAnsi" w:hAnsiTheme="minorHAnsi" w:cstheme="minorHAnsi"/>
          <w:b/>
          <w:bCs/>
          <w:lang w:val="en-US"/>
        </w:rPr>
      </w:pPr>
      <w:r w:rsidRPr="000E5D59">
        <w:rPr>
          <w:rFonts w:asciiTheme="minorHAnsi" w:hAnsiTheme="minorHAnsi" w:cstheme="minorHAnsi"/>
          <w:b/>
          <w:bCs/>
          <w:lang w:val="en-US"/>
        </w:rPr>
        <w:lastRenderedPageBreak/>
        <w:t>Figure</w:t>
      </w:r>
      <w:r>
        <w:rPr>
          <w:rFonts w:asciiTheme="minorHAnsi" w:hAnsiTheme="minorHAnsi" w:cstheme="minorHAnsi"/>
          <w:b/>
          <w:bCs/>
          <w:lang w:val="en-US"/>
        </w:rPr>
        <w:t xml:space="preserve"> 2</w:t>
      </w:r>
      <w:r w:rsidRPr="000E5D59">
        <w:rPr>
          <w:rFonts w:asciiTheme="minorHAnsi" w:hAnsiTheme="minorHAnsi" w:cstheme="minorHAnsi"/>
          <w:b/>
          <w:bCs/>
          <w:lang w:val="en-US"/>
        </w:rPr>
        <w:t>. Product flows in the Ghanaian broiler value chain</w:t>
      </w:r>
    </w:p>
    <w:p w14:paraId="3DAE7F1F" w14:textId="77777777" w:rsidR="00DC21D1" w:rsidRPr="000E5D59" w:rsidRDefault="00DC21D1" w:rsidP="00DC21D1">
      <w:pPr>
        <w:jc w:val="center"/>
        <w:rPr>
          <w:rFonts w:asciiTheme="minorHAnsi" w:hAnsiTheme="minorHAnsi" w:cstheme="minorHAnsi"/>
          <w:lang w:val="en-US"/>
        </w:rPr>
      </w:pPr>
      <w:r w:rsidRPr="000E5D59">
        <w:rPr>
          <w:rFonts w:asciiTheme="minorHAnsi" w:hAnsiTheme="minorHAnsi" w:cstheme="minorHAnsi"/>
          <w:noProof/>
        </w:rPr>
        <w:drawing>
          <wp:inline distT="0" distB="0" distL="0" distR="0" wp14:anchorId="56CA30DA" wp14:editId="25C10718">
            <wp:extent cx="4165389" cy="4109012"/>
            <wp:effectExtent l="0" t="0" r="6985" b="6350"/>
            <wp:docPr id="19" name="Picture 19">
              <a:extLst xmlns:a="http://schemas.openxmlformats.org/drawingml/2006/main">
                <a:ext uri="{FF2B5EF4-FFF2-40B4-BE49-F238E27FC236}">
                  <a16:creationId xmlns:a16="http://schemas.microsoft.com/office/drawing/2014/main" id="{BEADF62F-93DD-46DD-A6E3-A6DEC4A693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BEADF62F-93DD-46DD-A6E3-A6DEC4A6930B}"/>
                        </a:ext>
                      </a:extLst>
                    </pic:cNvPr>
                    <pic:cNvPicPr>
                      <a:picLocks noChangeAspect="1"/>
                    </pic:cNvPicPr>
                  </pic:nvPicPr>
                  <pic:blipFill>
                    <a:blip r:embed="rId9"/>
                    <a:stretch>
                      <a:fillRect/>
                    </a:stretch>
                  </pic:blipFill>
                  <pic:spPr>
                    <a:xfrm>
                      <a:off x="0" y="0"/>
                      <a:ext cx="4171209" cy="4114753"/>
                    </a:xfrm>
                    <a:prstGeom prst="rect">
                      <a:avLst/>
                    </a:prstGeom>
                  </pic:spPr>
                </pic:pic>
              </a:graphicData>
            </a:graphic>
          </wp:inline>
        </w:drawing>
      </w:r>
    </w:p>
    <w:p w14:paraId="0C1050DD" w14:textId="77777777" w:rsidR="00DC21D1" w:rsidRPr="000E5D59" w:rsidRDefault="00DC21D1" w:rsidP="00DC21D1">
      <w:pPr>
        <w:spacing w:before="0" w:line="240" w:lineRule="auto"/>
        <w:jc w:val="center"/>
        <w:rPr>
          <w:rStyle w:val="Strong"/>
          <w:rFonts w:asciiTheme="minorHAnsi" w:hAnsiTheme="minorHAnsi" w:cstheme="minorHAnsi"/>
          <w:b w:val="0"/>
          <w:bCs w:val="0"/>
          <w:i/>
          <w:color w:val="0E101A"/>
          <w:lang w:val="en-GB"/>
        </w:rPr>
      </w:pPr>
      <w:r w:rsidRPr="000E5D59">
        <w:rPr>
          <w:rFonts w:asciiTheme="minorHAnsi" w:hAnsiTheme="minorHAnsi" w:cstheme="minorHAnsi"/>
          <w:i/>
          <w:lang w:val="en-US"/>
        </w:rPr>
        <w:t xml:space="preserve">Note: m = maize, s = soy, f = feed, b = chicken meat, </w:t>
      </w:r>
      <w:proofErr w:type="spellStart"/>
      <w:r w:rsidRPr="000E5D59">
        <w:rPr>
          <w:rFonts w:asciiTheme="minorHAnsi" w:hAnsiTheme="minorHAnsi" w:cstheme="minorHAnsi"/>
          <w:i/>
          <w:lang w:val="en-US"/>
        </w:rPr>
        <w:t>i</w:t>
      </w:r>
      <w:proofErr w:type="spellEnd"/>
      <w:r w:rsidRPr="000E5D59">
        <w:rPr>
          <w:rFonts w:asciiTheme="minorHAnsi" w:hAnsiTheme="minorHAnsi" w:cstheme="minorHAnsi"/>
          <w:i/>
          <w:lang w:val="en-US"/>
        </w:rPr>
        <w:t xml:space="preserve"> = regions</w:t>
      </w:r>
    </w:p>
    <w:p w14:paraId="7A665683"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Note that the subscripts m, s, f, b, and i (alias j) refer to maize, soybean, poultry feed, and regions, respectively throughout the paper. The model is generally based on a spatial equilibrium model developed by Samuelson, Takayama, and Judge (Samuelson, 1952; Takayama and Judge, 1964) and extended by Takayama and Judge (1964). Firstly, we assume the functions of supply and demand are linear in each region (Bouët and Metivier, 2016). Thus, the soybeans (</w:t>
      </w:r>
      <m:oMath>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s</m:t>
            </m:r>
            <m:r>
              <m:rPr>
                <m:sty m:val="p"/>
              </m:rPr>
              <w:rPr>
                <w:rFonts w:ascii="Cambria Math" w:hAnsi="Cambria Math" w:cstheme="minorHAnsi"/>
                <w:noProof/>
                <w:lang w:val="en-GB"/>
              </w:rPr>
              <m:t>,</m:t>
            </m:r>
            <m:r>
              <w:rPr>
                <w:rFonts w:ascii="Cambria Math" w:hAnsi="Cambria Math" w:cstheme="minorHAnsi"/>
                <w:noProof/>
                <w:lang w:val="en-GB"/>
              </w:rPr>
              <m:t>j</m:t>
            </m:r>
          </m:sub>
        </m:sSub>
      </m:oMath>
      <w:r w:rsidRPr="000E5D59">
        <w:rPr>
          <w:rFonts w:asciiTheme="minorHAnsi" w:hAnsiTheme="minorHAnsi" w:cstheme="minorHAnsi"/>
          <w:noProof/>
          <w:lang w:val="en-GB"/>
        </w:rPr>
        <w:t>) and maize (</w:t>
      </w:r>
      <m:oMath>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j</m:t>
            </m:r>
          </m:sub>
        </m:sSub>
      </m:oMath>
      <w:r w:rsidRPr="000E5D59">
        <w:rPr>
          <w:rFonts w:asciiTheme="minorHAnsi" w:hAnsiTheme="minorHAnsi" w:cstheme="minorHAnsi"/>
          <w:noProof/>
          <w:lang w:val="en-GB"/>
        </w:rPr>
        <w:t>) domestic productions at region j are a function of commodity prices are given by,</w:t>
      </w:r>
    </w:p>
    <w:p w14:paraId="4311CAAA"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Eq(1)</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r>
          <w:rPr>
            <w:rFonts w:ascii="Cambria Math" w:hAnsi="Cambria Math" w:cstheme="minorHAnsi"/>
            <w:noProof/>
            <w:lang w:val="en-GB"/>
          </w:rPr>
          <m:t>f</m:t>
        </m:r>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    ∀j∈N</m:t>
        </m:r>
      </m:oMath>
      <w:r w:rsidRPr="000E5D59">
        <w:rPr>
          <w:rFonts w:asciiTheme="minorHAnsi" w:hAnsiTheme="minorHAnsi" w:cstheme="minorHAnsi"/>
          <w:noProof/>
          <w:lang w:val="en-GB"/>
        </w:rPr>
        <w:tab/>
      </w:r>
      <w:r w:rsidRPr="000E5D59">
        <w:rPr>
          <w:rFonts w:asciiTheme="minorHAnsi" w:hAnsiTheme="minorHAnsi" w:cstheme="minorHAnsi"/>
          <w:noProof/>
          <w:lang w:val="en-GB"/>
        </w:rPr>
        <w:tab/>
      </w:r>
    </w:p>
    <w:p w14:paraId="1C98A4F7"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Eq(2)</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s</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r>
          <w:rPr>
            <w:rFonts w:ascii="Cambria Math" w:hAnsi="Cambria Math" w:cstheme="minorHAnsi"/>
            <w:noProof/>
            <w:lang w:val="en-GB"/>
          </w:rPr>
          <m:t>f</m:t>
        </m:r>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s</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    ∀j∈N</m:t>
        </m:r>
      </m:oMath>
      <w:r w:rsidRPr="000E5D59">
        <w:rPr>
          <w:rFonts w:asciiTheme="minorHAnsi" w:hAnsiTheme="minorHAnsi" w:cstheme="minorHAnsi"/>
          <w:noProof/>
          <w:lang w:val="en-GB"/>
        </w:rPr>
        <w:t xml:space="preserve"> </w:t>
      </w:r>
    </w:p>
    <w:p w14:paraId="26FD5CF7" w14:textId="40AAC3DF"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 xml:space="preserve">Where </w:t>
      </w:r>
      <m:oMath>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i</m:t>
            </m:r>
          </m:sub>
        </m:sSub>
      </m:oMath>
      <w:r w:rsidRPr="000E5D59">
        <w:rPr>
          <w:rFonts w:asciiTheme="minorHAnsi" w:hAnsiTheme="minorHAnsi" w:cstheme="minorHAnsi"/>
          <w:noProof/>
          <w:lang w:val="en-GB"/>
        </w:rPr>
        <w:t xml:space="preserve"> denote prices of commodity h (h= m, s, f, b, and i). Private traders are assumed to import all commodities (maize, soybean, broiler feed</w:t>
      </w:r>
      <w:r w:rsidR="00CC646B" w:rsidRPr="000E5D59">
        <w:rPr>
          <w:rFonts w:asciiTheme="minorHAnsi" w:hAnsiTheme="minorHAnsi" w:cstheme="minorHAnsi"/>
          <w:noProof/>
          <w:lang w:val="en-GB"/>
        </w:rPr>
        <w:t>,</w:t>
      </w:r>
      <w:r w:rsidRPr="000E5D59">
        <w:rPr>
          <w:rFonts w:asciiTheme="minorHAnsi" w:hAnsiTheme="minorHAnsi" w:cstheme="minorHAnsi"/>
          <w:noProof/>
          <w:lang w:val="en-GB"/>
        </w:rPr>
        <w:t xml:space="preserve"> and poultry meat) at CIF price while we restrict export only </w:t>
      </w:r>
      <w:r w:rsidR="00CC646B" w:rsidRPr="000E5D59">
        <w:rPr>
          <w:rFonts w:asciiTheme="minorHAnsi" w:hAnsiTheme="minorHAnsi" w:cstheme="minorHAnsi"/>
          <w:noProof/>
          <w:lang w:val="en-GB"/>
        </w:rPr>
        <w:t>to</w:t>
      </w:r>
      <w:r w:rsidRPr="000E5D59">
        <w:rPr>
          <w:rFonts w:asciiTheme="minorHAnsi" w:hAnsiTheme="minorHAnsi" w:cstheme="minorHAnsi"/>
          <w:noProof/>
          <w:lang w:val="en-GB"/>
        </w:rPr>
        <w:t xml:space="preserve"> chicken meat, broiler feed</w:t>
      </w:r>
      <w:r w:rsidR="00CC646B" w:rsidRPr="000E5D59">
        <w:rPr>
          <w:rFonts w:asciiTheme="minorHAnsi" w:hAnsiTheme="minorHAnsi" w:cstheme="minorHAnsi"/>
          <w:noProof/>
          <w:lang w:val="en-GB"/>
        </w:rPr>
        <w:t>,</w:t>
      </w:r>
      <w:r w:rsidRPr="000E5D59">
        <w:rPr>
          <w:rFonts w:asciiTheme="minorHAnsi" w:hAnsiTheme="minorHAnsi" w:cstheme="minorHAnsi"/>
          <w:noProof/>
          <w:lang w:val="en-GB"/>
        </w:rPr>
        <w:t xml:space="preserve"> and maize.  The price parity equations for export and import are defined as,</w:t>
      </w:r>
    </w:p>
    <w:p w14:paraId="60E44346"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Eq(3)</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Sup>
          <m:sSubSupPr>
            <m:ctrlPr>
              <w:rPr>
                <w:rFonts w:ascii="Cambria Math" w:hAnsi="Cambria Math" w:cstheme="minorHAnsi"/>
                <w:noProof/>
                <w:lang w:val="en-GB"/>
              </w:rPr>
            </m:ctrlPr>
          </m:sSubSupPr>
          <m:e>
            <m:r>
              <w:rPr>
                <w:rFonts w:ascii="Cambria Math" w:hAnsi="Cambria Math" w:cstheme="minorHAnsi"/>
                <w:noProof/>
                <w:lang w:val="en-GB"/>
              </w:rPr>
              <m:t>P</m:t>
            </m:r>
          </m:e>
          <m:sub>
            <m:r>
              <w:rPr>
                <w:rFonts w:ascii="Cambria Math" w:hAnsi="Cambria Math" w:cstheme="minorHAnsi"/>
                <w:noProof/>
                <w:lang w:val="en-GB"/>
              </w:rPr>
              <m:t>h</m:t>
            </m:r>
          </m:sub>
          <m:sup>
            <m:r>
              <w:rPr>
                <w:rFonts w:ascii="Cambria Math" w:hAnsi="Cambria Math" w:cstheme="minorHAnsi"/>
                <w:noProof/>
                <w:lang w:val="en-GB"/>
              </w:rPr>
              <m:t>w</m:t>
            </m:r>
          </m:sup>
        </m:sSubSup>
        <m:d>
          <m:dPr>
            <m:ctrlPr>
              <w:rPr>
                <w:rFonts w:ascii="Cambria Math" w:hAnsi="Cambria Math" w:cstheme="minorHAnsi"/>
                <w:noProof/>
                <w:lang w:val="en-GB"/>
              </w:rPr>
            </m:ctrlPr>
          </m:dPr>
          <m:e>
            <m:r>
              <m:rPr>
                <m:sty m:val="p"/>
              </m:rPr>
              <w:rPr>
                <w:rFonts w:ascii="Cambria Math" w:hAnsi="Cambria Math" w:cstheme="minorHAnsi"/>
                <w:noProof/>
                <w:lang w:val="en-GB"/>
              </w:rPr>
              <m:t>1+</m:t>
            </m:r>
            <m:r>
              <w:rPr>
                <w:rFonts w:ascii="Cambria Math" w:hAnsi="Cambria Math" w:cstheme="minorHAnsi"/>
                <w:noProof/>
                <w:lang w:val="en-GB"/>
              </w:rPr>
              <m:t>τ</m:t>
            </m:r>
          </m:e>
        </m:d>
        <m:r>
          <w:rPr>
            <w:rFonts w:ascii="Cambria Math" w:hAnsi="Cambria Math" w:cstheme="minorHAnsi"/>
            <w:noProof/>
            <w:lang w:val="en-GB"/>
          </w:rPr>
          <m:t>ϵ</m:t>
        </m:r>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CM</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IM</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        ∀</m:t>
        </m:r>
        <m:r>
          <w:rPr>
            <w:rFonts w:ascii="Cambria Math" w:hAnsi="Cambria Math" w:cstheme="minorHAnsi"/>
            <w:noProof/>
            <w:lang w:val="en-GB"/>
          </w:rPr>
          <m:t>j</m:t>
        </m:r>
        <m:r>
          <m:rPr>
            <m:sty m:val="p"/>
          </m:rPr>
          <w:rPr>
            <w:rFonts w:ascii="Cambria Math" w:hAnsi="Cambria Math" w:cstheme="minorHAnsi"/>
            <w:noProof/>
            <w:lang w:val="en-GB"/>
          </w:rPr>
          <m:t>∈N</m:t>
        </m:r>
      </m:oMath>
      <w:r w:rsidRPr="000E5D59">
        <w:rPr>
          <w:rFonts w:asciiTheme="minorHAnsi" w:hAnsiTheme="minorHAnsi" w:cstheme="minorHAnsi"/>
          <w:noProof/>
          <w:lang w:val="en-GB"/>
        </w:rPr>
        <w:t xml:space="preserve">   </w:t>
      </w:r>
    </w:p>
    <w:p w14:paraId="2FF5C293" w14:textId="77777777" w:rsidR="00DC21D1" w:rsidRPr="000E5D59" w:rsidRDefault="00DC21D1" w:rsidP="00DC21D1">
      <w:pPr>
        <w:rPr>
          <w:rFonts w:asciiTheme="minorHAnsi" w:hAnsiTheme="minorHAnsi" w:cstheme="minorHAnsi"/>
          <w:noProof/>
          <w:rtl/>
          <w:lang w:val="en-GB"/>
        </w:rPr>
      </w:pPr>
      <w:r w:rsidRPr="000E5D59">
        <w:rPr>
          <w:rFonts w:asciiTheme="minorHAnsi" w:hAnsiTheme="minorHAnsi" w:cstheme="minorHAnsi"/>
          <w:noProof/>
          <w:lang w:val="en-GB"/>
        </w:rPr>
        <w:t>Eq(4)</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CX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sSubSup>
          <m:sSubSupPr>
            <m:ctrlPr>
              <w:rPr>
                <w:rFonts w:ascii="Cambria Math" w:hAnsi="Cambria Math" w:cstheme="minorHAnsi"/>
                <w:noProof/>
                <w:lang w:val="en-GB"/>
              </w:rPr>
            </m:ctrlPr>
          </m:sSubSupPr>
          <m:e>
            <m:r>
              <w:rPr>
                <w:rFonts w:ascii="Cambria Math" w:hAnsi="Cambria Math" w:cstheme="minorHAnsi"/>
                <w:noProof/>
                <w:lang w:val="en-GB"/>
              </w:rPr>
              <m:t>P</m:t>
            </m:r>
          </m:e>
          <m:sub>
            <m:r>
              <w:rPr>
                <w:rFonts w:ascii="Cambria Math" w:hAnsi="Cambria Math" w:cstheme="minorHAnsi"/>
                <w:noProof/>
                <w:lang w:val="en-GB"/>
              </w:rPr>
              <m:t>h</m:t>
            </m:r>
          </m:sub>
          <m:sup>
            <m:r>
              <w:rPr>
                <w:rFonts w:ascii="Cambria Math" w:hAnsi="Cambria Math" w:cstheme="minorHAnsi"/>
                <w:noProof/>
                <w:lang w:val="en-GB"/>
              </w:rPr>
              <m:t>w</m:t>
            </m:r>
          </m:sup>
        </m:sSubSup>
        <m:d>
          <m:dPr>
            <m:ctrlPr>
              <w:rPr>
                <w:rFonts w:ascii="Cambria Math" w:hAnsi="Cambria Math" w:cstheme="minorHAnsi"/>
                <w:noProof/>
                <w:lang w:val="en-GB"/>
              </w:rPr>
            </m:ctrlPr>
          </m:dPr>
          <m:e>
            <m:r>
              <m:rPr>
                <m:sty m:val="p"/>
              </m:rPr>
              <w:rPr>
                <w:rFonts w:ascii="Cambria Math" w:hAnsi="Cambria Math" w:cstheme="minorHAnsi"/>
                <w:noProof/>
                <w:lang w:val="en-GB"/>
              </w:rPr>
              <m:t>1-</m:t>
            </m:r>
            <m:r>
              <w:rPr>
                <w:rFonts w:ascii="Cambria Math" w:hAnsi="Cambria Math" w:cstheme="minorHAnsi"/>
                <w:noProof/>
                <w:lang w:val="en-GB"/>
              </w:rPr>
              <m:t>ρ</m:t>
            </m:r>
          </m:e>
        </m:d>
        <m:r>
          <w:rPr>
            <w:rFonts w:ascii="Cambria Math" w:hAnsi="Cambria Math" w:cstheme="minorHAnsi"/>
            <w:noProof/>
            <w:lang w:val="en-GB"/>
          </w:rPr>
          <m:t>ϵ</m:t>
        </m:r>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EX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        ∀</m:t>
        </m:r>
        <m:r>
          <w:rPr>
            <w:rFonts w:ascii="Cambria Math" w:hAnsi="Cambria Math" w:cstheme="minorHAnsi"/>
            <w:noProof/>
            <w:lang w:val="en-GB"/>
          </w:rPr>
          <m:t>j</m:t>
        </m:r>
        <m:r>
          <m:rPr>
            <m:sty m:val="p"/>
          </m:rPr>
          <w:rPr>
            <w:rFonts w:ascii="Cambria Math" w:hAnsi="Cambria Math" w:cstheme="minorHAnsi"/>
            <w:noProof/>
            <w:lang w:val="en-GB"/>
          </w:rPr>
          <m:t>=m,f,b</m:t>
        </m:r>
      </m:oMath>
      <w:r w:rsidRPr="000E5D59">
        <w:rPr>
          <w:rFonts w:asciiTheme="minorHAnsi" w:hAnsiTheme="minorHAnsi" w:cstheme="minorHAnsi"/>
          <w:noProof/>
          <w:lang w:val="en-GB"/>
        </w:rPr>
        <w:t xml:space="preserve">       </w:t>
      </w:r>
    </w:p>
    <w:p w14:paraId="02365BB2" w14:textId="2AD131E4"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lastRenderedPageBreak/>
        <w:t xml:space="preserve">Where </w:t>
      </w:r>
      <m:oMath>
        <m:sSubSup>
          <m:sSubSupPr>
            <m:ctrlPr>
              <w:rPr>
                <w:rFonts w:ascii="Cambria Math" w:hAnsi="Cambria Math" w:cstheme="minorHAnsi"/>
                <w:noProof/>
                <w:lang w:val="en-GB"/>
              </w:rPr>
            </m:ctrlPr>
          </m:sSubSupPr>
          <m:e>
            <m:r>
              <w:rPr>
                <w:rFonts w:ascii="Cambria Math" w:hAnsi="Cambria Math" w:cstheme="minorHAnsi"/>
                <w:noProof/>
                <w:lang w:val="en-GB"/>
              </w:rPr>
              <m:t>P</m:t>
            </m:r>
          </m:e>
          <m:sub>
            <m:r>
              <w:rPr>
                <w:rFonts w:ascii="Cambria Math" w:hAnsi="Cambria Math" w:cstheme="minorHAnsi"/>
                <w:noProof/>
                <w:lang w:val="en-GB"/>
              </w:rPr>
              <m:t>h</m:t>
            </m:r>
          </m:sub>
          <m:sup>
            <m:r>
              <w:rPr>
                <w:rFonts w:ascii="Cambria Math" w:hAnsi="Cambria Math" w:cstheme="minorHAnsi"/>
                <w:noProof/>
                <w:lang w:val="en-GB"/>
              </w:rPr>
              <m:t>w</m:t>
            </m:r>
          </m:sup>
        </m:sSubSup>
      </m:oMath>
      <w:r w:rsidRPr="000E5D59">
        <w:rPr>
          <w:rFonts w:asciiTheme="minorHAnsi" w:hAnsiTheme="minorHAnsi" w:cstheme="minorHAnsi"/>
          <w:noProof/>
          <w:lang w:val="en-GB"/>
        </w:rPr>
        <w:t xml:space="preserve">, </w:t>
      </w:r>
      <m:oMath>
        <m:r>
          <w:rPr>
            <w:rFonts w:ascii="Cambria Math" w:hAnsi="Cambria Math" w:cstheme="minorHAnsi"/>
            <w:noProof/>
            <w:lang w:val="en-GB"/>
          </w:rPr>
          <m:t>τ</m:t>
        </m:r>
      </m:oMath>
      <w:r w:rsidRPr="000E5D59">
        <w:rPr>
          <w:rFonts w:asciiTheme="minorHAnsi" w:hAnsiTheme="minorHAnsi" w:cstheme="minorHAnsi"/>
          <w:noProof/>
          <w:lang w:val="en-GB"/>
        </w:rPr>
        <w:t xml:space="preserve">, </w:t>
      </w:r>
      <m:oMath>
        <m:r>
          <w:rPr>
            <w:rFonts w:ascii="Cambria Math" w:hAnsi="Cambria Math" w:cstheme="minorHAnsi"/>
            <w:noProof/>
            <w:lang w:val="en-GB"/>
          </w:rPr>
          <m:t>ρ,</m:t>
        </m:r>
      </m:oMath>
      <w:r w:rsidRPr="000E5D59">
        <w:rPr>
          <w:rFonts w:asciiTheme="minorHAnsi" w:hAnsiTheme="minorHAnsi" w:cstheme="minorHAnsi"/>
          <w:noProof/>
          <w:lang w:val="en-GB"/>
        </w:rPr>
        <w:t xml:space="preserve"> and </w:t>
      </w:r>
      <m:oMath>
        <m:r>
          <w:rPr>
            <w:rFonts w:ascii="Cambria Math" w:hAnsi="Cambria Math" w:cstheme="minorHAnsi"/>
            <w:noProof/>
            <w:lang w:val="en-GB"/>
          </w:rPr>
          <m:t>ϵ</m:t>
        </m:r>
      </m:oMath>
      <w:r w:rsidRPr="000E5D59">
        <w:rPr>
          <w:rFonts w:asciiTheme="minorHAnsi" w:hAnsiTheme="minorHAnsi" w:cstheme="minorHAnsi"/>
          <w:noProof/>
          <w:lang w:val="en-GB"/>
        </w:rPr>
        <w:t xml:space="preserve"> show world price for commodity h, import tariff, export tariff</w:t>
      </w:r>
      <w:r w:rsidR="00CC646B" w:rsidRPr="000E5D59">
        <w:rPr>
          <w:rFonts w:asciiTheme="minorHAnsi" w:hAnsiTheme="minorHAnsi" w:cstheme="minorHAnsi"/>
          <w:noProof/>
          <w:lang w:val="en-GB"/>
        </w:rPr>
        <w:t>,</w:t>
      </w:r>
      <w:r w:rsidRPr="000E5D59">
        <w:rPr>
          <w:rFonts w:asciiTheme="minorHAnsi" w:hAnsiTheme="minorHAnsi" w:cstheme="minorHAnsi"/>
          <w:noProof/>
          <w:lang w:val="en-GB"/>
        </w:rPr>
        <w:t xml:space="preserve"> and exchange rate respectively. </w:t>
      </w:r>
      <m:oMath>
        <m:sSub>
          <m:sSubPr>
            <m:ctrlPr>
              <w:rPr>
                <w:rFonts w:ascii="Cambria Math" w:hAnsi="Cambria Math" w:cstheme="minorHAnsi"/>
                <w:noProof/>
                <w:lang w:val="en-GB"/>
              </w:rPr>
            </m:ctrlPr>
          </m:sSubPr>
          <m:e>
            <m:r>
              <w:rPr>
                <w:rFonts w:ascii="Cambria Math" w:hAnsi="Cambria Math" w:cstheme="minorHAnsi"/>
                <w:noProof/>
                <w:lang w:val="en-GB"/>
              </w:rPr>
              <m:t>CM</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oMath>
      <w:r w:rsidRPr="000E5D59">
        <w:rPr>
          <w:rFonts w:asciiTheme="minorHAnsi" w:hAnsiTheme="minorHAnsi" w:cstheme="minorHAnsi"/>
          <w:noProof/>
          <w:lang w:val="en-GB"/>
        </w:rPr>
        <w:t xml:space="preserve"> and </w:t>
      </w:r>
      <m:oMath>
        <m:sSub>
          <m:sSubPr>
            <m:ctrlPr>
              <w:rPr>
                <w:rFonts w:ascii="Cambria Math" w:hAnsi="Cambria Math" w:cstheme="minorHAnsi"/>
                <w:noProof/>
                <w:lang w:val="en-GB"/>
              </w:rPr>
            </m:ctrlPr>
          </m:sSubPr>
          <m:e>
            <m:r>
              <w:rPr>
                <w:rFonts w:ascii="Cambria Math" w:hAnsi="Cambria Math" w:cstheme="minorHAnsi"/>
                <w:noProof/>
                <w:lang w:val="en-GB"/>
              </w:rPr>
              <m:t>CX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oMath>
      <w:r w:rsidRPr="000E5D59">
        <w:rPr>
          <w:rFonts w:asciiTheme="minorHAnsi" w:hAnsiTheme="minorHAnsi" w:cstheme="minorHAnsi"/>
          <w:noProof/>
          <w:lang w:val="en-GB"/>
        </w:rPr>
        <w:t xml:space="preserve"> are non-tariff trade costs. In the next stage, the composition of domestic and imported soybean and maize are transported to the milling sector to produce poultry feed. According to the soybean production in Ghana, we assume feed is exclusively used to produce poultry meat (IFPRI, 2020). Hence, the derived demand for feed (</w:t>
      </w:r>
      <m:oMath>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j</m:t>
            </m:r>
          </m:sub>
        </m:sSub>
      </m:oMath>
      <w:r w:rsidRPr="000E5D59">
        <w:rPr>
          <w:rFonts w:asciiTheme="minorHAnsi" w:hAnsiTheme="minorHAnsi" w:cstheme="minorHAnsi"/>
          <w:noProof/>
          <w:lang w:val="en-GB"/>
        </w:rPr>
        <w:t>) at region j is specified as,</w:t>
      </w:r>
    </w:p>
    <w:p w14:paraId="7A686A6B"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Eq(5)</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=0.4(</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b</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    ∀j∈N</m:t>
        </m:r>
      </m:oMath>
      <w:r w:rsidRPr="000E5D59">
        <w:rPr>
          <w:rFonts w:asciiTheme="minorHAnsi" w:hAnsiTheme="minorHAnsi" w:cstheme="minorHAnsi"/>
          <w:noProof/>
          <w:lang w:val="en-GB"/>
        </w:rPr>
        <w:t xml:space="preserve">    </w:t>
      </w:r>
    </w:p>
    <w:p w14:paraId="12C771E7"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The domestic demand for maize includes maize demand for poultry feed and household (final consumption). According to the market structure and poultry feed ingriendet in Ghana, we assume that 60% of broiler feed consists of maize. Thus, the function of maize is given by,</w:t>
      </w:r>
    </w:p>
    <w:p w14:paraId="08696C09"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Eq(6)</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r>
          <w:rPr>
            <w:rFonts w:ascii="Cambria Math" w:hAnsi="Cambria Math" w:cstheme="minorHAnsi"/>
            <w:noProof/>
            <w:lang w:val="en-GB"/>
          </w:rPr>
          <m:t>f</m:t>
        </m:r>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)+0.6(</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    ∀j∈N; ∀h</m:t>
        </m:r>
      </m:oMath>
      <w:r w:rsidRPr="000E5D59">
        <w:rPr>
          <w:rFonts w:asciiTheme="minorHAnsi" w:hAnsiTheme="minorHAnsi" w:cstheme="minorHAnsi"/>
          <w:noProof/>
          <w:lang w:val="en-GB"/>
        </w:rPr>
        <w:t xml:space="preserve">   </w:t>
      </w:r>
    </w:p>
    <w:p w14:paraId="4F6242D3"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Additionally, demand for beef is a derived demand from chicken meat given the regional feed conversion ratio, i.e.</w:t>
      </w:r>
      <m:oMath>
        <m:r>
          <m:rPr>
            <m:sty m:val="p"/>
          </m:rPr>
          <w:rPr>
            <w:rFonts w:ascii="Cambria Math" w:hAnsi="Cambria Math" w:cstheme="minorHAnsi"/>
            <w:noProof/>
            <w:lang w:val="en-GB"/>
          </w:rPr>
          <m:t xml:space="preserve"> </m:t>
        </m:r>
        <m:sSub>
          <m:sSubPr>
            <m:ctrlPr>
              <w:rPr>
                <w:rFonts w:ascii="Cambria Math" w:hAnsi="Cambria Math" w:cstheme="minorHAnsi"/>
                <w:noProof/>
                <w:lang w:val="en-GB"/>
              </w:rPr>
            </m:ctrlPr>
          </m:sSubPr>
          <m:e>
            <m:r>
              <w:rPr>
                <w:rFonts w:ascii="Cambria Math" w:hAnsi="Cambria Math" w:cstheme="minorHAnsi"/>
                <w:noProof/>
                <w:lang w:val="en-GB"/>
              </w:rPr>
              <m:t>FCR</m:t>
            </m:r>
          </m:e>
          <m:sub>
            <m:r>
              <w:rPr>
                <w:rFonts w:ascii="Cambria Math" w:hAnsi="Cambria Math" w:cstheme="minorHAnsi"/>
                <w:noProof/>
                <w:lang w:val="en-GB"/>
              </w:rPr>
              <m:t>j</m:t>
            </m:r>
          </m:sub>
        </m:sSub>
      </m:oMath>
      <w:r w:rsidRPr="000E5D59">
        <w:rPr>
          <w:rFonts w:asciiTheme="minorHAnsi" w:hAnsiTheme="minorHAnsi" w:cstheme="minorHAnsi"/>
          <w:noProof/>
          <w:lang w:val="en-GB"/>
        </w:rPr>
        <w:t xml:space="preserve">, </w:t>
      </w:r>
    </w:p>
    <w:p w14:paraId="07AA8347"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Eq(7)</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 xml:space="preserve">= </m:t>
        </m:r>
        <m:sSub>
          <m:sSubPr>
            <m:ctrlPr>
              <w:rPr>
                <w:rFonts w:ascii="Cambria Math" w:hAnsi="Cambria Math" w:cstheme="minorHAnsi"/>
                <w:noProof/>
                <w:lang w:val="en-GB"/>
              </w:rPr>
            </m:ctrlPr>
          </m:sSubPr>
          <m:e>
            <m:r>
              <w:rPr>
                <w:rFonts w:ascii="Cambria Math" w:hAnsi="Cambria Math" w:cstheme="minorHAnsi"/>
                <w:noProof/>
                <w:lang w:val="en-GB"/>
              </w:rPr>
              <m:t>FCR</m:t>
            </m:r>
          </m:e>
          <m:sub>
            <m:r>
              <w:rPr>
                <w:rFonts w:ascii="Cambria Math" w:hAnsi="Cambria Math" w:cstheme="minorHAnsi"/>
                <w:noProof/>
                <w:lang w:val="en-GB"/>
              </w:rPr>
              <m:t>j</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b</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≥0    ∀j∈N</m:t>
        </m:r>
      </m:oMath>
      <w:r w:rsidRPr="000E5D59">
        <w:rPr>
          <w:rFonts w:asciiTheme="minorHAnsi" w:hAnsiTheme="minorHAnsi" w:cstheme="minorHAnsi"/>
          <w:noProof/>
          <w:lang w:val="en-GB"/>
        </w:rPr>
        <w:t xml:space="preserve">  </w:t>
      </w:r>
    </w:p>
    <w:p w14:paraId="337B007A"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Next, we can define the inter-regional trade flows (</w:t>
      </w:r>
      <m:oMath>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r>
              <m:rPr>
                <m:sty m:val="p"/>
              </m:rPr>
              <w:rPr>
                <w:rFonts w:ascii="Cambria Math" w:hAnsi="Cambria Math" w:cstheme="minorHAnsi"/>
                <w:noProof/>
                <w:lang w:val="en-GB"/>
              </w:rPr>
              <m:t>,</m:t>
            </m:r>
            <m:r>
              <w:rPr>
                <w:rFonts w:ascii="Cambria Math" w:hAnsi="Cambria Math" w:cstheme="minorHAnsi"/>
                <w:noProof/>
                <w:lang w:val="en-GB"/>
              </w:rPr>
              <m:t>i</m:t>
            </m:r>
          </m:sub>
        </m:sSub>
      </m:oMath>
      <w:r w:rsidRPr="000E5D59">
        <w:rPr>
          <w:rFonts w:asciiTheme="minorHAnsi" w:hAnsiTheme="minorHAnsi" w:cstheme="minorHAnsi"/>
          <w:noProof/>
          <w:lang w:val="en-GB"/>
        </w:rPr>
        <w:t>) according to transportation costs (</w:t>
      </w:r>
      <m:oMath>
        <m:sSub>
          <m:sSubPr>
            <m:ctrlPr>
              <w:rPr>
                <w:rFonts w:ascii="Cambria Math" w:hAnsi="Cambria Math" w:cstheme="minorHAnsi"/>
                <w:noProof/>
                <w:lang w:val="en-GB"/>
              </w:rPr>
            </m:ctrlPr>
          </m:sSubPr>
          <m:e>
            <m:r>
              <w:rPr>
                <w:rFonts w:ascii="Cambria Math" w:hAnsi="Cambria Math" w:cstheme="minorHAnsi"/>
                <w:noProof/>
                <w:lang w:val="en-GB"/>
              </w:rPr>
              <m:t>C</m:t>
            </m:r>
          </m:e>
          <m:sub>
            <m:r>
              <w:rPr>
                <w:rFonts w:ascii="Cambria Math" w:hAnsi="Cambria Math" w:cstheme="minorHAnsi"/>
                <w:noProof/>
                <w:lang w:val="en-GB"/>
              </w:rPr>
              <m:t>j</m:t>
            </m:r>
            <m:r>
              <m:rPr>
                <m:sty m:val="p"/>
              </m:rPr>
              <w:rPr>
                <w:rFonts w:ascii="Cambria Math" w:hAnsi="Cambria Math" w:cstheme="minorHAnsi"/>
                <w:noProof/>
                <w:lang w:val="en-GB"/>
              </w:rPr>
              <m:t>,</m:t>
            </m:r>
            <m:r>
              <w:rPr>
                <w:rFonts w:ascii="Cambria Math" w:hAnsi="Cambria Math" w:cstheme="minorHAnsi"/>
                <w:noProof/>
                <w:lang w:val="en-GB"/>
              </w:rPr>
              <m:t>i</m:t>
            </m:r>
          </m:sub>
        </m:sSub>
      </m:oMath>
      <w:r w:rsidRPr="000E5D59">
        <w:rPr>
          <w:rFonts w:asciiTheme="minorHAnsi" w:hAnsiTheme="minorHAnsi" w:cstheme="minorHAnsi"/>
          <w:noProof/>
          <w:lang w:val="en-GB"/>
        </w:rPr>
        <w:t xml:space="preserve">) between regions, </w:t>
      </w:r>
    </w:p>
    <w:p w14:paraId="10CE1F51"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Eq(8)</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C</m:t>
            </m:r>
          </m:e>
          <m:sub>
            <m:r>
              <w:rPr>
                <w:rFonts w:ascii="Cambria Math" w:hAnsi="Cambria Math" w:cstheme="minorHAnsi"/>
                <w:noProof/>
                <w:lang w:val="en-GB"/>
              </w:rPr>
              <m:t>j</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≥0</m:t>
        </m:r>
      </m:oMath>
      <w:r w:rsidRPr="000E5D59">
        <w:rPr>
          <w:rFonts w:asciiTheme="minorHAnsi" w:hAnsiTheme="minorHAnsi" w:cstheme="minorHAnsi"/>
          <w:noProof/>
          <w:lang w:val="en-GB"/>
        </w:rPr>
        <w:t xml:space="preserve">    </w:t>
      </w:r>
    </w:p>
    <w:p w14:paraId="4E94157B"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Based on the Karush–Kuhn–Tucker (KKT) optimality condition and previous equations, the model closure is identified as follow,</w:t>
      </w:r>
    </w:p>
    <w:p w14:paraId="2208EC39"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Eq(9)</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IM</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EX</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nary>
          <m:naryPr>
            <m:chr m:val="∑"/>
            <m:limLoc m:val="undOvr"/>
            <m:supHide m:val="1"/>
            <m:ctrlPr>
              <w:rPr>
                <w:rFonts w:ascii="Cambria Math" w:hAnsi="Cambria Math" w:cstheme="minorHAnsi"/>
                <w:noProof/>
                <w:lang w:val="en-GB"/>
              </w:rPr>
            </m:ctrlPr>
          </m:naryPr>
          <m:sub>
            <m:r>
              <w:rPr>
                <w:rFonts w:ascii="Cambria Math" w:hAnsi="Cambria Math" w:cstheme="minorHAnsi"/>
                <w:noProof/>
                <w:lang w:val="en-GB"/>
              </w:rPr>
              <m:t>j</m:t>
            </m:r>
          </m:sub>
          <m:sup/>
          <m:e>
            <m:nary>
              <m:naryPr>
                <m:chr m:val="∑"/>
                <m:limLoc m:val="undOvr"/>
                <m:supHide m:val="1"/>
                <m:ctrlPr>
                  <w:rPr>
                    <w:rFonts w:ascii="Cambria Math" w:hAnsi="Cambria Math" w:cstheme="minorHAnsi"/>
                    <w:noProof/>
                    <w:lang w:val="en-GB"/>
                  </w:rPr>
                </m:ctrlPr>
              </m:naryPr>
              <m:sub>
                <m:r>
                  <w:rPr>
                    <w:rFonts w:ascii="Cambria Math" w:hAnsi="Cambria Math" w:cstheme="minorHAnsi"/>
                    <w:noProof/>
                    <w:lang w:val="en-GB"/>
                  </w:rPr>
                  <m:t>i</m:t>
                </m:r>
              </m:sub>
              <m:sup/>
              <m:e>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i</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e>
            </m:nary>
          </m:e>
        </m:nary>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m</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≥0    ∀i∈N; ∀h</m:t>
        </m:r>
      </m:oMath>
      <w:r w:rsidRPr="000E5D59">
        <w:rPr>
          <w:rFonts w:asciiTheme="minorHAnsi" w:hAnsiTheme="minorHAnsi" w:cstheme="minorHAnsi"/>
          <w:noProof/>
          <w:lang w:val="en-GB"/>
        </w:rPr>
        <w:t xml:space="preserve">  </w:t>
      </w:r>
    </w:p>
    <w:p w14:paraId="4B5B06B2"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Eq(10)</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IM</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EX</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nary>
          <m:naryPr>
            <m:chr m:val="∑"/>
            <m:limLoc m:val="undOvr"/>
            <m:supHide m:val="1"/>
            <m:ctrlPr>
              <w:rPr>
                <w:rFonts w:ascii="Cambria Math" w:hAnsi="Cambria Math" w:cstheme="minorHAnsi"/>
                <w:noProof/>
                <w:lang w:val="en-GB"/>
              </w:rPr>
            </m:ctrlPr>
          </m:naryPr>
          <m:sub>
            <m:r>
              <w:rPr>
                <w:rFonts w:ascii="Cambria Math" w:hAnsi="Cambria Math" w:cstheme="minorHAnsi"/>
                <w:noProof/>
                <w:lang w:val="en-GB"/>
              </w:rPr>
              <m:t>j</m:t>
            </m:r>
          </m:sub>
          <m:sup/>
          <m:e>
            <m:nary>
              <m:naryPr>
                <m:chr m:val="∑"/>
                <m:limLoc m:val="undOvr"/>
                <m:supHide m:val="1"/>
                <m:ctrlPr>
                  <w:rPr>
                    <w:rFonts w:ascii="Cambria Math" w:hAnsi="Cambria Math" w:cstheme="minorHAnsi"/>
                    <w:noProof/>
                    <w:lang w:val="en-GB"/>
                  </w:rPr>
                </m:ctrlPr>
              </m:naryPr>
              <m:sub>
                <m:r>
                  <w:rPr>
                    <w:rFonts w:ascii="Cambria Math" w:hAnsi="Cambria Math" w:cstheme="minorHAnsi"/>
                    <w:noProof/>
                    <w:lang w:val="en-GB"/>
                  </w:rPr>
                  <m:t>i</m:t>
                </m:r>
              </m:sub>
              <m:sup/>
              <m:e>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i</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e>
            </m:nary>
          </m:e>
        </m:nary>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f</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≥0    ∀i∈N; ∀h</m:t>
        </m:r>
      </m:oMath>
      <w:r w:rsidRPr="000E5D59">
        <w:rPr>
          <w:rFonts w:asciiTheme="minorHAnsi" w:hAnsiTheme="minorHAnsi" w:cstheme="minorHAnsi"/>
          <w:noProof/>
          <w:lang w:val="en-GB"/>
        </w:rPr>
        <w:t xml:space="preserve">    </w:t>
      </w:r>
    </w:p>
    <w:p w14:paraId="7E1CB925"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Eq(11)</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b</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b</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IM</m:t>
            </m:r>
          </m:e>
          <m:sub>
            <m:r>
              <w:rPr>
                <w:rFonts w:ascii="Cambria Math" w:hAnsi="Cambria Math" w:cstheme="minorHAnsi"/>
                <w:noProof/>
                <w:lang w:val="en-GB"/>
              </w:rPr>
              <m:t>b</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EX</m:t>
            </m:r>
          </m:e>
          <m:sub>
            <m:r>
              <w:rPr>
                <w:rFonts w:ascii="Cambria Math" w:hAnsi="Cambria Math" w:cstheme="minorHAnsi"/>
                <w:noProof/>
                <w:lang w:val="en-GB"/>
              </w:rPr>
              <m:t>b</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nary>
          <m:naryPr>
            <m:chr m:val="∑"/>
            <m:limLoc m:val="undOvr"/>
            <m:supHide m:val="1"/>
            <m:ctrlPr>
              <w:rPr>
                <w:rFonts w:ascii="Cambria Math" w:hAnsi="Cambria Math" w:cstheme="minorHAnsi"/>
                <w:noProof/>
                <w:lang w:val="en-GB"/>
              </w:rPr>
            </m:ctrlPr>
          </m:naryPr>
          <m:sub>
            <m:r>
              <w:rPr>
                <w:rFonts w:ascii="Cambria Math" w:hAnsi="Cambria Math" w:cstheme="minorHAnsi"/>
                <w:noProof/>
                <w:lang w:val="en-GB"/>
              </w:rPr>
              <m:t>j</m:t>
            </m:r>
          </m:sub>
          <m:sup/>
          <m:e>
            <m:nary>
              <m:naryPr>
                <m:chr m:val="∑"/>
                <m:limLoc m:val="undOvr"/>
                <m:supHide m:val="1"/>
                <m:ctrlPr>
                  <w:rPr>
                    <w:rFonts w:ascii="Cambria Math" w:hAnsi="Cambria Math" w:cstheme="minorHAnsi"/>
                    <w:noProof/>
                    <w:lang w:val="en-GB"/>
                  </w:rPr>
                </m:ctrlPr>
              </m:naryPr>
              <m:sub>
                <m:r>
                  <w:rPr>
                    <w:rFonts w:ascii="Cambria Math" w:hAnsi="Cambria Math" w:cstheme="minorHAnsi"/>
                    <w:noProof/>
                    <w:lang w:val="en-GB"/>
                  </w:rPr>
                  <m:t>i</m:t>
                </m:r>
              </m:sub>
              <m:sup/>
              <m:e>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i</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e>
            </m:nary>
          </m:e>
        </m:nary>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b</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≥0    ∀i∈N; ∀h</m:t>
        </m:r>
      </m:oMath>
      <w:r w:rsidRPr="000E5D59">
        <w:rPr>
          <w:rFonts w:asciiTheme="minorHAnsi" w:hAnsiTheme="minorHAnsi" w:cstheme="minorHAnsi"/>
          <w:noProof/>
          <w:lang w:val="en-GB"/>
        </w:rPr>
        <w:t xml:space="preserve">      </w:t>
      </w:r>
    </w:p>
    <w:p w14:paraId="2EF7C285" w14:textId="77777777"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Eq(12)</w:t>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r>
      <w:r w:rsidRPr="000E5D59">
        <w:rPr>
          <w:rFonts w:asciiTheme="minorHAnsi" w:hAnsiTheme="minorHAnsi" w:cstheme="minorHAnsi"/>
          <w:noProof/>
          <w:lang w:val="en-GB"/>
        </w:rPr>
        <w:tab/>
        <w:t xml:space="preserve">      </w:t>
      </w:r>
      <m:oMath>
        <m:sSub>
          <m:sSubPr>
            <m:ctrlPr>
              <w:rPr>
                <w:rFonts w:ascii="Cambria Math" w:hAnsi="Cambria Math" w:cstheme="minorHAnsi"/>
                <w:noProof/>
                <w:lang w:val="en-GB"/>
              </w:rPr>
            </m:ctrlPr>
          </m:sSubPr>
          <m:e>
            <m:r>
              <w:rPr>
                <w:rFonts w:ascii="Cambria Math" w:hAnsi="Cambria Math" w:cstheme="minorHAnsi"/>
                <w:noProof/>
                <w:lang w:val="en-GB"/>
              </w:rPr>
              <m:t>D</m:t>
            </m:r>
          </m:e>
          <m:sub>
            <m:r>
              <w:rPr>
                <w:rFonts w:ascii="Cambria Math" w:hAnsi="Cambria Math" w:cstheme="minorHAnsi"/>
                <w:noProof/>
                <w:lang w:val="en-GB"/>
              </w:rPr>
              <m:t>s</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S</m:t>
            </m:r>
          </m:e>
          <m:sub>
            <m:r>
              <w:rPr>
                <w:rFonts w:ascii="Cambria Math" w:hAnsi="Cambria Math" w:cstheme="minorHAnsi"/>
                <w:noProof/>
                <w:lang w:val="en-GB"/>
              </w:rPr>
              <m:t>s</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IM</m:t>
            </m:r>
          </m:e>
          <m:sub>
            <m:r>
              <w:rPr>
                <w:rFonts w:ascii="Cambria Math" w:hAnsi="Cambria Math" w:cstheme="minorHAnsi"/>
                <w:noProof/>
                <w:lang w:val="en-GB"/>
              </w:rPr>
              <m:t>s</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nary>
          <m:naryPr>
            <m:chr m:val="∑"/>
            <m:limLoc m:val="undOvr"/>
            <m:supHide m:val="1"/>
            <m:ctrlPr>
              <w:rPr>
                <w:rFonts w:ascii="Cambria Math" w:hAnsi="Cambria Math" w:cstheme="minorHAnsi"/>
                <w:noProof/>
                <w:lang w:val="en-GB"/>
              </w:rPr>
            </m:ctrlPr>
          </m:naryPr>
          <m:sub>
            <m:r>
              <w:rPr>
                <w:rFonts w:ascii="Cambria Math" w:hAnsi="Cambria Math" w:cstheme="minorHAnsi"/>
                <w:noProof/>
                <w:lang w:val="en-GB"/>
              </w:rPr>
              <m:t>j</m:t>
            </m:r>
          </m:sub>
          <m:sup/>
          <m:e>
            <m:nary>
              <m:naryPr>
                <m:chr m:val="∑"/>
                <m:limLoc m:val="undOvr"/>
                <m:supHide m:val="1"/>
                <m:ctrlPr>
                  <w:rPr>
                    <w:rFonts w:ascii="Cambria Math" w:hAnsi="Cambria Math" w:cstheme="minorHAnsi"/>
                    <w:noProof/>
                    <w:lang w:val="en-GB"/>
                  </w:rPr>
                </m:ctrlPr>
              </m:naryPr>
              <m:sub>
                <m:r>
                  <w:rPr>
                    <w:rFonts w:ascii="Cambria Math" w:hAnsi="Cambria Math" w:cstheme="minorHAnsi"/>
                    <w:noProof/>
                    <w:lang w:val="en-GB"/>
                  </w:rPr>
                  <m:t>i</m:t>
                </m:r>
              </m:sub>
              <m:sup/>
              <m:e>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i</m:t>
                    </m:r>
                    <m:r>
                      <m:rPr>
                        <m:sty m:val="p"/>
                      </m:rPr>
                      <w:rPr>
                        <w:rFonts w:ascii="Cambria Math" w:hAnsi="Cambria Math" w:cstheme="minorHAnsi"/>
                        <w:noProof/>
                        <w:lang w:val="en-GB"/>
                      </w:rPr>
                      <m:t>,</m:t>
                    </m:r>
                    <m:r>
                      <w:rPr>
                        <w:rFonts w:ascii="Cambria Math" w:hAnsi="Cambria Math" w:cstheme="minorHAnsi"/>
                        <w:noProof/>
                        <w:lang w:val="en-GB"/>
                      </w:rPr>
                      <m:t>j</m:t>
                    </m:r>
                  </m:sub>
                </m:sSub>
                <m:r>
                  <m:rPr>
                    <m:sty m:val="p"/>
                  </m:rPr>
                  <w:rPr>
                    <w:rFonts w:ascii="Cambria Math" w:hAnsi="Cambria Math" w:cstheme="minorHAnsi"/>
                    <w:noProof/>
                    <w:lang w:val="en-GB"/>
                  </w:rPr>
                  <m:t>-</m:t>
                </m:r>
                <m:sSub>
                  <m:sSubPr>
                    <m:ctrlPr>
                      <w:rPr>
                        <w:rFonts w:ascii="Cambria Math" w:hAnsi="Cambria Math" w:cstheme="minorHAnsi"/>
                        <w:noProof/>
                        <w:lang w:val="en-GB"/>
                      </w:rPr>
                    </m:ctrlPr>
                  </m:sSubPr>
                  <m:e>
                    <m:r>
                      <w:rPr>
                        <w:rFonts w:ascii="Cambria Math" w:hAnsi="Cambria Math" w:cstheme="minorHAnsi"/>
                        <w:noProof/>
                        <w:lang w:val="en-GB"/>
                      </w:rPr>
                      <m:t>X</m:t>
                    </m:r>
                  </m:e>
                  <m:sub>
                    <m:r>
                      <w:rPr>
                        <w:rFonts w:ascii="Cambria Math" w:hAnsi="Cambria Math" w:cstheme="minorHAnsi"/>
                        <w:noProof/>
                        <w:lang w:val="en-GB"/>
                      </w:rPr>
                      <m:t>h</m:t>
                    </m:r>
                    <m:r>
                      <m:rPr>
                        <m:sty m:val="p"/>
                      </m:rPr>
                      <w:rPr>
                        <w:rFonts w:ascii="Cambria Math" w:hAnsi="Cambria Math" w:cstheme="minorHAnsi"/>
                        <w:noProof/>
                        <w:lang w:val="en-GB"/>
                      </w:rPr>
                      <m:t>,</m:t>
                    </m:r>
                    <m:r>
                      <w:rPr>
                        <w:rFonts w:ascii="Cambria Math" w:hAnsi="Cambria Math" w:cstheme="minorHAnsi"/>
                        <w:noProof/>
                        <w:lang w:val="en-GB"/>
                      </w:rPr>
                      <m:t>j</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m:t>
                </m:r>
              </m:e>
            </m:nary>
          </m:e>
        </m:nary>
        <m:r>
          <m:rPr>
            <m:sty m:val="p"/>
          </m:rPr>
          <w:rPr>
            <w:rFonts w:ascii="Cambria Math" w:hAnsi="Cambria Math" w:cstheme="minorHAnsi"/>
            <w:noProof/>
            <w:lang w:val="en-GB"/>
          </w:rPr>
          <m:t xml:space="preserve">,   ⊥   </m:t>
        </m:r>
        <m:sSub>
          <m:sSubPr>
            <m:ctrlPr>
              <w:rPr>
                <w:rFonts w:ascii="Cambria Math" w:hAnsi="Cambria Math" w:cstheme="minorHAnsi"/>
                <w:noProof/>
                <w:lang w:val="en-GB"/>
              </w:rPr>
            </m:ctrlPr>
          </m:sSubPr>
          <m:e>
            <m:r>
              <w:rPr>
                <w:rFonts w:ascii="Cambria Math" w:hAnsi="Cambria Math" w:cstheme="minorHAnsi"/>
                <w:noProof/>
                <w:lang w:val="en-GB"/>
              </w:rPr>
              <m:t>P</m:t>
            </m:r>
          </m:e>
          <m:sub>
            <m:r>
              <w:rPr>
                <w:rFonts w:ascii="Cambria Math" w:hAnsi="Cambria Math" w:cstheme="minorHAnsi"/>
                <w:noProof/>
                <w:lang w:val="en-GB"/>
              </w:rPr>
              <m:t>s</m:t>
            </m:r>
            <m:r>
              <m:rPr>
                <m:sty m:val="p"/>
              </m:rPr>
              <w:rPr>
                <w:rFonts w:ascii="Cambria Math" w:hAnsi="Cambria Math" w:cstheme="minorHAnsi"/>
                <w:noProof/>
                <w:lang w:val="en-GB"/>
              </w:rPr>
              <m:t>,</m:t>
            </m:r>
            <m:r>
              <w:rPr>
                <w:rFonts w:ascii="Cambria Math" w:hAnsi="Cambria Math" w:cstheme="minorHAnsi"/>
                <w:noProof/>
                <w:lang w:val="en-GB"/>
              </w:rPr>
              <m:t>i</m:t>
            </m:r>
          </m:sub>
        </m:sSub>
        <m:r>
          <m:rPr>
            <m:sty m:val="p"/>
          </m:rPr>
          <w:rPr>
            <w:rFonts w:ascii="Cambria Math" w:hAnsi="Cambria Math" w:cstheme="minorHAnsi"/>
            <w:noProof/>
            <w:lang w:val="en-GB"/>
          </w:rPr>
          <m:t>≥0    ∀i∈N; ∀h</m:t>
        </m:r>
      </m:oMath>
      <w:r w:rsidRPr="000E5D59">
        <w:rPr>
          <w:rFonts w:asciiTheme="minorHAnsi" w:hAnsiTheme="minorHAnsi" w:cstheme="minorHAnsi"/>
          <w:noProof/>
          <w:lang w:val="en-GB"/>
        </w:rPr>
        <w:t xml:space="preserve">   </w:t>
      </w:r>
    </w:p>
    <w:p w14:paraId="71EE2861" w14:textId="2C911DA0" w:rsidR="00DC21D1" w:rsidRPr="000E5D59" w:rsidRDefault="00DC21D1" w:rsidP="00DC21D1">
      <w:pPr>
        <w:rPr>
          <w:rFonts w:asciiTheme="minorHAnsi" w:hAnsiTheme="minorHAnsi" w:cstheme="minorHAnsi"/>
          <w:noProof/>
          <w:lang w:val="en-GB"/>
        </w:rPr>
      </w:pPr>
      <w:r w:rsidRPr="000E5D59">
        <w:rPr>
          <w:rFonts w:asciiTheme="minorHAnsi" w:hAnsiTheme="minorHAnsi" w:cstheme="minorHAnsi"/>
          <w:noProof/>
          <w:lang w:val="en-GB"/>
        </w:rPr>
        <w:t xml:space="preserve">Finally, all model variables including quantity produced, demand, bilateral trade flows (regional and international trade), and prices should be positive or zero. Given this assumption, the complementarity inequalities in equations (1) through (12) are solved together to run the model. We use the Mixed Complementarity Problem (MCP) to solve the problem, as it incorporates both dual and primal variables. Moreover, the MCP provides better performance in presence of </w:t>
      </w:r>
      <w:r w:rsidR="00CC646B" w:rsidRPr="000E5D59">
        <w:rPr>
          <w:rFonts w:asciiTheme="minorHAnsi" w:hAnsiTheme="minorHAnsi" w:cstheme="minorHAnsi"/>
          <w:noProof/>
          <w:lang w:val="en-GB"/>
        </w:rPr>
        <w:t xml:space="preserve">an </w:t>
      </w:r>
      <w:r w:rsidRPr="000E5D59">
        <w:rPr>
          <w:rFonts w:asciiTheme="minorHAnsi" w:hAnsiTheme="minorHAnsi" w:cstheme="minorHAnsi"/>
          <w:noProof/>
          <w:lang w:val="en-GB"/>
        </w:rPr>
        <w:t xml:space="preserve">ad valorem tariff (Devadoss 2012). Further, we calibrate the model according to constant terms of supply and demand functions. The final calibrated model is applied to investigate the impact of feed processing capacity and </w:t>
      </w:r>
      <w:r w:rsidR="00CC646B" w:rsidRPr="000E5D59">
        <w:rPr>
          <w:rFonts w:asciiTheme="minorHAnsi" w:hAnsiTheme="minorHAnsi" w:cstheme="minorHAnsi"/>
          <w:noProof/>
          <w:lang w:val="en-GB"/>
        </w:rPr>
        <w:t xml:space="preserve">the </w:t>
      </w:r>
      <w:r w:rsidRPr="000E5D59">
        <w:rPr>
          <w:rFonts w:asciiTheme="minorHAnsi" w:hAnsiTheme="minorHAnsi" w:cstheme="minorHAnsi"/>
          <w:noProof/>
          <w:lang w:val="en-GB"/>
        </w:rPr>
        <w:t xml:space="preserve">performance of poultry meat production. The base model should </w:t>
      </w:r>
      <w:r w:rsidRPr="000E5D59">
        <w:rPr>
          <w:rFonts w:asciiTheme="minorHAnsi" w:hAnsiTheme="minorHAnsi" w:cstheme="minorHAnsi"/>
          <w:noProof/>
          <w:lang w:val="en-GB"/>
        </w:rPr>
        <w:lastRenderedPageBreak/>
        <w:t xml:space="preserve">reproduce the baseline data. In our analysis, the main advantage of using a partial equilibrium approach compared to general equilibrium is that it permits analysis within the value chain context including feed conversion ratio and processing details. </w:t>
      </w:r>
    </w:p>
    <w:p w14:paraId="588FF6B1" w14:textId="77777777" w:rsidR="00DC21D1" w:rsidRPr="000E5D59" w:rsidRDefault="00DC21D1" w:rsidP="002A6138">
      <w:pPr>
        <w:pStyle w:val="Heading2"/>
        <w:rPr>
          <w:rFonts w:asciiTheme="minorHAnsi" w:hAnsiTheme="minorHAnsi" w:cstheme="minorHAnsi"/>
          <w:lang w:val="en-US"/>
        </w:rPr>
      </w:pPr>
      <w:r w:rsidRPr="000E5D59">
        <w:rPr>
          <w:rFonts w:asciiTheme="minorHAnsi" w:hAnsiTheme="minorHAnsi" w:cstheme="minorHAnsi"/>
          <w:lang w:val="en-US"/>
        </w:rPr>
        <w:tab/>
        <w:t xml:space="preserve">MAGNET model </w:t>
      </w:r>
    </w:p>
    <w:p w14:paraId="25F7BC0B" w14:textId="6B6DDA0D" w:rsidR="00DC21D1" w:rsidRPr="000E5D59" w:rsidRDefault="00DC21D1" w:rsidP="00DC21D1">
      <w:pPr>
        <w:rPr>
          <w:rFonts w:asciiTheme="minorHAnsi" w:hAnsiTheme="minorHAnsi" w:cstheme="minorHAnsi"/>
          <w:noProof/>
          <w:lang w:val="en-GB"/>
        </w:rPr>
      </w:pPr>
      <w:bookmarkStart w:id="4" w:name="_Hlk83914377"/>
      <w:r w:rsidRPr="000E5D59">
        <w:rPr>
          <w:rFonts w:asciiTheme="minorHAnsi" w:hAnsiTheme="minorHAnsi" w:cstheme="minorHAnsi"/>
          <w:noProof/>
          <w:lang w:val="en-GB"/>
        </w:rPr>
        <w:t xml:space="preserve">We apply a global general equilibrium model to assess </w:t>
      </w:r>
      <w:r w:rsidR="00CC646B" w:rsidRPr="000E5D59">
        <w:rPr>
          <w:rFonts w:asciiTheme="minorHAnsi" w:hAnsiTheme="minorHAnsi" w:cstheme="minorHAnsi"/>
          <w:noProof/>
          <w:lang w:val="en-GB"/>
        </w:rPr>
        <w:t xml:space="preserve">policy measures to reduce </w:t>
      </w:r>
      <w:r w:rsidRPr="000E5D59">
        <w:rPr>
          <w:rFonts w:asciiTheme="minorHAnsi" w:hAnsiTheme="minorHAnsi" w:cstheme="minorHAnsi"/>
          <w:noProof/>
          <w:lang w:val="en-GB"/>
        </w:rPr>
        <w:t>feed cost</w:t>
      </w:r>
      <w:r w:rsidR="00CC646B" w:rsidRPr="000E5D59">
        <w:rPr>
          <w:rFonts w:asciiTheme="minorHAnsi" w:hAnsiTheme="minorHAnsi" w:cstheme="minorHAnsi"/>
          <w:noProof/>
          <w:lang w:val="en-GB"/>
        </w:rPr>
        <w:t>s</w:t>
      </w:r>
      <w:r w:rsidRPr="000E5D59">
        <w:rPr>
          <w:rFonts w:asciiTheme="minorHAnsi" w:hAnsiTheme="minorHAnsi" w:cstheme="minorHAnsi"/>
          <w:noProof/>
          <w:lang w:val="en-GB"/>
        </w:rPr>
        <w:t>. Providing more obvious intersectoral and interregional linkages, general equilibrium models have been the workhorse for assessing the economy-wide effects of policy interventions (Hertel 2013). MAGNET stands for the Modular Applied GeNeral Equilibrium Tool, which is based on the Global Trade Analysis Project (GTAP) database with a particular focus on the global agricultural sectors</w:t>
      </w:r>
      <w:r w:rsidRPr="000E5D59">
        <w:rPr>
          <w:rFonts w:asciiTheme="minorHAnsi" w:hAnsiTheme="minorHAnsi" w:cstheme="minorHAnsi"/>
          <w:noProof/>
          <w:lang w:val="en-GB"/>
        </w:rPr>
        <w:footnoteReference w:id="3"/>
      </w:r>
      <w:r w:rsidRPr="000E5D59">
        <w:rPr>
          <w:rFonts w:asciiTheme="minorHAnsi" w:hAnsiTheme="minorHAnsi" w:cstheme="minorHAnsi"/>
          <w:noProof/>
          <w:lang w:val="en-GB"/>
        </w:rPr>
        <w:t>. More specifically, MAGNET is used to investigate import tax revenue shift to subsidy on intermediate products of the poultry value chain. MAGNET has several advantages over standard GTAP models. In our analysis, MAGNET allows us to endogenously determines the subsidies on the poultry production input. Besides, a noted advantage is that the MAGNET model accounts for the imperfect mobility of the return to capital (i.e., wage) and land (i.e., rent) between agricultural and non-agricultural sectors. Thus, the factor transfer over agricultural and non-agricultural sectors is made sluggish (Sartori et al. 2019). In contrast to the standard GTAP models, land supply is assumed endogenous in the MAGNET model. This feature allows describing a supply curve between average real agricultural land rent and the land area in a region that is used for agriculture (Woltjer et al., 2014). In contrast to most of the general equilibrium models, MAGNET assumes differences in technological change across sectors (Woltjer et al., 2014). Moreover, for this analysis, the latest version of MAGNET is applied that disaggregates the poultry sector from other livestock products. Given these advantages, this model has been widely applied by researchers and public institutes to assess the economic implications of agri-food trade policy scenarios (e.g. Boulanger and Philippidis, 2015; Helming and Tabeau, 2018).</w:t>
      </w:r>
    </w:p>
    <w:bookmarkEnd w:id="4"/>
    <w:p w14:paraId="2BF5C05F" w14:textId="77777777" w:rsidR="00DC21D1" w:rsidRPr="000E5D59" w:rsidRDefault="00DC21D1" w:rsidP="002A6138">
      <w:pPr>
        <w:pStyle w:val="Heading2"/>
        <w:rPr>
          <w:rFonts w:asciiTheme="minorHAnsi" w:hAnsiTheme="minorHAnsi" w:cstheme="minorHAnsi"/>
          <w:lang w:val="en-US"/>
        </w:rPr>
      </w:pPr>
      <w:r w:rsidRPr="000E5D59">
        <w:rPr>
          <w:rFonts w:asciiTheme="minorHAnsi" w:hAnsiTheme="minorHAnsi" w:cstheme="minorHAnsi"/>
          <w:lang w:val="en-US"/>
        </w:rPr>
        <w:t>Comparative analysis: Synthetic Control Method</w:t>
      </w:r>
    </w:p>
    <w:p w14:paraId="0DE1D634" w14:textId="77777777" w:rsidR="00DC21D1" w:rsidRPr="000E5D59" w:rsidRDefault="00DC21D1" w:rsidP="00DC21D1">
      <w:pPr>
        <w:pStyle w:val="AText"/>
        <w:rPr>
          <w:rFonts w:asciiTheme="minorHAnsi" w:hAnsiTheme="minorHAnsi" w:cstheme="minorHAnsi"/>
          <w:lang w:val="en-US"/>
        </w:rPr>
      </w:pPr>
    </w:p>
    <w:p w14:paraId="2BE34CA1"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To analyze the effects of complete ban on poultry imports in Senegal, we first need to project the trend of poultry production and imports in the absence of receiving the complete import ban. As a tool for policy evaluation, we use the synthetic control method (SCM) to investigate the effect of treatment in comparative case studies. Over the last decade, SCM has been widely used for estimating the effects of interventions in different contexts (see e.g. Mohan,2017; Cole et al., 2020; Abadie, 2021). The SCM provides several advantages over other similar methods, e.g. propensity score matching (PSM) and difference-in-difference (DID). First, it can control endogenous problems due to selection bias and other factors associated with control group selection and relaxes the parallel trend assumption of the DID method (</w:t>
      </w:r>
      <w:proofErr w:type="spellStart"/>
      <w:r w:rsidRPr="000E5D59">
        <w:rPr>
          <w:rFonts w:asciiTheme="minorHAnsi" w:hAnsiTheme="minorHAnsi" w:cstheme="minorHAnsi"/>
          <w:lang w:val="en-US"/>
        </w:rPr>
        <w:t>Olper</w:t>
      </w:r>
      <w:proofErr w:type="spellEnd"/>
      <w:r w:rsidRPr="000E5D59">
        <w:rPr>
          <w:rFonts w:asciiTheme="minorHAnsi" w:hAnsiTheme="minorHAnsi" w:cstheme="minorHAnsi"/>
          <w:lang w:val="en-US"/>
        </w:rPr>
        <w:t xml:space="preserve"> et al., 2018; Li et al., 2020). Secondly, SCM does not calculate weights without using the post-intervention data (Cole et al., 2020). </w:t>
      </w:r>
    </w:p>
    <w:p w14:paraId="49FF77C2"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lastRenderedPageBreak/>
        <w:t xml:space="preserve">Following Abadie et al. (2010), we split our sample into two periods, a pre-intervention period, </w:t>
      </w:r>
      <m:oMath>
        <m:sSub>
          <m:sSubPr>
            <m:ctrlPr>
              <w:rPr>
                <w:rFonts w:ascii="Cambria Math" w:hAnsi="Cambria Math" w:cstheme="minorHAnsi"/>
                <w:lang w:val="en-US"/>
              </w:rPr>
            </m:ctrlPr>
          </m:sSubPr>
          <m:e>
            <m:r>
              <w:rPr>
                <w:rFonts w:ascii="Cambria Math" w:hAnsi="Cambria Math" w:cstheme="minorHAnsi"/>
                <w:lang w:val="en-US"/>
              </w:rPr>
              <m:t>T</m:t>
            </m:r>
          </m:e>
          <m:sub>
            <m:r>
              <m:rPr>
                <m:sty m:val="p"/>
              </m:rPr>
              <w:rPr>
                <w:rFonts w:ascii="Cambria Math" w:hAnsi="Cambria Math" w:cstheme="minorHAnsi"/>
                <w:lang w:val="en-US"/>
              </w:rPr>
              <m:t>0</m:t>
            </m:r>
          </m:sub>
        </m:sSub>
      </m:oMath>
      <w:r w:rsidRPr="000E5D59">
        <w:rPr>
          <w:rFonts w:asciiTheme="minorHAnsi" w:hAnsiTheme="minorHAnsi" w:cstheme="minorHAnsi"/>
          <w:lang w:val="en-US"/>
        </w:rPr>
        <w:t xml:space="preserve">, and the post-intervention period, </w:t>
      </w:r>
      <m:oMath>
        <m:sSub>
          <m:sSubPr>
            <m:ctrlPr>
              <w:rPr>
                <w:rFonts w:ascii="Cambria Math" w:hAnsi="Cambria Math" w:cstheme="minorHAnsi"/>
                <w:lang w:val="en-US"/>
              </w:rPr>
            </m:ctrlPr>
          </m:sSubPr>
          <m:e>
            <m:r>
              <w:rPr>
                <w:rFonts w:ascii="Cambria Math" w:hAnsi="Cambria Math" w:cstheme="minorHAnsi"/>
                <w:lang w:val="en-US"/>
              </w:rPr>
              <m:t>T</m:t>
            </m:r>
          </m:e>
          <m:sub>
            <m:r>
              <m:rPr>
                <m:sty m:val="p"/>
              </m:rPr>
              <w:rPr>
                <w:rFonts w:ascii="Cambria Math" w:hAnsi="Cambria Math" w:cstheme="minorHAnsi"/>
                <w:lang w:val="en-US"/>
              </w:rPr>
              <m:t>1</m:t>
            </m:r>
          </m:sub>
        </m:sSub>
      </m:oMath>
      <w:r w:rsidRPr="000E5D59">
        <w:rPr>
          <w:rFonts w:asciiTheme="minorHAnsi" w:hAnsiTheme="minorHAnsi" w:cstheme="minorHAnsi"/>
          <w:lang w:val="en-US"/>
        </w:rPr>
        <w:t xml:space="preserve">, where  </w:t>
      </w:r>
      <m:oMath>
        <m:r>
          <w:rPr>
            <w:rFonts w:ascii="Cambria Math" w:hAnsi="Cambria Math" w:cstheme="minorHAnsi"/>
            <w:lang w:val="en-US"/>
          </w:rPr>
          <m:t>T</m:t>
        </m:r>
        <m:r>
          <m:rPr>
            <m:sty m:val="p"/>
          </m:rPr>
          <w:rPr>
            <w:rFonts w:ascii="Cambria Math" w:hAnsi="Cambria Math" w:cstheme="minorHAnsi"/>
            <w:lang w:val="en-US"/>
          </w:rPr>
          <m:t>=</m:t>
        </m:r>
        <m:sSub>
          <m:sSubPr>
            <m:ctrlPr>
              <w:rPr>
                <w:rFonts w:ascii="Cambria Math" w:hAnsi="Cambria Math" w:cstheme="minorHAnsi"/>
                <w:lang w:val="en-US"/>
              </w:rPr>
            </m:ctrlPr>
          </m:sSubPr>
          <m:e>
            <m:r>
              <w:rPr>
                <w:rFonts w:ascii="Cambria Math" w:hAnsi="Cambria Math" w:cstheme="minorHAnsi"/>
                <w:lang w:val="en-US"/>
              </w:rPr>
              <m:t>T</m:t>
            </m:r>
          </m:e>
          <m:sub>
            <m:r>
              <m:rPr>
                <m:sty m:val="p"/>
              </m:rPr>
              <w:rPr>
                <w:rFonts w:ascii="Cambria Math" w:hAnsi="Cambria Math" w:cstheme="minorHAnsi"/>
                <w:lang w:val="en-US"/>
              </w:rPr>
              <m:t>0</m:t>
            </m:r>
          </m:sub>
        </m:sSub>
        <m:r>
          <m:rPr>
            <m:sty m:val="p"/>
          </m:rPr>
          <w:rPr>
            <w:rFonts w:ascii="Cambria Math" w:hAnsi="Cambria Math" w:cstheme="minorHAnsi"/>
            <w:lang w:val="en-US"/>
          </w:rPr>
          <m:t>+</m:t>
        </m:r>
        <m:sSub>
          <m:sSubPr>
            <m:ctrlPr>
              <w:rPr>
                <w:rFonts w:ascii="Cambria Math" w:hAnsi="Cambria Math" w:cstheme="minorHAnsi"/>
                <w:lang w:val="en-US"/>
              </w:rPr>
            </m:ctrlPr>
          </m:sSubPr>
          <m:e>
            <m:r>
              <w:rPr>
                <w:rFonts w:ascii="Cambria Math" w:hAnsi="Cambria Math" w:cstheme="minorHAnsi"/>
                <w:lang w:val="en-US"/>
              </w:rPr>
              <m:t>T</m:t>
            </m:r>
          </m:e>
          <m:sub>
            <m:r>
              <m:rPr>
                <m:sty m:val="p"/>
              </m:rPr>
              <w:rPr>
                <w:rFonts w:ascii="Cambria Math" w:hAnsi="Cambria Math" w:cstheme="minorHAnsi"/>
                <w:lang w:val="en-US"/>
              </w:rPr>
              <m:t>1</m:t>
            </m:r>
          </m:sub>
        </m:sSub>
      </m:oMath>
      <w:r w:rsidRPr="000E5D59">
        <w:rPr>
          <w:rFonts w:asciiTheme="minorHAnsi" w:hAnsiTheme="minorHAnsi" w:cstheme="minorHAnsi"/>
          <w:lang w:val="en-US"/>
        </w:rPr>
        <w:t xml:space="preserve">. We assumed there are K +1 countries, among which the first country (i.e. treated unit) was affected by the imports ban over the pre-intervention period </w:t>
      </w:r>
      <m:oMath>
        <m:sSub>
          <m:sSubPr>
            <m:ctrlPr>
              <w:rPr>
                <w:rFonts w:ascii="Cambria Math" w:hAnsi="Cambria Math" w:cstheme="minorHAnsi"/>
                <w:lang w:val="en-US"/>
              </w:rPr>
            </m:ctrlPr>
          </m:sSubPr>
          <m:e>
            <m:r>
              <w:rPr>
                <w:rFonts w:ascii="Cambria Math" w:hAnsi="Cambria Math" w:cstheme="minorHAnsi"/>
                <w:lang w:val="en-US"/>
              </w:rPr>
              <m:t>T</m:t>
            </m:r>
          </m:e>
          <m:sub>
            <m:r>
              <m:rPr>
                <m:sty m:val="p"/>
              </m:rPr>
              <w:rPr>
                <w:rFonts w:ascii="Cambria Math" w:hAnsi="Cambria Math" w:cstheme="minorHAnsi"/>
                <w:lang w:val="en-US"/>
              </w:rPr>
              <m:t>0</m:t>
            </m:r>
          </m:sub>
        </m:sSub>
        <m:r>
          <m:rPr>
            <m:sty m:val="p"/>
          </m:rPr>
          <w:rPr>
            <w:rFonts w:ascii="Cambria Math" w:hAnsi="Cambria Math" w:cstheme="minorHAnsi"/>
            <w:lang w:val="en-US"/>
          </w:rPr>
          <m:t>+1,…,</m:t>
        </m:r>
        <m:r>
          <w:rPr>
            <w:rFonts w:ascii="Cambria Math" w:hAnsi="Cambria Math" w:cstheme="minorHAnsi"/>
            <w:lang w:val="en-US"/>
          </w:rPr>
          <m:t>T</m:t>
        </m:r>
      </m:oMath>
      <w:r w:rsidRPr="000E5D59">
        <w:rPr>
          <w:rFonts w:asciiTheme="minorHAnsi" w:hAnsiTheme="minorHAnsi" w:cstheme="minorHAnsi"/>
          <w:lang w:val="en-US"/>
        </w:rPr>
        <w:t>, and the other K countries (so-called “donor pool”) is considered as the control samples. The idea of SCM is to estimate the pre-intervention characteristics of the treated unit using a weighted average of control units in the donor pool, known as the synthetic control, that approximate the pre-treatment outcomes for the treated unit (Abadie et al., 2015; Ben-</w:t>
      </w:r>
      <w:proofErr w:type="spellStart"/>
      <w:r w:rsidRPr="000E5D59">
        <w:rPr>
          <w:rFonts w:asciiTheme="minorHAnsi" w:hAnsiTheme="minorHAnsi" w:cstheme="minorHAnsi"/>
          <w:lang w:val="en-US"/>
        </w:rPr>
        <w:t>Michale</w:t>
      </w:r>
      <w:proofErr w:type="spellEnd"/>
      <w:r w:rsidRPr="000E5D59">
        <w:rPr>
          <w:rFonts w:asciiTheme="minorHAnsi" w:hAnsiTheme="minorHAnsi" w:cstheme="minorHAnsi"/>
          <w:lang w:val="en-US"/>
        </w:rPr>
        <w:t xml:space="preserve"> et al., 2021). </w:t>
      </w:r>
    </w:p>
    <w:p w14:paraId="68A21AF3"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 xml:space="preserve">For each country j and time t, let </w:t>
      </w:r>
      <m:oMath>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I</m:t>
            </m:r>
          </m:sup>
        </m:sSubSup>
      </m:oMath>
      <w:r w:rsidRPr="000E5D59">
        <w:rPr>
          <w:rFonts w:asciiTheme="minorHAnsi" w:hAnsiTheme="minorHAnsi" w:cstheme="minorHAnsi"/>
          <w:lang w:val="en-US"/>
        </w:rPr>
        <w:t xml:space="preserve">  be the outcome variable observed for the countries that did not experience a complete import ban in post-intervention period, and </w:t>
      </w:r>
      <m:oMath>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N</m:t>
            </m:r>
          </m:sup>
        </m:sSubSup>
      </m:oMath>
      <w:r w:rsidRPr="000E5D59">
        <w:rPr>
          <w:rFonts w:asciiTheme="minorHAnsi" w:hAnsiTheme="minorHAnsi" w:cstheme="minorHAnsi"/>
          <w:lang w:val="en-US"/>
        </w:rPr>
        <w:t xml:space="preserve"> be the outcome for the treated unit (i.e. Senegal) after it had adopted the complete ban. Accordingly, the net effect of the ban (</w:t>
      </w:r>
      <m:oMath>
        <m:sSub>
          <m:sSubPr>
            <m:ctrlPr>
              <w:rPr>
                <w:rFonts w:ascii="Cambria Math" w:hAnsi="Cambria Math" w:cstheme="minorHAnsi"/>
                <w:lang w:val="en-US"/>
              </w:rPr>
            </m:ctrlPr>
          </m:sSubPr>
          <m:e>
            <m:r>
              <w:rPr>
                <w:rFonts w:ascii="Cambria Math" w:hAnsi="Cambria Math" w:cstheme="minorHAnsi"/>
                <w:lang w:val="en-US"/>
              </w:rPr>
              <m:t>ρ</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oMath>
      <w:r w:rsidRPr="000E5D59">
        <w:rPr>
          <w:rFonts w:asciiTheme="minorHAnsi" w:hAnsiTheme="minorHAnsi" w:cstheme="minorHAnsi"/>
          <w:lang w:val="en-US"/>
        </w:rPr>
        <w:t xml:space="preserve">) for the treated unit is defined by the gap between </w:t>
      </w:r>
      <m:oMath>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N</m:t>
            </m:r>
          </m:sup>
        </m:sSubSup>
      </m:oMath>
      <w:r w:rsidRPr="000E5D59">
        <w:rPr>
          <w:rFonts w:asciiTheme="minorHAnsi" w:hAnsiTheme="minorHAnsi" w:cstheme="minorHAnsi"/>
          <w:lang w:val="en-US"/>
        </w:rPr>
        <w:t xml:space="preserve"> and </w:t>
      </w:r>
      <m:oMath>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I</m:t>
            </m:r>
          </m:sup>
        </m:sSubSup>
      </m:oMath>
      <w:r w:rsidRPr="000E5D59">
        <w:rPr>
          <w:rFonts w:asciiTheme="minorHAnsi" w:hAnsiTheme="minorHAnsi" w:cstheme="minorHAnsi"/>
          <w:lang w:val="en-US"/>
        </w:rPr>
        <w:t>, as follows,</w:t>
      </w:r>
    </w:p>
    <w:p w14:paraId="2DF0D570"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Eq (1)</w:t>
      </w:r>
      <w:r w:rsidRPr="000E5D59">
        <w:rPr>
          <w:rFonts w:asciiTheme="minorHAnsi" w:hAnsiTheme="minorHAnsi" w:cstheme="minorHAnsi"/>
          <w:lang w:val="en-US"/>
        </w:rPr>
        <w:tab/>
        <w:t xml:space="preserve">   </w:t>
      </w:r>
      <m:oMath>
        <m:sSub>
          <m:sSubPr>
            <m:ctrlPr>
              <w:rPr>
                <w:rFonts w:ascii="Cambria Math" w:hAnsi="Cambria Math" w:cstheme="minorHAnsi"/>
                <w:lang w:val="en-US"/>
              </w:rPr>
            </m:ctrlPr>
          </m:sSubPr>
          <m:e>
            <m:r>
              <w:rPr>
                <w:rFonts w:ascii="Cambria Math" w:hAnsi="Cambria Math" w:cstheme="minorHAnsi"/>
                <w:lang w:val="en-US"/>
              </w:rPr>
              <m:t>ρ</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r>
          <m:rPr>
            <m:sty m:val="p"/>
          </m:rPr>
          <w:rPr>
            <w:rFonts w:ascii="Cambria Math" w:hAnsi="Cambria Math" w:cstheme="minorHAnsi"/>
            <w:lang w:val="en-US"/>
          </w:rPr>
          <m:t>=</m:t>
        </m:r>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N</m:t>
            </m:r>
          </m:sup>
        </m:sSubSup>
        <m:r>
          <m:rPr>
            <m:sty m:val="p"/>
          </m:rPr>
          <w:rPr>
            <w:rFonts w:ascii="Cambria Math" w:hAnsi="Cambria Math" w:cstheme="minorHAnsi"/>
            <w:lang w:val="en-US"/>
          </w:rPr>
          <m:t>-</m:t>
        </m:r>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I</m:t>
            </m:r>
          </m:sup>
        </m:sSubSup>
      </m:oMath>
    </w:p>
    <w:p w14:paraId="0B38F884"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 xml:space="preserve">Following Abadie et al. (2015), it is assumed that the imports ban has no impact on outcome variable in the pre-intervention period, i.e. </w:t>
      </w:r>
      <m:oMath>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N</m:t>
            </m:r>
          </m:sup>
        </m:sSubSup>
        <m:r>
          <m:rPr>
            <m:sty m:val="p"/>
          </m:rPr>
          <w:rPr>
            <w:rFonts w:ascii="Cambria Math" w:hAnsi="Cambria Math" w:cstheme="minorHAnsi"/>
            <w:lang w:val="en-US"/>
          </w:rPr>
          <m:t>=</m:t>
        </m:r>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I</m:t>
            </m:r>
          </m:sup>
        </m:sSubSup>
      </m:oMath>
      <w:r w:rsidRPr="000E5D59">
        <w:rPr>
          <w:rFonts w:asciiTheme="minorHAnsi" w:hAnsiTheme="minorHAnsi" w:cstheme="minorHAnsi"/>
          <w:lang w:val="en-US"/>
        </w:rPr>
        <w:t xml:space="preserve"> so for </w:t>
      </w:r>
      <m:oMath>
        <m:r>
          <w:rPr>
            <w:rFonts w:ascii="Cambria Math" w:hAnsi="Cambria Math" w:cstheme="minorHAnsi"/>
            <w:lang w:val="en-US"/>
          </w:rPr>
          <m:t>t</m:t>
        </m:r>
        <m:r>
          <m:rPr>
            <m:sty m:val="p"/>
          </m:rPr>
          <w:rPr>
            <w:rFonts w:ascii="Cambria Math" w:hAnsi="Cambria Math" w:cstheme="minorHAnsi"/>
            <w:lang w:val="en-US"/>
          </w:rPr>
          <m:t>&lt;</m:t>
        </m:r>
        <m:sSub>
          <m:sSubPr>
            <m:ctrlPr>
              <w:rPr>
                <w:rFonts w:ascii="Cambria Math" w:hAnsi="Cambria Math" w:cstheme="minorHAnsi"/>
                <w:lang w:val="en-US"/>
              </w:rPr>
            </m:ctrlPr>
          </m:sSubPr>
          <m:e>
            <m:r>
              <w:rPr>
                <w:rFonts w:ascii="Cambria Math" w:hAnsi="Cambria Math" w:cstheme="minorHAnsi"/>
                <w:lang w:val="en-US"/>
              </w:rPr>
              <m:t>T</m:t>
            </m:r>
          </m:e>
          <m:sub>
            <m:r>
              <m:rPr>
                <m:sty m:val="p"/>
              </m:rPr>
              <w:rPr>
                <w:rFonts w:ascii="Cambria Math" w:hAnsi="Cambria Math" w:cstheme="minorHAnsi"/>
                <w:lang w:val="en-US"/>
              </w:rPr>
              <m:t>0</m:t>
            </m:r>
          </m:sub>
        </m:sSub>
      </m:oMath>
      <w:r w:rsidRPr="000E5D59">
        <w:rPr>
          <w:rFonts w:asciiTheme="minorHAnsi" w:hAnsiTheme="minorHAnsi" w:cstheme="minorHAnsi"/>
          <w:lang w:val="en-US"/>
        </w:rPr>
        <w:t xml:space="preserve"> and all units. We define </w:t>
      </w:r>
      <m:oMath>
        <m:sSub>
          <m:sSubPr>
            <m:ctrlPr>
              <w:rPr>
                <w:rFonts w:ascii="Cambria Math" w:hAnsi="Cambria Math" w:cstheme="minorHAnsi"/>
                <w:lang w:val="en-US"/>
              </w:rPr>
            </m:ctrlPr>
          </m:sSubPr>
          <m:e>
            <m:r>
              <w:rPr>
                <w:rFonts w:ascii="Cambria Math" w:hAnsi="Cambria Math" w:cstheme="minorHAnsi"/>
                <w:lang w:val="en-US"/>
              </w:rPr>
              <m:t>D</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oMath>
      <w:r w:rsidRPr="000E5D59">
        <w:rPr>
          <w:rFonts w:asciiTheme="minorHAnsi" w:hAnsiTheme="minorHAnsi" w:cstheme="minorHAnsi"/>
          <w:lang w:val="en-US"/>
        </w:rPr>
        <w:t xml:space="preserve"> as an indicator that takes the value 1 if the country j is exposed to the ban policy at time t, and zero otherwise. Accordingly, the observed outcome for country j at time </w:t>
      </w:r>
      <w:proofErr w:type="spellStart"/>
      <w:r w:rsidRPr="000E5D59">
        <w:rPr>
          <w:rFonts w:asciiTheme="minorHAnsi" w:hAnsiTheme="minorHAnsi" w:cstheme="minorHAnsi"/>
          <w:lang w:val="en-US"/>
        </w:rPr>
        <w:t>t</w:t>
      </w:r>
      <w:proofErr w:type="spellEnd"/>
      <w:r w:rsidRPr="000E5D59">
        <w:rPr>
          <w:rFonts w:asciiTheme="minorHAnsi" w:hAnsiTheme="minorHAnsi" w:cstheme="minorHAnsi"/>
          <w:lang w:val="en-US"/>
        </w:rPr>
        <w:t xml:space="preserve"> is, </w:t>
      </w:r>
    </w:p>
    <w:p w14:paraId="23A296BA"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Eq (2)</w:t>
      </w:r>
      <w:r w:rsidRPr="000E5D59">
        <w:rPr>
          <w:rFonts w:asciiTheme="minorHAnsi" w:hAnsiTheme="minorHAnsi" w:cstheme="minorHAnsi"/>
          <w:lang w:val="en-US"/>
        </w:rPr>
        <w:tab/>
        <w:t xml:space="preserve">   </w:t>
      </w:r>
      <m:oMath>
        <m:sSub>
          <m:sSubPr>
            <m:ctrlPr>
              <w:rPr>
                <w:rFonts w:ascii="Cambria Math" w:hAnsi="Cambria Math" w:cstheme="minorHAnsi"/>
                <w:lang w:val="en-US"/>
              </w:rPr>
            </m:ctrlPr>
          </m:sSub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r>
          <m:rPr>
            <m:sty m:val="p"/>
          </m:rPr>
          <w:rPr>
            <w:rFonts w:ascii="Cambria Math" w:hAnsi="Cambria Math" w:cstheme="minorHAnsi"/>
            <w:lang w:val="en-US"/>
          </w:rPr>
          <m:t>=</m:t>
        </m:r>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N</m:t>
            </m:r>
          </m:sup>
        </m:sSubSup>
        <m:r>
          <m:rPr>
            <m:sty m:val="p"/>
          </m:rPr>
          <w:rPr>
            <w:rFonts w:ascii="Cambria Math" w:hAnsi="Cambria Math" w:cstheme="minorHAnsi"/>
            <w:lang w:val="en-US"/>
          </w:rPr>
          <m:t>+</m:t>
        </m:r>
        <m:sSub>
          <m:sSubPr>
            <m:ctrlPr>
              <w:rPr>
                <w:rFonts w:ascii="Cambria Math" w:hAnsi="Cambria Math" w:cstheme="minorHAnsi"/>
                <w:lang w:val="en-US"/>
              </w:rPr>
            </m:ctrlPr>
          </m:sSubPr>
          <m:e>
            <m:r>
              <w:rPr>
                <w:rFonts w:ascii="Cambria Math" w:hAnsi="Cambria Math" w:cstheme="minorHAnsi"/>
                <w:lang w:val="en-US"/>
              </w:rPr>
              <m:t>ρ</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sSub>
          <m:sSubPr>
            <m:ctrlPr>
              <w:rPr>
                <w:rFonts w:ascii="Cambria Math" w:hAnsi="Cambria Math" w:cstheme="minorHAnsi"/>
                <w:lang w:val="en-US"/>
              </w:rPr>
            </m:ctrlPr>
          </m:sSubPr>
          <m:e>
            <m:r>
              <w:rPr>
                <w:rFonts w:ascii="Cambria Math" w:hAnsi="Cambria Math" w:cstheme="minorHAnsi"/>
                <w:lang w:val="en-US"/>
              </w:rPr>
              <m:t>D</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oMath>
    </w:p>
    <w:p w14:paraId="2F7D2EF2"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 xml:space="preserve">Following Abadie et al. (2010), the potential effect of the intervention for the affected unit on our study (Senegal) in period </w:t>
      </w:r>
      <m:oMath>
        <m:r>
          <w:rPr>
            <w:rFonts w:ascii="Cambria Math" w:hAnsi="Cambria Math" w:cstheme="minorHAnsi"/>
            <w:lang w:val="en-US"/>
          </w:rPr>
          <m:t>t</m:t>
        </m:r>
        <m:r>
          <m:rPr>
            <m:sty m:val="p"/>
          </m:rPr>
          <w:rPr>
            <w:rFonts w:ascii="Cambria Math" w:hAnsi="Cambria Math" w:cstheme="minorHAnsi"/>
            <w:lang w:val="en-US"/>
          </w:rPr>
          <m:t>&gt;</m:t>
        </m:r>
        <m:sSub>
          <m:sSubPr>
            <m:ctrlPr>
              <w:rPr>
                <w:rFonts w:ascii="Cambria Math" w:hAnsi="Cambria Math" w:cstheme="minorHAnsi"/>
                <w:lang w:val="en-US"/>
              </w:rPr>
            </m:ctrlPr>
          </m:sSubPr>
          <m:e>
            <m:r>
              <w:rPr>
                <w:rFonts w:ascii="Cambria Math" w:hAnsi="Cambria Math" w:cstheme="minorHAnsi"/>
                <w:lang w:val="en-US"/>
              </w:rPr>
              <m:t>T</m:t>
            </m:r>
          </m:e>
          <m:sub>
            <m:r>
              <m:rPr>
                <m:sty m:val="p"/>
              </m:rPr>
              <w:rPr>
                <w:rFonts w:ascii="Cambria Math" w:hAnsi="Cambria Math" w:cstheme="minorHAnsi"/>
                <w:lang w:val="en-US"/>
              </w:rPr>
              <m:t>0</m:t>
            </m:r>
          </m:sub>
        </m:sSub>
      </m:oMath>
      <w:r w:rsidRPr="000E5D59">
        <w:rPr>
          <w:rFonts w:asciiTheme="minorHAnsi" w:hAnsiTheme="minorHAnsi" w:cstheme="minorHAnsi"/>
          <w:lang w:val="en-US"/>
        </w:rPr>
        <w:t xml:space="preserve"> is measured by Abadie et al. (2010), </w:t>
      </w:r>
    </w:p>
    <w:p w14:paraId="707EB76D"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Eq (3)</w:t>
      </w:r>
      <w:r w:rsidRPr="000E5D59">
        <w:rPr>
          <w:rFonts w:asciiTheme="minorHAnsi" w:hAnsiTheme="minorHAnsi" w:cstheme="minorHAnsi"/>
          <w:lang w:val="en-US"/>
        </w:rPr>
        <w:tab/>
        <w:t xml:space="preserve">   </w:t>
      </w:r>
      <m:oMath>
        <m:sSub>
          <m:sSubPr>
            <m:ctrlPr>
              <w:rPr>
                <w:rFonts w:ascii="Cambria Math" w:hAnsi="Cambria Math" w:cstheme="minorHAnsi"/>
                <w:lang w:val="en-US"/>
              </w:rPr>
            </m:ctrlPr>
          </m:sSubPr>
          <m:e>
            <m:r>
              <w:rPr>
                <w:rFonts w:ascii="Cambria Math" w:hAnsi="Cambria Math" w:cstheme="minorHAnsi"/>
                <w:lang w:val="en-US"/>
              </w:rPr>
              <m:t>ρ</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r>
          <m:rPr>
            <m:sty m:val="p"/>
          </m:rPr>
          <w:rPr>
            <w:rFonts w:ascii="Cambria Math" w:hAnsi="Cambria Math" w:cstheme="minorHAnsi"/>
            <w:lang w:val="en-US"/>
          </w:rPr>
          <m:t>=</m:t>
        </m:r>
        <m:sSubSup>
          <m:sSubSupPr>
            <m:ctrlPr>
              <w:rPr>
                <w:rFonts w:ascii="Cambria Math" w:hAnsi="Cambria Math" w:cstheme="minorHAnsi"/>
                <w:lang w:val="en-US"/>
              </w:rPr>
            </m:ctrlPr>
          </m:sSubSupPr>
          <m:e>
            <m:r>
              <w:rPr>
                <w:rFonts w:ascii="Cambria Math" w:hAnsi="Cambria Math" w:cstheme="minorHAnsi"/>
                <w:lang w:val="en-US"/>
              </w:rPr>
              <m:t>Y</m:t>
            </m:r>
          </m:e>
          <m:sub>
            <m:r>
              <m:rPr>
                <m:sty m:val="p"/>
              </m:rPr>
              <w:rPr>
                <w:rFonts w:ascii="Cambria Math" w:hAnsi="Cambria Math" w:cstheme="minorHAnsi"/>
                <w:lang w:val="en-US"/>
              </w:rPr>
              <m:t>1,</m:t>
            </m:r>
            <m:r>
              <w:rPr>
                <w:rFonts w:ascii="Cambria Math" w:hAnsi="Cambria Math" w:cstheme="minorHAnsi"/>
                <w:lang w:val="en-US"/>
              </w:rPr>
              <m:t>t</m:t>
            </m:r>
          </m:sub>
          <m:sup>
            <m:r>
              <w:rPr>
                <w:rFonts w:ascii="Cambria Math" w:hAnsi="Cambria Math" w:cstheme="minorHAnsi"/>
                <w:lang w:val="en-US"/>
              </w:rPr>
              <m:t>I</m:t>
            </m:r>
          </m:sup>
        </m:sSubSup>
        <m:r>
          <m:rPr>
            <m:sty m:val="p"/>
          </m:rPr>
          <w:rPr>
            <w:rFonts w:ascii="Cambria Math" w:hAnsi="Cambria Math" w:cstheme="minorHAnsi"/>
            <w:lang w:val="en-US"/>
          </w:rPr>
          <m:t>-</m:t>
        </m:r>
        <m:sSubSup>
          <m:sSubSupPr>
            <m:ctrlPr>
              <w:rPr>
                <w:rFonts w:ascii="Cambria Math" w:hAnsi="Cambria Math" w:cstheme="minorHAnsi"/>
                <w:lang w:val="en-US"/>
              </w:rPr>
            </m:ctrlPr>
          </m:sSubSupPr>
          <m:e>
            <m:r>
              <w:rPr>
                <w:rFonts w:ascii="Cambria Math" w:hAnsi="Cambria Math" w:cstheme="minorHAnsi"/>
                <w:lang w:val="en-US"/>
              </w:rPr>
              <m:t>Y</m:t>
            </m:r>
          </m:e>
          <m:sub>
            <m:r>
              <m:rPr>
                <m:sty m:val="p"/>
              </m:rPr>
              <w:rPr>
                <w:rFonts w:ascii="Cambria Math" w:hAnsi="Cambria Math" w:cstheme="minorHAnsi"/>
                <w:lang w:val="en-US"/>
              </w:rPr>
              <m:t>1,</m:t>
            </m:r>
            <m:r>
              <w:rPr>
                <w:rFonts w:ascii="Cambria Math" w:hAnsi="Cambria Math" w:cstheme="minorHAnsi"/>
                <w:lang w:val="en-US"/>
              </w:rPr>
              <m:t>t</m:t>
            </m:r>
          </m:sub>
          <m:sup>
            <m:r>
              <w:rPr>
                <w:rFonts w:ascii="Cambria Math" w:hAnsi="Cambria Math" w:cstheme="minorHAnsi"/>
                <w:lang w:val="en-US"/>
              </w:rPr>
              <m:t>N</m:t>
            </m:r>
          </m:sup>
        </m:sSubSup>
        <m:r>
          <m:rPr>
            <m:sty m:val="p"/>
          </m:rPr>
          <w:rPr>
            <w:rFonts w:ascii="Cambria Math" w:hAnsi="Cambria Math" w:cstheme="minorHAnsi"/>
            <w:lang w:val="en-US"/>
          </w:rPr>
          <m:t>=</m:t>
        </m:r>
        <m:sSub>
          <m:sSubPr>
            <m:ctrlPr>
              <w:rPr>
                <w:rFonts w:ascii="Cambria Math" w:hAnsi="Cambria Math" w:cstheme="minorHAnsi"/>
                <w:lang w:val="en-US"/>
              </w:rPr>
            </m:ctrlPr>
          </m:sSub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r>
          <m:rPr>
            <m:sty m:val="p"/>
          </m:rPr>
          <w:rPr>
            <w:rFonts w:ascii="Cambria Math" w:hAnsi="Cambria Math" w:cstheme="minorHAnsi"/>
            <w:lang w:val="en-US"/>
          </w:rPr>
          <m:t>-</m:t>
        </m:r>
        <m:sSubSup>
          <m:sSubSupPr>
            <m:ctrlPr>
              <w:rPr>
                <w:rFonts w:ascii="Cambria Math" w:hAnsi="Cambria Math" w:cstheme="minorHAnsi"/>
                <w:lang w:val="en-US"/>
              </w:rPr>
            </m:ctrlPr>
          </m:sSubSupPr>
          <m:e>
            <m:r>
              <w:rPr>
                <w:rFonts w:ascii="Cambria Math" w:hAnsi="Cambria Math" w:cstheme="minorHAnsi"/>
                <w:lang w:val="en-US"/>
              </w:rPr>
              <m:t>Y</m:t>
            </m:r>
          </m:e>
          <m:sub>
            <m:r>
              <m:rPr>
                <m:sty m:val="p"/>
              </m:rPr>
              <w:rPr>
                <w:rFonts w:ascii="Cambria Math" w:hAnsi="Cambria Math" w:cstheme="minorHAnsi"/>
                <w:lang w:val="en-US"/>
              </w:rPr>
              <m:t>1,</m:t>
            </m:r>
            <m:r>
              <w:rPr>
                <w:rFonts w:ascii="Cambria Math" w:hAnsi="Cambria Math" w:cstheme="minorHAnsi"/>
                <w:lang w:val="en-US"/>
              </w:rPr>
              <m:t>t</m:t>
            </m:r>
          </m:sub>
          <m:sup>
            <m:r>
              <w:rPr>
                <w:rFonts w:ascii="Cambria Math" w:hAnsi="Cambria Math" w:cstheme="minorHAnsi"/>
                <w:lang w:val="en-US"/>
              </w:rPr>
              <m:t>N</m:t>
            </m:r>
          </m:sup>
        </m:sSubSup>
      </m:oMath>
    </w:p>
    <w:p w14:paraId="484FD5AC"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 xml:space="preserve">Since </w:t>
      </w:r>
      <m:oMath>
        <m:sSubSup>
          <m:sSubSupPr>
            <m:ctrlPr>
              <w:rPr>
                <w:rFonts w:ascii="Cambria Math" w:hAnsi="Cambria Math" w:cstheme="minorHAnsi"/>
                <w:lang w:val="en-US"/>
              </w:rPr>
            </m:ctrlPr>
          </m:sSubSupPr>
          <m:e>
            <m:r>
              <w:rPr>
                <w:rFonts w:ascii="Cambria Math" w:hAnsi="Cambria Math" w:cstheme="minorHAnsi"/>
                <w:lang w:val="en-US"/>
              </w:rPr>
              <m:t>Y</m:t>
            </m:r>
          </m:e>
          <m:sub>
            <m:r>
              <m:rPr>
                <m:sty m:val="p"/>
              </m:rPr>
              <w:rPr>
                <w:rFonts w:ascii="Cambria Math" w:hAnsi="Cambria Math" w:cstheme="minorHAnsi"/>
                <w:lang w:val="en-US"/>
              </w:rPr>
              <m:t>1,</m:t>
            </m:r>
            <m:r>
              <w:rPr>
                <w:rFonts w:ascii="Cambria Math" w:hAnsi="Cambria Math" w:cstheme="minorHAnsi"/>
                <w:lang w:val="en-US"/>
              </w:rPr>
              <m:t>t</m:t>
            </m:r>
          </m:sub>
          <m:sup>
            <m:r>
              <w:rPr>
                <w:rFonts w:ascii="Cambria Math" w:hAnsi="Cambria Math" w:cstheme="minorHAnsi"/>
                <w:lang w:val="en-US"/>
              </w:rPr>
              <m:t>I</m:t>
            </m:r>
          </m:sup>
        </m:sSubSup>
      </m:oMath>
      <w:r w:rsidRPr="000E5D59">
        <w:rPr>
          <w:rFonts w:asciiTheme="minorHAnsi" w:hAnsiTheme="minorHAnsi" w:cstheme="minorHAnsi"/>
          <w:lang w:val="en-US"/>
        </w:rPr>
        <w:t xml:space="preserve"> is known, one can estimate the post-intervention trend of the variable of interest by estimating </w:t>
      </w:r>
      <m:oMath>
        <m:sSubSup>
          <m:sSubSupPr>
            <m:ctrlPr>
              <w:rPr>
                <w:rFonts w:ascii="Cambria Math" w:hAnsi="Cambria Math" w:cstheme="minorHAnsi"/>
                <w:lang w:val="en-US"/>
              </w:rPr>
            </m:ctrlPr>
          </m:sSubSupPr>
          <m:e>
            <m:r>
              <w:rPr>
                <w:rFonts w:ascii="Cambria Math" w:hAnsi="Cambria Math" w:cstheme="minorHAnsi"/>
                <w:lang w:val="en-US"/>
              </w:rPr>
              <m:t>Y</m:t>
            </m:r>
          </m:e>
          <m:sub>
            <m:r>
              <m:rPr>
                <m:sty m:val="p"/>
              </m:rPr>
              <w:rPr>
                <w:rFonts w:ascii="Cambria Math" w:hAnsi="Cambria Math" w:cstheme="minorHAnsi"/>
                <w:lang w:val="en-US"/>
              </w:rPr>
              <m:t>1,</m:t>
            </m:r>
            <m:r>
              <w:rPr>
                <w:rFonts w:ascii="Cambria Math" w:hAnsi="Cambria Math" w:cstheme="minorHAnsi"/>
                <w:lang w:val="en-US"/>
              </w:rPr>
              <m:t>t</m:t>
            </m:r>
          </m:sub>
          <m:sup>
            <m:r>
              <w:rPr>
                <w:rFonts w:ascii="Cambria Math" w:hAnsi="Cambria Math" w:cstheme="minorHAnsi"/>
                <w:lang w:val="en-US"/>
              </w:rPr>
              <m:t>N</m:t>
            </m:r>
          </m:sup>
        </m:sSubSup>
      </m:oMath>
      <w:r w:rsidRPr="000E5D59">
        <w:rPr>
          <w:rFonts w:asciiTheme="minorHAnsi" w:hAnsiTheme="minorHAnsi" w:cstheme="minorHAnsi"/>
          <w:lang w:val="en-US"/>
        </w:rPr>
        <w:t xml:space="preserve"> which is the outcome variable of Senegal where no intervention occurred. Abadie et al. (2010) applies the following linear factor model to estimate </w:t>
      </w:r>
      <m:oMath>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N</m:t>
            </m:r>
          </m:sup>
        </m:sSubSup>
      </m:oMath>
      <w:r w:rsidRPr="000E5D59">
        <w:rPr>
          <w:rFonts w:asciiTheme="minorHAnsi" w:hAnsiTheme="minorHAnsi" w:cstheme="minorHAnsi"/>
          <w:lang w:val="en-US"/>
        </w:rPr>
        <w:t>.</w:t>
      </w:r>
    </w:p>
    <w:p w14:paraId="39C4F1BD"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Eq (4)</w:t>
      </w:r>
      <w:r w:rsidRPr="000E5D59">
        <w:rPr>
          <w:rFonts w:asciiTheme="minorHAnsi" w:hAnsiTheme="minorHAnsi" w:cstheme="minorHAnsi"/>
          <w:lang w:val="en-US"/>
        </w:rPr>
        <w:tab/>
        <w:t xml:space="preserve">   </w:t>
      </w:r>
      <m:oMath>
        <m:sSubSup>
          <m:sSubSupPr>
            <m:ctrlPr>
              <w:rPr>
                <w:rFonts w:ascii="Cambria Math" w:hAnsi="Cambria Math" w:cstheme="minorHAnsi"/>
                <w:lang w:val="en-US"/>
              </w:rPr>
            </m:ctrlPr>
          </m:sSubSup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up>
            <m:r>
              <w:rPr>
                <w:rFonts w:ascii="Cambria Math" w:hAnsi="Cambria Math" w:cstheme="minorHAnsi"/>
                <w:lang w:val="en-US"/>
              </w:rPr>
              <m:t>N</m:t>
            </m:r>
          </m:sup>
        </m:sSubSup>
        <m:r>
          <m:rPr>
            <m:sty m:val="p"/>
          </m:rPr>
          <w:rPr>
            <w:rFonts w:ascii="Cambria Math" w:hAnsi="Cambria Math" w:cstheme="minorHAnsi"/>
            <w:lang w:val="en-US"/>
          </w:rPr>
          <m:t>=</m:t>
        </m:r>
        <m:sSub>
          <m:sSubPr>
            <m:ctrlPr>
              <w:rPr>
                <w:rFonts w:ascii="Cambria Math" w:hAnsi="Cambria Math" w:cstheme="minorHAnsi"/>
                <w:lang w:val="en-US"/>
              </w:rPr>
            </m:ctrlPr>
          </m:sSubPr>
          <m:e>
            <m:r>
              <w:rPr>
                <w:rFonts w:ascii="Cambria Math" w:hAnsi="Cambria Math" w:cstheme="minorHAnsi"/>
                <w:lang w:val="en-US"/>
              </w:rPr>
              <m:t>β</m:t>
            </m:r>
          </m:e>
          <m:sub>
            <m:r>
              <w:rPr>
                <w:rFonts w:ascii="Cambria Math" w:hAnsi="Cambria Math" w:cstheme="minorHAnsi"/>
                <w:lang w:val="en-US"/>
              </w:rPr>
              <m:t>t</m:t>
            </m:r>
          </m:sub>
        </m:sSub>
        <m:r>
          <m:rPr>
            <m:sty m:val="p"/>
          </m:rPr>
          <w:rPr>
            <w:rFonts w:ascii="Cambria Math" w:hAnsi="Cambria Math" w:cstheme="minorHAnsi"/>
            <w:lang w:val="en-US"/>
          </w:rPr>
          <m:t>+</m:t>
        </m:r>
        <m:sSub>
          <m:sSubPr>
            <m:ctrlPr>
              <w:rPr>
                <w:rFonts w:ascii="Cambria Math" w:hAnsi="Cambria Math" w:cstheme="minorHAnsi"/>
                <w:lang w:val="en-US"/>
              </w:rPr>
            </m:ctrlPr>
          </m:sSubPr>
          <m:e>
            <m:r>
              <w:rPr>
                <w:rFonts w:ascii="Cambria Math" w:hAnsi="Cambria Math" w:cstheme="minorHAnsi"/>
                <w:lang w:val="en-US"/>
              </w:rPr>
              <m:t>θ</m:t>
            </m:r>
          </m:e>
          <m:sub>
            <m:r>
              <w:rPr>
                <w:rFonts w:ascii="Cambria Math" w:hAnsi="Cambria Math" w:cstheme="minorHAnsi"/>
                <w:lang w:val="en-US"/>
              </w:rPr>
              <m:t>t</m:t>
            </m:r>
          </m:sub>
        </m:sSub>
        <m:sSub>
          <m:sSubPr>
            <m:ctrlPr>
              <w:rPr>
                <w:rFonts w:ascii="Cambria Math" w:hAnsi="Cambria Math" w:cstheme="minorHAnsi"/>
                <w:lang w:val="en-US"/>
              </w:rPr>
            </m:ctrlPr>
          </m:sSubPr>
          <m:e>
            <m:r>
              <w:rPr>
                <w:rFonts w:ascii="Cambria Math" w:hAnsi="Cambria Math" w:cstheme="minorHAnsi"/>
                <w:lang w:val="en-US"/>
              </w:rPr>
              <m:t>X</m:t>
            </m:r>
          </m:e>
          <m:sub>
            <m:r>
              <w:rPr>
                <w:rFonts w:ascii="Cambria Math" w:hAnsi="Cambria Math" w:cstheme="minorHAnsi"/>
                <w:lang w:val="en-US"/>
              </w:rPr>
              <m:t>j</m:t>
            </m:r>
          </m:sub>
        </m:sSub>
        <m:r>
          <m:rPr>
            <m:sty m:val="p"/>
          </m:rPr>
          <w:rPr>
            <w:rFonts w:ascii="Cambria Math" w:hAnsi="Cambria Math" w:cstheme="minorHAnsi"/>
            <w:lang w:val="en-US"/>
          </w:rPr>
          <m:t>+</m:t>
        </m:r>
        <m:sSub>
          <m:sSubPr>
            <m:ctrlPr>
              <w:rPr>
                <w:rFonts w:ascii="Cambria Math" w:hAnsi="Cambria Math" w:cstheme="minorHAnsi"/>
                <w:lang w:val="en-US"/>
              </w:rPr>
            </m:ctrlPr>
          </m:sSubPr>
          <m:e>
            <m:r>
              <w:rPr>
                <w:rFonts w:ascii="Cambria Math" w:hAnsi="Cambria Math" w:cstheme="minorHAnsi"/>
                <w:lang w:val="en-US"/>
              </w:rPr>
              <m:t>δ</m:t>
            </m:r>
          </m:e>
          <m:sub>
            <m:r>
              <w:rPr>
                <w:rFonts w:ascii="Cambria Math" w:hAnsi="Cambria Math" w:cstheme="minorHAnsi"/>
                <w:lang w:val="en-US"/>
              </w:rPr>
              <m:t>t</m:t>
            </m:r>
          </m:sub>
        </m:sSub>
        <m:sSub>
          <m:sSubPr>
            <m:ctrlPr>
              <w:rPr>
                <w:rFonts w:ascii="Cambria Math" w:hAnsi="Cambria Math" w:cstheme="minorHAnsi"/>
                <w:lang w:val="en-US"/>
              </w:rPr>
            </m:ctrlPr>
          </m:sSubPr>
          <m:e>
            <m:r>
              <w:rPr>
                <w:rFonts w:ascii="Cambria Math" w:hAnsi="Cambria Math" w:cstheme="minorHAnsi"/>
                <w:lang w:val="en-US"/>
              </w:rPr>
              <m:t>Z</m:t>
            </m:r>
          </m:e>
          <m:sub>
            <m:r>
              <w:rPr>
                <w:rFonts w:ascii="Cambria Math" w:hAnsi="Cambria Math" w:cstheme="minorHAnsi"/>
                <w:lang w:val="en-US"/>
              </w:rPr>
              <m:t>j</m:t>
            </m:r>
          </m:sub>
        </m:sSub>
        <m:r>
          <m:rPr>
            <m:sty m:val="p"/>
          </m:rPr>
          <w:rPr>
            <w:rFonts w:ascii="Cambria Math" w:hAnsi="Cambria Math" w:cstheme="minorHAnsi"/>
            <w:lang w:val="en-US"/>
          </w:rPr>
          <m:t>+</m:t>
        </m:r>
        <m:sSub>
          <m:sSubPr>
            <m:ctrlPr>
              <w:rPr>
                <w:rFonts w:ascii="Cambria Math" w:hAnsi="Cambria Math" w:cstheme="minorHAnsi"/>
                <w:lang w:val="en-US"/>
              </w:rPr>
            </m:ctrlPr>
          </m:sSubPr>
          <m:e>
            <m:r>
              <w:rPr>
                <w:rFonts w:ascii="Cambria Math" w:hAnsi="Cambria Math" w:cstheme="minorHAnsi"/>
                <w:lang w:val="en-US"/>
              </w:rPr>
              <m:t>ε</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oMath>
    </w:p>
    <w:p w14:paraId="537AB9B9" w14:textId="1173961C"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 xml:space="preserve">Where </w:t>
      </w:r>
      <m:oMath>
        <m:sSub>
          <m:sSubPr>
            <m:ctrlPr>
              <w:rPr>
                <w:rFonts w:ascii="Cambria Math" w:hAnsi="Cambria Math" w:cstheme="minorHAnsi"/>
                <w:lang w:val="en-US"/>
              </w:rPr>
            </m:ctrlPr>
          </m:sSubPr>
          <m:e>
            <m:r>
              <w:rPr>
                <w:rFonts w:ascii="Cambria Math" w:hAnsi="Cambria Math" w:cstheme="minorHAnsi"/>
                <w:lang w:val="en-US"/>
              </w:rPr>
              <m:t>β</m:t>
            </m:r>
          </m:e>
          <m:sub>
            <m:r>
              <w:rPr>
                <w:rFonts w:ascii="Cambria Math" w:hAnsi="Cambria Math" w:cstheme="minorHAnsi"/>
                <w:lang w:val="en-US"/>
              </w:rPr>
              <m:t>t</m:t>
            </m:r>
          </m:sub>
        </m:sSub>
      </m:oMath>
      <w:r w:rsidRPr="000E5D59">
        <w:rPr>
          <w:rFonts w:asciiTheme="minorHAnsi" w:hAnsiTheme="minorHAnsi" w:cstheme="minorHAnsi"/>
          <w:lang w:val="en-US"/>
        </w:rPr>
        <w:t xml:space="preserve"> denote the time-variant fixed effect, </w:t>
      </w:r>
      <m:oMath>
        <m:sSub>
          <m:sSubPr>
            <m:ctrlPr>
              <w:rPr>
                <w:rFonts w:ascii="Cambria Math" w:hAnsi="Cambria Math" w:cstheme="minorHAnsi"/>
                <w:lang w:val="en-US"/>
              </w:rPr>
            </m:ctrlPr>
          </m:sSubPr>
          <m:e>
            <m:r>
              <w:rPr>
                <w:rFonts w:ascii="Cambria Math" w:hAnsi="Cambria Math" w:cstheme="minorHAnsi"/>
                <w:lang w:val="en-US"/>
              </w:rPr>
              <m:t>X</m:t>
            </m:r>
          </m:e>
          <m:sub>
            <m:r>
              <w:rPr>
                <w:rFonts w:ascii="Cambria Math" w:hAnsi="Cambria Math" w:cstheme="minorHAnsi"/>
                <w:lang w:val="en-US"/>
              </w:rPr>
              <m:t>j</m:t>
            </m:r>
          </m:sub>
        </m:sSub>
      </m:oMath>
      <w:r w:rsidRPr="000E5D59">
        <w:rPr>
          <w:rFonts w:asciiTheme="minorHAnsi" w:hAnsiTheme="minorHAnsi" w:cstheme="minorHAnsi"/>
          <w:lang w:val="en-US"/>
        </w:rPr>
        <w:t xml:space="preserve"> are the observed variables, and </w:t>
      </w:r>
      <m:oMath>
        <m:sSub>
          <m:sSubPr>
            <m:ctrlPr>
              <w:rPr>
                <w:rFonts w:ascii="Cambria Math" w:hAnsi="Cambria Math" w:cstheme="minorHAnsi"/>
                <w:lang w:val="en-US"/>
              </w:rPr>
            </m:ctrlPr>
          </m:sSubPr>
          <m:e>
            <m:r>
              <w:rPr>
                <w:rFonts w:ascii="Cambria Math" w:hAnsi="Cambria Math" w:cstheme="minorHAnsi"/>
                <w:lang w:val="en-US"/>
              </w:rPr>
              <m:t>Z</m:t>
            </m:r>
          </m:e>
          <m:sub>
            <m:r>
              <w:rPr>
                <w:rFonts w:ascii="Cambria Math" w:hAnsi="Cambria Math" w:cstheme="minorHAnsi"/>
                <w:lang w:val="en-US"/>
              </w:rPr>
              <m:t>j</m:t>
            </m:r>
          </m:sub>
        </m:sSub>
      </m:oMath>
      <w:r w:rsidRPr="000E5D59">
        <w:rPr>
          <w:rFonts w:asciiTheme="minorHAnsi" w:hAnsiTheme="minorHAnsi" w:cstheme="minorHAnsi"/>
          <w:lang w:val="en-US"/>
        </w:rPr>
        <w:t xml:space="preserve"> is the unobserved variable affecting </w:t>
      </w:r>
      <w:r w:rsidR="000A5617" w:rsidRPr="000E5D59">
        <w:rPr>
          <w:rFonts w:asciiTheme="minorHAnsi" w:hAnsiTheme="minorHAnsi" w:cstheme="minorHAnsi"/>
          <w:lang w:val="en-US"/>
        </w:rPr>
        <w:t xml:space="preserve">the </w:t>
      </w:r>
      <w:r w:rsidRPr="000E5D59">
        <w:rPr>
          <w:rFonts w:asciiTheme="minorHAnsi" w:hAnsiTheme="minorHAnsi" w:cstheme="minorHAnsi"/>
          <w:lang w:val="en-US"/>
        </w:rPr>
        <w:t xml:space="preserve">variable of interest. </w:t>
      </w:r>
      <m:oMath>
        <m:sSub>
          <m:sSubPr>
            <m:ctrlPr>
              <w:rPr>
                <w:rFonts w:ascii="Cambria Math" w:hAnsi="Cambria Math" w:cstheme="minorHAnsi"/>
                <w:lang w:val="en-US"/>
              </w:rPr>
            </m:ctrlPr>
          </m:sSubPr>
          <m:e>
            <m:r>
              <w:rPr>
                <w:rFonts w:ascii="Cambria Math" w:hAnsi="Cambria Math" w:cstheme="minorHAnsi"/>
                <w:lang w:val="en-US"/>
              </w:rPr>
              <m:t>ε</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oMath>
      <w:r w:rsidRPr="000E5D59">
        <w:rPr>
          <w:rFonts w:asciiTheme="minorHAnsi" w:hAnsiTheme="minorHAnsi" w:cstheme="minorHAnsi"/>
          <w:lang w:val="en-US"/>
        </w:rPr>
        <w:t xml:space="preserve"> is the random error term with zero </w:t>
      </w:r>
      <w:proofErr w:type="gramStart"/>
      <w:r w:rsidRPr="000E5D59">
        <w:rPr>
          <w:rFonts w:asciiTheme="minorHAnsi" w:hAnsiTheme="minorHAnsi" w:cstheme="minorHAnsi"/>
          <w:lang w:val="en-US"/>
        </w:rPr>
        <w:t>mean</w:t>
      </w:r>
      <w:r w:rsidR="000A5617" w:rsidRPr="000E5D59">
        <w:rPr>
          <w:rFonts w:asciiTheme="minorHAnsi" w:hAnsiTheme="minorHAnsi" w:cstheme="minorHAnsi"/>
          <w:lang w:val="en-US"/>
        </w:rPr>
        <w:t>s</w:t>
      </w:r>
      <w:r w:rsidRPr="000E5D59">
        <w:rPr>
          <w:rFonts w:asciiTheme="minorHAnsi" w:hAnsiTheme="minorHAnsi" w:cstheme="minorHAnsi"/>
          <w:lang w:val="en-US"/>
        </w:rPr>
        <w:t>.</w:t>
      </w:r>
      <w:proofErr w:type="gramEnd"/>
      <w:r w:rsidRPr="000E5D59">
        <w:rPr>
          <w:rFonts w:asciiTheme="minorHAnsi" w:hAnsiTheme="minorHAnsi" w:cstheme="minorHAnsi"/>
          <w:lang w:val="en-US"/>
        </w:rPr>
        <w:t xml:space="preserve"> According to </w:t>
      </w:r>
      <w:bookmarkStart w:id="5" w:name="_Hlk97848844"/>
      <w:r w:rsidRPr="000E5D59">
        <w:rPr>
          <w:rFonts w:asciiTheme="minorHAnsi" w:hAnsiTheme="minorHAnsi" w:cstheme="minorHAnsi"/>
          <w:lang w:val="en-US"/>
        </w:rPr>
        <w:t xml:space="preserve">Abadie </w:t>
      </w:r>
      <w:bookmarkEnd w:id="5"/>
      <w:r w:rsidRPr="000E5D59">
        <w:rPr>
          <w:rFonts w:asciiTheme="minorHAnsi" w:hAnsiTheme="minorHAnsi" w:cstheme="minorHAnsi"/>
          <w:lang w:val="en-US"/>
        </w:rPr>
        <w:t xml:space="preserve">(2021), a weighted average of units in the donor pool may approximate the characteristics of the treated unit much better than any untreated unit alone. Given a set of weights for each untreated unit </w:t>
      </w:r>
      <m:oMath>
        <m:r>
          <w:rPr>
            <w:rFonts w:ascii="Cambria Math" w:hAnsi="Cambria Math" w:cstheme="minorHAnsi"/>
            <w:lang w:val="en-US"/>
          </w:rPr>
          <m:t>W</m:t>
        </m:r>
        <m:r>
          <m:rPr>
            <m:sty m:val="p"/>
          </m:rPr>
          <w:rPr>
            <w:rFonts w:ascii="Cambria Math" w:hAnsi="Cambria Math" w:cstheme="minorHAnsi"/>
            <w:lang w:val="en-US"/>
          </w:rPr>
          <m:t>=</m:t>
        </m:r>
        <m:d>
          <m:dPr>
            <m:ctrlPr>
              <w:rPr>
                <w:rFonts w:ascii="Cambria Math" w:hAnsi="Cambria Math" w:cstheme="minorHAnsi"/>
                <w:lang w:val="en-US"/>
              </w:rPr>
            </m:ctrlPr>
          </m:dPr>
          <m:e>
            <m:sSub>
              <m:sSubPr>
                <m:ctrlPr>
                  <w:rPr>
                    <w:rFonts w:ascii="Cambria Math" w:hAnsi="Cambria Math" w:cstheme="minorHAnsi"/>
                    <w:lang w:val="en-US"/>
                  </w:rPr>
                </m:ctrlPr>
              </m:sSubPr>
              <m:e>
                <m:r>
                  <w:rPr>
                    <w:rFonts w:ascii="Cambria Math" w:hAnsi="Cambria Math" w:cstheme="minorHAnsi"/>
                    <w:lang w:val="en-US"/>
                  </w:rPr>
                  <m:t>w</m:t>
                </m:r>
              </m:e>
              <m:sub>
                <m:r>
                  <m:rPr>
                    <m:sty m:val="p"/>
                  </m:rPr>
                  <w:rPr>
                    <w:rFonts w:ascii="Cambria Math" w:hAnsi="Cambria Math" w:cstheme="minorHAnsi"/>
                    <w:lang w:val="en-US"/>
                  </w:rPr>
                  <m:t>2</m:t>
                </m:r>
              </m:sub>
            </m:sSub>
            <m:r>
              <m:rPr>
                <m:sty m:val="p"/>
              </m:rPr>
              <w:rPr>
                <w:rFonts w:ascii="Cambria Math" w:hAnsi="Cambria Math" w:cstheme="minorHAnsi"/>
                <w:lang w:val="en-US"/>
              </w:rPr>
              <m:t xml:space="preserve">,…, </m:t>
            </m:r>
            <m:sSub>
              <m:sSubPr>
                <m:ctrlPr>
                  <w:rPr>
                    <w:rFonts w:ascii="Cambria Math" w:hAnsi="Cambria Math" w:cstheme="minorHAnsi"/>
                    <w:lang w:val="en-US"/>
                  </w:rPr>
                </m:ctrlPr>
              </m:sSubPr>
              <m:e>
                <m:r>
                  <w:rPr>
                    <w:rFonts w:ascii="Cambria Math" w:hAnsi="Cambria Math" w:cstheme="minorHAnsi"/>
                    <w:lang w:val="en-US"/>
                  </w:rPr>
                  <m:t>w</m:t>
                </m:r>
              </m:e>
              <m:sub>
                <m:r>
                  <w:rPr>
                    <w:rFonts w:ascii="Cambria Math" w:hAnsi="Cambria Math" w:cstheme="minorHAnsi"/>
                    <w:lang w:val="en-US"/>
                  </w:rPr>
                  <m:t>J</m:t>
                </m:r>
                <m:r>
                  <m:rPr>
                    <m:sty m:val="p"/>
                  </m:rPr>
                  <w:rPr>
                    <w:rFonts w:ascii="Cambria Math" w:hAnsi="Cambria Math" w:cstheme="minorHAnsi"/>
                    <w:lang w:val="en-US"/>
                  </w:rPr>
                  <m:t>+1</m:t>
                </m:r>
              </m:sub>
            </m:sSub>
          </m:e>
        </m:d>
        <m:r>
          <m:rPr>
            <m:sty m:val="p"/>
          </m:rPr>
          <w:rPr>
            <w:rFonts w:ascii="Cambria Math" w:hAnsi="Cambria Math" w:cstheme="minorHAnsi"/>
            <w:lang w:val="en-US"/>
          </w:rPr>
          <m:t>'</m:t>
        </m:r>
      </m:oMath>
      <w:r w:rsidRPr="000E5D59">
        <w:rPr>
          <w:rFonts w:asciiTheme="minorHAnsi" w:hAnsiTheme="minorHAnsi" w:cstheme="minorHAnsi"/>
          <w:lang w:val="en-US"/>
        </w:rPr>
        <w:t>, a synthetic control</w:t>
      </w:r>
      <w:r w:rsidRPr="000E5D59">
        <w:rPr>
          <w:rFonts w:asciiTheme="minorHAnsi" w:hAnsiTheme="minorHAnsi" w:cstheme="minorHAnsi"/>
          <w:rtl/>
          <w:lang w:val="en-US"/>
        </w:rPr>
        <w:t xml:space="preserve"> </w:t>
      </w:r>
      <w:proofErr w:type="gramStart"/>
      <w:r w:rsidRPr="000E5D59">
        <w:rPr>
          <w:rFonts w:asciiTheme="minorHAnsi" w:hAnsiTheme="minorHAnsi" w:cstheme="minorHAnsi"/>
          <w:lang w:val="en-US"/>
        </w:rPr>
        <w:t>estimate</w:t>
      </w:r>
      <w:proofErr w:type="gramEnd"/>
      <w:r w:rsidRPr="000E5D59">
        <w:rPr>
          <w:rFonts w:asciiTheme="minorHAnsi" w:hAnsiTheme="minorHAnsi" w:cstheme="minorHAnsi"/>
          <w:lang w:val="en-US"/>
        </w:rPr>
        <w:t xml:space="preserve"> of </w:t>
      </w:r>
      <m:oMath>
        <m:sSubSup>
          <m:sSubSupPr>
            <m:ctrlPr>
              <w:rPr>
                <w:rFonts w:ascii="Cambria Math" w:hAnsi="Cambria Math" w:cstheme="minorHAnsi"/>
                <w:lang w:val="en-US"/>
              </w:rPr>
            </m:ctrlPr>
          </m:sSubSupPr>
          <m:e>
            <m:r>
              <w:rPr>
                <w:rFonts w:ascii="Cambria Math" w:hAnsi="Cambria Math" w:cstheme="minorHAnsi"/>
                <w:lang w:val="en-US"/>
              </w:rPr>
              <m:t>Y</m:t>
            </m:r>
          </m:e>
          <m:sub>
            <m:r>
              <m:rPr>
                <m:sty m:val="p"/>
              </m:rPr>
              <w:rPr>
                <w:rFonts w:ascii="Cambria Math" w:hAnsi="Cambria Math" w:cstheme="minorHAnsi"/>
                <w:lang w:val="en-US"/>
              </w:rPr>
              <m:t>1,</m:t>
            </m:r>
            <m:r>
              <w:rPr>
                <w:rFonts w:ascii="Cambria Math" w:hAnsi="Cambria Math" w:cstheme="minorHAnsi"/>
                <w:lang w:val="en-US"/>
              </w:rPr>
              <m:t>t</m:t>
            </m:r>
          </m:sub>
          <m:sup>
            <m:r>
              <w:rPr>
                <w:rFonts w:ascii="Cambria Math" w:hAnsi="Cambria Math" w:cstheme="minorHAnsi"/>
                <w:lang w:val="en-US"/>
              </w:rPr>
              <m:t>N</m:t>
            </m:r>
          </m:sup>
        </m:sSubSup>
      </m:oMath>
      <w:r w:rsidRPr="000E5D59">
        <w:rPr>
          <w:rFonts w:asciiTheme="minorHAnsi" w:hAnsiTheme="minorHAnsi" w:cstheme="minorHAnsi"/>
          <w:lang w:val="en-US"/>
        </w:rPr>
        <w:t xml:space="preserve"> is:</w:t>
      </w:r>
    </w:p>
    <w:p w14:paraId="2633D4C9"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Eq (5)</w:t>
      </w:r>
      <w:r w:rsidRPr="000E5D59">
        <w:rPr>
          <w:rFonts w:asciiTheme="minorHAnsi" w:hAnsiTheme="minorHAnsi" w:cstheme="minorHAnsi"/>
          <w:lang w:val="en-US"/>
        </w:rPr>
        <w:tab/>
        <w:t xml:space="preserve">   </w:t>
      </w:r>
      <m:oMath>
        <m:sSubSup>
          <m:sSubSupPr>
            <m:ctrlPr>
              <w:rPr>
                <w:rFonts w:ascii="Cambria Math" w:hAnsi="Cambria Math" w:cstheme="minorHAnsi"/>
                <w:lang w:val="en-US"/>
              </w:rPr>
            </m:ctrlPr>
          </m:sSubSupPr>
          <m:e>
            <m:acc>
              <m:accPr>
                <m:ctrlPr>
                  <w:rPr>
                    <w:rFonts w:ascii="Cambria Math" w:hAnsi="Cambria Math" w:cstheme="minorHAnsi"/>
                    <w:lang w:val="en-US"/>
                  </w:rPr>
                </m:ctrlPr>
              </m:accPr>
              <m:e>
                <m:r>
                  <w:rPr>
                    <w:rFonts w:ascii="Cambria Math" w:hAnsi="Cambria Math" w:cstheme="minorHAnsi"/>
                    <w:lang w:val="en-US"/>
                  </w:rPr>
                  <m:t>Y</m:t>
                </m:r>
              </m:e>
            </m:acc>
          </m:e>
          <m:sub>
            <m:r>
              <m:rPr>
                <m:sty m:val="p"/>
              </m:rPr>
              <w:rPr>
                <w:rFonts w:ascii="Cambria Math" w:hAnsi="Cambria Math" w:cstheme="minorHAnsi"/>
                <w:lang w:val="en-US"/>
              </w:rPr>
              <m:t>1,</m:t>
            </m:r>
            <m:r>
              <w:rPr>
                <w:rFonts w:ascii="Cambria Math" w:hAnsi="Cambria Math" w:cstheme="minorHAnsi"/>
                <w:lang w:val="en-US"/>
              </w:rPr>
              <m:t>t</m:t>
            </m:r>
          </m:sub>
          <m:sup>
            <m:r>
              <w:rPr>
                <w:rFonts w:ascii="Cambria Math" w:hAnsi="Cambria Math" w:cstheme="minorHAnsi"/>
                <w:lang w:val="en-US"/>
              </w:rPr>
              <m:t>N</m:t>
            </m:r>
          </m:sup>
        </m:sSubSup>
        <m:r>
          <m:rPr>
            <m:sty m:val="p"/>
          </m:rPr>
          <w:rPr>
            <w:rFonts w:ascii="Cambria Math" w:hAnsi="Cambria Math" w:cstheme="minorHAnsi"/>
            <w:lang w:val="en-US"/>
          </w:rPr>
          <m:t>=</m:t>
        </m:r>
        <m:nary>
          <m:naryPr>
            <m:chr m:val="∑"/>
            <m:limLoc m:val="undOvr"/>
            <m:ctrlPr>
              <w:rPr>
                <w:rFonts w:ascii="Cambria Math" w:hAnsi="Cambria Math" w:cstheme="minorHAnsi"/>
                <w:lang w:val="en-US"/>
              </w:rPr>
            </m:ctrlPr>
          </m:naryPr>
          <m:sub>
            <m:r>
              <w:rPr>
                <w:rFonts w:ascii="Cambria Math" w:hAnsi="Cambria Math" w:cstheme="minorHAnsi"/>
                <w:lang w:val="en-US"/>
              </w:rPr>
              <m:t>j</m:t>
            </m:r>
            <m:r>
              <m:rPr>
                <m:sty m:val="p"/>
              </m:rPr>
              <w:rPr>
                <w:rFonts w:ascii="Cambria Math" w:hAnsi="Cambria Math" w:cstheme="minorHAnsi"/>
                <w:lang w:val="en-US"/>
              </w:rPr>
              <m:t>=2</m:t>
            </m:r>
          </m:sub>
          <m:sup>
            <m:r>
              <w:rPr>
                <w:rFonts w:ascii="Cambria Math" w:hAnsi="Cambria Math" w:cstheme="minorHAnsi"/>
                <w:lang w:val="en-US"/>
              </w:rPr>
              <m:t>J</m:t>
            </m:r>
            <m:r>
              <m:rPr>
                <m:sty m:val="p"/>
              </m:rPr>
              <w:rPr>
                <w:rFonts w:ascii="Cambria Math" w:hAnsi="Cambria Math" w:cstheme="minorHAnsi"/>
                <w:lang w:val="en-US"/>
              </w:rPr>
              <m:t>+1</m:t>
            </m:r>
          </m:sup>
          <m:e>
            <m:sSub>
              <m:sSubPr>
                <m:ctrlPr>
                  <w:rPr>
                    <w:rFonts w:ascii="Cambria Math" w:hAnsi="Cambria Math" w:cstheme="minorHAnsi"/>
                    <w:lang w:val="en-US"/>
                  </w:rPr>
                </m:ctrlPr>
              </m:sSubPr>
              <m:e>
                <m:r>
                  <w:rPr>
                    <w:rFonts w:ascii="Cambria Math" w:hAnsi="Cambria Math" w:cstheme="minorHAnsi"/>
                    <w:lang w:val="en-US"/>
                  </w:rPr>
                  <m:t>w</m:t>
                </m:r>
              </m:e>
              <m:sub>
                <m:r>
                  <w:rPr>
                    <w:rFonts w:ascii="Cambria Math" w:hAnsi="Cambria Math" w:cstheme="minorHAnsi"/>
                    <w:lang w:val="en-US"/>
                  </w:rPr>
                  <m:t>j</m:t>
                </m:r>
              </m:sub>
            </m:sSub>
            <m:sSub>
              <m:sSubPr>
                <m:ctrlPr>
                  <w:rPr>
                    <w:rFonts w:ascii="Cambria Math" w:hAnsi="Cambria Math" w:cstheme="minorHAnsi"/>
                    <w:lang w:val="en-US"/>
                  </w:rPr>
                </m:ctrlPr>
              </m:sSubPr>
              <m:e>
                <m:r>
                  <w:rPr>
                    <w:rFonts w:ascii="Cambria Math" w:hAnsi="Cambria Math" w:cstheme="minorHAnsi"/>
                    <w:lang w:val="en-US"/>
                  </w:rPr>
                  <m:t>Y</m:t>
                </m:r>
              </m:e>
              <m:sub>
                <m:r>
                  <w:rPr>
                    <w:rFonts w:ascii="Cambria Math" w:hAnsi="Cambria Math" w:cstheme="minorHAnsi"/>
                    <w:lang w:val="en-US"/>
                  </w:rPr>
                  <m:t>j</m:t>
                </m:r>
                <m:r>
                  <m:rPr>
                    <m:sty m:val="p"/>
                  </m:rPr>
                  <w:rPr>
                    <w:rFonts w:ascii="Cambria Math" w:hAnsi="Cambria Math" w:cstheme="minorHAnsi"/>
                    <w:lang w:val="en-US"/>
                  </w:rPr>
                  <m:t>,</m:t>
                </m:r>
                <m:r>
                  <w:rPr>
                    <w:rFonts w:ascii="Cambria Math" w:hAnsi="Cambria Math" w:cstheme="minorHAnsi"/>
                    <w:lang w:val="en-US"/>
                  </w:rPr>
                  <m:t>t</m:t>
                </m:r>
              </m:sub>
            </m:sSub>
          </m:e>
        </m:nary>
      </m:oMath>
    </w:p>
    <w:p w14:paraId="2D76F00C" w14:textId="77777777" w:rsidR="00DC21D1" w:rsidRPr="000E5D59" w:rsidRDefault="00DC21D1" w:rsidP="00DC21D1">
      <w:pPr>
        <w:pStyle w:val="AText"/>
        <w:rPr>
          <w:rFonts w:asciiTheme="minorHAnsi" w:hAnsiTheme="minorHAnsi" w:cstheme="minorHAnsi"/>
          <w:lang w:val="en-US"/>
        </w:rPr>
      </w:pPr>
      <w:r w:rsidRPr="000E5D59">
        <w:rPr>
          <w:rFonts w:asciiTheme="minorHAnsi" w:hAnsiTheme="minorHAnsi" w:cstheme="minorHAnsi"/>
          <w:lang w:val="en-US"/>
        </w:rPr>
        <w:t xml:space="preserve">Where </w:t>
      </w:r>
      <m:oMath>
        <m:sSubSup>
          <m:sSubSupPr>
            <m:ctrlPr>
              <w:rPr>
                <w:rFonts w:ascii="Cambria Math" w:hAnsi="Cambria Math" w:cstheme="minorHAnsi"/>
                <w:lang w:val="en-US"/>
              </w:rPr>
            </m:ctrlPr>
          </m:sSubSupPr>
          <m:e>
            <m:acc>
              <m:accPr>
                <m:ctrlPr>
                  <w:rPr>
                    <w:rFonts w:ascii="Cambria Math" w:hAnsi="Cambria Math" w:cstheme="minorHAnsi"/>
                    <w:lang w:val="en-US"/>
                  </w:rPr>
                </m:ctrlPr>
              </m:accPr>
              <m:e>
                <m:r>
                  <w:rPr>
                    <w:rFonts w:ascii="Cambria Math" w:hAnsi="Cambria Math" w:cstheme="minorHAnsi"/>
                    <w:lang w:val="en-US"/>
                  </w:rPr>
                  <m:t>Y</m:t>
                </m:r>
              </m:e>
            </m:acc>
          </m:e>
          <m:sub>
            <m:r>
              <m:rPr>
                <m:sty m:val="p"/>
              </m:rPr>
              <w:rPr>
                <w:rFonts w:ascii="Cambria Math" w:hAnsi="Cambria Math" w:cstheme="minorHAnsi"/>
                <w:lang w:val="en-US"/>
              </w:rPr>
              <m:t>1,</m:t>
            </m:r>
            <m:r>
              <w:rPr>
                <w:rFonts w:ascii="Cambria Math" w:hAnsi="Cambria Math" w:cstheme="minorHAnsi"/>
                <w:lang w:val="en-US"/>
              </w:rPr>
              <m:t>t</m:t>
            </m:r>
          </m:sub>
          <m:sup>
            <m:r>
              <w:rPr>
                <w:rFonts w:ascii="Cambria Math" w:hAnsi="Cambria Math" w:cstheme="minorHAnsi"/>
                <w:lang w:val="en-US"/>
              </w:rPr>
              <m:t>N</m:t>
            </m:r>
          </m:sup>
        </m:sSubSup>
      </m:oMath>
      <w:r w:rsidRPr="000E5D59">
        <w:rPr>
          <w:rFonts w:asciiTheme="minorHAnsi" w:hAnsiTheme="minorHAnsi" w:cstheme="minorHAnsi"/>
          <w:lang w:val="en-US"/>
        </w:rPr>
        <w:t xml:space="preserve"> stands for the counterfactual domestic production. In Equation (5), the weights are assumed to be nonnegative and sum up to one, i.e. </w:t>
      </w:r>
      <m:oMath>
        <m:nary>
          <m:naryPr>
            <m:chr m:val="∑"/>
            <m:limLoc m:val="undOvr"/>
            <m:ctrlPr>
              <w:rPr>
                <w:rFonts w:ascii="Cambria Math" w:hAnsi="Cambria Math" w:cstheme="minorHAnsi"/>
                <w:lang w:val="en-US"/>
              </w:rPr>
            </m:ctrlPr>
          </m:naryPr>
          <m:sub>
            <m:r>
              <w:rPr>
                <w:rFonts w:ascii="Cambria Math" w:hAnsi="Cambria Math" w:cstheme="minorHAnsi"/>
                <w:lang w:val="en-US"/>
              </w:rPr>
              <m:t>j</m:t>
            </m:r>
            <m:r>
              <m:rPr>
                <m:sty m:val="p"/>
              </m:rPr>
              <w:rPr>
                <w:rFonts w:ascii="Cambria Math" w:hAnsi="Cambria Math" w:cstheme="minorHAnsi"/>
                <w:lang w:val="en-US"/>
              </w:rPr>
              <m:t>=2</m:t>
            </m:r>
          </m:sub>
          <m:sup>
            <m:r>
              <w:rPr>
                <w:rFonts w:ascii="Cambria Math" w:hAnsi="Cambria Math" w:cstheme="minorHAnsi"/>
                <w:lang w:val="en-US"/>
              </w:rPr>
              <m:t>J</m:t>
            </m:r>
            <m:r>
              <m:rPr>
                <m:sty m:val="p"/>
              </m:rPr>
              <w:rPr>
                <w:rFonts w:ascii="Cambria Math" w:hAnsi="Cambria Math" w:cstheme="minorHAnsi"/>
                <w:lang w:val="en-US"/>
              </w:rPr>
              <m:t>+1</m:t>
            </m:r>
          </m:sup>
          <m:e>
            <m:sSub>
              <m:sSubPr>
                <m:ctrlPr>
                  <w:rPr>
                    <w:rFonts w:ascii="Cambria Math" w:hAnsi="Cambria Math" w:cstheme="minorHAnsi"/>
                    <w:lang w:val="en-US"/>
                  </w:rPr>
                </m:ctrlPr>
              </m:sSubPr>
              <m:e>
                <m:r>
                  <w:rPr>
                    <w:rFonts w:ascii="Cambria Math" w:hAnsi="Cambria Math" w:cstheme="minorHAnsi"/>
                    <w:lang w:val="en-US"/>
                  </w:rPr>
                  <m:t>w</m:t>
                </m:r>
              </m:e>
              <m:sub>
                <m:r>
                  <w:rPr>
                    <w:rFonts w:ascii="Cambria Math" w:hAnsi="Cambria Math" w:cstheme="minorHAnsi"/>
                    <w:lang w:val="en-US"/>
                  </w:rPr>
                  <m:t>j</m:t>
                </m:r>
              </m:sub>
            </m:sSub>
          </m:e>
        </m:nary>
        <m:r>
          <m:rPr>
            <m:sty m:val="p"/>
          </m:rPr>
          <w:rPr>
            <w:rFonts w:ascii="Cambria Math" w:hAnsi="Cambria Math" w:cstheme="minorHAnsi"/>
            <w:lang w:val="en-US"/>
          </w:rPr>
          <m:t>=1</m:t>
        </m:r>
      </m:oMath>
      <w:r w:rsidRPr="000E5D59">
        <w:rPr>
          <w:rFonts w:asciiTheme="minorHAnsi" w:hAnsiTheme="minorHAnsi" w:cstheme="minorHAnsi"/>
          <w:lang w:val="en-US"/>
        </w:rPr>
        <w:t>. Following Abadie and Gardeazabal (2003), an optimization algorithm is applied to determine the optimal weights (</w:t>
      </w:r>
      <m:oMath>
        <m:sSub>
          <m:sSubPr>
            <m:ctrlPr>
              <w:rPr>
                <w:rFonts w:ascii="Cambria Math" w:hAnsi="Cambria Math" w:cstheme="minorHAnsi"/>
                <w:lang w:val="en-US"/>
              </w:rPr>
            </m:ctrlPr>
          </m:sSubPr>
          <m:e>
            <m:r>
              <w:rPr>
                <w:rFonts w:ascii="Cambria Math" w:hAnsi="Cambria Math" w:cstheme="minorHAnsi"/>
                <w:lang w:val="en-US"/>
              </w:rPr>
              <m:t>w</m:t>
            </m:r>
          </m:e>
          <m:sub>
            <m:r>
              <w:rPr>
                <w:rFonts w:ascii="Cambria Math" w:hAnsi="Cambria Math" w:cstheme="minorHAnsi"/>
                <w:lang w:val="en-US"/>
              </w:rPr>
              <m:t>j</m:t>
            </m:r>
          </m:sub>
        </m:sSub>
      </m:oMath>
      <w:r w:rsidRPr="000E5D59">
        <w:rPr>
          <w:rFonts w:asciiTheme="minorHAnsi" w:hAnsiTheme="minorHAnsi" w:cstheme="minorHAnsi"/>
          <w:lang w:val="en-US"/>
        </w:rPr>
        <w:t>) by minimizing the deviation of the outcome variable path of the synthetic treatment country for the pre-intervention period.</w:t>
      </w:r>
    </w:p>
    <w:p w14:paraId="46E3CBB5" w14:textId="77777777" w:rsidR="00DC21D1" w:rsidRPr="000E5D59" w:rsidRDefault="00DC21D1" w:rsidP="002A6138">
      <w:pPr>
        <w:pStyle w:val="Heading1"/>
        <w:rPr>
          <w:rFonts w:asciiTheme="minorHAnsi" w:hAnsiTheme="minorHAnsi" w:cstheme="minorHAnsi"/>
          <w:lang w:val="en-US"/>
        </w:rPr>
      </w:pPr>
      <w:r w:rsidRPr="000E5D59">
        <w:rPr>
          <w:rFonts w:asciiTheme="minorHAnsi" w:hAnsiTheme="minorHAnsi" w:cstheme="minorHAnsi"/>
          <w:lang w:val="en-US"/>
        </w:rPr>
        <w:lastRenderedPageBreak/>
        <w:t>Results</w:t>
      </w:r>
    </w:p>
    <w:p w14:paraId="2C0AC64E" w14:textId="77777777" w:rsidR="00DC21D1" w:rsidRPr="000E5D59" w:rsidRDefault="00DC21D1" w:rsidP="002A6138">
      <w:pPr>
        <w:pStyle w:val="Heading2"/>
        <w:rPr>
          <w:rFonts w:asciiTheme="minorHAnsi" w:hAnsiTheme="minorHAnsi" w:cstheme="minorHAnsi"/>
          <w:lang w:val="en-US"/>
        </w:rPr>
      </w:pPr>
      <w:r w:rsidRPr="000E5D59">
        <w:rPr>
          <w:rFonts w:asciiTheme="minorHAnsi" w:hAnsiTheme="minorHAnsi" w:cstheme="minorHAnsi"/>
          <w:lang w:val="en-US"/>
        </w:rPr>
        <w:t>Costs of broiler production in Ghana and Senegal</w:t>
      </w:r>
    </w:p>
    <w:p w14:paraId="3466793A" w14:textId="77777777" w:rsidR="00DC21D1" w:rsidRPr="000E5D59" w:rsidRDefault="00DC21D1" w:rsidP="00DC21D1">
      <w:pPr>
        <w:rPr>
          <w:rFonts w:asciiTheme="minorHAnsi" w:hAnsiTheme="minorHAnsi" w:cstheme="minorHAnsi"/>
          <w:lang w:val="en-GB" w:eastAsia="en-GB"/>
        </w:rPr>
      </w:pPr>
      <w:r w:rsidRPr="000E5D59">
        <w:rPr>
          <w:rFonts w:asciiTheme="minorHAnsi" w:hAnsiTheme="minorHAnsi" w:cstheme="minorHAnsi"/>
          <w:lang w:val="en-GB" w:eastAsia="en-GB"/>
        </w:rPr>
        <w:t>The total production costs for typical broiler farms in Ghana and Senegal where calculated using the typical farm approach. However, since the data was collected in different years, the costs of production for the two countries cannot be compared. Consequently, in this section we present the production costs for each individual country.</w:t>
      </w:r>
    </w:p>
    <w:p w14:paraId="5A456635" w14:textId="77777777" w:rsidR="00DC21D1" w:rsidRPr="000E5D59" w:rsidRDefault="00DC21D1" w:rsidP="00DC21D1">
      <w:pPr>
        <w:rPr>
          <w:rFonts w:asciiTheme="minorHAnsi" w:hAnsiTheme="minorHAnsi" w:cstheme="minorHAnsi"/>
          <w:i/>
          <w:lang w:val="en-US" w:eastAsia="en-GB"/>
        </w:rPr>
      </w:pPr>
      <w:r w:rsidRPr="000E5D59">
        <w:rPr>
          <w:rFonts w:asciiTheme="minorHAnsi" w:hAnsiTheme="minorHAnsi" w:cstheme="minorHAnsi"/>
          <w:i/>
          <w:lang w:val="en-US" w:eastAsia="en-GB"/>
        </w:rPr>
        <w:t>Broiler production costs in Ghana (in 2020)</w:t>
      </w:r>
    </w:p>
    <w:p w14:paraId="336EEBAD" w14:textId="77777777" w:rsidR="00DC21D1" w:rsidRPr="000E5D59" w:rsidRDefault="00DC21D1" w:rsidP="00DC21D1">
      <w:pPr>
        <w:rPr>
          <w:rFonts w:asciiTheme="minorHAnsi" w:hAnsiTheme="minorHAnsi" w:cstheme="minorHAnsi"/>
          <w:lang w:val="en-US" w:eastAsia="en-GB"/>
        </w:rPr>
      </w:pPr>
      <w:r w:rsidRPr="000E5D59">
        <w:rPr>
          <w:rFonts w:asciiTheme="minorHAnsi" w:hAnsiTheme="minorHAnsi" w:cstheme="minorHAnsi"/>
          <w:lang w:val="en-GB" w:eastAsia="en-GB"/>
        </w:rPr>
        <w:t xml:space="preserve">Figure </w:t>
      </w:r>
      <w:r w:rsidRPr="000E5D59">
        <w:rPr>
          <w:rFonts w:asciiTheme="minorHAnsi" w:hAnsiTheme="minorHAnsi" w:cstheme="minorHAnsi"/>
          <w:lang w:val="en-US" w:eastAsia="en-GB"/>
        </w:rPr>
        <w:t>X</w:t>
      </w:r>
      <w:r w:rsidRPr="000E5D59">
        <w:rPr>
          <w:rFonts w:asciiTheme="minorHAnsi" w:hAnsiTheme="minorHAnsi" w:cstheme="minorHAnsi"/>
          <w:lang w:val="en-GB" w:eastAsia="en-GB"/>
        </w:rPr>
        <w:t xml:space="preserve"> shows that, for all typical broiler farm-types</w:t>
      </w:r>
      <w:r w:rsidRPr="000E5D59">
        <w:rPr>
          <w:rFonts w:asciiTheme="minorHAnsi" w:hAnsiTheme="minorHAnsi" w:cstheme="minorHAnsi"/>
          <w:lang w:val="en-US" w:eastAsia="en-GB"/>
        </w:rPr>
        <w:t xml:space="preserve"> in Ghana</w:t>
      </w:r>
      <w:r w:rsidRPr="000E5D59">
        <w:rPr>
          <w:rFonts w:asciiTheme="minorHAnsi" w:hAnsiTheme="minorHAnsi" w:cstheme="minorHAnsi"/>
          <w:lang w:val="en-GB" w:eastAsia="en-GB"/>
        </w:rPr>
        <w:t>, feed costs represent the highest cost item. More specifically, the farm economic analysis reveals that feed costs represent 56% of the total production costs for typical small-scale broiler farms; 62% for typical medium-scale broiler farms, and 42% for typical large-scale integrated broiler farms.</w:t>
      </w:r>
      <w:r w:rsidRPr="000E5D59">
        <w:rPr>
          <w:rFonts w:asciiTheme="minorHAnsi" w:hAnsiTheme="minorHAnsi" w:cstheme="minorHAnsi"/>
          <w:lang w:val="en-US" w:eastAsia="en-GB"/>
        </w:rPr>
        <w:t xml:space="preserve"> The proportion of feed costs is lower for the large-scale integrated farm-type because the other cost items (i.e., </w:t>
      </w:r>
      <w:proofErr w:type="spellStart"/>
      <w:r w:rsidRPr="000E5D59">
        <w:rPr>
          <w:rFonts w:asciiTheme="minorHAnsi" w:hAnsiTheme="minorHAnsi" w:cstheme="minorHAnsi"/>
          <w:lang w:val="en-US" w:eastAsia="en-GB"/>
        </w:rPr>
        <w:t>labour</w:t>
      </w:r>
      <w:proofErr w:type="spellEnd"/>
      <w:r w:rsidRPr="000E5D59">
        <w:rPr>
          <w:rFonts w:asciiTheme="minorHAnsi" w:hAnsiTheme="minorHAnsi" w:cstheme="minorHAnsi"/>
          <w:lang w:val="en-US" w:eastAsia="en-GB"/>
        </w:rPr>
        <w:t xml:space="preserve"> costs and veterinary costs) are significantly high in comparison to the other farm-types. </w:t>
      </w:r>
    </w:p>
    <w:p w14:paraId="41541F51" w14:textId="60A4E597" w:rsidR="00DC21D1" w:rsidRPr="000E5D59" w:rsidRDefault="00DC21D1" w:rsidP="00DC21D1">
      <w:pPr>
        <w:pStyle w:val="Abbildung"/>
        <w:rPr>
          <w:rFonts w:asciiTheme="minorHAnsi" w:hAnsiTheme="minorHAnsi" w:cstheme="minorHAnsi"/>
          <w:bCs/>
          <w:lang w:val="en-US"/>
        </w:rPr>
      </w:pPr>
      <w:r w:rsidRPr="000E5D59">
        <w:rPr>
          <w:rFonts w:asciiTheme="minorHAnsi" w:hAnsiTheme="minorHAnsi" w:cstheme="minorHAnsi"/>
          <w:bCs/>
          <w:lang w:val="en-US"/>
        </w:rPr>
        <w:t xml:space="preserve">Figure </w:t>
      </w:r>
      <w:r w:rsidR="000E5D59" w:rsidRPr="000E5D59">
        <w:rPr>
          <w:rFonts w:asciiTheme="minorHAnsi" w:hAnsiTheme="minorHAnsi" w:cstheme="minorHAnsi"/>
          <w:bCs/>
          <w:lang w:val="en-US"/>
        </w:rPr>
        <w:t>3</w:t>
      </w:r>
      <w:r w:rsidRPr="000E5D59">
        <w:rPr>
          <w:rFonts w:asciiTheme="minorHAnsi" w:hAnsiTheme="minorHAnsi" w:cstheme="minorHAnsi"/>
          <w:bCs/>
          <w:lang w:val="en-US"/>
        </w:rPr>
        <w:t xml:space="preserve">. </w:t>
      </w:r>
      <w:r w:rsidRPr="000E5D59">
        <w:rPr>
          <w:rFonts w:asciiTheme="minorHAnsi" w:hAnsiTheme="minorHAnsi" w:cstheme="minorHAnsi"/>
          <w:bCs/>
          <w:lang w:val="en-GB"/>
        </w:rPr>
        <w:t>P</w:t>
      </w:r>
      <w:proofErr w:type="spellStart"/>
      <w:r w:rsidRPr="000E5D59">
        <w:rPr>
          <w:rFonts w:asciiTheme="minorHAnsi" w:hAnsiTheme="minorHAnsi" w:cstheme="minorHAnsi"/>
          <w:bCs/>
          <w:lang w:val="en-US"/>
        </w:rPr>
        <w:t>roduction</w:t>
      </w:r>
      <w:proofErr w:type="spellEnd"/>
      <w:r w:rsidRPr="000E5D59">
        <w:rPr>
          <w:rFonts w:asciiTheme="minorHAnsi" w:hAnsiTheme="minorHAnsi" w:cstheme="minorHAnsi"/>
          <w:bCs/>
          <w:lang w:val="en-US"/>
        </w:rPr>
        <w:t xml:space="preserve"> costs of the typical broiler farms in Ghana in 2020 (</w:t>
      </w:r>
      <w:bookmarkStart w:id="6" w:name="_Hlk85406248"/>
      <w:r w:rsidRPr="000E5D59">
        <w:rPr>
          <w:rFonts w:asciiTheme="minorHAnsi" w:hAnsiTheme="minorHAnsi" w:cstheme="minorHAnsi"/>
          <w:bCs/>
          <w:lang w:val="en-US"/>
        </w:rPr>
        <w:t>€ /100 kg live weight</w:t>
      </w:r>
      <w:bookmarkEnd w:id="6"/>
      <w:r w:rsidRPr="000E5D59">
        <w:rPr>
          <w:rFonts w:asciiTheme="minorHAnsi" w:hAnsiTheme="minorHAnsi" w:cstheme="minorHAnsi"/>
          <w:bCs/>
          <w:lang w:val="en-US"/>
        </w:rPr>
        <w:t>)</w:t>
      </w:r>
    </w:p>
    <w:p w14:paraId="53424D9A" w14:textId="77777777" w:rsidR="00DC21D1" w:rsidRPr="000E5D59" w:rsidRDefault="00DC21D1" w:rsidP="00DC21D1">
      <w:pPr>
        <w:spacing w:before="240" w:line="360" w:lineRule="auto"/>
        <w:rPr>
          <w:rFonts w:asciiTheme="minorHAnsi" w:hAnsiTheme="minorHAnsi" w:cstheme="minorHAnsi"/>
          <w:sz w:val="20"/>
          <w:lang w:val="en-US"/>
        </w:rPr>
      </w:pPr>
      <w:r w:rsidRPr="000E5D59">
        <w:rPr>
          <w:rFonts w:asciiTheme="minorHAnsi" w:hAnsiTheme="minorHAnsi" w:cstheme="minorHAnsi"/>
          <w:noProof/>
        </w:rPr>
        <w:drawing>
          <wp:inline distT="0" distB="0" distL="0" distR="0" wp14:anchorId="7939ECC5" wp14:editId="3E3D4597">
            <wp:extent cx="5911850" cy="2959100"/>
            <wp:effectExtent l="0" t="0" r="0" b="0"/>
            <wp:docPr id="1" name="Chart 1">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1A7EB5B" w14:textId="77777777" w:rsidR="00DC21D1" w:rsidRPr="000E5D59" w:rsidRDefault="00DC21D1" w:rsidP="00DC21D1">
      <w:pPr>
        <w:spacing w:before="240" w:line="360" w:lineRule="auto"/>
        <w:rPr>
          <w:rFonts w:asciiTheme="minorHAnsi" w:hAnsiTheme="minorHAnsi" w:cstheme="minorHAnsi"/>
          <w:sz w:val="20"/>
          <w:lang w:val="en-US"/>
        </w:rPr>
      </w:pPr>
      <w:bookmarkStart w:id="7" w:name="_Hlk85448744"/>
      <w:r w:rsidRPr="000E5D59">
        <w:rPr>
          <w:rFonts w:asciiTheme="minorHAnsi" w:hAnsiTheme="minorHAnsi" w:cstheme="minorHAnsi"/>
          <w:sz w:val="20"/>
          <w:lang w:val="en-US"/>
        </w:rPr>
        <w:t>Source: Own survey and calculations</w:t>
      </w:r>
    </w:p>
    <w:p w14:paraId="2BC96106" w14:textId="77777777" w:rsidR="00DC21D1" w:rsidRPr="000E5D59" w:rsidRDefault="00DC21D1" w:rsidP="00DC21D1">
      <w:pPr>
        <w:rPr>
          <w:rFonts w:asciiTheme="minorHAnsi" w:hAnsiTheme="minorHAnsi" w:cstheme="minorHAnsi"/>
          <w:i/>
          <w:lang w:val="en-US" w:eastAsia="en-GB"/>
        </w:rPr>
      </w:pPr>
      <w:r w:rsidRPr="000E5D59">
        <w:rPr>
          <w:rFonts w:asciiTheme="minorHAnsi" w:hAnsiTheme="minorHAnsi" w:cstheme="minorHAnsi"/>
          <w:i/>
          <w:lang w:val="en-US" w:eastAsia="en-GB"/>
        </w:rPr>
        <w:t>Broiler production costs in Senegal (in 2022)</w:t>
      </w:r>
    </w:p>
    <w:bookmarkEnd w:id="7"/>
    <w:p w14:paraId="679BE1E5" w14:textId="77777777" w:rsidR="00DC21D1" w:rsidRPr="000E5D59" w:rsidRDefault="00DC21D1" w:rsidP="00DC21D1">
      <w:pPr>
        <w:rPr>
          <w:rFonts w:asciiTheme="minorHAnsi" w:eastAsia="Calibri" w:hAnsiTheme="minorHAnsi" w:cstheme="minorHAnsi"/>
          <w:lang w:val="en-US" w:eastAsia="en-US"/>
        </w:rPr>
      </w:pPr>
      <w:r w:rsidRPr="000E5D59">
        <w:rPr>
          <w:rFonts w:asciiTheme="minorHAnsi" w:eastAsia="Calibri" w:hAnsiTheme="minorHAnsi" w:cstheme="minorHAnsi"/>
          <w:lang w:val="en-US" w:eastAsia="en-US"/>
        </w:rPr>
        <w:t xml:space="preserve">Figure X shows that the most important cost items for the three typical farms in Senegal are feed costs and DOC costs. Feed costs represent 54% of the total cash costs for SN_36k; 58% for SN_9k and 60% for SN_38k. </w:t>
      </w:r>
    </w:p>
    <w:p w14:paraId="6235E94D" w14:textId="77777777" w:rsidR="00DC21D1" w:rsidRPr="000E5D59" w:rsidRDefault="00DC21D1" w:rsidP="00DC21D1">
      <w:pPr>
        <w:rPr>
          <w:rFonts w:asciiTheme="minorHAnsi" w:eastAsia="Calibri" w:hAnsiTheme="minorHAnsi" w:cstheme="minorHAnsi"/>
          <w:lang w:val="en-US" w:eastAsia="en-US"/>
        </w:rPr>
      </w:pPr>
    </w:p>
    <w:p w14:paraId="49442A61" w14:textId="36C0858A" w:rsidR="00DC21D1" w:rsidRPr="000E5D59" w:rsidRDefault="00DC21D1" w:rsidP="00DC21D1">
      <w:pPr>
        <w:pStyle w:val="Abbildung"/>
        <w:rPr>
          <w:rFonts w:asciiTheme="minorHAnsi" w:hAnsiTheme="minorHAnsi" w:cstheme="minorHAnsi"/>
          <w:bCs/>
          <w:lang w:val="en-US" w:eastAsia="en-GB"/>
        </w:rPr>
      </w:pPr>
      <w:r w:rsidRPr="000E5D59">
        <w:rPr>
          <w:rFonts w:asciiTheme="minorHAnsi" w:hAnsiTheme="minorHAnsi" w:cstheme="minorHAnsi"/>
          <w:bCs/>
          <w:lang w:val="en-US" w:eastAsia="en-GB"/>
        </w:rPr>
        <w:t xml:space="preserve">Figure </w:t>
      </w:r>
      <w:r w:rsidR="000E5D59" w:rsidRPr="000E5D59">
        <w:rPr>
          <w:rFonts w:asciiTheme="minorHAnsi" w:hAnsiTheme="minorHAnsi" w:cstheme="minorHAnsi"/>
          <w:bCs/>
          <w:lang w:val="en-US" w:eastAsia="en-GB"/>
        </w:rPr>
        <w:t>4</w:t>
      </w:r>
      <w:r w:rsidRPr="000E5D59">
        <w:rPr>
          <w:rFonts w:asciiTheme="minorHAnsi" w:hAnsiTheme="minorHAnsi" w:cstheme="minorHAnsi"/>
          <w:bCs/>
          <w:lang w:val="en-US" w:eastAsia="en-GB"/>
        </w:rPr>
        <w:t xml:space="preserve">. Production costs of the typical broiler farms in Senegal (EUR /100 kg live weight). </w:t>
      </w:r>
    </w:p>
    <w:p w14:paraId="571AAB4C" w14:textId="77777777" w:rsidR="00DC21D1" w:rsidRPr="000E5D59" w:rsidRDefault="00DC21D1" w:rsidP="00DC21D1">
      <w:pPr>
        <w:spacing w:line="480" w:lineRule="auto"/>
        <w:contextualSpacing/>
        <w:rPr>
          <w:rFonts w:asciiTheme="minorHAnsi" w:hAnsiTheme="minorHAnsi" w:cstheme="minorHAnsi"/>
          <w:sz w:val="20"/>
          <w:szCs w:val="24"/>
          <w:lang w:val="en-US" w:eastAsia="en-GB"/>
        </w:rPr>
      </w:pPr>
      <w:r w:rsidRPr="000E5D59">
        <w:rPr>
          <w:rFonts w:asciiTheme="minorHAnsi" w:hAnsiTheme="minorHAnsi" w:cstheme="minorHAnsi"/>
          <w:noProof/>
          <w:szCs w:val="24"/>
          <w:lang w:val="en-US" w:eastAsia="en-GB"/>
        </w:rPr>
        <w:drawing>
          <wp:inline distT="0" distB="0" distL="0" distR="0" wp14:anchorId="4FA38DCB" wp14:editId="4A69E052">
            <wp:extent cx="5911850" cy="3241040"/>
            <wp:effectExtent l="0" t="0" r="0" b="0"/>
            <wp:docPr id="2" name="Chart 2">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0E5D59">
        <w:rPr>
          <w:rFonts w:asciiTheme="minorHAnsi" w:hAnsiTheme="minorHAnsi" w:cstheme="minorHAnsi"/>
          <w:sz w:val="20"/>
          <w:szCs w:val="24"/>
          <w:lang w:val="en-US" w:eastAsia="en-GB"/>
        </w:rPr>
        <w:t>Source: Own survey and calculations</w:t>
      </w:r>
    </w:p>
    <w:p w14:paraId="352A5734" w14:textId="7777777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The findings show that feed costs are the most important cost component for typical broiler farms in both countries. However, it is important to note that although there is an almost similar pattern in terms of farm cost structure, the typical farms are operating in very different environments. The typical farms in Ghana are operating in relatively open poultry trade market which results in the massive importation of low-cost frozen chicken meat imports. While the Senegalese farms are operating in a sector where there is a ban on uncooked poultry meat imports.</w:t>
      </w:r>
    </w:p>
    <w:p w14:paraId="34604281" w14:textId="77777777" w:rsidR="00DC21D1" w:rsidRPr="000E5D59" w:rsidRDefault="00DC21D1" w:rsidP="002A6138">
      <w:pPr>
        <w:pStyle w:val="Heading2"/>
        <w:rPr>
          <w:rFonts w:asciiTheme="minorHAnsi" w:hAnsiTheme="minorHAnsi" w:cstheme="minorHAnsi"/>
          <w:lang w:val="en-US"/>
        </w:rPr>
      </w:pPr>
      <w:r w:rsidRPr="000E5D59">
        <w:rPr>
          <w:rFonts w:asciiTheme="minorHAnsi" w:hAnsiTheme="minorHAnsi" w:cstheme="minorHAnsi"/>
          <w:lang w:val="en-US"/>
        </w:rPr>
        <w:tab/>
        <w:t xml:space="preserve">Farm level drivers: </w:t>
      </w:r>
      <w:r w:rsidRPr="000E5D59">
        <w:rPr>
          <w:rFonts w:asciiTheme="minorHAnsi" w:hAnsiTheme="minorHAnsi" w:cstheme="minorHAnsi"/>
          <w:lang w:val="en-US"/>
        </w:rPr>
        <w:tab/>
        <w:t>Feed use inefficiency</w:t>
      </w:r>
    </w:p>
    <w:p w14:paraId="6BE415D1" w14:textId="77777777" w:rsidR="00DC21D1" w:rsidRPr="000E5D59" w:rsidRDefault="00DC21D1" w:rsidP="00DC21D1">
      <w:pPr>
        <w:widowControl w:val="0"/>
        <w:spacing w:before="240" w:line="240" w:lineRule="auto"/>
        <w:rPr>
          <w:rFonts w:asciiTheme="minorHAnsi" w:hAnsiTheme="minorHAnsi" w:cstheme="minorHAnsi"/>
          <w:lang w:val="en-US"/>
        </w:rPr>
      </w:pPr>
      <w:r w:rsidRPr="000E5D59">
        <w:rPr>
          <w:rFonts w:asciiTheme="minorHAnsi" w:hAnsiTheme="minorHAnsi" w:cstheme="minorHAnsi"/>
          <w:lang w:val="en-US"/>
        </w:rPr>
        <w:t xml:space="preserve">The Feed Conversion Ratio (FCR) is the most commonly used indicator to measure feed-use efficiency in poultry production </w:t>
      </w:r>
      <w:sdt>
        <w:sdtPr>
          <w:rPr>
            <w:rFonts w:asciiTheme="minorHAnsi" w:hAnsiTheme="minorHAnsi" w:cstheme="minorHAnsi"/>
          </w:rPr>
          <w:alias w:val="To edit, see citavi.com/edit"/>
          <w:tag w:val="CitaviPlaceholder#86d834dd-24ca-4c9c-bb76-360eee4c9cc0"/>
          <w:id w:val="903800178"/>
          <w:placeholder>
            <w:docPart w:val="673AB32AB9F942858305D3D1674060DD"/>
          </w:placeholder>
        </w:sdtPr>
        <w:sdtEndPr/>
        <w:sdtContent>
          <w:r w:rsidRPr="000E5D59">
            <w:rPr>
              <w:rFonts w:asciiTheme="minorHAnsi" w:hAnsiTheme="minorHAnsi" w:cstheme="minorHAnsi"/>
            </w:rPr>
            <w:fldChar w:fldCharType="begin"/>
          </w:r>
          <w:r w:rsidRPr="000E5D59">
            <w:rPr>
              <w:rFonts w:asciiTheme="minorHAnsi" w:hAnsiTheme="minorHAnsi" w:cstheme="minorHAnsi"/>
              <w:lang w:val="en-US"/>
            </w:rPr>
            <w:instrText>ADDIN CitaviPlaceholder{eyIkaWQiOiIxIiwiRW50cmllcyI6W3siJGlkIjoiMiIsIklkIjoiYjIwMDFhMjYtZDQ4Zi00MTljLWJkYWQtZWQ1NDY2ZjQ4ZmQzIiwiUmFuZ2VMZW5ndGgiOjIxLCJSZWZlcmVuY2VJZCI6Ijk5N2ZiOTgwLWM2MzgtNGU3OC05ODQzLTk0OWFlNTBjMGQ2NiIsIlJlZmVyZW5jZSI6eyIkaWQiOiIzIiwiQWJzdHJhY3RDb21wbGV4aXR5IjowLCJBYnN0cmFjdFNvdXJjZVRleHRGb3JtYXQiOjAsIkF1dGhvcnMiOlt7IiRpZCI6IjQiLCJGaXJzdE5hbWUiOiJNIiwiTGFzdE5hbWUiOiJaYW1waWdhIiwiUHJvdGVjdGVkIjpmYWxzZSwiU2V4IjowLCJDcmVhdGVkQnkiOiJfQ3JhaWcgQ2hpYmFuZGEiLCJDcmVhdGVkT24iOiIyMDIxLTEwLTE1VDIwOjU0OjA2IiwiTW9kaWZpZWRCeSI6Il9DcmFpZyBDaGliYW5kYSIsIklkIjoiN2QxNzExYmEtZGQ1My00ZWE5LWE1YjAtN2ZmYzE0ZDQzZjM0IiwiTW9kaWZpZWRPbiI6IjIwMjEtMTAtMTVUMjA6NTQ6MDYiLCJQcm9qZWN0Ijp7IiRpZCI6IjUifX0seyIkaWQiOiI2IiwiRmlyc3ROYW1lIjoiRiIsIkxhc3ROYW1lIjoiQ2FsaW5pIiwiUHJvdGVjdGVkIjpmYWxzZSwiU2V4IjowLCJDcmVhdGVkQnkiOiJfQ3JhaWcgQ2hpYmFuZGEiLCJDcmVhdGVkT24iOiIyMDIxLTEwLTE1VDIwOjU0OjA2IiwiTW9kaWZpZWRCeSI6Il9DcmFpZyBDaGliYW5kYSIsIklkIjoiM2NhYWVkOWMtY2M2MS00MTc3LWFiZjktZGQ0NzAwOTJhNDdiIiwiTW9kaWZpZWRPbiI6IjIwMjEtMTAtMTVUMjA6NTQ6MDYiLCJQcm9qZWN0Ijp7IiRyZWYiOiI1In19LHsiJGlkIjoiNyIsIkZpcnN0TmFtZSI6IkYiLCJMYXN0TmFtZSI6IlNpcnJpIiwiUHJvdGVjdGVkIjpmYWxzZSwiU2V4IjowLCJDcmVhdGVkQnkiOiJfQ3JhaWcgQ2hpYmFuZGEiLCJDcmVhdGVkT24iOiIyMDIxLTEwLTE1VDIwOjU0OjA2IiwiTW9kaWZpZWRCeSI6Il9DcmFpZyBDaGliYW5kYSIsIklkIjoiNTRiODczZDctN2EyNi00N2U0LTk3MjUtMzRhNjE1NmIxZmQxIiwiTW9kaWZpZWRPbiI6IjIwMjEtMTAtMTVUMjA6NTQ6MDYiLCJQcm9qZWN0Ijp7IiRyZWYiOiI1In19XSwiQ2l0YXRpb25LZXlVcGRhdGVUeXBlIjowLCJDb2xsYWJvcmF0b3JzIjpbXSwiRG9pIjoiMTAuMTA4MC8wMDQzOTMzOS4yMDIxLjE5NTkyNzciLCJFZGl0b3JzIjpbXSwiRXZhbHVhdGlvbkNvbXBsZXhpdHkiOjAsIkV2YWx1YXRpb25Tb3VyY2VUZXh0Rm9ybWF0IjowLCJHcm91cHMiOltdLCJIYXNMYWJlbDEiOmZhbHNlLCJIYXNMYWJlbDIiOmZhbHNlLCJLZXl3b3JkcyI6W10sIkxvY2F0aW9ucyI6W3siJGlkIjoiOCIsIkFkZHJlc3MiOnsiJGlkIjoiOSIsIklzTG9jYWxDbG91ZFByb2plY3RGaWxlTGluayI6ZmFsc2UsIkxpbmtlZFJlc291cmNlU3RhdHVzIjo4LCJPcmlnaW5hbFN0cmluZyI6IjEwLjEwODAvMDA0MzkzMzkuMjAyMS4xOTU5Mjc3IiwiTGlua2VkUmVzb3VyY2VUeXBlIjo1LCJVcmlTdHJpbmciOiJodHRwczovL2RvaS5vcmcvMTAuMTA4MC8wMDQzOTMzOS4yMDIxLjE5NTkyNzciLCJQcm9wZXJ0aWVzIjp7IiRpZCI6IjEwIn19LCJBbm5vdGF0aW9ucyI6W10sIkxvY2F0aW9uVHlwZSI6MCwiTWlycm9yc1JlZmVyZW5jZVByb3BlcnR5SWQiOjEyOCwiQ3JlYXRlZEJ5IjoiX0NyYWlnIENoaWJhbmRhIiwiQ3JlYXRlZE9uIjoiMjAyMS0xMC0xNVQyMDo1ODoxNiIsIk1vZGlmaWVkQnkiOiJfQ3JhaWcgQ2hpYmFuZGEiLCJJZCI6IjA0Mzc2YmU5LTA5MTktNGI3Zi1iMWNlLWE1YzJmZmM2NmZiZiIsIk1vZGlmaWVkT24iOiIyMDIxLTEwLTE1VDIwOjU4OjE2IiwiUHJvamVjdCI6eyIkcmVmIjoiNSJ9fV0sIk51bWJlciI6IjMiLCJPcmdhbml6YXRpb25zIjpbXSwiT3RoZXJzSW52b2x2ZWQiOltdLCJQYWdlUmFuZ2UiOiI8c3A+XHJcbiAgPG4+NjM5PC9uPlxyXG4gIDxpbj50cnVlPC9pbj5cclxuICA8b3M+NjM5PC9vcz5cclxuICA8cHM+NjM5PC9wcz5cclxuPC9zcD5cclxuPGVwPlxyXG4gIDxuPjY1OTwvbj5cclxuICA8aW4+dHJ1ZTwvaW4+XHJcbiAgPG9zPjY1OTwvb3M+XHJcbiAgPHBzPjY1OTwvcHM+XHJcbjwvZXA+XHJcbjxvcz42MzktNjU5PC9vcz4iLCJQZXJpb2RpY2FsIjp7IiRpZCI6IjExIiwiTmFtZSI6IldvcmxkJ3MgUG91bHRyeSBTY2llbmNlIEpvdXJuYWwiLCJQYWdpbmF0aW9uIjowLCJQcm90ZWN0Z</w:instrText>
          </w:r>
          <w:r w:rsidRPr="000E5D59">
            <w:rPr>
              <w:rFonts w:asciiTheme="minorHAnsi" w:hAnsiTheme="minorHAnsi" w:cstheme="minorHAnsi"/>
            </w:rPr>
            <w:instrText>WQiOmZhbHNlLCJDcmVhdGVkQnkiOiJfQ3JhaWcgQ2hpYmFuZGEiLCJDcmVhdGVkT24iOiIyMDIxLTEwLTE1VDIwOjU1OjU1IiwiTW9kaWZpZWRCeSI6Il9DcmFpZyBDaGliYW5kYSIsIklkIjoiY2U5NzljNTctZDc3YS00YmYwLWFjYmMtM2IwNWFiYT</w:instrText>
          </w:r>
          <w:r w:rsidRPr="000E5D59">
            <w:rPr>
              <w:rFonts w:asciiTheme="minorHAnsi" w:hAnsiTheme="minorHAnsi" w:cstheme="minorHAnsi"/>
              <w:lang w:val="en-US"/>
            </w:rPr>
            <w:instrText>lhZmUyIiwiTW9kaWZpZWRPbiI6IjIwMjEtMTAtMTVUMjA6NTU6NTUiLCJQcm9qZWN0Ijp7IiRyZWYiOiI1In19LCJQdWJsaXNoZXJzIjpbXSwiUXVvdGF0aW9ucyI6W10sIlJlZmVyZW5jZVR5cGUiOiJKb3VybmFsQXJ0aWNsZSIsIlNob3J0VGl0bGUiOiJaYW1waWdhLCBDYWxpbmkgZXQgYWwuIDIwMjEg4oCTIEltcG9ydGFuY2Ugb2YgZmVlZCBlZmZpY2llbmN5IiwiU2hvcnRUaXRsZVVwZGF0ZVR5cGUiOjAsIlN0YXRpY0lkcyI6WyIwMGFiZTcwNC05MTRmLTQzYmUtYWE3YS1hMjc0ZDk3OTBjYzMiXSwiVGFibGVPZkNvbnRlbnRzQ29tcGxleGl0eSI6MCwiVGFibGVPZkNvbnRlbnRzU291cmNlVGV4dEZvcm1hdCI6MCwiVGFza3MiOltdLCJUaXRsZSI6IkltcG9ydGFuY2Ugb2YgZmVlZCBlZmZpY2llbmN5IGZvciBzdXN0YWluYWJsZSBpbnRlbnNpZmljYXRpb24gb2YgY2hpY2tlbiBtZWF0IHByb2R1Y3Rpb246IGltcGxpY2F0aW9ucyBhbmQgcm9sZSBmb3IgYW1pbm8gYWNpZHMsIGZlZWQgZW56eW1lcyBhbmQgb3JnYW5pYyB0cmFjZSBtaW5lcmFscyIsIlRyYW5zbGF0b3JzIjpbXSwiVm9sdW1lIjoiNzciLCJZZWFyIjoiMjAyMSIsIlllYXJSZXNvbHZlZCI6IjIwMjEiLCJDcmVhdGVkQnkiOiJfQ3JhaWcgQ2hpYmFuZGEiLCJDcmVhdGVkT24iOiIyMDIxLTEwLTE1VDIwOjUwOjQ0IiwiTW9kaWZpZWRCeSI6Il9DcmFpZyBDaGliYW5kYSIsIklkIjoiOTk3ZmI5ODAtYzYzOC00ZTc4LTk4NDMtOTQ5YWU1MGMwZDY2IiwiTW9kaWZpZWRPbiI6IjIwMjEtMTAtMTVUMjA6NTg6MTYiLCJQcm9qZWN0Ijp7IiRyZWYiOiI1In19LCJVc2VOdW1iZXJpbmdUeXBlT2ZQYXJlbnREb2N1bWVudCI6ZmFsc2V9XSwiRm9ybWF0dGVkVGV4dCI6eyIkaWQiOiIxMiIsIkNvdW50IjoxLCJUZXh0VW5pdHMiOlt7IiRpZCI6IjEzIiwiRm9udFN0eWxlIjp7IiRpZCI6IjE0IiwiTmV1dHJhbCI6dHJ1ZX0sIlJlYWRpbmdPcmRlciI6MSwiVGV4dCI6IihaYW1waWdhIGV0IGFsLiAyMDIxKSJ9XX0sIlRhZyI6IkNpdGF2aVBsYWNlaG9sZGVyIzg2ZDgzNGRkLTI0Y2EtNGM5Yy1iYjc2LTM2MGVlZTRjOWNjMCIsIlRleHQiOiIoWmFtcGlnYSBldCBhbC4gMjAyMSkiLCJXQUlWZXJzaW9uIjoiNi40LjAuMzUifQ==}</w:instrText>
          </w:r>
          <w:r w:rsidRPr="000E5D59">
            <w:rPr>
              <w:rFonts w:asciiTheme="minorHAnsi" w:hAnsiTheme="minorHAnsi" w:cstheme="minorHAnsi"/>
            </w:rPr>
            <w:fldChar w:fldCharType="separate"/>
          </w:r>
          <w:r w:rsidRPr="000E5D59">
            <w:rPr>
              <w:rFonts w:asciiTheme="minorHAnsi" w:hAnsiTheme="minorHAnsi" w:cstheme="minorHAnsi"/>
              <w:lang w:val="en-US"/>
            </w:rPr>
            <w:t>(Zampiga et al. 2021)</w:t>
          </w:r>
          <w:r w:rsidRPr="000E5D59">
            <w:rPr>
              <w:rFonts w:asciiTheme="minorHAnsi" w:hAnsiTheme="minorHAnsi" w:cstheme="minorHAnsi"/>
            </w:rPr>
            <w:fldChar w:fldCharType="end"/>
          </w:r>
        </w:sdtContent>
      </w:sdt>
      <w:r w:rsidRPr="000E5D59">
        <w:rPr>
          <w:rFonts w:asciiTheme="minorHAnsi" w:hAnsiTheme="minorHAnsi" w:cstheme="minorHAnsi"/>
          <w:lang w:val="en-US"/>
        </w:rPr>
        <w:t xml:space="preserve">. According to </w:t>
      </w:r>
      <w:proofErr w:type="spellStart"/>
      <w:r w:rsidRPr="000E5D59">
        <w:rPr>
          <w:rFonts w:asciiTheme="minorHAnsi" w:hAnsiTheme="minorHAnsi" w:cstheme="minorHAnsi"/>
          <w:lang w:val="en-US"/>
        </w:rPr>
        <w:t>Chibanda</w:t>
      </w:r>
      <w:proofErr w:type="spellEnd"/>
      <w:r w:rsidRPr="000E5D59">
        <w:rPr>
          <w:rFonts w:asciiTheme="minorHAnsi" w:hAnsiTheme="minorHAnsi" w:cstheme="minorHAnsi"/>
          <w:lang w:val="en-US"/>
        </w:rPr>
        <w:t xml:space="preserve"> et al (2022), the FCR is an indicator that measures the amount of feed used to produce a kilogram of meat. Therefore, a low FCR value implies that a chicken is more efficient in converting feed into weight gain. Hence, </w:t>
      </w:r>
      <w:proofErr w:type="spellStart"/>
      <w:r w:rsidRPr="000E5D59">
        <w:rPr>
          <w:rFonts w:asciiTheme="minorHAnsi" w:hAnsiTheme="minorHAnsi" w:cstheme="minorHAnsi"/>
          <w:lang w:val="en-US"/>
        </w:rPr>
        <w:t>analysing</w:t>
      </w:r>
      <w:proofErr w:type="spellEnd"/>
      <w:r w:rsidRPr="000E5D59">
        <w:rPr>
          <w:rFonts w:asciiTheme="minorHAnsi" w:hAnsiTheme="minorHAnsi" w:cstheme="minorHAnsi"/>
          <w:lang w:val="en-US"/>
        </w:rPr>
        <w:t xml:space="preserve"> the FCR is important for understanding feed costs because it provides insights on whether the optimum amount of feed is being used in production. According to Smith (2001), fast-growing broiler genotypes such as Ross 308 and Cobb 500 typically achieve an ideal selling live weight of around 2 to 2.5 kg after 35 to 42 days when reared in the tropics. Of which, the Ross 308 breed of broilers can attain an optimum FCR of 1,61 after 42 days (Aviagen, 2019). While the Cobb 500 breed can attain an optimum FCR of 1.68 after a feeding period of 42 days (Cobb, 2015). </w:t>
      </w:r>
    </w:p>
    <w:p w14:paraId="2825F3A8" w14:textId="3D4BD0ED" w:rsidR="00DC21D1" w:rsidRPr="000E5D59" w:rsidRDefault="00DC21D1" w:rsidP="00DC21D1">
      <w:pPr>
        <w:widowControl w:val="0"/>
        <w:spacing w:before="240" w:line="240" w:lineRule="auto"/>
        <w:rPr>
          <w:rFonts w:asciiTheme="minorHAnsi" w:hAnsiTheme="minorHAnsi" w:cstheme="minorHAnsi"/>
          <w:lang w:val="en-US"/>
        </w:rPr>
      </w:pPr>
      <w:r w:rsidRPr="000E5D59">
        <w:rPr>
          <w:rFonts w:asciiTheme="minorHAnsi" w:hAnsiTheme="minorHAnsi" w:cstheme="minorHAnsi"/>
          <w:lang w:val="en-US"/>
        </w:rPr>
        <w:t xml:space="preserve">Table 1 shows that all the typical broiler farms from Ghana (GH_3k, </w:t>
      </w:r>
      <w:r w:rsidRPr="000E5D59">
        <w:rPr>
          <w:rFonts w:asciiTheme="minorHAnsi" w:hAnsiTheme="minorHAnsi" w:cstheme="minorHAnsi"/>
          <w:lang w:val="en-US"/>
        </w:rPr>
        <w:tab/>
        <w:t>GH_12k</w:t>
      </w:r>
      <w:r w:rsidRPr="000E5D59">
        <w:rPr>
          <w:rFonts w:asciiTheme="minorHAnsi" w:hAnsiTheme="minorHAnsi" w:cstheme="minorHAnsi"/>
          <w:lang w:val="en-US"/>
        </w:rPr>
        <w:tab/>
        <w:t xml:space="preserve"> and GH_27k) have </w:t>
      </w:r>
      <w:r w:rsidRPr="000E5D59">
        <w:rPr>
          <w:rFonts w:asciiTheme="minorHAnsi" w:hAnsiTheme="minorHAnsi" w:cstheme="minorHAnsi"/>
          <w:lang w:val="en-US"/>
        </w:rPr>
        <w:lastRenderedPageBreak/>
        <w:t xml:space="preserve">FCRs values that are significantly higher than the recommended optimum values. This implies that broiler farms in Ghana are feeding their broilers more feed than they are supposed to and, therefore, spending more money on feed than necessary. The feed use inefficiency (high FCR values) of the typical broiler farms in Ghana can be attributed to various factors which differ from one production system to another. For small-scale farms, represented by GH_3k, the high FCR can be attributed to long feeding periods and poor feed quality. Table 1 shows that small-scale farms have a significantly longer feeding period of 63 days. This&lt; implies that small-scale producers are often rearing their chickens for 21 days longer than what they are ideally supposed to. Small-scale producers who participated in </w:t>
      </w:r>
      <w:proofErr w:type="spellStart"/>
      <w:r w:rsidRPr="000E5D59">
        <w:rPr>
          <w:rFonts w:asciiTheme="minorHAnsi" w:hAnsiTheme="minorHAnsi" w:cstheme="minorHAnsi"/>
          <w:lang w:val="en-US"/>
        </w:rPr>
        <w:t>th</w:t>
      </w:r>
      <w:proofErr w:type="spellEnd"/>
      <w:r w:rsidRPr="000E5D59">
        <w:rPr>
          <w:rFonts w:asciiTheme="minorHAnsi" w:hAnsiTheme="minorHAnsi" w:cstheme="minorHAnsi"/>
          <w:lang w:val="en-US"/>
        </w:rPr>
        <w:t xml:space="preserve"> focus group held in Accra explained that they have to rear their chickens for a longer period because they do not have a reliable market to sell all their chickens soon after the production cycle (42 days). These findings are consistent with the results from a study conducted by </w:t>
      </w:r>
      <w:proofErr w:type="spellStart"/>
      <w:r w:rsidRPr="000E5D59">
        <w:rPr>
          <w:rFonts w:asciiTheme="minorHAnsi" w:hAnsiTheme="minorHAnsi" w:cstheme="minorHAnsi"/>
          <w:lang w:val="en-US"/>
        </w:rPr>
        <w:t>Amanor-Boadu</w:t>
      </w:r>
      <w:proofErr w:type="spellEnd"/>
      <w:r w:rsidRPr="000E5D59">
        <w:rPr>
          <w:rFonts w:asciiTheme="minorHAnsi" w:hAnsiTheme="minorHAnsi" w:cstheme="minorHAnsi"/>
          <w:lang w:val="en-US"/>
        </w:rPr>
        <w:t xml:space="preserve"> et al. (2016) on 1.508 broiler farms in Ghana which indicates that the average selling age of live birds for small farms is around 9.6 weeks (67 days). Additionally, the producers explained that they often do not purchase ready-made feed sold by commercial feed mills. Instead, they buy their own feed ingredients and take them to “informal” feed millers who then produce customized feed mixes for the producers. </w:t>
      </w:r>
      <w:bookmarkStart w:id="8" w:name="_Hlk85318911"/>
      <w:proofErr w:type="spellStart"/>
      <w:r w:rsidRPr="000E5D59">
        <w:rPr>
          <w:rFonts w:asciiTheme="minorHAnsi" w:hAnsiTheme="minorHAnsi" w:cstheme="minorHAnsi"/>
          <w:lang w:val="en-US"/>
        </w:rPr>
        <w:t>Andam</w:t>
      </w:r>
      <w:proofErr w:type="spellEnd"/>
      <w:r w:rsidRPr="000E5D59">
        <w:rPr>
          <w:rFonts w:asciiTheme="minorHAnsi" w:hAnsiTheme="minorHAnsi" w:cstheme="minorHAnsi"/>
          <w:lang w:val="en-US"/>
        </w:rPr>
        <w:t xml:space="preserve"> et al. (2017) </w:t>
      </w:r>
      <w:bookmarkEnd w:id="8"/>
      <w:r w:rsidRPr="000E5D59">
        <w:rPr>
          <w:rFonts w:asciiTheme="minorHAnsi" w:hAnsiTheme="minorHAnsi" w:cstheme="minorHAnsi"/>
          <w:lang w:val="en-US"/>
        </w:rPr>
        <w:t xml:space="preserve">calls these informal feed mills “service feed mills” and explains that they typically serve small-scale produces and only produce feed based on the ingredients supplied by the producers. </w:t>
      </w:r>
      <w:proofErr w:type="spellStart"/>
      <w:r w:rsidRPr="000E5D59">
        <w:rPr>
          <w:rFonts w:asciiTheme="minorHAnsi" w:hAnsiTheme="minorHAnsi" w:cstheme="minorHAnsi"/>
          <w:lang w:val="en-US"/>
        </w:rPr>
        <w:t>Andam</w:t>
      </w:r>
      <w:proofErr w:type="spellEnd"/>
      <w:r w:rsidRPr="000E5D59">
        <w:rPr>
          <w:rFonts w:asciiTheme="minorHAnsi" w:hAnsiTheme="minorHAnsi" w:cstheme="minorHAnsi"/>
          <w:lang w:val="en-US"/>
        </w:rPr>
        <w:t xml:space="preserve"> et al. (2017) further explain that the quality of feed produced by such mills cannot be guaranteed because they usually do not conduct any quality control of feed ingredients (i.e. tests for aflatoxin, moisture content, toxicity). Consequently, some of the feed used by small-scale producers is poor quality because it is produced from feed ingredients such as maize and soya beans which are either </w:t>
      </w:r>
      <w:proofErr w:type="spellStart"/>
      <w:r w:rsidRPr="000E5D59">
        <w:rPr>
          <w:rFonts w:asciiTheme="minorHAnsi" w:hAnsiTheme="minorHAnsi" w:cstheme="minorHAnsi"/>
          <w:lang w:val="en-US"/>
        </w:rPr>
        <w:t>mouldy</w:t>
      </w:r>
      <w:proofErr w:type="spellEnd"/>
      <w:r w:rsidRPr="000E5D59">
        <w:rPr>
          <w:rFonts w:asciiTheme="minorHAnsi" w:hAnsiTheme="minorHAnsi" w:cstheme="minorHAnsi"/>
          <w:lang w:val="en-US"/>
        </w:rPr>
        <w:t xml:space="preserve">, have high levels of aflatoxins or have a high moisture content. Of which, the negative effect of toxins such is aflatoxins on the FCR has long been established </w:t>
      </w:r>
      <w:sdt>
        <w:sdtPr>
          <w:rPr>
            <w:rFonts w:asciiTheme="minorHAnsi" w:hAnsiTheme="minorHAnsi" w:cstheme="minorHAnsi"/>
          </w:rPr>
          <w:alias w:val="To edit, see citavi.com/edit"/>
          <w:tag w:val="CitaviPlaceholder#e069f79d-4d15-46da-b86b-944da468e184"/>
          <w:id w:val="216409103"/>
          <w:placeholder>
            <w:docPart w:val="218C062171CC4C49A2887AC82716EEB4"/>
          </w:placeholder>
        </w:sdtPr>
        <w:sdtEndPr/>
        <w:sdtContent>
          <w:r w:rsidRPr="000E5D59">
            <w:rPr>
              <w:rFonts w:asciiTheme="minorHAnsi" w:hAnsiTheme="minorHAnsi" w:cstheme="minorHAnsi"/>
            </w:rPr>
            <w:fldChar w:fldCharType="begin"/>
          </w:r>
          <w:r w:rsidRPr="000E5D59">
            <w:rPr>
              <w:rFonts w:asciiTheme="minorHAnsi" w:hAnsiTheme="minorHAnsi" w:cstheme="minorHAnsi"/>
              <w:lang w:val="en-US"/>
            </w:rPr>
            <w:instrText>ADDIN CitaviPlaceholder{eyIkaWQiOiIxIiwiRW50cmllcyI6W3siJGlkIjoiMiIsIklkIjoiNGFmNTFhOTktYjM5YS00YzdmLWFjNDEtOWFjYzM1MjBlMDljIiwiUmFuZ2VMZW5ndGgiOjIxLCJSZWZlcmVuY2VJZCI6Ijk1MzNlYjc1LWMxNGItNDI2Yy04YzZlLTlkZDM0OGI5OTA2ZSIsIlJlZmVyZW5jZSI6eyIkaWQiOiIzIiwiQWJzdHJhY3RDb21wbGV4aXR5IjowLCJBYnN0cmFjdFNvdXJjZVRleHRGb3JtYXQiOjAsIkF1dGhvcnMiOlt7IiRpZCI6IjQiLCJGaXJzdE5hbWUiOiJBIiwiTGFzdE5hbWUiOiJKb2huc29uIiwiTWlkZGxlTmFtZSI6Ik0iLCJQcm90ZWN0ZWQiOmZhbHNlLCJTZXgiOjAsIkNyZWF0ZWRCeSI6Il9DcmFpZyBDaGliYW5kYSIsIkNyZWF0ZWRPbiI6IjIwMjEtMTAtMTdUMTI6MjY6MDIiLCJNb2RpZmllZEJ5IjoiX0NyYWlnIENoaWJhbmRhIiwiSWQiOiJmYWNmNTRiMS1iYjllLTQxZDMtYjRlNy1iMGZkNTFkOTY0ZmUiLCJNb2RpZmllZE9uIjoiMjAyMS0xMC0xN1QxMjoyNjowMiIsIlByb2plY3QiOnsiJGlkIjoiNSJ9fSx7IiRpZCI6IjYiLCJGaXJzdE5hbWUiOiJUIiwiTGFzdE5hbWUiOiJBYmRvdWxheWUiLCJQcm90ZWN0ZWQiOmZhbHNlLCJTZXgiOjAsIkNyZWF0ZWRCeSI6Il9DcmFpZyBDaGliYW5kYSIsIkNyZWF0ZWRPbiI6IjIwMjEtMTAtMTdUMTI6MjY6MDIiLCJNb2RpZmllZEJ5IjoiX0NyYWlnIENoaWJhbmRhIiwiSWQiOiI5NTcwMTIzNS0zMTEyLTQ0NGItOGIxZi04MGU4NzMxMmIxMTQiLCJNb2RpZmllZE9uIjoiMjAyMS0xMC0xN1QxMjoyNjowMiIsIlByb2plY3QiOnsiJHJlZiI6IjUifX0seyIkaWQiOiI3IiwiRmlyc3ROYW1lIjoiQiIsIkxhc3ROYW1lIjoiQXllZHVuIiwiUHJvdGVjdGVkIjpmYWxzZSwiU2V4IjowLCJDcmVhdGVkQnkiOiJfQ3JhaWcgQ2hpYmFuZGEiLCJDcmVhdGVkT24iOiIyMDIxLTEwLTE3VDEyOjI2OjAyIiwiTW9kaWZpZWRCeSI6Il9DcmFpZyBDaGliYW5kYSIsIklkIjoiYjkxNTc4Y2MtMTYxZC00YTY4LThlZTItMjFlMDJlZTI1YjA1IiwiTW9kaWZpZWRPbiI6IjIwMjEtMTAtMTdUMT</w:instrText>
          </w:r>
          <w:r w:rsidRPr="000E5D59">
            <w:rPr>
              <w:rFonts w:asciiTheme="minorHAnsi" w:hAnsiTheme="minorHAnsi" w:cstheme="minorHAnsi"/>
            </w:rPr>
            <w:instrText>I6MjY6MDIiLCJQcm9qZWN0Ijp7IiRyZWYiOiI1In19LHsiJGlkIjoiOCIsIkZpcnN0TmFtZSI6IkoiLCJMYXN0TmFtZSI6IkZ1bHRvbiIsIk1pZGRsZU5hbWUiOiJSIiwiUHJvdGVjdGVkIjpmYWxzZSwiU2V4IjowLCJDcmVhdGVkQnkiOiJfQ3JhaWcgQ2hpYmFuZGEiLCJDcmVhdGVkT24iOiIyMDIxLTEwLTE3VDEyOjI2OjAyIiwiTW9kaWZpZWRCeSI6Il9DcmFpZyBDaGliYW5kYSIsIklkIjoiZjhhYTk5OTUtYzkyNC00MTM5LWJmZGUtMTk2NWZhNjAxMTU2IiwiTW9kaWZpZWRPbiI6IjIwMjEtMTAtMTdUMTI6MjY6MDIiLCJQcm9qZWN0Ijp7IiRyZWYiOiI1In19LHsiJGlkIjoiOSIsIkZpcnN0TmFtZSI6Ik4iLCJMYXN0TmFtZSI6IldpZG1hciIsIk1pZGRsZU5hbWUiOiJKIiwiUHJvdGVjdGVkIjpmYWxzZSwiU2V4IjowLCJDcmVhdGVkQnkiOiJfQ3JhaWcgQ2hpYmFuZGEiLCJDcmVhdGVkT24iOiIyMDIxLTEwLTE3VDEyOjI2OjAyIiwiTW9kaWZpZWRCeSI6Il9DcmFpZyBDaGliYW5kYSIsIklkIjoiZDQ4M2Q5NDktNDlkMC00Nzg1LTgwM2UtMDU4MGFiMjE1YWI4IiwiTW9kaWZpZWRPbiI6IjIwMjEtMTAtMTdUMTI6MjY6MDIiLCJQcm9qZWN0Ijp7IiRyZWYiOiI1In19LHsiJGlkIjoiMTAiLCJGaXJzdE5hbWUiOiJBIiwiTGFzdE5hbWUiOiJBZGVib3dhbGUiLCJQcm90ZWN0ZWQiOmZhbHNlLCJTZXgiOjAsIkNyZWF0ZWRCeSI6Il9DcmFpZyBDaGliYW5kYSIsIkNyZWF0ZWRPbiI6IjIwMjEtMTAtMTdUMTI6MjY6MDIiLCJNb2RpZmllZEJ5IjoiX0NyYWlnIENoaWJhbmRhIiwiSWQiOiI1ZmE2YjRiZi0wNTc3LTRkYzItOGVjNy1lNzEyYTE3MmRiOWIiLCJNb2RpZmllZE9uIjoiMjAyMS0xMC0xN1QxMjoyNjowMiIsIlByb2plY3QiOnsiJHJlZiI6IjUifX0seyIkaWQiOiIxMSIsIkZpcnN0TmFtZSI6IlIiLCJMYXN0TmFtZSI6IkJhbmR5b3BhZGh5YXkiLCJQcm90ZWN0ZWQiOmZhbHNlLCJTZXgiOjAsIkNyZWF0ZWRCeSI6Il9DcmFpZyBDaGliYW5kYSIsIkNyZWF0ZWRPbiI6IjIwMjEtMTAtMTdUMTI6MjY6MDIiLCJNb2RpZmllZEJ5IjoiX0NyYWlnIENoaWJhbmRhIiwiSWQiOiIwMmM3OGFmMC01MzM4LTQ0OTYtYmUzMi1jZmQ4ZWFkZGViYWYiLCJNb2RpZmllZE9uIjoiMjAyMS0xMC0xN1QxMjoyNjowMiIsIlByb2plY3QiOnsiJHJlZiI6IjUifX0seyIkaWQiOiIxMiIsIkZpcnN0TmFtZSI6IlYiLCJMYXN0TmFtZSI6Ik1hbnlvbmciLCJQcm90ZWN0ZWQiOmZhbHNlLCJTZXgiOjAsIkNyZWF0ZWRCeSI6Il9DcmFpZyBDaGliYW5kYSIsIkNyZWF0ZWRPbiI6IjIwMjEtMTAtMTdUMTI6MjY6MDIiLCJNb2RpZmllZEJ5IjoiX0NyYWlnIENoaWJhbmRhIiwiSWQiOiI5MTAyN2ZkYi1jMjBhLTQ4Y2EtYmU4ZC1hMWFkZjE5NTZlM2EiLCJNb2RpZmllZE9uIjoiMjAyMS0xMC0xN1QxMjoyNjowMiIsIlByb2plY3QiOnsiJHJlZiI6IjUifX1dLCJDaXRhdGlvbktleVVwZGF0ZVR5cGUiOjAsIkNvbGxhYm9yYXRvcnMiOltdLCJEb2kiOiIxMC4xMDAyL2Fnci4yMTYyMSIsIkVkaXRvcnMiOltdLCJFdmFsdWF0aW9uQ29tcGxleGl0eSI6MCwiRXZhbHVhdGlvblNvdXJjZVRleHRGb3JtYXQiOjAsIkdyb3VwcyI6W10sIkhhc0xhYmVsMSI6ZmFsc2UsIkhhc0xhYmVsMiI6ZmFsc2UsIktleXdvcmRzIjpbXSwiTG9jYXRpb25zIjpbeyIkaWQiOiIxMyIsIkFkZHJlc3MiOnsiJGlkIjoiMTQiLCJJc0xvY2FsQ2xvdWRQcm9qZWN0RmlsZUxpbmsiOmZhbHNlLCJMaW5rZWRSZXNvdXJjZVN0YXR1cyI6OCwiT3JpZ2luYWxTdHJpbmciOiIxMC4xMDAyL2Fnci4yMTYyMSIsIkxpbmtlZFJlc291cmNlVHlwZSI6NSwiVXJpU3RyaW5nIjoiaHR0cHM6Ly9kb2kub3JnLzEwLjEwMDIvYWdyLjIxNjIxIiwiUHJvcGVydGllcyI6eyIkaWQiOiIxNSJ9fSwiQW5ub3RhdGlvbnMiOltdLCJMb2NhdGlvblR5cGUiOjAsIk1pcnJvcnNSZWZlcmVuY2VQcm9wZXJ0eUlkIjoxMjgsIkNyZWF0ZWRCeSI6Il9DcmFpZyBDaGliYW5kYSIsIkNyZWF0ZWRPbiI6IjIwMjEtMTAtMTdUMTI6Mjc6NDIiLCJNb2RpZmllZEJ5IjoiX0NyYWlnIENoaWJhbmRhIiwiSWQiOiJmOTE5MjE3Ni0zMTRlLTRlZmQtODU2ZS0wYjY4YzMwODlkZTIiLCJNb2RpZmllZE9uIjoiMjAyMS0xMC0xN1QxMjoyNzo0MiIsIlByb2plY3QiOnsiJHJlZiI6IjUifX1dLCJOdW1iZXIiOiIyIiwiT3JnYW5pemF0aW9ucyI6W10sIk90aGVyc0ludm9sdmVkIjpbXSwiUGFnZVJhbmdlIjoiPHNwPlxyXG4gIDxuPjI5OTwvbj5cclxuICA8aW4+dHJ1ZTwvaW4+XHJcbiAgPG9zPjI5OTwvb3M+XHJcbiAgPHBzPjI5OTwvcHM+XHJcbjwvc3A+XHJcbjxlcD5cclxuICA8bj4zMTc8L24+XHJcbiAgPGluPnRydWU8L2luPlxyXG4gIDxvcz4zMTc8L29zPlxyXG4gIDxwcz4zMTc8L3BzPlxyXG48L2VwPlxyXG48b3M+Mjk5LTMxNzwvb3M+IiwiUGVyaW9kaWNhbCI6eyIkaWQiOiIxNiIsIk5hbWUiOiJBZ3JpYnVzaW5lc3MiLCJQYWdpbmF0aW9uIjowLCJQcm90ZWN0ZWQiOmZhbHNlLCJDcmVhdGVkQnkiOiJfQ3JhaWcgQ2hpYmFuZGEiLCJDcmVhdGVkT24iOiIyMDIxLTEwLTE3VDEyOjI3Oj</w:instrText>
          </w:r>
          <w:r w:rsidRPr="000E5D59">
            <w:rPr>
              <w:rFonts w:asciiTheme="minorHAnsi" w:hAnsiTheme="minorHAnsi" w:cstheme="minorHAnsi"/>
              <w:lang w:val="en-US"/>
            </w:rPr>
            <w:instrText>E0IiwiTW9kaWZpZWRCeSI6Il9DcmFpZyBDaGliYW5kYSIsIklkIjoiN2NiMmRmOTItZThmNC00N2YyLTlkYWItMzg2YWFhMDlmMjViIiwiTW9kaWZpZWRPbiI6IjIwMjEtMTAtMTdUMTI6Mjc6MTQiLCJQcm9qZWN0Ijp7IiRyZWYiOiI1In19LCJQdWJsaXNoZXJzIjpbXSwiUXVvdGF0aW9ucyI6W10sIlJlZmVyZW5jZVR5cGUiOiJKb3VybmFsQXJ0aWNsZSIsIlNob3J0VGl0bGUiOiJKb2huc29uLCBBYmRvdWxheWUgZXQgYWwuIDIwMjAg4oCTIFdpbGxpbmduZXNzIHRvIHBheSBvZiBOaWdlcmlhbiIsIlNob3J0VGl0bGVVcGRhdGVUeXBlIjowLCJTdGF0aWNJZHMiOlsiZTI4YzBjYWQtNjYxNC00MGYxLWEwOGEtOTUxOGM1MWY5Y2MwIl0sIlRhYmxlT2ZDb250ZW50c0NvbXBsZXhpdHkiOjAsIlRhYmxlT2ZDb250ZW50c1NvdXJjZVRleHRGb3JtYXQiOjAsIlRhc2tzIjpbXSwiVGl0bGUiOiJXaWxsaW5nbmVzcyB0byBwYXkgb2YgTmlnZXJpYW4gcG91bHRyeSBwcm9kdWNlcnMgYW5kIGZlZWQgbWlsbGVycyBmb3IgYWZsYXRveGlu4oCQc2FmZSBtYWl6ZSIsIlRyYW5zbGF0b3JzIjpbXSwiVm9sdW1lIjoiMzYiLCJZZWFyIjoiMjAyMCIsIlllYXJSZXNvbHZlZCI6IjIwMjAiLCJDcmVhdGVkQnkiOiJfQ3JhaWcgQ2hpYmFuZGEiLCJDcmVhdGVkT24iOiIyMDIxLTEwLTE3VDEyOjIxOjUxIiwiTW9kaWZpZWRCeSI6Il9DcmFpZyBDaGliYW5kYSIsIklkIjoiOTUzM2ViNzUtYzE0Yi00MjZjLThjNmUtOWRkMzQ4Yjk5MDZlIiwiTW9kaWZpZWRPbiI6IjIwMjEtMTAtMTdUMTI6Mjc6NTAiLCJQcm9qZWN0Ijp7IiRyZWYiOiI1In19LCJVc2VOdW1iZXJpbmdUeXBlT2ZQYXJlbnREb2N1bWVudCI6ZmFsc2V9XSwiRm9ybWF0dGVkVGV4dCI6eyIkaWQiOiIxNyIsIkNvdW50IjoxLCJUZXh0VW5pdHMiOlt7IiRpZCI6IjE4IiwiRm9udFN0eWxlIjp7IiRpZCI6IjE5IiwiTmV1dHJhbCI6dHJ1ZX0sIlJlYWRpbmdPcmRlciI6MSwiVGV4dCI6IihKb2huc29uIGV0IGFsLiAyMDIwKSJ9XX0sIlRhZyI6IkNpdGF2aVBsYWNlaG9sZGVyI2UwNjlmNzlkLTRkMTUtNDZkYS1iODZiLTk0NGRhNDY4ZTE4NCIsIlRleHQiOiIoSm9obnNvbiBldCBhbC4gMjAyMCkiLCJXQUlWZXJzaW9uIjoiNi40LjAuMzUifQ==}</w:instrText>
          </w:r>
          <w:r w:rsidRPr="000E5D59">
            <w:rPr>
              <w:rFonts w:asciiTheme="minorHAnsi" w:hAnsiTheme="minorHAnsi" w:cstheme="minorHAnsi"/>
            </w:rPr>
            <w:fldChar w:fldCharType="separate"/>
          </w:r>
          <w:r w:rsidRPr="000E5D59">
            <w:rPr>
              <w:rFonts w:asciiTheme="minorHAnsi" w:hAnsiTheme="minorHAnsi" w:cstheme="minorHAnsi"/>
              <w:lang w:val="en-US"/>
            </w:rPr>
            <w:t>(Johnson et al. 2020)</w:t>
          </w:r>
          <w:r w:rsidRPr="000E5D59">
            <w:rPr>
              <w:rFonts w:asciiTheme="minorHAnsi" w:hAnsiTheme="minorHAnsi" w:cstheme="minorHAnsi"/>
            </w:rPr>
            <w:fldChar w:fldCharType="end"/>
          </w:r>
        </w:sdtContent>
      </w:sdt>
      <w:r w:rsidRPr="000E5D59">
        <w:rPr>
          <w:rFonts w:asciiTheme="minorHAnsi" w:hAnsiTheme="minorHAnsi" w:cstheme="minorHAnsi"/>
          <w:lang w:val="en-US"/>
        </w:rPr>
        <w:t xml:space="preserve">. In the case of medium scale farms, represented by GH_12k, extension officers who participated in a focus group held in </w:t>
      </w:r>
      <w:proofErr w:type="spellStart"/>
      <w:r w:rsidRPr="000E5D59">
        <w:rPr>
          <w:rFonts w:asciiTheme="minorHAnsi" w:hAnsiTheme="minorHAnsi" w:cstheme="minorHAnsi"/>
          <w:lang w:val="en-US"/>
        </w:rPr>
        <w:t>Dormaa</w:t>
      </w:r>
      <w:proofErr w:type="spellEnd"/>
      <w:r w:rsidRPr="000E5D59">
        <w:rPr>
          <w:rFonts w:asciiTheme="minorHAnsi" w:hAnsiTheme="minorHAnsi" w:cstheme="minorHAnsi"/>
          <w:lang w:val="en-US"/>
        </w:rPr>
        <w:t xml:space="preserve"> explained that the main cause of feed inefficiency among producers in the region were poor animal </w:t>
      </w:r>
      <w:r w:rsidR="00BD7475" w:rsidRPr="000E5D59">
        <w:rPr>
          <w:rFonts w:asciiTheme="minorHAnsi" w:hAnsiTheme="minorHAnsi" w:cstheme="minorHAnsi"/>
          <w:lang w:val="en-US"/>
        </w:rPr>
        <w:t>husbandry</w:t>
      </w:r>
      <w:r w:rsidRPr="000E5D59">
        <w:rPr>
          <w:rFonts w:asciiTheme="minorHAnsi" w:hAnsiTheme="minorHAnsi" w:cstheme="minorHAnsi"/>
          <w:lang w:val="en-US"/>
        </w:rPr>
        <w:t xml:space="preserve"> practices. The extension officers highlighted that farm workers who are predominantly responsible for giving feed to the chickens often did not do this properly. The officers explained that based on their observations, workers often put too much feed in the feeding trays which often resulted in feed wastage as some of the feed would be thrown out when it is wet. However, this feed is usually accounted by the farm owners as feed given to the chickens while in reality it is feed wasted. In the case of large-scale farms, represented by GH_27k, producers and extension officers attributed the feed inefficiency to the use of poor quality locally hatched DOCs. The extension officers explained that they observed that locally hatched chicks are often characterized by poor growth and high mortalities.</w:t>
      </w:r>
      <w:r w:rsidR="00BD7475" w:rsidRPr="000E5D59">
        <w:rPr>
          <w:rFonts w:asciiTheme="minorHAnsi" w:hAnsiTheme="minorHAnsi" w:cstheme="minorHAnsi"/>
          <w:lang w:val="en-US"/>
        </w:rPr>
        <w:t xml:space="preserve"> </w:t>
      </w:r>
      <w:r w:rsidRPr="000E5D59">
        <w:rPr>
          <w:rFonts w:asciiTheme="minorHAnsi" w:hAnsiTheme="minorHAnsi" w:cstheme="minorHAnsi"/>
          <w:lang w:val="en-US"/>
        </w:rPr>
        <w:t xml:space="preserve">These observations are supported by experiments conducted by Yeboah et al. (2019) which show that locally hatched DOCs in Ghana have lower weight gains and higher mortalities in comparison to imported DOCs. FAO (2014) explains that local hatcheries often produce inferior quality chicks because Ghana does not have laws that ensure the regulation and monitoring of hatchery activities. </w:t>
      </w:r>
    </w:p>
    <w:p w14:paraId="530129E7" w14:textId="64DB7967" w:rsidR="00DC21D1" w:rsidRPr="000E5D59" w:rsidRDefault="00DC21D1" w:rsidP="00DC21D1">
      <w:pPr>
        <w:rPr>
          <w:rFonts w:asciiTheme="minorHAnsi" w:hAnsiTheme="minorHAnsi" w:cstheme="minorHAnsi"/>
          <w:lang w:val="en-US"/>
        </w:rPr>
      </w:pPr>
      <w:r w:rsidRPr="000E5D59">
        <w:rPr>
          <w:rFonts w:asciiTheme="minorHAnsi" w:hAnsiTheme="minorHAnsi" w:cstheme="minorHAnsi"/>
          <w:lang w:val="en-US"/>
        </w:rPr>
        <w:t xml:space="preserve">In the case of Senegal, SN_38k has an FCR (1,61) that is lower than the </w:t>
      </w:r>
      <w:r w:rsidR="00A714DD" w:rsidRPr="000E5D59">
        <w:rPr>
          <w:rFonts w:asciiTheme="minorHAnsi" w:hAnsiTheme="minorHAnsi" w:cstheme="minorHAnsi"/>
          <w:lang w:val="en-US"/>
        </w:rPr>
        <w:t>recommended</w:t>
      </w:r>
      <w:r w:rsidRPr="000E5D59">
        <w:rPr>
          <w:rFonts w:asciiTheme="minorHAnsi" w:hAnsiTheme="minorHAnsi" w:cstheme="minorHAnsi"/>
          <w:lang w:val="en-US"/>
        </w:rPr>
        <w:t xml:space="preserve"> value and SN_36k has an FCR (1,78) that is just slightly above the recommended value.  While SN_9k has an FCR (2.06) which is much higher than the </w:t>
      </w:r>
      <w:r w:rsidR="00A714DD" w:rsidRPr="000E5D59">
        <w:rPr>
          <w:rFonts w:asciiTheme="minorHAnsi" w:hAnsiTheme="minorHAnsi" w:cstheme="minorHAnsi"/>
          <w:lang w:val="en-US"/>
        </w:rPr>
        <w:t>recommended</w:t>
      </w:r>
      <w:r w:rsidRPr="000E5D59">
        <w:rPr>
          <w:rFonts w:asciiTheme="minorHAnsi" w:hAnsiTheme="minorHAnsi" w:cstheme="minorHAnsi"/>
          <w:lang w:val="en-US"/>
        </w:rPr>
        <w:t xml:space="preserve"> FCR. Poultry experts attributed the </w:t>
      </w:r>
      <w:r w:rsidR="00A714DD" w:rsidRPr="000E5D59">
        <w:rPr>
          <w:rFonts w:asciiTheme="minorHAnsi" w:hAnsiTheme="minorHAnsi" w:cstheme="minorHAnsi"/>
          <w:lang w:val="en-US"/>
        </w:rPr>
        <w:t>significantly</w:t>
      </w:r>
      <w:r w:rsidRPr="000E5D59">
        <w:rPr>
          <w:rFonts w:asciiTheme="minorHAnsi" w:hAnsiTheme="minorHAnsi" w:cstheme="minorHAnsi"/>
          <w:lang w:val="en-US"/>
        </w:rPr>
        <w:t xml:space="preserve"> high FCR for the small-scale farm (SN_9k) is attributed to poor poultry </w:t>
      </w:r>
      <w:r w:rsidR="00A714DD" w:rsidRPr="000E5D59">
        <w:rPr>
          <w:rFonts w:asciiTheme="minorHAnsi" w:hAnsiTheme="minorHAnsi" w:cstheme="minorHAnsi"/>
          <w:lang w:val="en-US"/>
        </w:rPr>
        <w:t>husbandry</w:t>
      </w:r>
      <w:r w:rsidRPr="000E5D59">
        <w:rPr>
          <w:rFonts w:asciiTheme="minorHAnsi" w:hAnsiTheme="minorHAnsi" w:cstheme="minorHAnsi"/>
          <w:lang w:val="en-US"/>
        </w:rPr>
        <w:t xml:space="preserve"> practices. More specifically, the feed use inefficiency is largely attributed to feed waste during feeding due to the use of poorly designed home-made feeders.</w:t>
      </w:r>
    </w:p>
    <w:p w14:paraId="6EB173C2" w14:textId="77777777" w:rsidR="00DC21D1" w:rsidRPr="004A1422" w:rsidRDefault="00DC21D1" w:rsidP="004A1422">
      <w:pPr>
        <w:spacing w:before="240" w:line="240" w:lineRule="auto"/>
        <w:jc w:val="center"/>
        <w:rPr>
          <w:rFonts w:asciiTheme="minorHAnsi" w:hAnsiTheme="minorHAnsi" w:cstheme="minorHAnsi"/>
          <w:b/>
          <w:bCs/>
          <w:lang w:val="en-US"/>
        </w:rPr>
      </w:pPr>
      <w:bookmarkStart w:id="9" w:name="_Hlk76670484"/>
      <w:r w:rsidRPr="004A1422">
        <w:rPr>
          <w:rFonts w:asciiTheme="minorHAnsi" w:hAnsiTheme="minorHAnsi" w:cstheme="minorHAnsi"/>
          <w:b/>
          <w:bCs/>
          <w:lang w:val="en-US"/>
        </w:rPr>
        <w:lastRenderedPageBreak/>
        <w:t xml:space="preserve">Table 1. </w:t>
      </w:r>
      <w:bookmarkEnd w:id="9"/>
      <w:r w:rsidRPr="004A1422">
        <w:rPr>
          <w:rFonts w:asciiTheme="minorHAnsi" w:hAnsiTheme="minorHAnsi" w:cstheme="minorHAnsi"/>
          <w:b/>
          <w:bCs/>
          <w:lang w:val="en-US"/>
        </w:rPr>
        <w:t>Feeding period, Feed consumption and Feed conversion ratio (FCR)</w:t>
      </w:r>
    </w:p>
    <w:tbl>
      <w:tblPr>
        <w:tblStyle w:val="TableGrid3"/>
        <w:tblW w:w="9531" w:type="dxa"/>
        <w:tblInd w:w="108" w:type="dxa"/>
        <w:tblBorders>
          <w:insideV w:val="none" w:sz="0" w:space="0" w:color="auto"/>
        </w:tblBorders>
        <w:tblLook w:val="04A0" w:firstRow="1" w:lastRow="0" w:firstColumn="1" w:lastColumn="0" w:noHBand="0" w:noVBand="1"/>
      </w:tblPr>
      <w:tblGrid>
        <w:gridCol w:w="2726"/>
        <w:gridCol w:w="1180"/>
        <w:gridCol w:w="1086"/>
        <w:gridCol w:w="861"/>
        <w:gridCol w:w="1269"/>
        <w:gridCol w:w="1087"/>
        <w:gridCol w:w="1322"/>
      </w:tblGrid>
      <w:tr w:rsidR="00DC21D1" w:rsidRPr="000E5D59" w14:paraId="21C81E86" w14:textId="77777777" w:rsidTr="00A45A8C">
        <w:trPr>
          <w:trHeight w:val="431"/>
        </w:trPr>
        <w:tc>
          <w:tcPr>
            <w:tcW w:w="2726" w:type="dxa"/>
            <w:tcBorders>
              <w:left w:val="nil"/>
              <w:bottom w:val="single" w:sz="4" w:space="0" w:color="auto"/>
            </w:tcBorders>
            <w:shd w:val="clear" w:color="auto" w:fill="auto"/>
          </w:tcPr>
          <w:p w14:paraId="28B2C872" w14:textId="77777777" w:rsidR="00DC21D1" w:rsidRPr="000E5D59" w:rsidRDefault="00DC21D1" w:rsidP="00A45A8C">
            <w:pPr>
              <w:spacing w:line="276" w:lineRule="auto"/>
              <w:rPr>
                <w:rFonts w:asciiTheme="minorHAnsi" w:hAnsiTheme="minorHAnsi" w:cstheme="minorHAnsi"/>
                <w:sz w:val="20"/>
                <w:lang w:val="en-US"/>
              </w:rPr>
            </w:pPr>
            <w:bookmarkStart w:id="10" w:name="_Hlk98715747"/>
          </w:p>
        </w:tc>
        <w:tc>
          <w:tcPr>
            <w:tcW w:w="1180" w:type="dxa"/>
            <w:tcBorders>
              <w:bottom w:val="single" w:sz="4" w:space="0" w:color="auto"/>
            </w:tcBorders>
            <w:shd w:val="clear" w:color="auto" w:fill="auto"/>
          </w:tcPr>
          <w:p w14:paraId="6DC097B3" w14:textId="77777777" w:rsidR="00DC21D1" w:rsidRPr="000E5D59" w:rsidRDefault="00DC21D1" w:rsidP="00A45A8C">
            <w:pPr>
              <w:spacing w:line="276" w:lineRule="auto"/>
              <w:jc w:val="center"/>
              <w:rPr>
                <w:rFonts w:asciiTheme="minorHAnsi" w:hAnsiTheme="minorHAnsi" w:cstheme="minorHAnsi"/>
                <w:sz w:val="20"/>
              </w:rPr>
            </w:pPr>
            <w:r w:rsidRPr="000E5D59">
              <w:rPr>
                <w:rFonts w:asciiTheme="minorHAnsi" w:hAnsiTheme="minorHAnsi" w:cstheme="minorHAnsi"/>
                <w:sz w:val="20"/>
              </w:rPr>
              <w:t>GH_3k</w:t>
            </w:r>
          </w:p>
        </w:tc>
        <w:tc>
          <w:tcPr>
            <w:tcW w:w="1086" w:type="dxa"/>
            <w:tcBorders>
              <w:bottom w:val="single" w:sz="4" w:space="0" w:color="auto"/>
            </w:tcBorders>
            <w:shd w:val="clear" w:color="auto" w:fill="auto"/>
          </w:tcPr>
          <w:p w14:paraId="1088A983" w14:textId="77777777" w:rsidR="00DC21D1" w:rsidRPr="000E5D59" w:rsidRDefault="00DC21D1" w:rsidP="00A45A8C">
            <w:pPr>
              <w:spacing w:line="276" w:lineRule="auto"/>
              <w:jc w:val="center"/>
              <w:rPr>
                <w:rFonts w:asciiTheme="minorHAnsi" w:hAnsiTheme="minorHAnsi" w:cstheme="minorHAnsi"/>
                <w:sz w:val="20"/>
              </w:rPr>
            </w:pPr>
            <w:r w:rsidRPr="000E5D59">
              <w:rPr>
                <w:rFonts w:asciiTheme="minorHAnsi" w:hAnsiTheme="minorHAnsi" w:cstheme="minorHAnsi"/>
                <w:sz w:val="20"/>
              </w:rPr>
              <w:t>GH_12k</w:t>
            </w:r>
          </w:p>
        </w:tc>
        <w:tc>
          <w:tcPr>
            <w:tcW w:w="861" w:type="dxa"/>
            <w:tcBorders>
              <w:bottom w:val="single" w:sz="4" w:space="0" w:color="auto"/>
              <w:right w:val="nil"/>
            </w:tcBorders>
            <w:shd w:val="clear" w:color="auto" w:fill="auto"/>
          </w:tcPr>
          <w:p w14:paraId="65DBC740" w14:textId="77777777" w:rsidR="00DC21D1" w:rsidRPr="000E5D59" w:rsidRDefault="00DC21D1" w:rsidP="00A45A8C">
            <w:pPr>
              <w:spacing w:line="276" w:lineRule="auto"/>
              <w:jc w:val="center"/>
              <w:rPr>
                <w:rFonts w:asciiTheme="minorHAnsi" w:hAnsiTheme="minorHAnsi" w:cstheme="minorHAnsi"/>
                <w:sz w:val="20"/>
              </w:rPr>
            </w:pPr>
            <w:r w:rsidRPr="000E5D59">
              <w:rPr>
                <w:rFonts w:asciiTheme="minorHAnsi" w:hAnsiTheme="minorHAnsi" w:cstheme="minorHAnsi"/>
                <w:sz w:val="20"/>
              </w:rPr>
              <w:t>GH_27k</w:t>
            </w:r>
          </w:p>
        </w:tc>
        <w:tc>
          <w:tcPr>
            <w:tcW w:w="1269" w:type="dxa"/>
            <w:tcBorders>
              <w:bottom w:val="single" w:sz="4" w:space="0" w:color="auto"/>
              <w:right w:val="nil"/>
            </w:tcBorders>
          </w:tcPr>
          <w:p w14:paraId="3B77D916" w14:textId="77777777" w:rsidR="00DC21D1" w:rsidRPr="000E5D59" w:rsidRDefault="00DC21D1" w:rsidP="00A45A8C">
            <w:pPr>
              <w:spacing w:line="276" w:lineRule="auto"/>
              <w:jc w:val="center"/>
              <w:rPr>
                <w:rFonts w:asciiTheme="minorHAnsi" w:hAnsiTheme="minorHAnsi" w:cstheme="minorHAnsi"/>
                <w:sz w:val="20"/>
              </w:rPr>
            </w:pPr>
            <w:r w:rsidRPr="000E5D59">
              <w:rPr>
                <w:rFonts w:asciiTheme="minorHAnsi" w:hAnsiTheme="minorHAnsi" w:cstheme="minorHAnsi"/>
                <w:sz w:val="20"/>
              </w:rPr>
              <w:t>SN_9k</w:t>
            </w:r>
          </w:p>
        </w:tc>
        <w:tc>
          <w:tcPr>
            <w:tcW w:w="1087" w:type="dxa"/>
            <w:tcBorders>
              <w:bottom w:val="single" w:sz="4" w:space="0" w:color="auto"/>
              <w:right w:val="nil"/>
            </w:tcBorders>
          </w:tcPr>
          <w:p w14:paraId="7FCFFDFA" w14:textId="77777777" w:rsidR="00DC21D1" w:rsidRPr="000E5D59" w:rsidRDefault="00DC21D1" w:rsidP="00A45A8C">
            <w:pPr>
              <w:spacing w:line="276" w:lineRule="auto"/>
              <w:jc w:val="center"/>
              <w:rPr>
                <w:rFonts w:asciiTheme="minorHAnsi" w:hAnsiTheme="minorHAnsi" w:cstheme="minorHAnsi"/>
                <w:sz w:val="20"/>
              </w:rPr>
            </w:pPr>
            <w:r w:rsidRPr="000E5D59">
              <w:rPr>
                <w:rFonts w:asciiTheme="minorHAnsi" w:hAnsiTheme="minorHAnsi" w:cstheme="minorHAnsi"/>
                <w:sz w:val="20"/>
              </w:rPr>
              <w:t>SN_36k</w:t>
            </w:r>
          </w:p>
        </w:tc>
        <w:tc>
          <w:tcPr>
            <w:tcW w:w="1322" w:type="dxa"/>
            <w:tcBorders>
              <w:bottom w:val="single" w:sz="4" w:space="0" w:color="auto"/>
              <w:right w:val="nil"/>
            </w:tcBorders>
          </w:tcPr>
          <w:p w14:paraId="694F499E" w14:textId="77777777" w:rsidR="00DC21D1" w:rsidRPr="000E5D59" w:rsidRDefault="00DC21D1" w:rsidP="00A45A8C">
            <w:pPr>
              <w:spacing w:line="276" w:lineRule="auto"/>
              <w:jc w:val="center"/>
              <w:rPr>
                <w:rFonts w:asciiTheme="minorHAnsi" w:hAnsiTheme="minorHAnsi" w:cstheme="minorHAnsi"/>
                <w:sz w:val="20"/>
              </w:rPr>
            </w:pPr>
            <w:r w:rsidRPr="000E5D59">
              <w:rPr>
                <w:rFonts w:asciiTheme="minorHAnsi" w:hAnsiTheme="minorHAnsi" w:cstheme="minorHAnsi"/>
                <w:sz w:val="20"/>
              </w:rPr>
              <w:t>SN_38k</w:t>
            </w:r>
          </w:p>
        </w:tc>
      </w:tr>
      <w:bookmarkEnd w:id="10"/>
      <w:tr w:rsidR="00DC21D1" w:rsidRPr="000E5D59" w14:paraId="53EDF575" w14:textId="77777777" w:rsidTr="00A45A8C">
        <w:trPr>
          <w:trHeight w:val="86"/>
        </w:trPr>
        <w:tc>
          <w:tcPr>
            <w:tcW w:w="2726" w:type="dxa"/>
            <w:tcBorders>
              <w:top w:val="single" w:sz="4" w:space="0" w:color="auto"/>
              <w:left w:val="nil"/>
              <w:bottom w:val="nil"/>
              <w:right w:val="nil"/>
            </w:tcBorders>
          </w:tcPr>
          <w:p w14:paraId="1547B248" w14:textId="77777777" w:rsidR="00DC21D1" w:rsidRPr="000E5D59" w:rsidRDefault="00DC21D1" w:rsidP="00A45A8C">
            <w:pPr>
              <w:spacing w:before="40" w:after="40" w:line="276" w:lineRule="auto"/>
              <w:rPr>
                <w:rFonts w:asciiTheme="minorHAnsi" w:hAnsiTheme="minorHAnsi" w:cstheme="minorHAnsi"/>
                <w:sz w:val="20"/>
              </w:rPr>
            </w:pPr>
            <w:proofErr w:type="spellStart"/>
            <w:r w:rsidRPr="000E5D59">
              <w:rPr>
                <w:rFonts w:asciiTheme="minorHAnsi" w:hAnsiTheme="minorHAnsi" w:cstheme="minorHAnsi"/>
                <w:sz w:val="20"/>
              </w:rPr>
              <w:t>Feeding</w:t>
            </w:r>
            <w:proofErr w:type="spellEnd"/>
            <w:r w:rsidRPr="000E5D59">
              <w:rPr>
                <w:rFonts w:asciiTheme="minorHAnsi" w:hAnsiTheme="minorHAnsi" w:cstheme="minorHAnsi"/>
                <w:sz w:val="20"/>
              </w:rPr>
              <w:t xml:space="preserve"> </w:t>
            </w:r>
            <w:proofErr w:type="spellStart"/>
            <w:r w:rsidRPr="000E5D59">
              <w:rPr>
                <w:rFonts w:asciiTheme="minorHAnsi" w:hAnsiTheme="minorHAnsi" w:cstheme="minorHAnsi"/>
                <w:sz w:val="20"/>
              </w:rPr>
              <w:t>period</w:t>
            </w:r>
            <w:proofErr w:type="spellEnd"/>
            <w:r w:rsidRPr="000E5D59">
              <w:rPr>
                <w:rFonts w:asciiTheme="minorHAnsi" w:hAnsiTheme="minorHAnsi" w:cstheme="minorHAnsi"/>
                <w:sz w:val="20"/>
              </w:rPr>
              <w:t xml:space="preserve"> (</w:t>
            </w:r>
            <w:proofErr w:type="spellStart"/>
            <w:r w:rsidRPr="000E5D59">
              <w:rPr>
                <w:rFonts w:asciiTheme="minorHAnsi" w:hAnsiTheme="minorHAnsi" w:cstheme="minorHAnsi"/>
                <w:sz w:val="20"/>
              </w:rPr>
              <w:t>days</w:t>
            </w:r>
            <w:proofErr w:type="spellEnd"/>
            <w:r w:rsidRPr="000E5D59">
              <w:rPr>
                <w:rFonts w:asciiTheme="minorHAnsi" w:hAnsiTheme="minorHAnsi" w:cstheme="minorHAnsi"/>
                <w:sz w:val="20"/>
              </w:rPr>
              <w:t>)</w:t>
            </w:r>
          </w:p>
        </w:tc>
        <w:tc>
          <w:tcPr>
            <w:tcW w:w="1180" w:type="dxa"/>
            <w:tcBorders>
              <w:top w:val="single" w:sz="4" w:space="0" w:color="auto"/>
              <w:left w:val="nil"/>
              <w:bottom w:val="nil"/>
              <w:right w:val="nil"/>
            </w:tcBorders>
          </w:tcPr>
          <w:p w14:paraId="7A8F1F16"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63.00</w:t>
            </w:r>
          </w:p>
        </w:tc>
        <w:tc>
          <w:tcPr>
            <w:tcW w:w="1086" w:type="dxa"/>
            <w:tcBorders>
              <w:top w:val="single" w:sz="4" w:space="0" w:color="auto"/>
              <w:left w:val="nil"/>
              <w:bottom w:val="nil"/>
              <w:right w:val="nil"/>
            </w:tcBorders>
          </w:tcPr>
          <w:p w14:paraId="5FA89244"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45.50</w:t>
            </w:r>
          </w:p>
        </w:tc>
        <w:tc>
          <w:tcPr>
            <w:tcW w:w="861" w:type="dxa"/>
            <w:tcBorders>
              <w:top w:val="single" w:sz="4" w:space="0" w:color="auto"/>
              <w:left w:val="nil"/>
              <w:bottom w:val="nil"/>
              <w:right w:val="nil"/>
            </w:tcBorders>
          </w:tcPr>
          <w:p w14:paraId="61001D88"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42.00</w:t>
            </w:r>
          </w:p>
        </w:tc>
        <w:tc>
          <w:tcPr>
            <w:tcW w:w="1269" w:type="dxa"/>
            <w:tcBorders>
              <w:top w:val="single" w:sz="4" w:space="0" w:color="auto"/>
              <w:left w:val="nil"/>
              <w:bottom w:val="nil"/>
              <w:right w:val="nil"/>
            </w:tcBorders>
          </w:tcPr>
          <w:p w14:paraId="5C79DAA6"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38.00</w:t>
            </w:r>
          </w:p>
        </w:tc>
        <w:tc>
          <w:tcPr>
            <w:tcW w:w="1087" w:type="dxa"/>
            <w:tcBorders>
              <w:top w:val="single" w:sz="4" w:space="0" w:color="auto"/>
              <w:left w:val="nil"/>
              <w:bottom w:val="nil"/>
              <w:right w:val="nil"/>
            </w:tcBorders>
          </w:tcPr>
          <w:p w14:paraId="49C5EFE4"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40.00</w:t>
            </w:r>
          </w:p>
        </w:tc>
        <w:tc>
          <w:tcPr>
            <w:tcW w:w="1322" w:type="dxa"/>
            <w:tcBorders>
              <w:top w:val="single" w:sz="4" w:space="0" w:color="auto"/>
              <w:left w:val="nil"/>
              <w:bottom w:val="nil"/>
              <w:right w:val="nil"/>
            </w:tcBorders>
          </w:tcPr>
          <w:p w14:paraId="4990D2A6"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35.00</w:t>
            </w:r>
          </w:p>
        </w:tc>
      </w:tr>
      <w:tr w:rsidR="00DC21D1" w:rsidRPr="000E5D59" w14:paraId="175DEA3B" w14:textId="77777777" w:rsidTr="00A45A8C">
        <w:trPr>
          <w:trHeight w:val="161"/>
        </w:trPr>
        <w:tc>
          <w:tcPr>
            <w:tcW w:w="2726" w:type="dxa"/>
            <w:tcBorders>
              <w:top w:val="nil"/>
              <w:left w:val="nil"/>
              <w:bottom w:val="nil"/>
              <w:right w:val="nil"/>
            </w:tcBorders>
            <w:shd w:val="clear" w:color="auto" w:fill="auto"/>
            <w:vAlign w:val="center"/>
          </w:tcPr>
          <w:p w14:paraId="6AEE6A75" w14:textId="77777777" w:rsidR="00DC21D1" w:rsidRPr="000E5D59" w:rsidRDefault="00DC21D1" w:rsidP="00A45A8C">
            <w:pPr>
              <w:spacing w:before="40" w:after="40" w:line="276" w:lineRule="auto"/>
              <w:rPr>
                <w:rFonts w:asciiTheme="minorHAnsi" w:hAnsiTheme="minorHAnsi" w:cstheme="minorHAnsi"/>
                <w:sz w:val="20"/>
              </w:rPr>
            </w:pPr>
            <w:r w:rsidRPr="000E5D59">
              <w:rPr>
                <w:rFonts w:asciiTheme="minorHAnsi" w:hAnsiTheme="minorHAnsi" w:cstheme="minorHAnsi"/>
                <w:sz w:val="20"/>
              </w:rPr>
              <w:t xml:space="preserve">Final live </w:t>
            </w:r>
            <w:proofErr w:type="spellStart"/>
            <w:r w:rsidRPr="000E5D59">
              <w:rPr>
                <w:rFonts w:asciiTheme="minorHAnsi" w:hAnsiTheme="minorHAnsi" w:cstheme="minorHAnsi"/>
                <w:sz w:val="20"/>
              </w:rPr>
              <w:t>weight</w:t>
            </w:r>
            <w:proofErr w:type="spellEnd"/>
            <w:r w:rsidRPr="000E5D59">
              <w:rPr>
                <w:rFonts w:asciiTheme="minorHAnsi" w:hAnsiTheme="minorHAnsi" w:cstheme="minorHAnsi"/>
                <w:sz w:val="20"/>
              </w:rPr>
              <w:t xml:space="preserve"> (g)</w:t>
            </w:r>
          </w:p>
        </w:tc>
        <w:tc>
          <w:tcPr>
            <w:tcW w:w="1180" w:type="dxa"/>
            <w:tcBorders>
              <w:top w:val="nil"/>
              <w:left w:val="nil"/>
              <w:bottom w:val="nil"/>
              <w:right w:val="nil"/>
            </w:tcBorders>
            <w:shd w:val="clear" w:color="auto" w:fill="auto"/>
            <w:vAlign w:val="center"/>
          </w:tcPr>
          <w:p w14:paraId="57770C5B"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3.00</w:t>
            </w:r>
          </w:p>
        </w:tc>
        <w:tc>
          <w:tcPr>
            <w:tcW w:w="1086" w:type="dxa"/>
            <w:tcBorders>
              <w:top w:val="nil"/>
              <w:left w:val="nil"/>
              <w:bottom w:val="nil"/>
              <w:right w:val="nil"/>
            </w:tcBorders>
            <w:shd w:val="clear" w:color="auto" w:fill="auto"/>
            <w:vAlign w:val="center"/>
          </w:tcPr>
          <w:p w14:paraId="0D21D0A9"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2.00</w:t>
            </w:r>
          </w:p>
        </w:tc>
        <w:tc>
          <w:tcPr>
            <w:tcW w:w="861" w:type="dxa"/>
            <w:tcBorders>
              <w:top w:val="nil"/>
              <w:left w:val="nil"/>
              <w:bottom w:val="nil"/>
              <w:right w:val="nil"/>
            </w:tcBorders>
            <w:shd w:val="clear" w:color="auto" w:fill="auto"/>
            <w:vAlign w:val="center"/>
          </w:tcPr>
          <w:p w14:paraId="654E8F73"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2.20</w:t>
            </w:r>
          </w:p>
        </w:tc>
        <w:tc>
          <w:tcPr>
            <w:tcW w:w="1269" w:type="dxa"/>
            <w:tcBorders>
              <w:top w:val="nil"/>
              <w:left w:val="nil"/>
              <w:bottom w:val="nil"/>
              <w:right w:val="nil"/>
            </w:tcBorders>
          </w:tcPr>
          <w:p w14:paraId="11E2277D"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2.00</w:t>
            </w:r>
          </w:p>
        </w:tc>
        <w:tc>
          <w:tcPr>
            <w:tcW w:w="1087" w:type="dxa"/>
            <w:tcBorders>
              <w:top w:val="nil"/>
              <w:left w:val="nil"/>
              <w:bottom w:val="nil"/>
              <w:right w:val="nil"/>
            </w:tcBorders>
          </w:tcPr>
          <w:p w14:paraId="2C11B1CA"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2.00</w:t>
            </w:r>
          </w:p>
        </w:tc>
        <w:tc>
          <w:tcPr>
            <w:tcW w:w="1322" w:type="dxa"/>
            <w:tcBorders>
              <w:top w:val="nil"/>
              <w:left w:val="nil"/>
              <w:bottom w:val="nil"/>
              <w:right w:val="nil"/>
            </w:tcBorders>
          </w:tcPr>
          <w:p w14:paraId="3DDE61E2"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2.00</w:t>
            </w:r>
          </w:p>
        </w:tc>
      </w:tr>
      <w:tr w:rsidR="00DC21D1" w:rsidRPr="000E5D59" w14:paraId="0FF834CC" w14:textId="77777777" w:rsidTr="00A45A8C">
        <w:trPr>
          <w:trHeight w:val="48"/>
        </w:trPr>
        <w:tc>
          <w:tcPr>
            <w:tcW w:w="2726" w:type="dxa"/>
            <w:tcBorders>
              <w:top w:val="nil"/>
              <w:left w:val="nil"/>
              <w:bottom w:val="single" w:sz="4" w:space="0" w:color="auto"/>
              <w:right w:val="nil"/>
            </w:tcBorders>
          </w:tcPr>
          <w:p w14:paraId="08EF85B8" w14:textId="77777777" w:rsidR="00DC21D1" w:rsidRPr="000E5D59" w:rsidRDefault="00DC21D1" w:rsidP="00A45A8C">
            <w:pPr>
              <w:spacing w:before="40" w:after="40" w:line="276" w:lineRule="auto"/>
              <w:rPr>
                <w:rFonts w:asciiTheme="minorHAnsi" w:hAnsiTheme="minorHAnsi" w:cstheme="minorHAnsi"/>
                <w:sz w:val="20"/>
              </w:rPr>
            </w:pPr>
            <w:bookmarkStart w:id="11" w:name="_Hlk85301875"/>
            <w:r w:rsidRPr="000E5D59">
              <w:rPr>
                <w:rFonts w:asciiTheme="minorHAnsi" w:hAnsiTheme="minorHAnsi" w:cstheme="minorHAnsi"/>
                <w:sz w:val="20"/>
              </w:rPr>
              <w:t xml:space="preserve">Feed </w:t>
            </w:r>
            <w:proofErr w:type="spellStart"/>
            <w:r w:rsidRPr="000E5D59">
              <w:rPr>
                <w:rFonts w:asciiTheme="minorHAnsi" w:hAnsiTheme="minorHAnsi" w:cstheme="minorHAnsi"/>
                <w:sz w:val="20"/>
              </w:rPr>
              <w:t>conversion</w:t>
            </w:r>
            <w:proofErr w:type="spellEnd"/>
            <w:r w:rsidRPr="000E5D59">
              <w:rPr>
                <w:rFonts w:asciiTheme="minorHAnsi" w:hAnsiTheme="minorHAnsi" w:cstheme="minorHAnsi"/>
                <w:sz w:val="20"/>
              </w:rPr>
              <w:t xml:space="preserve"> </w:t>
            </w:r>
            <w:proofErr w:type="spellStart"/>
            <w:r w:rsidRPr="000E5D59">
              <w:rPr>
                <w:rFonts w:asciiTheme="minorHAnsi" w:hAnsiTheme="minorHAnsi" w:cstheme="minorHAnsi"/>
                <w:sz w:val="20"/>
              </w:rPr>
              <w:t>ratio</w:t>
            </w:r>
            <w:proofErr w:type="spellEnd"/>
            <w:r w:rsidRPr="000E5D59">
              <w:rPr>
                <w:rFonts w:asciiTheme="minorHAnsi" w:hAnsiTheme="minorHAnsi" w:cstheme="minorHAnsi"/>
                <w:sz w:val="20"/>
              </w:rPr>
              <w:t xml:space="preserve"> (FCR)</w:t>
            </w:r>
            <w:bookmarkEnd w:id="11"/>
          </w:p>
        </w:tc>
        <w:tc>
          <w:tcPr>
            <w:tcW w:w="1180" w:type="dxa"/>
            <w:tcBorders>
              <w:top w:val="nil"/>
              <w:left w:val="nil"/>
              <w:bottom w:val="single" w:sz="4" w:space="0" w:color="auto"/>
              <w:right w:val="nil"/>
            </w:tcBorders>
          </w:tcPr>
          <w:p w14:paraId="67E9A4BB"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2.43</w:t>
            </w:r>
          </w:p>
        </w:tc>
        <w:tc>
          <w:tcPr>
            <w:tcW w:w="1086" w:type="dxa"/>
            <w:tcBorders>
              <w:top w:val="nil"/>
              <w:left w:val="nil"/>
              <w:bottom w:val="single" w:sz="4" w:space="0" w:color="auto"/>
              <w:right w:val="nil"/>
            </w:tcBorders>
          </w:tcPr>
          <w:p w14:paraId="09617F51"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2.08</w:t>
            </w:r>
          </w:p>
        </w:tc>
        <w:tc>
          <w:tcPr>
            <w:tcW w:w="861" w:type="dxa"/>
            <w:tcBorders>
              <w:top w:val="nil"/>
              <w:left w:val="nil"/>
              <w:bottom w:val="single" w:sz="4" w:space="0" w:color="auto"/>
              <w:right w:val="nil"/>
            </w:tcBorders>
          </w:tcPr>
          <w:p w14:paraId="7C5DF0AF"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2.33</w:t>
            </w:r>
          </w:p>
        </w:tc>
        <w:tc>
          <w:tcPr>
            <w:tcW w:w="1269" w:type="dxa"/>
            <w:tcBorders>
              <w:top w:val="nil"/>
              <w:left w:val="nil"/>
              <w:bottom w:val="single" w:sz="4" w:space="0" w:color="auto"/>
              <w:right w:val="nil"/>
            </w:tcBorders>
          </w:tcPr>
          <w:p w14:paraId="3AE7547F"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2.06</w:t>
            </w:r>
          </w:p>
        </w:tc>
        <w:tc>
          <w:tcPr>
            <w:tcW w:w="1087" w:type="dxa"/>
            <w:tcBorders>
              <w:top w:val="nil"/>
              <w:left w:val="nil"/>
              <w:bottom w:val="single" w:sz="4" w:space="0" w:color="auto"/>
              <w:right w:val="nil"/>
            </w:tcBorders>
          </w:tcPr>
          <w:p w14:paraId="57A16DC4"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1.78</w:t>
            </w:r>
          </w:p>
        </w:tc>
        <w:tc>
          <w:tcPr>
            <w:tcW w:w="1322" w:type="dxa"/>
            <w:tcBorders>
              <w:top w:val="nil"/>
              <w:left w:val="nil"/>
              <w:bottom w:val="single" w:sz="4" w:space="0" w:color="auto"/>
              <w:right w:val="nil"/>
            </w:tcBorders>
          </w:tcPr>
          <w:p w14:paraId="66FCEC0A" w14:textId="77777777" w:rsidR="00DC21D1" w:rsidRPr="000E5D59" w:rsidRDefault="00DC21D1" w:rsidP="00A45A8C">
            <w:pPr>
              <w:spacing w:before="40" w:after="40" w:line="276" w:lineRule="auto"/>
              <w:jc w:val="center"/>
              <w:rPr>
                <w:rFonts w:asciiTheme="minorHAnsi" w:hAnsiTheme="minorHAnsi" w:cstheme="minorHAnsi"/>
                <w:sz w:val="20"/>
              </w:rPr>
            </w:pPr>
            <w:r w:rsidRPr="000E5D59">
              <w:rPr>
                <w:rFonts w:asciiTheme="minorHAnsi" w:hAnsiTheme="minorHAnsi" w:cstheme="minorHAnsi"/>
                <w:sz w:val="20"/>
              </w:rPr>
              <w:t>1.61</w:t>
            </w:r>
          </w:p>
        </w:tc>
      </w:tr>
    </w:tbl>
    <w:p w14:paraId="400E1E92" w14:textId="6F6A43C4" w:rsidR="00DC21D1" w:rsidRPr="000E5D59" w:rsidRDefault="00DC21D1" w:rsidP="00DC21D1">
      <w:pPr>
        <w:spacing w:before="240" w:line="240" w:lineRule="auto"/>
        <w:jc w:val="left"/>
        <w:rPr>
          <w:rFonts w:asciiTheme="minorHAnsi" w:hAnsiTheme="minorHAnsi" w:cstheme="minorHAnsi"/>
          <w:lang w:val="en-US"/>
        </w:rPr>
      </w:pPr>
      <w:r w:rsidRPr="000E5D59">
        <w:rPr>
          <w:rFonts w:asciiTheme="minorHAnsi" w:hAnsiTheme="minorHAnsi" w:cstheme="minorHAnsi"/>
          <w:lang w:val="en-US"/>
        </w:rPr>
        <w:t xml:space="preserve">Source: Own </w:t>
      </w:r>
      <w:r w:rsidR="00A714DD" w:rsidRPr="000E5D59">
        <w:rPr>
          <w:rFonts w:asciiTheme="minorHAnsi" w:hAnsiTheme="minorHAnsi" w:cstheme="minorHAnsi"/>
          <w:lang w:val="en-US"/>
        </w:rPr>
        <w:t>survey</w:t>
      </w:r>
      <w:r w:rsidRPr="000E5D59">
        <w:rPr>
          <w:rFonts w:asciiTheme="minorHAnsi" w:hAnsiTheme="minorHAnsi" w:cstheme="minorHAnsi"/>
          <w:lang w:val="en-US"/>
        </w:rPr>
        <w:t xml:space="preserve"> and calculations </w:t>
      </w:r>
    </w:p>
    <w:p w14:paraId="00E56333" w14:textId="77777777" w:rsidR="00DC21D1" w:rsidRPr="000E5D59" w:rsidRDefault="00DC21D1" w:rsidP="002A6138">
      <w:pPr>
        <w:pStyle w:val="Heading2"/>
        <w:rPr>
          <w:rFonts w:asciiTheme="minorHAnsi" w:hAnsiTheme="minorHAnsi" w:cstheme="minorHAnsi"/>
          <w:lang w:val="en-US"/>
        </w:rPr>
      </w:pPr>
      <w:r w:rsidRPr="000E5D59">
        <w:rPr>
          <w:rFonts w:asciiTheme="minorHAnsi" w:hAnsiTheme="minorHAnsi" w:cstheme="minorHAnsi"/>
          <w:lang w:val="en-US"/>
        </w:rPr>
        <w:t>National-level drivers</w:t>
      </w:r>
    </w:p>
    <w:p w14:paraId="7B1B4230" w14:textId="64E56612" w:rsidR="00DC21D1" w:rsidRPr="000E5D59" w:rsidRDefault="00DC21D1" w:rsidP="00A714DD">
      <w:pPr>
        <w:rPr>
          <w:rFonts w:asciiTheme="minorHAnsi" w:hAnsiTheme="minorHAnsi" w:cstheme="minorHAnsi"/>
          <w:lang w:val="en-US"/>
        </w:rPr>
      </w:pPr>
      <w:r w:rsidRPr="000E5D59">
        <w:rPr>
          <w:rFonts w:asciiTheme="minorHAnsi" w:hAnsiTheme="minorHAnsi" w:cstheme="minorHAnsi"/>
          <w:lang w:val="en-US"/>
        </w:rPr>
        <w:t xml:space="preserve">To investigate the potential drivers of poultry feed costs at meso level, we first identify five scenarios regarding optimal feed conversion ratio, exchange rate and feed capacity in Ghana. As Table </w:t>
      </w:r>
      <w:r w:rsidR="000D3302">
        <w:rPr>
          <w:rFonts w:asciiTheme="minorHAnsi" w:hAnsiTheme="minorHAnsi" w:cstheme="minorHAnsi"/>
          <w:lang w:val="en-US"/>
        </w:rPr>
        <w:t>2</w:t>
      </w:r>
      <w:r w:rsidRPr="000E5D59">
        <w:rPr>
          <w:rFonts w:asciiTheme="minorHAnsi" w:hAnsiTheme="minorHAnsi" w:cstheme="minorHAnsi"/>
          <w:lang w:val="en-US"/>
        </w:rPr>
        <w:t xml:space="preserve"> presents, two scenarios are defined to evaluate exchange rate depreciation</w:t>
      </w:r>
      <w:r w:rsidR="00A714DD" w:rsidRPr="000E5D59">
        <w:rPr>
          <w:rFonts w:asciiTheme="minorHAnsi" w:hAnsiTheme="minorHAnsi" w:cstheme="minorHAnsi"/>
          <w:lang w:val="en-US"/>
        </w:rPr>
        <w:t>. These two scenarios (Sim</w:t>
      </w:r>
      <w:r w:rsidR="004E2187" w:rsidRPr="000E5D59">
        <w:rPr>
          <w:rFonts w:asciiTheme="minorHAnsi" w:hAnsiTheme="minorHAnsi" w:cstheme="minorHAnsi"/>
          <w:lang w:val="en-US"/>
        </w:rPr>
        <w:t xml:space="preserve"> </w:t>
      </w:r>
      <w:r w:rsidR="00A714DD" w:rsidRPr="000E5D59">
        <w:rPr>
          <w:rFonts w:asciiTheme="minorHAnsi" w:hAnsiTheme="minorHAnsi" w:cstheme="minorHAnsi"/>
          <w:lang w:val="en-US"/>
        </w:rPr>
        <w:t xml:space="preserve">1 and 2) evaluates the effects of exchange rate depreciation of Cedi over US dollar by 10% and 50% respectively. Moreover, the third and fourth scenarios (Sim 3 and 4) targets reducing feed conversion ratio (i.e. improving poultry meat production) and doubling feed capacity in Ghana. </w:t>
      </w:r>
      <w:r w:rsidR="00B6394D" w:rsidRPr="000E5D59">
        <w:rPr>
          <w:rFonts w:asciiTheme="minorHAnsi" w:hAnsiTheme="minorHAnsi" w:cstheme="minorHAnsi"/>
          <w:lang w:val="en-US"/>
        </w:rPr>
        <w:t>In the last scenario (Sim 5)</w:t>
      </w:r>
      <w:r w:rsidR="00A714DD" w:rsidRPr="000E5D59">
        <w:rPr>
          <w:rFonts w:asciiTheme="minorHAnsi" w:hAnsiTheme="minorHAnsi" w:cstheme="minorHAnsi"/>
          <w:lang w:val="en-US"/>
        </w:rPr>
        <w:t>,</w:t>
      </w:r>
      <w:r w:rsidRPr="000E5D59">
        <w:rPr>
          <w:rFonts w:asciiTheme="minorHAnsi" w:hAnsiTheme="minorHAnsi" w:cstheme="minorHAnsi"/>
          <w:lang w:val="en-US"/>
        </w:rPr>
        <w:t xml:space="preserve"> </w:t>
      </w:r>
      <w:r w:rsidR="00A714DD" w:rsidRPr="000E5D59">
        <w:rPr>
          <w:rFonts w:asciiTheme="minorHAnsi" w:hAnsiTheme="minorHAnsi" w:cstheme="minorHAnsi"/>
          <w:lang w:val="en-US"/>
        </w:rPr>
        <w:t xml:space="preserve">we </w:t>
      </w:r>
      <w:r w:rsidRPr="000E5D59">
        <w:rPr>
          <w:rFonts w:asciiTheme="minorHAnsi" w:hAnsiTheme="minorHAnsi" w:cstheme="minorHAnsi"/>
          <w:lang w:val="en-US"/>
        </w:rPr>
        <w:t>evaluate a combination of increasing feed industry capacity by 50% and feed market liberalization</w:t>
      </w:r>
      <w:r w:rsidR="00B6394D" w:rsidRPr="000E5D59">
        <w:rPr>
          <w:rFonts w:asciiTheme="minorHAnsi" w:hAnsiTheme="minorHAnsi" w:cstheme="minorHAnsi"/>
          <w:lang w:val="en-US"/>
        </w:rPr>
        <w:t>.</w:t>
      </w:r>
    </w:p>
    <w:p w14:paraId="5FC72126" w14:textId="16DB63F0" w:rsidR="00DC21D1" w:rsidRPr="004A1422" w:rsidRDefault="00BD7475" w:rsidP="004A1422">
      <w:pPr>
        <w:jc w:val="center"/>
        <w:rPr>
          <w:rFonts w:asciiTheme="minorHAnsi" w:hAnsiTheme="minorHAnsi" w:cstheme="minorHAnsi"/>
          <w:b/>
          <w:bCs/>
          <w:lang w:val="en-US"/>
        </w:rPr>
      </w:pPr>
      <w:r w:rsidRPr="004A1422">
        <w:rPr>
          <w:rFonts w:asciiTheme="minorHAnsi" w:hAnsiTheme="minorHAnsi" w:cstheme="minorHAnsi"/>
          <w:b/>
          <w:bCs/>
          <w:lang w:val="en-US"/>
        </w:rPr>
        <w:t>Table</w:t>
      </w:r>
      <w:r w:rsidR="000E5D59" w:rsidRPr="004A1422">
        <w:rPr>
          <w:rFonts w:asciiTheme="minorHAnsi" w:hAnsiTheme="minorHAnsi" w:cstheme="minorHAnsi"/>
          <w:b/>
          <w:bCs/>
          <w:lang w:val="en-US"/>
        </w:rPr>
        <w:t xml:space="preserve"> 2.</w:t>
      </w:r>
      <w:r w:rsidRPr="004A1422">
        <w:rPr>
          <w:rFonts w:asciiTheme="minorHAnsi" w:hAnsiTheme="minorHAnsi" w:cstheme="minorHAnsi"/>
          <w:b/>
          <w:bCs/>
          <w:lang w:val="en-US"/>
        </w:rPr>
        <w:t xml:space="preserve"> Descriptive of scenarios</w:t>
      </w:r>
    </w:p>
    <w:tbl>
      <w:tblPr>
        <w:tblStyle w:val="TableGrid"/>
        <w:tblW w:w="7938"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6323"/>
      </w:tblGrid>
      <w:tr w:rsidR="00DC21D1" w:rsidRPr="000E5D59" w14:paraId="6E3B7677" w14:textId="77777777" w:rsidTr="00A714DD">
        <w:trPr>
          <w:trHeight w:val="341"/>
          <w:jc w:val="center"/>
        </w:trPr>
        <w:tc>
          <w:tcPr>
            <w:tcW w:w="1615" w:type="dxa"/>
            <w:tcBorders>
              <w:bottom w:val="single" w:sz="4" w:space="0" w:color="auto"/>
            </w:tcBorders>
            <w:vAlign w:val="center"/>
          </w:tcPr>
          <w:p w14:paraId="754FA1F7"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szCs w:val="24"/>
                <w:lang w:val="en-US"/>
              </w:rPr>
              <w:t>Scenario</w:t>
            </w:r>
          </w:p>
        </w:tc>
        <w:tc>
          <w:tcPr>
            <w:tcW w:w="6323" w:type="dxa"/>
            <w:tcBorders>
              <w:bottom w:val="single" w:sz="4" w:space="0" w:color="auto"/>
            </w:tcBorders>
            <w:vAlign w:val="center"/>
          </w:tcPr>
          <w:p w14:paraId="0B0587E8"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szCs w:val="24"/>
                <w:lang w:val="en-US"/>
              </w:rPr>
              <w:t>Description</w:t>
            </w:r>
          </w:p>
        </w:tc>
      </w:tr>
      <w:tr w:rsidR="00DC21D1" w:rsidRPr="000615DA" w14:paraId="3C86B7F4" w14:textId="77777777" w:rsidTr="00A714DD">
        <w:trPr>
          <w:jc w:val="center"/>
        </w:trPr>
        <w:tc>
          <w:tcPr>
            <w:tcW w:w="1615" w:type="dxa"/>
            <w:tcBorders>
              <w:top w:val="single" w:sz="4" w:space="0" w:color="auto"/>
            </w:tcBorders>
            <w:vAlign w:val="center"/>
          </w:tcPr>
          <w:p w14:paraId="7A3CB35B"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szCs w:val="24"/>
                <w:lang w:val="en-US"/>
              </w:rPr>
              <w:t>Base</w:t>
            </w:r>
          </w:p>
        </w:tc>
        <w:tc>
          <w:tcPr>
            <w:tcW w:w="6323" w:type="dxa"/>
            <w:tcBorders>
              <w:top w:val="single" w:sz="4" w:space="0" w:color="auto"/>
            </w:tcBorders>
            <w:vAlign w:val="center"/>
          </w:tcPr>
          <w:p w14:paraId="05B99B47"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lang w:val="en-US"/>
              </w:rPr>
              <w:t>Calibrated model at observed values of demand and supply</w:t>
            </w:r>
          </w:p>
        </w:tc>
      </w:tr>
      <w:tr w:rsidR="00DC21D1" w:rsidRPr="000E5D59" w14:paraId="07ED52CE" w14:textId="77777777" w:rsidTr="00A714DD">
        <w:trPr>
          <w:jc w:val="center"/>
        </w:trPr>
        <w:tc>
          <w:tcPr>
            <w:tcW w:w="1615" w:type="dxa"/>
            <w:tcBorders>
              <w:top w:val="nil"/>
            </w:tcBorders>
            <w:vAlign w:val="center"/>
          </w:tcPr>
          <w:p w14:paraId="174BD838"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szCs w:val="24"/>
                <w:lang w:val="en-US"/>
              </w:rPr>
              <w:t>Sim1</w:t>
            </w:r>
          </w:p>
        </w:tc>
        <w:tc>
          <w:tcPr>
            <w:tcW w:w="6323" w:type="dxa"/>
            <w:tcBorders>
              <w:top w:val="nil"/>
            </w:tcBorders>
            <w:vAlign w:val="center"/>
          </w:tcPr>
          <w:p w14:paraId="53B2A83F" w14:textId="77777777" w:rsidR="00DC21D1" w:rsidRPr="000E5D59" w:rsidRDefault="00DC21D1" w:rsidP="00A45A8C">
            <w:pPr>
              <w:spacing w:before="0"/>
              <w:jc w:val="center"/>
              <w:rPr>
                <w:rFonts w:asciiTheme="minorHAnsi" w:hAnsiTheme="minorHAnsi" w:cstheme="minorHAnsi"/>
                <w:lang w:val="en-US"/>
              </w:rPr>
            </w:pPr>
            <w:r w:rsidRPr="000E5D59">
              <w:rPr>
                <w:rFonts w:asciiTheme="minorHAnsi" w:hAnsiTheme="minorHAnsi" w:cstheme="minorHAnsi"/>
                <w:lang w:val="en-US"/>
              </w:rPr>
              <w:t>Increase exchange rate by 10%</w:t>
            </w:r>
          </w:p>
        </w:tc>
      </w:tr>
      <w:tr w:rsidR="00DC21D1" w:rsidRPr="000E5D59" w14:paraId="510B796F" w14:textId="77777777" w:rsidTr="00A714DD">
        <w:trPr>
          <w:jc w:val="center"/>
        </w:trPr>
        <w:tc>
          <w:tcPr>
            <w:tcW w:w="1615" w:type="dxa"/>
            <w:tcBorders>
              <w:top w:val="nil"/>
            </w:tcBorders>
            <w:vAlign w:val="center"/>
          </w:tcPr>
          <w:p w14:paraId="368E5B1D"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szCs w:val="24"/>
                <w:lang w:val="en-US"/>
              </w:rPr>
              <w:t>Sim2</w:t>
            </w:r>
          </w:p>
        </w:tc>
        <w:tc>
          <w:tcPr>
            <w:tcW w:w="6323" w:type="dxa"/>
            <w:tcBorders>
              <w:top w:val="nil"/>
            </w:tcBorders>
            <w:vAlign w:val="center"/>
          </w:tcPr>
          <w:p w14:paraId="0E4A3CCF" w14:textId="77777777" w:rsidR="00DC21D1" w:rsidRPr="000E5D59" w:rsidRDefault="00DC21D1" w:rsidP="00A45A8C">
            <w:pPr>
              <w:spacing w:before="0"/>
              <w:jc w:val="center"/>
              <w:rPr>
                <w:rFonts w:asciiTheme="minorHAnsi" w:hAnsiTheme="minorHAnsi" w:cstheme="minorHAnsi"/>
                <w:lang w:val="en-US"/>
              </w:rPr>
            </w:pPr>
            <w:r w:rsidRPr="000E5D59">
              <w:rPr>
                <w:rFonts w:asciiTheme="minorHAnsi" w:hAnsiTheme="minorHAnsi" w:cstheme="minorHAnsi"/>
                <w:lang w:val="en-US"/>
              </w:rPr>
              <w:t>Increase exchange rate by 50%</w:t>
            </w:r>
          </w:p>
        </w:tc>
      </w:tr>
      <w:tr w:rsidR="00DC21D1" w:rsidRPr="000615DA" w14:paraId="72EDFC90" w14:textId="77777777" w:rsidTr="00A714DD">
        <w:trPr>
          <w:jc w:val="center"/>
        </w:trPr>
        <w:tc>
          <w:tcPr>
            <w:tcW w:w="1615" w:type="dxa"/>
            <w:tcBorders>
              <w:top w:val="nil"/>
            </w:tcBorders>
            <w:vAlign w:val="center"/>
          </w:tcPr>
          <w:p w14:paraId="403E85EB"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szCs w:val="24"/>
                <w:lang w:val="en-US"/>
              </w:rPr>
              <w:t>Sim3</w:t>
            </w:r>
          </w:p>
        </w:tc>
        <w:tc>
          <w:tcPr>
            <w:tcW w:w="6323" w:type="dxa"/>
            <w:tcBorders>
              <w:top w:val="nil"/>
            </w:tcBorders>
            <w:vAlign w:val="center"/>
          </w:tcPr>
          <w:p w14:paraId="39A4661B" w14:textId="77777777" w:rsidR="00DC21D1" w:rsidRPr="000E5D59" w:rsidRDefault="00DC21D1" w:rsidP="00A45A8C">
            <w:pPr>
              <w:spacing w:before="0"/>
              <w:jc w:val="center"/>
              <w:rPr>
                <w:rFonts w:asciiTheme="minorHAnsi" w:hAnsiTheme="minorHAnsi" w:cstheme="minorHAnsi"/>
                <w:lang w:val="en-US"/>
              </w:rPr>
            </w:pPr>
            <w:r w:rsidRPr="000E5D59">
              <w:rPr>
                <w:rFonts w:asciiTheme="minorHAnsi" w:hAnsiTheme="minorHAnsi" w:cstheme="minorHAnsi"/>
                <w:lang w:val="en-US"/>
              </w:rPr>
              <w:t>Optimal feed conversion ratio, i.e. 1.65</w:t>
            </w:r>
          </w:p>
        </w:tc>
      </w:tr>
      <w:tr w:rsidR="00DC21D1" w:rsidRPr="000615DA" w14:paraId="1D7AD5D8" w14:textId="77777777" w:rsidTr="00A714DD">
        <w:trPr>
          <w:jc w:val="center"/>
        </w:trPr>
        <w:tc>
          <w:tcPr>
            <w:tcW w:w="1615" w:type="dxa"/>
            <w:tcBorders>
              <w:top w:val="nil"/>
            </w:tcBorders>
            <w:vAlign w:val="center"/>
          </w:tcPr>
          <w:p w14:paraId="2EFF0997"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szCs w:val="24"/>
                <w:lang w:val="en-US"/>
              </w:rPr>
              <w:t>Sim4</w:t>
            </w:r>
          </w:p>
        </w:tc>
        <w:tc>
          <w:tcPr>
            <w:tcW w:w="6323" w:type="dxa"/>
            <w:tcBorders>
              <w:top w:val="nil"/>
            </w:tcBorders>
            <w:vAlign w:val="center"/>
          </w:tcPr>
          <w:p w14:paraId="091FA147" w14:textId="77777777" w:rsidR="00DC21D1" w:rsidRPr="000E5D59" w:rsidRDefault="00DC21D1" w:rsidP="00A45A8C">
            <w:pPr>
              <w:spacing w:before="0"/>
              <w:jc w:val="center"/>
              <w:rPr>
                <w:rFonts w:asciiTheme="minorHAnsi" w:hAnsiTheme="minorHAnsi" w:cstheme="minorHAnsi"/>
                <w:lang w:val="en-US"/>
              </w:rPr>
            </w:pPr>
            <w:r w:rsidRPr="000E5D59">
              <w:rPr>
                <w:rFonts w:asciiTheme="minorHAnsi" w:hAnsiTheme="minorHAnsi" w:cstheme="minorHAnsi"/>
                <w:lang w:val="en-US"/>
              </w:rPr>
              <w:t>Doubling national level of broiler feed production</w:t>
            </w:r>
          </w:p>
        </w:tc>
      </w:tr>
      <w:tr w:rsidR="00DC21D1" w:rsidRPr="000615DA" w14:paraId="558ADD34" w14:textId="77777777" w:rsidTr="00A714DD">
        <w:trPr>
          <w:jc w:val="center"/>
        </w:trPr>
        <w:tc>
          <w:tcPr>
            <w:tcW w:w="1615" w:type="dxa"/>
            <w:tcBorders>
              <w:top w:val="nil"/>
              <w:bottom w:val="single" w:sz="4" w:space="0" w:color="auto"/>
            </w:tcBorders>
            <w:vAlign w:val="center"/>
          </w:tcPr>
          <w:p w14:paraId="0C6A8A07" w14:textId="77777777" w:rsidR="00DC21D1" w:rsidRPr="000E5D59" w:rsidRDefault="00DC21D1" w:rsidP="00A45A8C">
            <w:pPr>
              <w:spacing w:before="0"/>
              <w:jc w:val="center"/>
              <w:rPr>
                <w:rFonts w:asciiTheme="minorHAnsi" w:hAnsiTheme="minorHAnsi" w:cstheme="minorHAnsi"/>
                <w:szCs w:val="24"/>
                <w:lang w:val="en-US"/>
              </w:rPr>
            </w:pPr>
            <w:r w:rsidRPr="000E5D59">
              <w:rPr>
                <w:rFonts w:asciiTheme="minorHAnsi" w:hAnsiTheme="minorHAnsi" w:cstheme="minorHAnsi"/>
                <w:szCs w:val="24"/>
                <w:lang w:val="en-US"/>
              </w:rPr>
              <w:t>Sim5</w:t>
            </w:r>
          </w:p>
        </w:tc>
        <w:tc>
          <w:tcPr>
            <w:tcW w:w="6323" w:type="dxa"/>
            <w:tcBorders>
              <w:top w:val="nil"/>
              <w:bottom w:val="single" w:sz="4" w:space="0" w:color="auto"/>
            </w:tcBorders>
            <w:vAlign w:val="center"/>
          </w:tcPr>
          <w:p w14:paraId="6E3DD7C0" w14:textId="77777777" w:rsidR="00DC21D1" w:rsidRPr="000E5D59" w:rsidRDefault="00DC21D1" w:rsidP="00A45A8C">
            <w:pPr>
              <w:spacing w:before="0"/>
              <w:jc w:val="center"/>
              <w:rPr>
                <w:rFonts w:asciiTheme="minorHAnsi" w:hAnsiTheme="minorHAnsi" w:cstheme="minorHAnsi"/>
                <w:lang w:val="en-US"/>
              </w:rPr>
            </w:pPr>
            <w:r w:rsidRPr="000E5D59">
              <w:rPr>
                <w:rFonts w:asciiTheme="minorHAnsi" w:hAnsiTheme="minorHAnsi" w:cstheme="minorHAnsi"/>
                <w:lang w:val="en-US"/>
              </w:rPr>
              <w:t>Increasing feed capacity by 50% and feed market liberalization</w:t>
            </w:r>
          </w:p>
        </w:tc>
      </w:tr>
    </w:tbl>
    <w:p w14:paraId="184181CB" w14:textId="6AE4E50E" w:rsidR="00DC21D1" w:rsidRDefault="001E5982" w:rsidP="00300A78">
      <w:pPr>
        <w:rPr>
          <w:rFonts w:asciiTheme="minorHAnsi" w:hAnsiTheme="minorHAnsi" w:cstheme="minorHAnsi"/>
          <w:lang w:val="en-US"/>
        </w:rPr>
      </w:pPr>
      <w:r w:rsidRPr="000E5D59">
        <w:rPr>
          <w:rFonts w:asciiTheme="minorHAnsi" w:hAnsiTheme="minorHAnsi" w:cstheme="minorHAnsi"/>
          <w:lang w:val="en-US"/>
        </w:rPr>
        <w:t xml:space="preserve">Figure </w:t>
      </w:r>
      <w:r w:rsidR="000D3302">
        <w:rPr>
          <w:rFonts w:asciiTheme="minorHAnsi" w:hAnsiTheme="minorHAnsi" w:cstheme="minorHAnsi"/>
          <w:lang w:val="en-US"/>
        </w:rPr>
        <w:t xml:space="preserve">5 </w:t>
      </w:r>
      <w:r w:rsidRPr="000E5D59">
        <w:rPr>
          <w:rFonts w:asciiTheme="minorHAnsi" w:hAnsiTheme="minorHAnsi" w:cstheme="minorHAnsi"/>
          <w:lang w:val="en-US"/>
        </w:rPr>
        <w:t xml:space="preserve">presents the simulation results for domestic production, consumption, import and market prices in the poultry value chain of Ghana. </w:t>
      </w:r>
      <w:r w:rsidR="004C6B68" w:rsidRPr="000E5D59">
        <w:rPr>
          <w:rFonts w:asciiTheme="minorHAnsi" w:hAnsiTheme="minorHAnsi" w:cstheme="minorHAnsi"/>
          <w:lang w:val="en-US"/>
        </w:rPr>
        <w:t>As shown, exchange rate depreciation increases market prices for all products within the poultry value chain. However, the price changes are more obvious when exchange rate rise by 50%. Exchange rate depreciation make the imported products more expensive relative to the domestic ones which in turn promotes the domestic producers to increase supply. Our findings show increases for all products supply as exchange rate increases</w:t>
      </w:r>
      <w:r w:rsidR="00300A78" w:rsidRPr="000E5D59">
        <w:rPr>
          <w:rFonts w:asciiTheme="minorHAnsi" w:hAnsiTheme="minorHAnsi" w:cstheme="minorHAnsi"/>
          <w:lang w:val="en-US"/>
        </w:rPr>
        <w:t>. This drives demand for production inputs including maize, soy and feed. As our results show however the consumption for maize drops, which is explained by the larger effects of household consumption on the maize demand. The</w:t>
      </w:r>
      <w:r w:rsidR="00DA4E09" w:rsidRPr="000E5D59">
        <w:rPr>
          <w:rFonts w:asciiTheme="minorHAnsi" w:hAnsiTheme="minorHAnsi" w:cstheme="minorHAnsi"/>
          <w:lang w:val="en-US"/>
        </w:rPr>
        <w:t xml:space="preserve"> higher price of domestic products will lead to </w:t>
      </w:r>
      <w:r w:rsidR="00300A78" w:rsidRPr="000E5D59">
        <w:rPr>
          <w:rFonts w:asciiTheme="minorHAnsi" w:hAnsiTheme="minorHAnsi" w:cstheme="minorHAnsi"/>
          <w:lang w:val="en-US"/>
        </w:rPr>
        <w:t>drop the consumption of final products including</w:t>
      </w:r>
      <w:r w:rsidR="00DA4E09" w:rsidRPr="000E5D59">
        <w:rPr>
          <w:rFonts w:asciiTheme="minorHAnsi" w:hAnsiTheme="minorHAnsi" w:cstheme="minorHAnsi"/>
          <w:lang w:val="en-US"/>
        </w:rPr>
        <w:t xml:space="preserve"> poultry and maize. </w:t>
      </w:r>
      <w:r w:rsidR="00300A78" w:rsidRPr="000E5D59">
        <w:rPr>
          <w:rFonts w:asciiTheme="minorHAnsi" w:hAnsiTheme="minorHAnsi" w:cstheme="minorHAnsi"/>
          <w:lang w:val="en-US"/>
        </w:rPr>
        <w:t xml:space="preserve">The changes in supply and derived demand for inputs finally determines the demand for imports. In this line, the demand for imports of soybean will increases following exchange rate depreciation. Higher derived demand for soybean by feed industry leads to higher imports volume of this product. In a similar fashion, doubling feed industry </w:t>
      </w:r>
      <w:r w:rsidR="00300A78" w:rsidRPr="000E5D59">
        <w:rPr>
          <w:rFonts w:asciiTheme="minorHAnsi" w:hAnsiTheme="minorHAnsi" w:cstheme="minorHAnsi"/>
          <w:lang w:val="en-US"/>
        </w:rPr>
        <w:lastRenderedPageBreak/>
        <w:t xml:space="preserve">capacity drives higher demand for soybean and maize. However, domestic supply of soybean is not enough to cover increased demand by feed industry, which in turn increases import demand. </w:t>
      </w:r>
    </w:p>
    <w:p w14:paraId="0329E3F1" w14:textId="791A5609" w:rsidR="000E5D59" w:rsidRPr="000E5D59" w:rsidRDefault="000E5D59" w:rsidP="000E5D59">
      <w:pPr>
        <w:jc w:val="center"/>
        <w:rPr>
          <w:rFonts w:asciiTheme="minorHAnsi" w:hAnsiTheme="minorHAnsi" w:cstheme="minorHAnsi"/>
          <w:b/>
          <w:bCs/>
          <w:lang w:val="en-US" w:bidi="fa-IR"/>
        </w:rPr>
      </w:pPr>
      <w:r w:rsidRPr="000E5D59">
        <w:rPr>
          <w:rFonts w:asciiTheme="minorHAnsi" w:hAnsiTheme="minorHAnsi" w:cstheme="minorHAnsi"/>
          <w:b/>
          <w:bCs/>
          <w:lang w:val="en-US" w:bidi="fa-IR"/>
        </w:rPr>
        <w:t>Figure 5. Simulation results for all five scenarios</w:t>
      </w:r>
    </w:p>
    <w:p w14:paraId="301E6DE9" w14:textId="56C8CC38" w:rsidR="001E5982" w:rsidRPr="000E5D59" w:rsidRDefault="001E5982" w:rsidP="001E5982">
      <w:pPr>
        <w:jc w:val="center"/>
        <w:rPr>
          <w:rFonts w:asciiTheme="minorHAnsi" w:hAnsiTheme="minorHAnsi" w:cstheme="minorHAnsi"/>
          <w:lang w:val="en-US" w:bidi="fa-IR"/>
        </w:rPr>
      </w:pPr>
      <w:r w:rsidRPr="000E5D59">
        <w:rPr>
          <w:rFonts w:asciiTheme="minorHAnsi" w:hAnsiTheme="minorHAnsi" w:cstheme="minorHAnsi"/>
          <w:noProof/>
          <w:lang w:val="en-US" w:bidi="fa-IR"/>
        </w:rPr>
        <w:drawing>
          <wp:inline distT="0" distB="0" distL="0" distR="0" wp14:anchorId="112CB5CB" wp14:editId="33A7CCE7">
            <wp:extent cx="6210049" cy="1799461"/>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64022" cy="1815100"/>
                    </a:xfrm>
                    <a:prstGeom prst="rect">
                      <a:avLst/>
                    </a:prstGeom>
                    <a:noFill/>
                  </pic:spPr>
                </pic:pic>
              </a:graphicData>
            </a:graphic>
          </wp:inline>
        </w:drawing>
      </w:r>
    </w:p>
    <w:p w14:paraId="079A61A8" w14:textId="4F89A744" w:rsidR="00DC21D1" w:rsidRDefault="001E5982" w:rsidP="001E5982">
      <w:pPr>
        <w:jc w:val="center"/>
        <w:rPr>
          <w:rFonts w:asciiTheme="minorHAnsi" w:hAnsiTheme="minorHAnsi" w:cstheme="minorHAnsi"/>
          <w:lang w:val="en-US" w:bidi="fa-IR"/>
        </w:rPr>
      </w:pPr>
      <w:r w:rsidRPr="000E5D59">
        <w:rPr>
          <w:rFonts w:asciiTheme="minorHAnsi" w:hAnsiTheme="minorHAnsi" w:cstheme="minorHAnsi"/>
          <w:noProof/>
          <w:lang w:val="en-US" w:bidi="fa-IR"/>
        </w:rPr>
        <w:drawing>
          <wp:inline distT="0" distB="0" distL="0" distR="0" wp14:anchorId="32F0F285" wp14:editId="74581487">
            <wp:extent cx="6193652" cy="201950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78593" cy="2047200"/>
                    </a:xfrm>
                    <a:prstGeom prst="rect">
                      <a:avLst/>
                    </a:prstGeom>
                    <a:noFill/>
                  </pic:spPr>
                </pic:pic>
              </a:graphicData>
            </a:graphic>
          </wp:inline>
        </w:drawing>
      </w:r>
    </w:p>
    <w:p w14:paraId="6EE2B6AA" w14:textId="08AD5EA1" w:rsidR="000D3302" w:rsidRPr="000E5D59" w:rsidRDefault="000D3302" w:rsidP="001E5982">
      <w:pPr>
        <w:jc w:val="center"/>
        <w:rPr>
          <w:rFonts w:asciiTheme="minorHAnsi" w:hAnsiTheme="minorHAnsi" w:cstheme="minorHAnsi"/>
          <w:lang w:val="en-US" w:bidi="fa-IR"/>
        </w:rPr>
      </w:pPr>
      <w:r>
        <w:rPr>
          <w:rFonts w:asciiTheme="minorHAnsi" w:hAnsiTheme="minorHAnsi" w:cstheme="minorHAnsi"/>
          <w:lang w:val="en-US" w:bidi="fa-IR"/>
        </w:rPr>
        <w:t>Source: Own calculations.</w:t>
      </w:r>
    </w:p>
    <w:p w14:paraId="48A12CF1" w14:textId="7637E284" w:rsidR="00DC21D1" w:rsidRPr="000E5D59" w:rsidRDefault="00DC21D1" w:rsidP="00DC21D1">
      <w:pPr>
        <w:jc w:val="center"/>
        <w:rPr>
          <w:rFonts w:asciiTheme="minorHAnsi" w:hAnsiTheme="minorHAnsi" w:cstheme="minorHAnsi"/>
          <w:lang w:val="en-US" w:bidi="fa-IR"/>
        </w:rPr>
      </w:pPr>
    </w:p>
    <w:p w14:paraId="5E014D89" w14:textId="77777777" w:rsidR="000E5D59" w:rsidRDefault="000E5D59" w:rsidP="000E5D59">
      <w:pPr>
        <w:jc w:val="center"/>
        <w:rPr>
          <w:rFonts w:asciiTheme="minorHAnsi" w:hAnsiTheme="minorHAnsi" w:cstheme="minorHAnsi"/>
          <w:lang w:val="en-US" w:bidi="fa-IR"/>
        </w:rPr>
      </w:pPr>
    </w:p>
    <w:p w14:paraId="236BFA21" w14:textId="77777777" w:rsidR="000E5D59" w:rsidRDefault="000E5D59" w:rsidP="000E5D59">
      <w:pPr>
        <w:jc w:val="center"/>
        <w:rPr>
          <w:rFonts w:asciiTheme="minorHAnsi" w:hAnsiTheme="minorHAnsi" w:cstheme="minorHAnsi"/>
          <w:lang w:val="en-US" w:bidi="fa-IR"/>
        </w:rPr>
      </w:pPr>
    </w:p>
    <w:p w14:paraId="1F44808A" w14:textId="77777777" w:rsidR="000E5D59" w:rsidRDefault="000E5D59" w:rsidP="000E5D59">
      <w:pPr>
        <w:jc w:val="center"/>
        <w:rPr>
          <w:rFonts w:asciiTheme="minorHAnsi" w:hAnsiTheme="minorHAnsi" w:cstheme="minorHAnsi"/>
          <w:lang w:val="en-US" w:bidi="fa-IR"/>
        </w:rPr>
      </w:pPr>
    </w:p>
    <w:p w14:paraId="0B856BA1" w14:textId="77777777" w:rsidR="000E5D59" w:rsidRDefault="000E5D59" w:rsidP="000E5D59">
      <w:pPr>
        <w:jc w:val="center"/>
        <w:rPr>
          <w:rFonts w:asciiTheme="minorHAnsi" w:hAnsiTheme="minorHAnsi" w:cstheme="minorHAnsi"/>
          <w:lang w:val="en-US" w:bidi="fa-IR"/>
        </w:rPr>
      </w:pPr>
    </w:p>
    <w:p w14:paraId="4EA1CB0B" w14:textId="77777777" w:rsidR="000E5D59" w:rsidRDefault="000E5D59" w:rsidP="000E5D59">
      <w:pPr>
        <w:jc w:val="center"/>
        <w:rPr>
          <w:rFonts w:asciiTheme="minorHAnsi" w:hAnsiTheme="minorHAnsi" w:cstheme="minorHAnsi"/>
          <w:lang w:val="en-US" w:bidi="fa-IR"/>
        </w:rPr>
      </w:pPr>
    </w:p>
    <w:p w14:paraId="3938802D" w14:textId="77777777" w:rsidR="000E5D59" w:rsidRDefault="000E5D59" w:rsidP="000E5D59">
      <w:pPr>
        <w:jc w:val="center"/>
        <w:rPr>
          <w:rFonts w:asciiTheme="minorHAnsi" w:hAnsiTheme="minorHAnsi" w:cstheme="minorHAnsi"/>
          <w:lang w:val="en-US" w:bidi="fa-IR"/>
        </w:rPr>
      </w:pPr>
    </w:p>
    <w:p w14:paraId="7D038217" w14:textId="77777777" w:rsidR="000E5D59" w:rsidRDefault="000E5D59" w:rsidP="000E5D59">
      <w:pPr>
        <w:jc w:val="center"/>
        <w:rPr>
          <w:rFonts w:asciiTheme="minorHAnsi" w:hAnsiTheme="minorHAnsi" w:cstheme="minorHAnsi"/>
          <w:lang w:val="en-US" w:bidi="fa-IR"/>
        </w:rPr>
      </w:pPr>
    </w:p>
    <w:p w14:paraId="7B315665" w14:textId="77777777" w:rsidR="004A1422" w:rsidRDefault="004A1422" w:rsidP="000E5D59">
      <w:pPr>
        <w:jc w:val="center"/>
        <w:rPr>
          <w:rFonts w:asciiTheme="minorHAnsi" w:hAnsiTheme="minorHAnsi" w:cstheme="minorHAnsi"/>
          <w:b/>
          <w:bCs/>
          <w:lang w:val="en-US" w:bidi="fa-IR"/>
        </w:rPr>
      </w:pPr>
    </w:p>
    <w:p w14:paraId="59EC29F4" w14:textId="79959991" w:rsidR="000E5D59" w:rsidRPr="000E5D59" w:rsidRDefault="000E5D59" w:rsidP="000E5D59">
      <w:pPr>
        <w:jc w:val="center"/>
        <w:rPr>
          <w:rFonts w:asciiTheme="minorHAnsi" w:hAnsiTheme="minorHAnsi" w:cstheme="minorHAnsi"/>
          <w:b/>
          <w:bCs/>
          <w:lang w:val="en-US"/>
        </w:rPr>
      </w:pPr>
      <w:r w:rsidRPr="000E5D59">
        <w:rPr>
          <w:rFonts w:asciiTheme="minorHAnsi" w:hAnsiTheme="minorHAnsi" w:cstheme="minorHAnsi"/>
          <w:b/>
          <w:bCs/>
          <w:lang w:val="en-US" w:bidi="fa-IR"/>
        </w:rPr>
        <w:t>Figure 6. Net welfare changes in the Ghanaian poultry value chain</w:t>
      </w:r>
    </w:p>
    <w:p w14:paraId="19C4E76C" w14:textId="5E18F988" w:rsidR="00DC21D1" w:rsidRDefault="00DC21D1" w:rsidP="00DC21D1">
      <w:pPr>
        <w:jc w:val="center"/>
        <w:rPr>
          <w:rFonts w:asciiTheme="minorHAnsi" w:hAnsiTheme="minorHAnsi" w:cstheme="minorHAnsi"/>
          <w:lang w:val="en-US" w:bidi="fa-IR"/>
        </w:rPr>
      </w:pPr>
      <w:r w:rsidRPr="000E5D59">
        <w:rPr>
          <w:rFonts w:asciiTheme="minorHAnsi" w:hAnsiTheme="minorHAnsi" w:cstheme="minorHAnsi"/>
          <w:noProof/>
          <w:lang w:val="en-US" w:bidi="fa-IR"/>
        </w:rPr>
        <w:drawing>
          <wp:inline distT="0" distB="0" distL="0" distR="0" wp14:anchorId="360B5C75" wp14:editId="6CE6B70A">
            <wp:extent cx="5736853" cy="4851592"/>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1818" cy="4864247"/>
                    </a:xfrm>
                    <a:prstGeom prst="rect">
                      <a:avLst/>
                    </a:prstGeom>
                    <a:noFill/>
                  </pic:spPr>
                </pic:pic>
              </a:graphicData>
            </a:graphic>
          </wp:inline>
        </w:drawing>
      </w:r>
    </w:p>
    <w:p w14:paraId="7F29C5AC" w14:textId="00914D93" w:rsidR="000D3302" w:rsidRPr="000E5D59" w:rsidRDefault="000D3302" w:rsidP="00DC21D1">
      <w:pPr>
        <w:jc w:val="center"/>
        <w:rPr>
          <w:rFonts w:asciiTheme="minorHAnsi" w:hAnsiTheme="minorHAnsi" w:cstheme="minorHAnsi"/>
          <w:lang w:val="en-US" w:bidi="fa-IR"/>
        </w:rPr>
      </w:pPr>
      <w:r>
        <w:rPr>
          <w:rFonts w:asciiTheme="minorHAnsi" w:hAnsiTheme="minorHAnsi" w:cstheme="minorHAnsi"/>
          <w:lang w:val="en-US" w:bidi="fa-IR"/>
        </w:rPr>
        <w:t>Source: Own calculations.</w:t>
      </w:r>
    </w:p>
    <w:p w14:paraId="356A01D8" w14:textId="77777777" w:rsidR="00DC21D1" w:rsidRPr="000E5D59" w:rsidRDefault="008A7EDB" w:rsidP="002A6138">
      <w:pPr>
        <w:pStyle w:val="Heading2"/>
        <w:rPr>
          <w:rFonts w:asciiTheme="minorHAnsi" w:hAnsiTheme="minorHAnsi" w:cstheme="minorHAnsi"/>
          <w:lang w:val="en-US"/>
        </w:rPr>
      </w:pPr>
      <w:r w:rsidRPr="000E5D59">
        <w:rPr>
          <w:rFonts w:asciiTheme="minorHAnsi" w:hAnsiTheme="minorHAnsi" w:cstheme="minorHAnsi"/>
          <w:lang w:val="en-US"/>
        </w:rPr>
        <w:t xml:space="preserve">Policy Measures </w:t>
      </w:r>
    </w:p>
    <w:p w14:paraId="22C529C3" w14:textId="2034A911" w:rsidR="007D1D14" w:rsidRPr="000E5D59" w:rsidRDefault="00FB0DB4" w:rsidP="00FB0DB4">
      <w:pPr>
        <w:rPr>
          <w:rFonts w:asciiTheme="minorHAnsi" w:hAnsiTheme="minorHAnsi" w:cstheme="minorHAnsi"/>
          <w:lang w:val="en-US"/>
        </w:rPr>
      </w:pPr>
      <w:r w:rsidRPr="000E5D59">
        <w:rPr>
          <w:rFonts w:asciiTheme="minorHAnsi" w:hAnsiTheme="minorHAnsi" w:cstheme="minorHAnsi"/>
          <w:lang w:val="en-US"/>
        </w:rPr>
        <w:t>In the previous chapters, we have identified feed cost</w:t>
      </w:r>
      <w:r w:rsidR="007D1D14" w:rsidRPr="000E5D59">
        <w:rPr>
          <w:rFonts w:asciiTheme="minorHAnsi" w:hAnsiTheme="minorHAnsi" w:cstheme="minorHAnsi"/>
          <w:lang w:val="en-US"/>
        </w:rPr>
        <w:t>s</w:t>
      </w:r>
      <w:r w:rsidRPr="000E5D59">
        <w:rPr>
          <w:rFonts w:asciiTheme="minorHAnsi" w:hAnsiTheme="minorHAnsi" w:cstheme="minorHAnsi"/>
          <w:lang w:val="en-US"/>
        </w:rPr>
        <w:t xml:space="preserve"> as a significant </w:t>
      </w:r>
      <w:r w:rsidR="007D1D14" w:rsidRPr="000E5D59">
        <w:rPr>
          <w:rFonts w:asciiTheme="minorHAnsi" w:hAnsiTheme="minorHAnsi" w:cstheme="minorHAnsi"/>
          <w:lang w:val="en-US"/>
        </w:rPr>
        <w:t>factor</w:t>
      </w:r>
      <w:r w:rsidRPr="000E5D59">
        <w:rPr>
          <w:rFonts w:asciiTheme="minorHAnsi" w:hAnsiTheme="minorHAnsi" w:cstheme="minorHAnsi"/>
          <w:lang w:val="en-US"/>
        </w:rPr>
        <w:t xml:space="preserve"> for the competitiveness of </w:t>
      </w:r>
      <w:r w:rsidR="007D1D14" w:rsidRPr="000E5D59">
        <w:rPr>
          <w:rFonts w:asciiTheme="minorHAnsi" w:hAnsiTheme="minorHAnsi" w:cstheme="minorHAnsi"/>
          <w:lang w:val="en-US"/>
        </w:rPr>
        <w:t xml:space="preserve">the </w:t>
      </w:r>
      <w:r w:rsidRPr="000E5D59">
        <w:rPr>
          <w:rFonts w:asciiTheme="minorHAnsi" w:hAnsiTheme="minorHAnsi" w:cstheme="minorHAnsi"/>
          <w:lang w:val="en-US"/>
        </w:rPr>
        <w:t xml:space="preserve">poultry </w:t>
      </w:r>
      <w:r w:rsidR="007D1D14" w:rsidRPr="000E5D59">
        <w:rPr>
          <w:rFonts w:asciiTheme="minorHAnsi" w:hAnsiTheme="minorHAnsi" w:cstheme="minorHAnsi"/>
          <w:lang w:val="en-US"/>
        </w:rPr>
        <w:t>sector in Ghana</w:t>
      </w:r>
      <w:r w:rsidRPr="000E5D59">
        <w:rPr>
          <w:rFonts w:asciiTheme="minorHAnsi" w:hAnsiTheme="minorHAnsi" w:cstheme="minorHAnsi"/>
          <w:lang w:val="en-US"/>
        </w:rPr>
        <w:t xml:space="preserve">. </w:t>
      </w:r>
      <w:r w:rsidR="00F634A2" w:rsidRPr="000E5D59">
        <w:rPr>
          <w:rFonts w:asciiTheme="minorHAnsi" w:hAnsiTheme="minorHAnsi" w:cstheme="minorHAnsi"/>
          <w:lang w:val="en-US"/>
        </w:rPr>
        <w:t>This raises the question</w:t>
      </w:r>
      <w:r w:rsidR="007D1D14" w:rsidRPr="000E5D59">
        <w:rPr>
          <w:rFonts w:asciiTheme="minorHAnsi" w:hAnsiTheme="minorHAnsi" w:cstheme="minorHAnsi"/>
          <w:lang w:val="en-US"/>
        </w:rPr>
        <w:t>s</w:t>
      </w:r>
      <w:r w:rsidR="00F634A2" w:rsidRPr="000E5D59">
        <w:rPr>
          <w:rFonts w:asciiTheme="minorHAnsi" w:hAnsiTheme="minorHAnsi" w:cstheme="minorHAnsi"/>
          <w:lang w:val="en-US"/>
        </w:rPr>
        <w:t>: W</w:t>
      </w:r>
      <w:r w:rsidRPr="000E5D59">
        <w:rPr>
          <w:rFonts w:asciiTheme="minorHAnsi" w:hAnsiTheme="minorHAnsi" w:cstheme="minorHAnsi"/>
          <w:lang w:val="en-US"/>
        </w:rPr>
        <w:t>hat policy measures can be implemented to reduce feed costs and increase production</w:t>
      </w:r>
      <w:r w:rsidR="007D1D14" w:rsidRPr="000E5D59">
        <w:rPr>
          <w:rFonts w:asciiTheme="minorHAnsi" w:hAnsiTheme="minorHAnsi" w:cstheme="minorHAnsi"/>
          <w:lang w:val="en-US"/>
        </w:rPr>
        <w:t>? W</w:t>
      </w:r>
      <w:r w:rsidRPr="000E5D59">
        <w:rPr>
          <w:rFonts w:asciiTheme="minorHAnsi" w:hAnsiTheme="minorHAnsi" w:cstheme="minorHAnsi"/>
          <w:lang w:val="en-US"/>
        </w:rPr>
        <w:t xml:space="preserve">hat </w:t>
      </w:r>
      <w:r w:rsidR="00F634A2" w:rsidRPr="000E5D59">
        <w:rPr>
          <w:rFonts w:asciiTheme="minorHAnsi" w:hAnsiTheme="minorHAnsi" w:cstheme="minorHAnsi"/>
          <w:lang w:val="en-US"/>
        </w:rPr>
        <w:t xml:space="preserve">other </w:t>
      </w:r>
      <w:r w:rsidRPr="000E5D59">
        <w:rPr>
          <w:rFonts w:asciiTheme="minorHAnsi" w:hAnsiTheme="minorHAnsi" w:cstheme="minorHAnsi"/>
          <w:lang w:val="en-US"/>
        </w:rPr>
        <w:t>effect</w:t>
      </w:r>
      <w:r w:rsidR="00F634A2" w:rsidRPr="000E5D59">
        <w:rPr>
          <w:rFonts w:asciiTheme="minorHAnsi" w:hAnsiTheme="minorHAnsi" w:cstheme="minorHAnsi"/>
          <w:lang w:val="en-US"/>
        </w:rPr>
        <w:t>s</w:t>
      </w:r>
      <w:r w:rsidRPr="000E5D59">
        <w:rPr>
          <w:rFonts w:asciiTheme="minorHAnsi" w:hAnsiTheme="minorHAnsi" w:cstheme="minorHAnsi"/>
          <w:lang w:val="en-US"/>
        </w:rPr>
        <w:t xml:space="preserve"> do these measures have? Zamani et al., </w:t>
      </w:r>
      <w:r w:rsidR="00A714DD" w:rsidRPr="000E5D59">
        <w:rPr>
          <w:rFonts w:asciiTheme="minorHAnsi" w:hAnsiTheme="minorHAnsi" w:cstheme="minorHAnsi"/>
          <w:lang w:val="en-US"/>
        </w:rPr>
        <w:t>(</w:t>
      </w:r>
      <w:r w:rsidRPr="000E5D59">
        <w:rPr>
          <w:rFonts w:asciiTheme="minorHAnsi" w:hAnsiTheme="minorHAnsi" w:cstheme="minorHAnsi"/>
          <w:lang w:val="en-US"/>
        </w:rPr>
        <w:t>2022</w:t>
      </w:r>
      <w:r w:rsidR="00A714DD" w:rsidRPr="000E5D59">
        <w:rPr>
          <w:rFonts w:asciiTheme="minorHAnsi" w:hAnsiTheme="minorHAnsi" w:cstheme="minorHAnsi"/>
          <w:lang w:val="en-US"/>
        </w:rPr>
        <w:t>)</w:t>
      </w:r>
      <w:r w:rsidRPr="000E5D59">
        <w:rPr>
          <w:rFonts w:asciiTheme="minorHAnsi" w:hAnsiTheme="minorHAnsi" w:cstheme="minorHAnsi"/>
          <w:lang w:val="en-US"/>
        </w:rPr>
        <w:t xml:space="preserve"> shows that the abolishment of tariffs for feed ingredients </w:t>
      </w:r>
      <w:r w:rsidR="00C56B71" w:rsidRPr="000E5D59">
        <w:rPr>
          <w:rFonts w:asciiTheme="minorHAnsi" w:hAnsiTheme="minorHAnsi" w:cstheme="minorHAnsi"/>
          <w:lang w:val="en-US"/>
        </w:rPr>
        <w:t xml:space="preserve">that are around 5% </w:t>
      </w:r>
      <w:r w:rsidRPr="000E5D59">
        <w:rPr>
          <w:rFonts w:asciiTheme="minorHAnsi" w:hAnsiTheme="minorHAnsi" w:cstheme="minorHAnsi"/>
          <w:lang w:val="en-US"/>
        </w:rPr>
        <w:t>has almost no effect on agricultural trade</w:t>
      </w:r>
      <w:r w:rsidR="00F634A2" w:rsidRPr="000E5D59">
        <w:rPr>
          <w:rFonts w:asciiTheme="minorHAnsi" w:hAnsiTheme="minorHAnsi" w:cstheme="minorHAnsi"/>
          <w:lang w:val="en-US"/>
        </w:rPr>
        <w:t xml:space="preserve"> or production costs</w:t>
      </w:r>
      <w:r w:rsidRPr="000E5D59">
        <w:rPr>
          <w:rFonts w:asciiTheme="minorHAnsi" w:hAnsiTheme="minorHAnsi" w:cstheme="minorHAnsi"/>
          <w:lang w:val="en-US"/>
        </w:rPr>
        <w:t xml:space="preserve"> and thus on </w:t>
      </w:r>
      <w:r w:rsidR="00F634A2" w:rsidRPr="000E5D59">
        <w:rPr>
          <w:rFonts w:asciiTheme="minorHAnsi" w:hAnsiTheme="minorHAnsi" w:cstheme="minorHAnsi"/>
          <w:lang w:val="en-US"/>
        </w:rPr>
        <w:t xml:space="preserve">the </w:t>
      </w:r>
      <w:r w:rsidRPr="000E5D59">
        <w:rPr>
          <w:rFonts w:asciiTheme="minorHAnsi" w:hAnsiTheme="minorHAnsi" w:cstheme="minorHAnsi"/>
          <w:lang w:val="en-US"/>
        </w:rPr>
        <w:t>domestic production</w:t>
      </w:r>
      <w:r w:rsidR="00F634A2" w:rsidRPr="000E5D59">
        <w:rPr>
          <w:rFonts w:asciiTheme="minorHAnsi" w:hAnsiTheme="minorHAnsi" w:cstheme="minorHAnsi"/>
          <w:lang w:val="en-US"/>
        </w:rPr>
        <w:t xml:space="preserve"> level (compare Table </w:t>
      </w:r>
      <w:r w:rsidR="000D3302">
        <w:rPr>
          <w:rFonts w:asciiTheme="minorHAnsi" w:hAnsiTheme="minorHAnsi" w:cstheme="minorHAnsi"/>
          <w:lang w:val="en-US"/>
        </w:rPr>
        <w:t>3</w:t>
      </w:r>
      <w:r w:rsidR="00F634A2" w:rsidRPr="000E5D59">
        <w:rPr>
          <w:rFonts w:asciiTheme="minorHAnsi" w:hAnsiTheme="minorHAnsi" w:cstheme="minorHAnsi"/>
          <w:lang w:val="en-US"/>
        </w:rPr>
        <w:t>)</w:t>
      </w:r>
      <w:r w:rsidRPr="000E5D59">
        <w:rPr>
          <w:rFonts w:asciiTheme="minorHAnsi" w:hAnsiTheme="minorHAnsi" w:cstheme="minorHAnsi"/>
          <w:lang w:val="en-US"/>
        </w:rPr>
        <w:t>. Rather the improvement of the feed processing capacity and efficiency may help producers to reduce the cost</w:t>
      </w:r>
      <w:r w:rsidR="00F634A2" w:rsidRPr="000E5D59">
        <w:rPr>
          <w:rFonts w:asciiTheme="minorHAnsi" w:hAnsiTheme="minorHAnsi" w:cstheme="minorHAnsi"/>
          <w:lang w:val="en-US"/>
        </w:rPr>
        <w:t>s</w:t>
      </w:r>
      <w:r w:rsidRPr="000E5D59">
        <w:rPr>
          <w:rFonts w:asciiTheme="minorHAnsi" w:hAnsiTheme="minorHAnsi" w:cstheme="minorHAnsi"/>
          <w:lang w:val="en-US"/>
        </w:rPr>
        <w:t xml:space="preserve"> of production. </w:t>
      </w:r>
      <w:r w:rsidR="00F634A2" w:rsidRPr="000E5D59">
        <w:rPr>
          <w:rFonts w:asciiTheme="minorHAnsi" w:hAnsiTheme="minorHAnsi" w:cstheme="minorHAnsi"/>
          <w:lang w:val="en-US"/>
        </w:rPr>
        <w:t xml:space="preserve">Here, we develop a policy scenario in which we subsidize feed for poultry production. The amount of the subsidy is equal to the tariff revenue generated by imported poultry meat. Currently, Ghana levies a 35% tariff on poultry meat imports and generates tariff revenue that could be used to support the </w:t>
      </w:r>
      <w:r w:rsidR="00F634A2" w:rsidRPr="000E5D59">
        <w:rPr>
          <w:rFonts w:asciiTheme="minorHAnsi" w:hAnsiTheme="minorHAnsi" w:cstheme="minorHAnsi"/>
          <w:lang w:val="en-US"/>
        </w:rPr>
        <w:lastRenderedPageBreak/>
        <w:t xml:space="preserve">domestic poultry industry. If the tariff revenue is used entirely as a </w:t>
      </w:r>
      <w:r w:rsidR="007D1D14" w:rsidRPr="000E5D59">
        <w:rPr>
          <w:rFonts w:asciiTheme="minorHAnsi" w:hAnsiTheme="minorHAnsi" w:cstheme="minorHAnsi"/>
          <w:lang w:val="en-US"/>
        </w:rPr>
        <w:t xml:space="preserve">feed </w:t>
      </w:r>
      <w:r w:rsidR="00F634A2" w:rsidRPr="000E5D59">
        <w:rPr>
          <w:rFonts w:asciiTheme="minorHAnsi" w:hAnsiTheme="minorHAnsi" w:cstheme="minorHAnsi"/>
          <w:lang w:val="en-US"/>
        </w:rPr>
        <w:t xml:space="preserve">subsidy the domestic production could increase </w:t>
      </w:r>
      <w:r w:rsidR="007D1D14" w:rsidRPr="000E5D59">
        <w:rPr>
          <w:rFonts w:asciiTheme="minorHAnsi" w:hAnsiTheme="minorHAnsi" w:cstheme="minorHAnsi"/>
          <w:lang w:val="en-US"/>
        </w:rPr>
        <w:t>up to a level of</w:t>
      </w:r>
      <w:r w:rsidR="00F634A2" w:rsidRPr="000E5D59">
        <w:rPr>
          <w:rFonts w:asciiTheme="minorHAnsi" w:hAnsiTheme="minorHAnsi" w:cstheme="minorHAnsi"/>
          <w:lang w:val="en-US"/>
        </w:rPr>
        <w:t xml:space="preserve"> 221%</w:t>
      </w:r>
      <w:r w:rsidR="00A97E8F" w:rsidRPr="000E5D59">
        <w:rPr>
          <w:rFonts w:asciiTheme="minorHAnsi" w:hAnsiTheme="minorHAnsi" w:cstheme="minorHAnsi"/>
          <w:lang w:val="en-US"/>
        </w:rPr>
        <w:t xml:space="preserve"> (compare Table </w:t>
      </w:r>
      <w:r w:rsidR="000D3302">
        <w:rPr>
          <w:rFonts w:asciiTheme="minorHAnsi" w:hAnsiTheme="minorHAnsi" w:cstheme="minorHAnsi"/>
          <w:lang w:val="en-US"/>
        </w:rPr>
        <w:t>3</w:t>
      </w:r>
      <w:r w:rsidR="00A97E8F" w:rsidRPr="000E5D59">
        <w:rPr>
          <w:rFonts w:asciiTheme="minorHAnsi" w:hAnsiTheme="minorHAnsi" w:cstheme="minorHAnsi"/>
          <w:lang w:val="en-US"/>
        </w:rPr>
        <w:t>)</w:t>
      </w:r>
      <w:r w:rsidR="000A038C" w:rsidRPr="000E5D59">
        <w:rPr>
          <w:rFonts w:asciiTheme="minorHAnsi" w:hAnsiTheme="minorHAnsi" w:cstheme="minorHAnsi"/>
          <w:lang w:val="en-US"/>
        </w:rPr>
        <w:t xml:space="preserve">. </w:t>
      </w:r>
      <w:r w:rsidR="00C56B71" w:rsidRPr="000E5D59">
        <w:rPr>
          <w:rFonts w:asciiTheme="minorHAnsi" w:hAnsiTheme="minorHAnsi" w:cstheme="minorHAnsi"/>
          <w:lang w:val="en-US"/>
        </w:rPr>
        <w:t xml:space="preserve">It is not only the producers that benefit from this subsidy. Prices for consumers decrease by 24% and they increase their consumption of poultry meat by 14%. Our results indicate that the consumers are not substituting poultry meat with other products. In sum they seem to consume more food as a result of the decline in the price for poultry meat. </w:t>
      </w:r>
      <w:r w:rsidR="00A97E8F" w:rsidRPr="000E5D59">
        <w:rPr>
          <w:rFonts w:asciiTheme="minorHAnsi" w:hAnsiTheme="minorHAnsi" w:cstheme="minorHAnsi"/>
          <w:lang w:val="en-US"/>
        </w:rPr>
        <w:t>However,</w:t>
      </w:r>
      <w:r w:rsidR="00C56B71" w:rsidRPr="000E5D59">
        <w:rPr>
          <w:rFonts w:asciiTheme="minorHAnsi" w:hAnsiTheme="minorHAnsi" w:cstheme="minorHAnsi"/>
          <w:lang w:val="en-US"/>
        </w:rPr>
        <w:t xml:space="preserve"> they substitute imported poultry meat with domestic poultry meat. </w:t>
      </w:r>
    </w:p>
    <w:p w14:paraId="00DFDD3C" w14:textId="66A2829D" w:rsidR="000A038C" w:rsidRPr="000E5D59" w:rsidRDefault="000A038C" w:rsidP="004A1422">
      <w:pPr>
        <w:pStyle w:val="Tabelle"/>
        <w:spacing w:after="0"/>
        <w:jc w:val="center"/>
        <w:rPr>
          <w:rFonts w:asciiTheme="minorHAnsi" w:hAnsiTheme="minorHAnsi" w:cstheme="minorHAnsi"/>
          <w:lang w:val="en-US"/>
        </w:rPr>
      </w:pPr>
      <w:r w:rsidRPr="000E5D59">
        <w:rPr>
          <w:rFonts w:asciiTheme="minorHAnsi" w:hAnsiTheme="minorHAnsi" w:cstheme="minorHAnsi"/>
          <w:lang w:val="en-US"/>
        </w:rPr>
        <w:t xml:space="preserve">Table </w:t>
      </w:r>
      <w:r w:rsidR="004A1422">
        <w:rPr>
          <w:rFonts w:asciiTheme="minorHAnsi" w:hAnsiTheme="minorHAnsi" w:cstheme="minorHAnsi"/>
          <w:lang w:val="en-US"/>
        </w:rPr>
        <w:t>3.</w:t>
      </w:r>
      <w:r w:rsidRPr="000E5D59">
        <w:rPr>
          <w:rFonts w:asciiTheme="minorHAnsi" w:hAnsiTheme="minorHAnsi" w:cstheme="minorHAnsi"/>
          <w:lang w:val="en-US"/>
        </w:rPr>
        <w:t xml:space="preserve"> Impact of a subsidy on feed in 2030</w:t>
      </w:r>
    </w:p>
    <w:tbl>
      <w:tblPr>
        <w:tblW w:w="648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606"/>
        <w:gridCol w:w="874"/>
      </w:tblGrid>
      <w:tr w:rsidR="000A038C" w:rsidRPr="000E5D59" w14:paraId="143C75ED" w14:textId="77777777" w:rsidTr="004A1422">
        <w:trPr>
          <w:trHeight w:val="315"/>
          <w:jc w:val="center"/>
        </w:trPr>
        <w:tc>
          <w:tcPr>
            <w:tcW w:w="5606" w:type="dxa"/>
            <w:shd w:val="clear" w:color="auto" w:fill="auto"/>
            <w:noWrap/>
            <w:vAlign w:val="bottom"/>
          </w:tcPr>
          <w:p w14:paraId="2736ED89" w14:textId="77777777" w:rsidR="000A038C" w:rsidRPr="000E5D59" w:rsidRDefault="007D1D14" w:rsidP="00A45A8C">
            <w:pPr>
              <w:pStyle w:val="Tabellentext"/>
              <w:rPr>
                <w:rFonts w:asciiTheme="minorHAnsi" w:hAnsiTheme="minorHAnsi" w:cstheme="minorHAnsi"/>
                <w:lang w:val="en-US"/>
              </w:rPr>
            </w:pPr>
            <w:r w:rsidRPr="000E5D59">
              <w:rPr>
                <w:rFonts w:asciiTheme="minorHAnsi" w:hAnsiTheme="minorHAnsi" w:cstheme="minorHAnsi"/>
                <w:lang w:val="en-US"/>
              </w:rPr>
              <w:t>Domestic production of poultry meat</w:t>
            </w:r>
          </w:p>
        </w:tc>
        <w:tc>
          <w:tcPr>
            <w:tcW w:w="874" w:type="dxa"/>
            <w:shd w:val="clear" w:color="auto" w:fill="auto"/>
            <w:noWrap/>
            <w:vAlign w:val="bottom"/>
          </w:tcPr>
          <w:p w14:paraId="01437718" w14:textId="77777777" w:rsidR="000A038C" w:rsidRPr="000E5D59" w:rsidRDefault="007D1D14" w:rsidP="00A45A8C">
            <w:pPr>
              <w:pStyle w:val="Tabellentext"/>
              <w:rPr>
                <w:rFonts w:asciiTheme="minorHAnsi" w:hAnsiTheme="minorHAnsi" w:cstheme="minorHAnsi"/>
                <w:lang w:val="en-US"/>
              </w:rPr>
            </w:pPr>
            <w:r w:rsidRPr="000E5D59">
              <w:rPr>
                <w:rFonts w:asciiTheme="minorHAnsi" w:hAnsiTheme="minorHAnsi" w:cstheme="minorHAnsi"/>
                <w:lang w:val="en-US"/>
              </w:rPr>
              <w:t>221%</w:t>
            </w:r>
          </w:p>
        </w:tc>
      </w:tr>
      <w:tr w:rsidR="007D1D14" w:rsidRPr="000E5D59" w14:paraId="14B3F4FE" w14:textId="77777777" w:rsidTr="004A1422">
        <w:trPr>
          <w:trHeight w:val="315"/>
          <w:jc w:val="center"/>
        </w:trPr>
        <w:tc>
          <w:tcPr>
            <w:tcW w:w="5606" w:type="dxa"/>
            <w:shd w:val="clear" w:color="auto" w:fill="auto"/>
            <w:noWrap/>
            <w:vAlign w:val="bottom"/>
          </w:tcPr>
          <w:p w14:paraId="6E84C8A5" w14:textId="77777777" w:rsidR="007D1D14" w:rsidRPr="000E5D59" w:rsidRDefault="007D1D14" w:rsidP="007D1D14">
            <w:pPr>
              <w:pStyle w:val="Tabellentext"/>
              <w:rPr>
                <w:rFonts w:asciiTheme="minorHAnsi" w:hAnsiTheme="minorHAnsi" w:cstheme="minorHAnsi"/>
                <w:lang w:val="en-US"/>
              </w:rPr>
            </w:pPr>
            <w:r w:rsidRPr="000E5D59">
              <w:rPr>
                <w:rFonts w:asciiTheme="minorHAnsi" w:hAnsiTheme="minorHAnsi" w:cstheme="minorHAnsi"/>
                <w:lang w:val="en-US"/>
              </w:rPr>
              <w:t>Consumer price for poultry meat</w:t>
            </w:r>
            <w:r w:rsidR="00A97E8F" w:rsidRPr="000E5D59">
              <w:rPr>
                <w:rFonts w:asciiTheme="minorHAnsi" w:hAnsiTheme="minorHAnsi" w:cstheme="minorHAnsi"/>
                <w:lang w:val="en-US"/>
              </w:rPr>
              <w:t xml:space="preserve"> (domestic &amp; imported)</w:t>
            </w:r>
          </w:p>
        </w:tc>
        <w:tc>
          <w:tcPr>
            <w:tcW w:w="874" w:type="dxa"/>
            <w:shd w:val="clear" w:color="auto" w:fill="auto"/>
            <w:noWrap/>
            <w:vAlign w:val="bottom"/>
          </w:tcPr>
          <w:p w14:paraId="771250D5" w14:textId="77777777" w:rsidR="007D1D14" w:rsidRPr="000E5D59" w:rsidRDefault="007D1D14" w:rsidP="007D1D14">
            <w:pPr>
              <w:pStyle w:val="Tabellentext"/>
              <w:rPr>
                <w:rFonts w:asciiTheme="minorHAnsi" w:hAnsiTheme="minorHAnsi" w:cstheme="minorHAnsi"/>
              </w:rPr>
            </w:pPr>
            <w:r w:rsidRPr="000E5D59">
              <w:rPr>
                <w:rFonts w:asciiTheme="minorHAnsi" w:hAnsiTheme="minorHAnsi" w:cstheme="minorHAnsi"/>
              </w:rPr>
              <w:t>-24%</w:t>
            </w:r>
          </w:p>
        </w:tc>
      </w:tr>
      <w:tr w:rsidR="007D1D14" w:rsidRPr="000E5D59" w14:paraId="7E17658E" w14:textId="77777777" w:rsidTr="004A1422">
        <w:trPr>
          <w:trHeight w:val="315"/>
          <w:jc w:val="center"/>
        </w:trPr>
        <w:tc>
          <w:tcPr>
            <w:tcW w:w="5606" w:type="dxa"/>
            <w:shd w:val="clear" w:color="auto" w:fill="auto"/>
            <w:noWrap/>
            <w:vAlign w:val="bottom"/>
          </w:tcPr>
          <w:p w14:paraId="56CA6041" w14:textId="77777777" w:rsidR="007D1D14" w:rsidRPr="000E5D59" w:rsidRDefault="007D1D14" w:rsidP="007D1D14">
            <w:pPr>
              <w:pStyle w:val="Tabellentext"/>
              <w:rPr>
                <w:rFonts w:asciiTheme="minorHAnsi" w:hAnsiTheme="minorHAnsi" w:cstheme="minorHAnsi"/>
                <w:lang w:val="en-US"/>
              </w:rPr>
            </w:pPr>
            <w:r w:rsidRPr="000E5D59">
              <w:rPr>
                <w:rFonts w:asciiTheme="minorHAnsi" w:hAnsiTheme="minorHAnsi" w:cstheme="minorHAnsi"/>
                <w:lang w:val="en-US"/>
              </w:rPr>
              <w:t>Private consumption volume of poultry meat</w:t>
            </w:r>
          </w:p>
        </w:tc>
        <w:tc>
          <w:tcPr>
            <w:tcW w:w="874" w:type="dxa"/>
            <w:shd w:val="clear" w:color="auto" w:fill="auto"/>
            <w:noWrap/>
            <w:vAlign w:val="bottom"/>
          </w:tcPr>
          <w:p w14:paraId="2CDB8F5B" w14:textId="77777777" w:rsidR="007D1D14" w:rsidRPr="000E5D59" w:rsidRDefault="007D1D14" w:rsidP="007D1D14">
            <w:pPr>
              <w:pStyle w:val="Tabellentext"/>
              <w:rPr>
                <w:rFonts w:asciiTheme="minorHAnsi" w:hAnsiTheme="minorHAnsi" w:cstheme="minorHAnsi"/>
                <w:lang w:val="en-US"/>
              </w:rPr>
            </w:pPr>
            <w:r w:rsidRPr="000E5D59">
              <w:rPr>
                <w:rFonts w:asciiTheme="minorHAnsi" w:hAnsiTheme="minorHAnsi" w:cstheme="minorHAnsi"/>
                <w:lang w:val="en-US"/>
              </w:rPr>
              <w:t xml:space="preserve"> 14%</w:t>
            </w:r>
          </w:p>
        </w:tc>
      </w:tr>
      <w:tr w:rsidR="007D1D14" w:rsidRPr="000E5D59" w14:paraId="577CDF1C" w14:textId="77777777" w:rsidTr="004A1422">
        <w:trPr>
          <w:trHeight w:val="315"/>
          <w:jc w:val="center"/>
        </w:trPr>
        <w:tc>
          <w:tcPr>
            <w:tcW w:w="5606" w:type="dxa"/>
            <w:shd w:val="clear" w:color="auto" w:fill="auto"/>
            <w:noWrap/>
            <w:vAlign w:val="bottom"/>
          </w:tcPr>
          <w:p w14:paraId="629FEE12" w14:textId="77777777" w:rsidR="007D1D14" w:rsidRPr="000E5D59" w:rsidRDefault="007D1D14" w:rsidP="007D1D14">
            <w:pPr>
              <w:pStyle w:val="Tabellentext"/>
              <w:rPr>
                <w:rFonts w:asciiTheme="minorHAnsi" w:hAnsiTheme="minorHAnsi" w:cstheme="minorHAnsi"/>
                <w:lang w:val="en-US"/>
              </w:rPr>
            </w:pPr>
            <w:r w:rsidRPr="000E5D59">
              <w:rPr>
                <w:rFonts w:asciiTheme="minorHAnsi" w:hAnsiTheme="minorHAnsi" w:cstheme="minorHAnsi"/>
                <w:lang w:val="en-US"/>
              </w:rPr>
              <w:t>Import value of poultry meat</w:t>
            </w:r>
          </w:p>
        </w:tc>
        <w:tc>
          <w:tcPr>
            <w:tcW w:w="874" w:type="dxa"/>
            <w:shd w:val="clear" w:color="auto" w:fill="auto"/>
            <w:noWrap/>
            <w:vAlign w:val="bottom"/>
          </w:tcPr>
          <w:p w14:paraId="2C7D218D" w14:textId="77777777" w:rsidR="007D1D14" w:rsidRPr="000E5D59" w:rsidRDefault="007D1D14" w:rsidP="007D1D14">
            <w:pPr>
              <w:pStyle w:val="Tabellentext"/>
              <w:rPr>
                <w:rFonts w:asciiTheme="minorHAnsi" w:hAnsiTheme="minorHAnsi" w:cstheme="minorHAnsi"/>
              </w:rPr>
            </w:pPr>
            <w:r w:rsidRPr="000E5D59">
              <w:rPr>
                <w:rFonts w:asciiTheme="minorHAnsi" w:hAnsiTheme="minorHAnsi" w:cstheme="minorHAnsi"/>
              </w:rPr>
              <w:t>-52.2%</w:t>
            </w:r>
          </w:p>
        </w:tc>
      </w:tr>
      <w:tr w:rsidR="007D1D14" w:rsidRPr="000E5D59" w14:paraId="18564065" w14:textId="77777777" w:rsidTr="004A1422">
        <w:trPr>
          <w:trHeight w:val="315"/>
          <w:jc w:val="center"/>
        </w:trPr>
        <w:tc>
          <w:tcPr>
            <w:tcW w:w="5606" w:type="dxa"/>
            <w:shd w:val="clear" w:color="auto" w:fill="auto"/>
            <w:noWrap/>
            <w:vAlign w:val="bottom"/>
          </w:tcPr>
          <w:p w14:paraId="6C881A8C" w14:textId="77777777" w:rsidR="007D1D14" w:rsidRPr="000E5D59" w:rsidRDefault="007D1D14" w:rsidP="007D1D14">
            <w:pPr>
              <w:pStyle w:val="Tabellentext"/>
              <w:rPr>
                <w:rFonts w:asciiTheme="minorHAnsi" w:hAnsiTheme="minorHAnsi" w:cstheme="minorHAnsi"/>
                <w:lang w:val="en-US"/>
              </w:rPr>
            </w:pPr>
            <w:r w:rsidRPr="000E5D59">
              <w:rPr>
                <w:rFonts w:asciiTheme="minorHAnsi" w:hAnsiTheme="minorHAnsi" w:cstheme="minorHAnsi"/>
                <w:lang w:val="en-US"/>
              </w:rPr>
              <w:t>GDP</w:t>
            </w:r>
          </w:p>
        </w:tc>
        <w:tc>
          <w:tcPr>
            <w:tcW w:w="874" w:type="dxa"/>
            <w:shd w:val="clear" w:color="auto" w:fill="auto"/>
            <w:noWrap/>
            <w:vAlign w:val="bottom"/>
          </w:tcPr>
          <w:p w14:paraId="3C6F63D9" w14:textId="77777777" w:rsidR="007D1D14" w:rsidRPr="000E5D59" w:rsidRDefault="007D1D14" w:rsidP="007D1D14">
            <w:pPr>
              <w:pStyle w:val="Tabellentext"/>
              <w:rPr>
                <w:rFonts w:asciiTheme="minorHAnsi" w:hAnsiTheme="minorHAnsi" w:cstheme="minorHAnsi"/>
              </w:rPr>
            </w:pPr>
            <w:r w:rsidRPr="000E5D59">
              <w:rPr>
                <w:rFonts w:asciiTheme="minorHAnsi" w:hAnsiTheme="minorHAnsi" w:cstheme="minorHAnsi"/>
              </w:rPr>
              <w:t>-0.125</w:t>
            </w:r>
          </w:p>
        </w:tc>
      </w:tr>
    </w:tbl>
    <w:p w14:paraId="3FF11DE3" w14:textId="77777777" w:rsidR="007D1D14" w:rsidRPr="000E5D59" w:rsidRDefault="007D1D14" w:rsidP="004A1422">
      <w:pPr>
        <w:pStyle w:val="Quelle"/>
        <w:ind w:left="1440"/>
        <w:rPr>
          <w:rFonts w:asciiTheme="minorHAnsi" w:hAnsiTheme="minorHAnsi" w:cstheme="minorHAnsi"/>
          <w:lang w:val="en-US"/>
        </w:rPr>
      </w:pPr>
      <w:r w:rsidRPr="000E5D59">
        <w:rPr>
          <w:rFonts w:asciiTheme="minorHAnsi" w:hAnsiTheme="minorHAnsi" w:cstheme="minorHAnsi"/>
          <w:lang w:val="en-US"/>
        </w:rPr>
        <w:t>Source: Zamani et al. (2022); Own calculation</w:t>
      </w:r>
    </w:p>
    <w:p w14:paraId="201453FA" w14:textId="584AA605" w:rsidR="000A038C" w:rsidRPr="000E5D59" w:rsidRDefault="0026406A" w:rsidP="000A038C">
      <w:pPr>
        <w:rPr>
          <w:rFonts w:asciiTheme="minorHAnsi" w:hAnsiTheme="minorHAnsi" w:cstheme="minorHAnsi"/>
          <w:lang w:val="en-US"/>
        </w:rPr>
      </w:pPr>
      <w:r w:rsidRPr="000E5D59">
        <w:rPr>
          <w:rFonts w:asciiTheme="minorHAnsi" w:hAnsiTheme="minorHAnsi" w:cstheme="minorHAnsi"/>
          <w:lang w:val="en-US"/>
        </w:rPr>
        <w:t xml:space="preserve">Table </w:t>
      </w:r>
      <w:r w:rsidR="000D3302">
        <w:rPr>
          <w:rFonts w:asciiTheme="minorHAnsi" w:hAnsiTheme="minorHAnsi" w:cstheme="minorHAnsi"/>
          <w:lang w:val="en-US"/>
        </w:rPr>
        <w:t xml:space="preserve">4 </w:t>
      </w:r>
      <w:r w:rsidRPr="000E5D59">
        <w:rPr>
          <w:rFonts w:asciiTheme="minorHAnsi" w:hAnsiTheme="minorHAnsi" w:cstheme="minorHAnsi"/>
          <w:lang w:val="en-US"/>
        </w:rPr>
        <w:t xml:space="preserve">shows which imports from which countries decrease due to a subsidy. Imports from the US and the EU decrease most. In total, poultry meat with a value of 62.2 thousand US$ less is imported from the US and 62.51 thousand US$ from the EU. </w:t>
      </w:r>
      <w:r w:rsidR="00F654DC" w:rsidRPr="000E5D59">
        <w:rPr>
          <w:rFonts w:asciiTheme="minorHAnsi" w:hAnsiTheme="minorHAnsi" w:cstheme="minorHAnsi"/>
          <w:lang w:val="en-US"/>
        </w:rPr>
        <w:t xml:space="preserve">Although the imports from Brazil decrease significantly by 18.37 thousand US$. Trade with other regions of the world including the intra African trade is only slightly influenced by the subsidy. </w:t>
      </w:r>
    </w:p>
    <w:p w14:paraId="46E64E60" w14:textId="335A14A7" w:rsidR="00A97E8F" w:rsidRPr="000E5D59" w:rsidRDefault="00A97E8F" w:rsidP="004A1422">
      <w:pPr>
        <w:pStyle w:val="Tabelle"/>
        <w:spacing w:after="0"/>
        <w:ind w:hanging="441"/>
        <w:rPr>
          <w:rFonts w:asciiTheme="minorHAnsi" w:hAnsiTheme="minorHAnsi" w:cstheme="minorHAnsi"/>
          <w:lang w:val="en-US"/>
        </w:rPr>
      </w:pPr>
      <w:r w:rsidRPr="000E5D59">
        <w:rPr>
          <w:rFonts w:asciiTheme="minorHAnsi" w:hAnsiTheme="minorHAnsi" w:cstheme="minorHAnsi"/>
          <w:lang w:val="en-US"/>
        </w:rPr>
        <w:t xml:space="preserve">Table </w:t>
      </w:r>
      <w:r w:rsidR="004A1422">
        <w:rPr>
          <w:rFonts w:asciiTheme="minorHAnsi" w:hAnsiTheme="minorHAnsi" w:cstheme="minorHAnsi"/>
          <w:lang w:val="en-US"/>
        </w:rPr>
        <w:t>4.</w:t>
      </w:r>
      <w:r w:rsidRPr="000E5D59">
        <w:rPr>
          <w:rFonts w:asciiTheme="minorHAnsi" w:hAnsiTheme="minorHAnsi" w:cstheme="minorHAnsi"/>
          <w:lang w:val="en-US"/>
        </w:rPr>
        <w:t xml:space="preserve"> Impact of a subsidy on feed on imports in 2030 </w:t>
      </w:r>
      <w:r w:rsidR="0026406A" w:rsidRPr="000E5D59">
        <w:rPr>
          <w:rFonts w:asciiTheme="minorHAnsi" w:hAnsiTheme="minorHAnsi" w:cstheme="minorHAnsi"/>
          <w:lang w:val="en-US"/>
        </w:rPr>
        <w:t>(1000 US$)</w:t>
      </w:r>
    </w:p>
    <w:tbl>
      <w:tblPr>
        <w:tblW w:w="6840"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606"/>
        <w:gridCol w:w="1234"/>
      </w:tblGrid>
      <w:tr w:rsidR="0026406A" w:rsidRPr="000E5D59" w14:paraId="3933FA2D" w14:textId="77777777" w:rsidTr="004A1422">
        <w:trPr>
          <w:trHeight w:val="315"/>
          <w:jc w:val="center"/>
        </w:trPr>
        <w:tc>
          <w:tcPr>
            <w:tcW w:w="5606" w:type="dxa"/>
            <w:shd w:val="clear" w:color="auto" w:fill="auto"/>
            <w:noWrap/>
            <w:vAlign w:val="bottom"/>
          </w:tcPr>
          <w:p w14:paraId="0C598754"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EU15</w:t>
            </w:r>
          </w:p>
        </w:tc>
        <w:tc>
          <w:tcPr>
            <w:tcW w:w="1234" w:type="dxa"/>
            <w:shd w:val="clear" w:color="auto" w:fill="auto"/>
            <w:noWrap/>
            <w:vAlign w:val="bottom"/>
          </w:tcPr>
          <w:p w14:paraId="61A95BCF"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-59.58</w:t>
            </w:r>
          </w:p>
        </w:tc>
      </w:tr>
      <w:tr w:rsidR="0026406A" w:rsidRPr="000E5D59" w14:paraId="46B172A5" w14:textId="77777777" w:rsidTr="004A1422">
        <w:trPr>
          <w:trHeight w:val="315"/>
          <w:jc w:val="center"/>
        </w:trPr>
        <w:tc>
          <w:tcPr>
            <w:tcW w:w="5606" w:type="dxa"/>
            <w:shd w:val="clear" w:color="auto" w:fill="auto"/>
            <w:noWrap/>
            <w:vAlign w:val="bottom"/>
          </w:tcPr>
          <w:p w14:paraId="1A11725B"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CEEC13</w:t>
            </w:r>
          </w:p>
        </w:tc>
        <w:tc>
          <w:tcPr>
            <w:tcW w:w="1234" w:type="dxa"/>
            <w:shd w:val="clear" w:color="auto" w:fill="auto"/>
            <w:noWrap/>
            <w:vAlign w:val="bottom"/>
          </w:tcPr>
          <w:p w14:paraId="2A5CD704" w14:textId="77777777" w:rsidR="0026406A" w:rsidRPr="000E5D59" w:rsidRDefault="0026406A" w:rsidP="00A45A8C">
            <w:pPr>
              <w:pStyle w:val="Tabellentext"/>
              <w:rPr>
                <w:rFonts w:asciiTheme="minorHAnsi" w:hAnsiTheme="minorHAnsi" w:cstheme="minorHAnsi"/>
              </w:rPr>
            </w:pPr>
            <w:r w:rsidRPr="000E5D59">
              <w:rPr>
                <w:rFonts w:asciiTheme="minorHAnsi" w:hAnsiTheme="minorHAnsi" w:cstheme="minorHAnsi"/>
              </w:rPr>
              <w:t>-2.93</w:t>
            </w:r>
          </w:p>
        </w:tc>
      </w:tr>
      <w:tr w:rsidR="0026406A" w:rsidRPr="000E5D59" w14:paraId="79A1003E" w14:textId="77777777" w:rsidTr="004A1422">
        <w:trPr>
          <w:trHeight w:val="315"/>
          <w:jc w:val="center"/>
        </w:trPr>
        <w:tc>
          <w:tcPr>
            <w:tcW w:w="5606" w:type="dxa"/>
            <w:shd w:val="clear" w:color="auto" w:fill="auto"/>
            <w:noWrap/>
            <w:vAlign w:val="bottom"/>
          </w:tcPr>
          <w:p w14:paraId="2087F4A4"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USA</w:t>
            </w:r>
          </w:p>
        </w:tc>
        <w:tc>
          <w:tcPr>
            <w:tcW w:w="1234" w:type="dxa"/>
            <w:shd w:val="clear" w:color="auto" w:fill="auto"/>
            <w:noWrap/>
            <w:vAlign w:val="bottom"/>
          </w:tcPr>
          <w:p w14:paraId="1AC1031C"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-62.2</w:t>
            </w:r>
          </w:p>
        </w:tc>
      </w:tr>
      <w:tr w:rsidR="0026406A" w:rsidRPr="000E5D59" w14:paraId="1EDAA452" w14:textId="77777777" w:rsidTr="004A1422">
        <w:trPr>
          <w:trHeight w:val="315"/>
          <w:jc w:val="center"/>
        </w:trPr>
        <w:tc>
          <w:tcPr>
            <w:tcW w:w="5606" w:type="dxa"/>
            <w:shd w:val="clear" w:color="auto" w:fill="auto"/>
            <w:noWrap/>
            <w:vAlign w:val="bottom"/>
          </w:tcPr>
          <w:p w14:paraId="309337C5"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Canada</w:t>
            </w:r>
          </w:p>
        </w:tc>
        <w:tc>
          <w:tcPr>
            <w:tcW w:w="1234" w:type="dxa"/>
            <w:shd w:val="clear" w:color="auto" w:fill="auto"/>
            <w:noWrap/>
            <w:vAlign w:val="bottom"/>
          </w:tcPr>
          <w:p w14:paraId="1ACF541D"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-1.23</w:t>
            </w:r>
          </w:p>
        </w:tc>
      </w:tr>
      <w:tr w:rsidR="0026406A" w:rsidRPr="000E5D59" w14:paraId="05364A9D" w14:textId="77777777" w:rsidTr="004A1422">
        <w:trPr>
          <w:trHeight w:val="315"/>
          <w:jc w:val="center"/>
        </w:trPr>
        <w:tc>
          <w:tcPr>
            <w:tcW w:w="5606" w:type="dxa"/>
            <w:shd w:val="clear" w:color="auto" w:fill="auto"/>
            <w:noWrap/>
            <w:vAlign w:val="bottom"/>
          </w:tcPr>
          <w:p w14:paraId="44DE91B7"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Mexico</w:t>
            </w:r>
          </w:p>
        </w:tc>
        <w:tc>
          <w:tcPr>
            <w:tcW w:w="1234" w:type="dxa"/>
            <w:shd w:val="clear" w:color="auto" w:fill="auto"/>
            <w:noWrap/>
            <w:vAlign w:val="bottom"/>
          </w:tcPr>
          <w:p w14:paraId="2988EE9A" w14:textId="77777777" w:rsidR="0026406A" w:rsidRPr="000E5D59" w:rsidRDefault="0026406A" w:rsidP="00A45A8C">
            <w:pPr>
              <w:pStyle w:val="Tabellentext"/>
              <w:rPr>
                <w:rFonts w:asciiTheme="minorHAnsi" w:hAnsiTheme="minorHAnsi" w:cstheme="minorHAnsi"/>
              </w:rPr>
            </w:pPr>
            <w:r w:rsidRPr="000E5D59">
              <w:rPr>
                <w:rFonts w:asciiTheme="minorHAnsi" w:hAnsiTheme="minorHAnsi" w:cstheme="minorHAnsi"/>
              </w:rPr>
              <w:t>-2.49</w:t>
            </w:r>
          </w:p>
        </w:tc>
      </w:tr>
      <w:tr w:rsidR="0026406A" w:rsidRPr="000E5D59" w14:paraId="44B3F265" w14:textId="77777777" w:rsidTr="004A1422">
        <w:trPr>
          <w:trHeight w:val="315"/>
          <w:jc w:val="center"/>
        </w:trPr>
        <w:tc>
          <w:tcPr>
            <w:tcW w:w="5606" w:type="dxa"/>
            <w:shd w:val="clear" w:color="auto" w:fill="auto"/>
            <w:noWrap/>
            <w:vAlign w:val="bottom"/>
          </w:tcPr>
          <w:p w14:paraId="0ED91326"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Brazil</w:t>
            </w:r>
          </w:p>
        </w:tc>
        <w:tc>
          <w:tcPr>
            <w:tcW w:w="1234" w:type="dxa"/>
            <w:shd w:val="clear" w:color="auto" w:fill="auto"/>
            <w:noWrap/>
            <w:vAlign w:val="bottom"/>
          </w:tcPr>
          <w:p w14:paraId="38C04F6E" w14:textId="77777777" w:rsidR="0026406A" w:rsidRPr="000E5D59" w:rsidRDefault="0026406A" w:rsidP="00A45A8C">
            <w:pPr>
              <w:pStyle w:val="Tabellentext"/>
              <w:rPr>
                <w:rFonts w:asciiTheme="minorHAnsi" w:hAnsiTheme="minorHAnsi" w:cstheme="minorHAnsi"/>
              </w:rPr>
            </w:pPr>
            <w:r w:rsidRPr="000E5D59">
              <w:rPr>
                <w:rFonts w:asciiTheme="minorHAnsi" w:hAnsiTheme="minorHAnsi" w:cstheme="minorHAnsi"/>
              </w:rPr>
              <w:t>-18.37</w:t>
            </w:r>
          </w:p>
        </w:tc>
      </w:tr>
      <w:tr w:rsidR="0026406A" w:rsidRPr="000E5D59" w14:paraId="5766E2FA" w14:textId="77777777" w:rsidTr="004A1422">
        <w:trPr>
          <w:trHeight w:val="315"/>
          <w:jc w:val="center"/>
        </w:trPr>
        <w:tc>
          <w:tcPr>
            <w:tcW w:w="5606" w:type="dxa"/>
            <w:shd w:val="clear" w:color="auto" w:fill="auto"/>
            <w:noWrap/>
            <w:vAlign w:val="bottom"/>
          </w:tcPr>
          <w:p w14:paraId="4666F8D0"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Rest Africa</w:t>
            </w:r>
          </w:p>
        </w:tc>
        <w:tc>
          <w:tcPr>
            <w:tcW w:w="1234" w:type="dxa"/>
            <w:shd w:val="clear" w:color="auto" w:fill="auto"/>
            <w:noWrap/>
            <w:vAlign w:val="bottom"/>
          </w:tcPr>
          <w:p w14:paraId="77642185" w14:textId="77777777" w:rsidR="0026406A" w:rsidRPr="000E5D59" w:rsidRDefault="0026406A" w:rsidP="00A45A8C">
            <w:pPr>
              <w:pStyle w:val="Tabellentext"/>
              <w:rPr>
                <w:rFonts w:asciiTheme="minorHAnsi" w:hAnsiTheme="minorHAnsi" w:cstheme="minorHAnsi"/>
              </w:rPr>
            </w:pPr>
            <w:r w:rsidRPr="000E5D59">
              <w:rPr>
                <w:rFonts w:asciiTheme="minorHAnsi" w:hAnsiTheme="minorHAnsi" w:cstheme="minorHAnsi"/>
              </w:rPr>
              <w:t>-0.97</w:t>
            </w:r>
          </w:p>
        </w:tc>
      </w:tr>
      <w:tr w:rsidR="0026406A" w:rsidRPr="000E5D59" w14:paraId="44196FF9" w14:textId="77777777" w:rsidTr="004A1422">
        <w:trPr>
          <w:trHeight w:val="315"/>
          <w:jc w:val="center"/>
        </w:trPr>
        <w:tc>
          <w:tcPr>
            <w:tcW w:w="5606" w:type="dxa"/>
            <w:shd w:val="clear" w:color="auto" w:fill="auto"/>
            <w:noWrap/>
            <w:vAlign w:val="bottom"/>
          </w:tcPr>
          <w:p w14:paraId="211E6DCF" w14:textId="77777777" w:rsidR="0026406A" w:rsidRPr="000E5D59" w:rsidRDefault="0026406A" w:rsidP="00A45A8C">
            <w:pPr>
              <w:pStyle w:val="Tabellentext"/>
              <w:rPr>
                <w:rFonts w:asciiTheme="minorHAnsi" w:hAnsiTheme="minorHAnsi" w:cstheme="minorHAnsi"/>
                <w:lang w:val="en-US"/>
              </w:rPr>
            </w:pPr>
            <w:r w:rsidRPr="000E5D59">
              <w:rPr>
                <w:rFonts w:asciiTheme="minorHAnsi" w:hAnsiTheme="minorHAnsi" w:cstheme="minorHAnsi"/>
                <w:lang w:val="en-US"/>
              </w:rPr>
              <w:t>Rest of the Worl</w:t>
            </w:r>
            <w:r w:rsidR="00F654DC" w:rsidRPr="000E5D59">
              <w:rPr>
                <w:rFonts w:asciiTheme="minorHAnsi" w:hAnsiTheme="minorHAnsi" w:cstheme="minorHAnsi"/>
                <w:lang w:val="en-US"/>
              </w:rPr>
              <w:t>d</w:t>
            </w:r>
          </w:p>
        </w:tc>
        <w:tc>
          <w:tcPr>
            <w:tcW w:w="1234" w:type="dxa"/>
            <w:shd w:val="clear" w:color="auto" w:fill="auto"/>
            <w:noWrap/>
            <w:vAlign w:val="bottom"/>
          </w:tcPr>
          <w:p w14:paraId="276761A3" w14:textId="77777777" w:rsidR="0026406A" w:rsidRPr="000E5D59" w:rsidRDefault="0026406A" w:rsidP="00A45A8C">
            <w:pPr>
              <w:pStyle w:val="Tabellentext"/>
              <w:rPr>
                <w:rFonts w:asciiTheme="minorHAnsi" w:hAnsiTheme="minorHAnsi" w:cstheme="minorHAnsi"/>
              </w:rPr>
            </w:pPr>
            <w:r w:rsidRPr="000E5D59">
              <w:rPr>
                <w:rFonts w:asciiTheme="minorHAnsi" w:hAnsiTheme="minorHAnsi" w:cstheme="minorHAnsi"/>
              </w:rPr>
              <w:t>-3.88</w:t>
            </w:r>
          </w:p>
        </w:tc>
      </w:tr>
    </w:tbl>
    <w:p w14:paraId="578F951A" w14:textId="77777777" w:rsidR="005F01A2" w:rsidRPr="000E5D59" w:rsidRDefault="005F01A2" w:rsidP="004A1422">
      <w:pPr>
        <w:pStyle w:val="Quelle"/>
        <w:ind w:left="1350"/>
        <w:rPr>
          <w:rFonts w:asciiTheme="minorHAnsi" w:hAnsiTheme="minorHAnsi" w:cstheme="minorHAnsi"/>
          <w:lang w:val="en-US"/>
        </w:rPr>
      </w:pPr>
      <w:r w:rsidRPr="000E5D59">
        <w:rPr>
          <w:rFonts w:asciiTheme="minorHAnsi" w:hAnsiTheme="minorHAnsi" w:cstheme="minorHAnsi"/>
          <w:lang w:val="en-US"/>
        </w:rPr>
        <w:t>Source: Zamani et al. (2022); Own calculation</w:t>
      </w:r>
    </w:p>
    <w:p w14:paraId="2A6B730B" w14:textId="566118E9" w:rsidR="00DC21D1" w:rsidRPr="000E5D59" w:rsidRDefault="00DC21D1" w:rsidP="005F01A2">
      <w:pPr>
        <w:pStyle w:val="Heading2"/>
        <w:rPr>
          <w:rFonts w:asciiTheme="minorHAnsi" w:hAnsiTheme="minorHAnsi" w:cstheme="minorHAnsi"/>
          <w:lang w:val="en-US"/>
        </w:rPr>
      </w:pPr>
      <w:r w:rsidRPr="000E5D59">
        <w:rPr>
          <w:rFonts w:asciiTheme="minorHAnsi" w:hAnsiTheme="minorHAnsi" w:cstheme="minorHAnsi"/>
          <w:lang w:val="en-US"/>
        </w:rPr>
        <w:lastRenderedPageBreak/>
        <w:t>Complete ban and farm performance</w:t>
      </w:r>
    </w:p>
    <w:p w14:paraId="77292437" w14:textId="77777777" w:rsidR="00DC21D1" w:rsidRPr="000E5D59" w:rsidRDefault="00DC21D1" w:rsidP="00DC21D1">
      <w:pPr>
        <w:jc w:val="center"/>
        <w:rPr>
          <w:rFonts w:asciiTheme="minorHAnsi" w:hAnsiTheme="minorHAnsi" w:cstheme="minorHAnsi"/>
          <w:lang w:val="en-US" w:bidi="fa-IR"/>
        </w:rPr>
      </w:pPr>
      <w:r w:rsidRPr="000E5D59">
        <w:rPr>
          <w:rFonts w:asciiTheme="minorHAnsi" w:hAnsiTheme="minorHAnsi" w:cstheme="minorHAnsi"/>
          <w:noProof/>
          <w:lang w:bidi="fa-IR"/>
        </w:rPr>
        <w:drawing>
          <wp:inline distT="0" distB="0" distL="0" distR="0" wp14:anchorId="6A08DFDC" wp14:editId="7180E40B">
            <wp:extent cx="3829050" cy="2786517"/>
            <wp:effectExtent l="0" t="0" r="0" b="0"/>
            <wp:docPr id="7" name="Picture 6">
              <a:extLst xmlns:a="http://schemas.openxmlformats.org/drawingml/2006/main">
                <a:ext uri="{FF2B5EF4-FFF2-40B4-BE49-F238E27FC236}">
                  <a16:creationId xmlns:a16="http://schemas.microsoft.com/office/drawing/2014/main" id="{4078E94A-E1F2-44EF-BA78-C38772DBB3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078E94A-E1F2-44EF-BA78-C38772DBB3CB}"/>
                        </a:ext>
                      </a:extLst>
                    </pic:cNvPr>
                    <pic:cNvPicPr>
                      <a:picLocks noChangeAspect="1"/>
                    </pic:cNvPicPr>
                  </pic:nvPicPr>
                  <pic:blipFill>
                    <a:blip r:embed="rId15"/>
                    <a:stretch>
                      <a:fillRect/>
                    </a:stretch>
                  </pic:blipFill>
                  <pic:spPr>
                    <a:xfrm>
                      <a:off x="0" y="0"/>
                      <a:ext cx="3835149" cy="2790955"/>
                    </a:xfrm>
                    <a:prstGeom prst="rect">
                      <a:avLst/>
                    </a:prstGeom>
                  </pic:spPr>
                </pic:pic>
              </a:graphicData>
            </a:graphic>
          </wp:inline>
        </w:drawing>
      </w:r>
    </w:p>
    <w:p w14:paraId="005F4D2B" w14:textId="77777777" w:rsidR="00DC21D1" w:rsidRPr="000E5D59" w:rsidRDefault="00DC21D1" w:rsidP="00DC21D1">
      <w:pPr>
        <w:jc w:val="center"/>
        <w:rPr>
          <w:rFonts w:asciiTheme="minorHAnsi" w:hAnsiTheme="minorHAnsi" w:cstheme="minorHAnsi"/>
          <w:lang w:val="en-US" w:bidi="fa-IR"/>
        </w:rPr>
      </w:pPr>
      <w:r w:rsidRPr="000E5D59">
        <w:rPr>
          <w:rFonts w:asciiTheme="minorHAnsi" w:hAnsiTheme="minorHAnsi" w:cstheme="minorHAnsi"/>
          <w:noProof/>
          <w:lang w:bidi="fa-IR"/>
        </w:rPr>
        <w:drawing>
          <wp:inline distT="0" distB="0" distL="0" distR="0" wp14:anchorId="78B97420" wp14:editId="7DA8F2D2">
            <wp:extent cx="3924300" cy="2856245"/>
            <wp:effectExtent l="0" t="0" r="0" b="1270"/>
            <wp:docPr id="9" name="Picture 8">
              <a:extLst xmlns:a="http://schemas.openxmlformats.org/drawingml/2006/main">
                <a:ext uri="{FF2B5EF4-FFF2-40B4-BE49-F238E27FC236}">
                  <a16:creationId xmlns:a16="http://schemas.microsoft.com/office/drawing/2014/main" id="{B28F7073-3E11-4136-ACDD-81A2ACD922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28F7073-3E11-4136-ACDD-81A2ACD922E9}"/>
                        </a:ext>
                      </a:extLst>
                    </pic:cNvPr>
                    <pic:cNvPicPr>
                      <a:picLocks noChangeAspect="1"/>
                    </pic:cNvPicPr>
                  </pic:nvPicPr>
                  <pic:blipFill>
                    <a:blip r:embed="rId16"/>
                    <a:stretch>
                      <a:fillRect/>
                    </a:stretch>
                  </pic:blipFill>
                  <pic:spPr>
                    <a:xfrm>
                      <a:off x="0" y="0"/>
                      <a:ext cx="3930141" cy="2860496"/>
                    </a:xfrm>
                    <a:prstGeom prst="rect">
                      <a:avLst/>
                    </a:prstGeom>
                  </pic:spPr>
                </pic:pic>
              </a:graphicData>
            </a:graphic>
          </wp:inline>
        </w:drawing>
      </w:r>
    </w:p>
    <w:p w14:paraId="15A70C61" w14:textId="4B249471" w:rsidR="00887AB8" w:rsidRDefault="00DC21D1" w:rsidP="004E3AC6">
      <w:pPr>
        <w:jc w:val="center"/>
        <w:rPr>
          <w:rFonts w:asciiTheme="minorHAnsi" w:hAnsiTheme="minorHAnsi" w:cstheme="minorHAnsi"/>
          <w:lang w:val="en-US" w:bidi="fa-IR"/>
        </w:rPr>
      </w:pPr>
      <w:r w:rsidRPr="000E5D59">
        <w:rPr>
          <w:rFonts w:asciiTheme="minorHAnsi" w:hAnsiTheme="minorHAnsi" w:cstheme="minorHAnsi"/>
          <w:noProof/>
          <w:lang w:bidi="fa-IR"/>
        </w:rPr>
        <w:drawing>
          <wp:inline distT="0" distB="0" distL="0" distR="0" wp14:anchorId="55786497" wp14:editId="06B7C9E7">
            <wp:extent cx="4106462" cy="2219325"/>
            <wp:effectExtent l="0" t="0" r="8890" b="0"/>
            <wp:docPr id="8" name="Picture 7">
              <a:extLst xmlns:a="http://schemas.openxmlformats.org/drawingml/2006/main">
                <a:ext uri="{FF2B5EF4-FFF2-40B4-BE49-F238E27FC236}">
                  <a16:creationId xmlns:a16="http://schemas.microsoft.com/office/drawing/2014/main" id="{41ADC4EB-004A-4A14-B692-52D9A032D0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1ADC4EB-004A-4A14-B692-52D9A032D033}"/>
                        </a:ext>
                      </a:extLst>
                    </pic:cNvPr>
                    <pic:cNvPicPr>
                      <a:picLocks noChangeAspect="1"/>
                    </pic:cNvPicPr>
                  </pic:nvPicPr>
                  <pic:blipFill>
                    <a:blip r:embed="rId17"/>
                    <a:stretch>
                      <a:fillRect/>
                    </a:stretch>
                  </pic:blipFill>
                  <pic:spPr>
                    <a:xfrm>
                      <a:off x="0" y="0"/>
                      <a:ext cx="4114148" cy="2223479"/>
                    </a:xfrm>
                    <a:prstGeom prst="rect">
                      <a:avLst/>
                    </a:prstGeom>
                  </pic:spPr>
                </pic:pic>
              </a:graphicData>
            </a:graphic>
          </wp:inline>
        </w:drawing>
      </w:r>
    </w:p>
    <w:p w14:paraId="555F9249" w14:textId="3E51843B" w:rsidR="004E3AC6" w:rsidRDefault="004E3AC6" w:rsidP="004E3AC6">
      <w:pPr>
        <w:pStyle w:val="Heading2"/>
        <w:numPr>
          <w:ilvl w:val="0"/>
          <w:numId w:val="0"/>
        </w:numPr>
        <w:ind w:left="576" w:hanging="576"/>
        <w:rPr>
          <w:rFonts w:asciiTheme="minorHAnsi" w:hAnsiTheme="minorHAnsi" w:cstheme="minorHAnsi"/>
          <w:lang w:val="en-US"/>
        </w:rPr>
      </w:pPr>
      <w:r>
        <w:rPr>
          <w:rFonts w:asciiTheme="minorHAnsi" w:hAnsiTheme="minorHAnsi" w:cstheme="minorHAnsi"/>
          <w:lang w:val="en-US"/>
        </w:rPr>
        <w:lastRenderedPageBreak/>
        <w:t>References</w:t>
      </w:r>
    </w:p>
    <w:p w14:paraId="5BCCD089" w14:textId="7CC1AC34" w:rsidR="004E3AC6" w:rsidRPr="000615DA" w:rsidRDefault="00A45A8C" w:rsidP="004E3AC6">
      <w:pPr>
        <w:rPr>
          <w:rFonts w:ascii="Arial" w:hAnsi="Arial" w:cs="Arial"/>
          <w:color w:val="222222"/>
          <w:sz w:val="20"/>
          <w:shd w:val="clear" w:color="auto" w:fill="FFFFFF"/>
          <w:lang w:val="en-US"/>
        </w:rPr>
      </w:pPr>
      <w:r w:rsidRPr="00A45A8C">
        <w:rPr>
          <w:rFonts w:ascii="Arial" w:hAnsi="Arial" w:cs="Arial"/>
          <w:color w:val="222222"/>
          <w:sz w:val="20"/>
          <w:shd w:val="clear" w:color="auto" w:fill="FFFFFF"/>
          <w:lang w:val="en-US"/>
        </w:rPr>
        <w:t>FAOSTAT, R. (20</w:t>
      </w:r>
      <w:r>
        <w:rPr>
          <w:rFonts w:ascii="Arial" w:hAnsi="Arial" w:cs="Arial"/>
          <w:color w:val="222222"/>
          <w:sz w:val="20"/>
          <w:shd w:val="clear" w:color="auto" w:fill="FFFFFF"/>
          <w:lang w:val="en-US"/>
        </w:rPr>
        <w:t>20</w:t>
      </w:r>
      <w:r w:rsidRPr="00A45A8C">
        <w:rPr>
          <w:rFonts w:ascii="Arial" w:hAnsi="Arial" w:cs="Arial"/>
          <w:color w:val="222222"/>
          <w:sz w:val="20"/>
          <w:shd w:val="clear" w:color="auto" w:fill="FFFFFF"/>
          <w:lang w:val="en-US"/>
        </w:rPr>
        <w:t>). FAOSTAT database. </w:t>
      </w:r>
      <w:r w:rsidRPr="00A45A8C">
        <w:rPr>
          <w:rFonts w:ascii="Arial" w:hAnsi="Arial" w:cs="Arial"/>
          <w:i/>
          <w:iCs/>
          <w:color w:val="222222"/>
          <w:sz w:val="20"/>
          <w:shd w:val="clear" w:color="auto" w:fill="FFFFFF"/>
          <w:lang w:val="en-US"/>
        </w:rPr>
        <w:t xml:space="preserve">Food Agric. </w:t>
      </w:r>
      <w:r w:rsidRPr="000615DA">
        <w:rPr>
          <w:rFonts w:ascii="Arial" w:hAnsi="Arial" w:cs="Arial"/>
          <w:i/>
          <w:iCs/>
          <w:color w:val="222222"/>
          <w:sz w:val="20"/>
          <w:shd w:val="clear" w:color="auto" w:fill="FFFFFF"/>
          <w:lang w:val="en-US"/>
        </w:rPr>
        <w:t>Organ. UN</w:t>
      </w:r>
      <w:r w:rsidRPr="000615DA">
        <w:rPr>
          <w:rFonts w:ascii="Arial" w:hAnsi="Arial" w:cs="Arial"/>
          <w:color w:val="222222"/>
          <w:sz w:val="20"/>
          <w:shd w:val="clear" w:color="auto" w:fill="FFFFFF"/>
          <w:lang w:val="en-US"/>
        </w:rPr>
        <w:t>.</w:t>
      </w:r>
    </w:p>
    <w:p w14:paraId="2CF843B9" w14:textId="3BE52F5B" w:rsidR="00A45A8C" w:rsidRPr="000615DA" w:rsidRDefault="00A45A8C" w:rsidP="004E3AC6">
      <w:pPr>
        <w:rPr>
          <w:rFonts w:ascii="Arial" w:hAnsi="Arial" w:cs="Arial"/>
          <w:color w:val="222222"/>
          <w:sz w:val="20"/>
          <w:shd w:val="clear" w:color="auto" w:fill="FFFFFF"/>
          <w:lang w:val="en-US"/>
        </w:rPr>
      </w:pPr>
      <w:proofErr w:type="spellStart"/>
      <w:r w:rsidRPr="000615DA">
        <w:rPr>
          <w:rFonts w:ascii="Arial" w:hAnsi="Arial" w:cs="Arial"/>
          <w:color w:val="222222"/>
          <w:sz w:val="20"/>
          <w:shd w:val="clear" w:color="auto" w:fill="FFFFFF"/>
          <w:lang w:val="en-US"/>
        </w:rPr>
        <w:t>Andam</w:t>
      </w:r>
      <w:proofErr w:type="spellEnd"/>
      <w:r w:rsidRPr="000615DA">
        <w:rPr>
          <w:rFonts w:ascii="Arial" w:hAnsi="Arial" w:cs="Arial"/>
          <w:color w:val="222222"/>
          <w:sz w:val="20"/>
          <w:shd w:val="clear" w:color="auto" w:fill="FFFFFF"/>
          <w:lang w:val="en-US"/>
        </w:rPr>
        <w:t xml:space="preserve">, K. S., Johnson, M. E., </w:t>
      </w:r>
      <w:proofErr w:type="spellStart"/>
      <w:r w:rsidRPr="000615DA">
        <w:rPr>
          <w:rFonts w:ascii="Arial" w:hAnsi="Arial" w:cs="Arial"/>
          <w:color w:val="222222"/>
          <w:sz w:val="20"/>
          <w:shd w:val="clear" w:color="auto" w:fill="FFFFFF"/>
          <w:lang w:val="en-US"/>
        </w:rPr>
        <w:t>Ragasa</w:t>
      </w:r>
      <w:proofErr w:type="spellEnd"/>
      <w:r w:rsidRPr="000615DA">
        <w:rPr>
          <w:rFonts w:ascii="Arial" w:hAnsi="Arial" w:cs="Arial"/>
          <w:color w:val="222222"/>
          <w:sz w:val="20"/>
          <w:shd w:val="clear" w:color="auto" w:fill="FFFFFF"/>
          <w:lang w:val="en-US"/>
        </w:rPr>
        <w:t xml:space="preserve">, C., </w:t>
      </w:r>
      <w:proofErr w:type="spellStart"/>
      <w:r w:rsidRPr="000615DA">
        <w:rPr>
          <w:rFonts w:ascii="Arial" w:hAnsi="Arial" w:cs="Arial"/>
          <w:color w:val="222222"/>
          <w:sz w:val="20"/>
          <w:shd w:val="clear" w:color="auto" w:fill="FFFFFF"/>
          <w:lang w:val="en-US"/>
        </w:rPr>
        <w:t>Kufoalor</w:t>
      </w:r>
      <w:proofErr w:type="spellEnd"/>
      <w:r w:rsidRPr="000615DA">
        <w:rPr>
          <w:rFonts w:ascii="Arial" w:hAnsi="Arial" w:cs="Arial"/>
          <w:color w:val="222222"/>
          <w:sz w:val="20"/>
          <w:shd w:val="clear" w:color="auto" w:fill="FFFFFF"/>
          <w:lang w:val="en-US"/>
        </w:rPr>
        <w:t>, D. S., &amp; Das Gupta, S. (2017). </w:t>
      </w:r>
      <w:r w:rsidRPr="00A45A8C">
        <w:rPr>
          <w:rFonts w:ascii="Arial" w:hAnsi="Arial" w:cs="Arial"/>
          <w:i/>
          <w:iCs/>
          <w:color w:val="222222"/>
          <w:sz w:val="20"/>
          <w:shd w:val="clear" w:color="auto" w:fill="FFFFFF"/>
          <w:lang w:val="en-US"/>
        </w:rPr>
        <w:t>A chicken and maize situation: the poultry feed sector in Ghana</w:t>
      </w:r>
      <w:r w:rsidRPr="00A45A8C">
        <w:rPr>
          <w:rFonts w:ascii="Arial" w:hAnsi="Arial" w:cs="Arial"/>
          <w:color w:val="222222"/>
          <w:sz w:val="20"/>
          <w:shd w:val="clear" w:color="auto" w:fill="FFFFFF"/>
          <w:lang w:val="en-US"/>
        </w:rPr>
        <w:t xml:space="preserve"> (Vol. 1601). </w:t>
      </w:r>
      <w:r w:rsidRPr="000615DA">
        <w:rPr>
          <w:rFonts w:ascii="Arial" w:hAnsi="Arial" w:cs="Arial"/>
          <w:color w:val="222222"/>
          <w:sz w:val="20"/>
          <w:shd w:val="clear" w:color="auto" w:fill="FFFFFF"/>
          <w:lang w:val="en-US"/>
        </w:rPr>
        <w:t>Intl Food Policy Res Inst.</w:t>
      </w:r>
    </w:p>
    <w:p w14:paraId="6256888E" w14:textId="67FAA157" w:rsidR="00A45A8C" w:rsidRPr="000615DA" w:rsidRDefault="00A45A8C" w:rsidP="004E3AC6">
      <w:pPr>
        <w:rPr>
          <w:rFonts w:ascii="Arial" w:hAnsi="Arial" w:cs="Arial"/>
          <w:color w:val="222222"/>
          <w:sz w:val="20"/>
          <w:shd w:val="clear" w:color="auto" w:fill="FFFFFF"/>
          <w:lang w:val="en-US"/>
        </w:rPr>
      </w:pPr>
      <w:proofErr w:type="spellStart"/>
      <w:r w:rsidRPr="00A45A8C">
        <w:rPr>
          <w:rFonts w:ascii="Arial" w:hAnsi="Arial" w:cs="Arial"/>
          <w:color w:val="222222"/>
          <w:sz w:val="20"/>
          <w:shd w:val="clear" w:color="auto" w:fill="FFFFFF"/>
          <w:lang w:val="en-US"/>
        </w:rPr>
        <w:t>Sumberg</w:t>
      </w:r>
      <w:proofErr w:type="spellEnd"/>
      <w:r w:rsidRPr="00A45A8C">
        <w:rPr>
          <w:rFonts w:ascii="Arial" w:hAnsi="Arial" w:cs="Arial"/>
          <w:color w:val="222222"/>
          <w:sz w:val="20"/>
          <w:shd w:val="clear" w:color="auto" w:fill="FFFFFF"/>
          <w:lang w:val="en-US"/>
        </w:rPr>
        <w:t xml:space="preserve">, J., </w:t>
      </w:r>
      <w:proofErr w:type="spellStart"/>
      <w:r w:rsidRPr="00A45A8C">
        <w:rPr>
          <w:rFonts w:ascii="Arial" w:hAnsi="Arial" w:cs="Arial"/>
          <w:color w:val="222222"/>
          <w:sz w:val="20"/>
          <w:shd w:val="clear" w:color="auto" w:fill="FFFFFF"/>
          <w:lang w:val="en-US"/>
        </w:rPr>
        <w:t>Awo</w:t>
      </w:r>
      <w:proofErr w:type="spellEnd"/>
      <w:r w:rsidRPr="00A45A8C">
        <w:rPr>
          <w:rFonts w:ascii="Arial" w:hAnsi="Arial" w:cs="Arial"/>
          <w:color w:val="222222"/>
          <w:sz w:val="20"/>
          <w:shd w:val="clear" w:color="auto" w:fill="FFFFFF"/>
          <w:lang w:val="en-US"/>
        </w:rPr>
        <w:t xml:space="preserve">, M., &amp; </w:t>
      </w:r>
      <w:proofErr w:type="spellStart"/>
      <w:r w:rsidRPr="00A45A8C">
        <w:rPr>
          <w:rFonts w:ascii="Arial" w:hAnsi="Arial" w:cs="Arial"/>
          <w:color w:val="222222"/>
          <w:sz w:val="20"/>
          <w:shd w:val="clear" w:color="auto" w:fill="FFFFFF"/>
          <w:lang w:val="en-US"/>
        </w:rPr>
        <w:t>Kwadzo</w:t>
      </w:r>
      <w:proofErr w:type="spellEnd"/>
      <w:r w:rsidRPr="00A45A8C">
        <w:rPr>
          <w:rFonts w:ascii="Arial" w:hAnsi="Arial" w:cs="Arial"/>
          <w:color w:val="222222"/>
          <w:sz w:val="20"/>
          <w:shd w:val="clear" w:color="auto" w:fill="FFFFFF"/>
          <w:lang w:val="en-US"/>
        </w:rPr>
        <w:t>, G. T. M. (2017). Poultry and policy in Ghana: Lessons from the periphery of an agricultural policy system. </w:t>
      </w:r>
      <w:r w:rsidRPr="000615DA">
        <w:rPr>
          <w:rFonts w:ascii="Arial" w:hAnsi="Arial" w:cs="Arial"/>
          <w:i/>
          <w:iCs/>
          <w:color w:val="222222"/>
          <w:sz w:val="20"/>
          <w:shd w:val="clear" w:color="auto" w:fill="FFFFFF"/>
          <w:lang w:val="en-US"/>
        </w:rPr>
        <w:t>Development Policy Review</w:t>
      </w:r>
      <w:r w:rsidRPr="000615DA">
        <w:rPr>
          <w:rFonts w:ascii="Arial" w:hAnsi="Arial" w:cs="Arial"/>
          <w:color w:val="222222"/>
          <w:sz w:val="20"/>
          <w:shd w:val="clear" w:color="auto" w:fill="FFFFFF"/>
          <w:lang w:val="en-US"/>
        </w:rPr>
        <w:t>, </w:t>
      </w:r>
      <w:r w:rsidRPr="000615DA">
        <w:rPr>
          <w:rFonts w:ascii="Arial" w:hAnsi="Arial" w:cs="Arial"/>
          <w:i/>
          <w:iCs/>
          <w:color w:val="222222"/>
          <w:sz w:val="20"/>
          <w:shd w:val="clear" w:color="auto" w:fill="FFFFFF"/>
          <w:lang w:val="en-US"/>
        </w:rPr>
        <w:t>35</w:t>
      </w:r>
      <w:r w:rsidRPr="000615DA">
        <w:rPr>
          <w:rFonts w:ascii="Arial" w:hAnsi="Arial" w:cs="Arial"/>
          <w:color w:val="222222"/>
          <w:sz w:val="20"/>
          <w:shd w:val="clear" w:color="auto" w:fill="FFFFFF"/>
          <w:lang w:val="en-US"/>
        </w:rPr>
        <w:t>(3), 419-438.</w:t>
      </w:r>
    </w:p>
    <w:p w14:paraId="150C6D43" w14:textId="2C1FFB98" w:rsidR="00A45A8C" w:rsidRPr="000615DA" w:rsidRDefault="00A45A8C" w:rsidP="004E3AC6">
      <w:pPr>
        <w:rPr>
          <w:lang w:val="en-US"/>
        </w:rPr>
      </w:pPr>
      <w:r w:rsidRPr="00A45A8C">
        <w:rPr>
          <w:lang w:val="en-US"/>
        </w:rPr>
        <w:t xml:space="preserve">Netherlands Enterprise Agency (2019): Analysis poultry sector Ghana. An update on the opportunities and Challenges. </w:t>
      </w:r>
      <w:r w:rsidRPr="000615DA">
        <w:rPr>
          <w:lang w:val="en-US"/>
        </w:rPr>
        <w:t>Netherlands Enterprise Agency (RVO.nl).</w:t>
      </w:r>
    </w:p>
    <w:p w14:paraId="6203BD06" w14:textId="01A1AF15" w:rsidR="00A45A8C" w:rsidRPr="000615DA" w:rsidRDefault="00A45A8C" w:rsidP="004E3AC6">
      <w:pPr>
        <w:rPr>
          <w:rFonts w:ascii="Arial" w:hAnsi="Arial" w:cs="Arial"/>
          <w:color w:val="222222"/>
          <w:sz w:val="20"/>
          <w:shd w:val="clear" w:color="auto" w:fill="FFFFFF"/>
          <w:lang w:val="en-US"/>
        </w:rPr>
      </w:pPr>
      <w:r>
        <w:rPr>
          <w:rFonts w:ascii="Arial" w:hAnsi="Arial" w:cs="Arial"/>
          <w:color w:val="222222"/>
          <w:sz w:val="20"/>
          <w:shd w:val="clear" w:color="auto" w:fill="FFFFFF"/>
        </w:rPr>
        <w:t xml:space="preserve">Zamani, O., </w:t>
      </w:r>
      <w:proofErr w:type="spellStart"/>
      <w:r>
        <w:rPr>
          <w:rFonts w:ascii="Arial" w:hAnsi="Arial" w:cs="Arial"/>
          <w:color w:val="222222"/>
          <w:sz w:val="20"/>
          <w:shd w:val="clear" w:color="auto" w:fill="FFFFFF"/>
        </w:rPr>
        <w:t>Chibanda</w:t>
      </w:r>
      <w:proofErr w:type="spellEnd"/>
      <w:r>
        <w:rPr>
          <w:rFonts w:ascii="Arial" w:hAnsi="Arial" w:cs="Arial"/>
          <w:color w:val="222222"/>
          <w:sz w:val="20"/>
          <w:shd w:val="clear" w:color="auto" w:fill="FFFFFF"/>
        </w:rPr>
        <w:t xml:space="preserve">, C., &amp; Pelikan, J. (2022). </w:t>
      </w:r>
      <w:r w:rsidRPr="00A45A8C">
        <w:rPr>
          <w:rFonts w:ascii="Arial" w:hAnsi="Arial" w:cs="Arial"/>
          <w:color w:val="222222"/>
          <w:sz w:val="20"/>
          <w:shd w:val="clear" w:color="auto" w:fill="FFFFFF"/>
          <w:lang w:val="en-US"/>
        </w:rPr>
        <w:t>Impacts of Import Restrictions on Poultry Producers in Ghana. </w:t>
      </w:r>
      <w:r w:rsidRPr="000615DA">
        <w:rPr>
          <w:rFonts w:ascii="Arial" w:hAnsi="Arial" w:cs="Arial"/>
          <w:i/>
          <w:iCs/>
          <w:color w:val="222222"/>
          <w:sz w:val="20"/>
          <w:shd w:val="clear" w:color="auto" w:fill="FFFFFF"/>
          <w:lang w:val="en-US"/>
        </w:rPr>
        <w:t>Q Open</w:t>
      </w:r>
      <w:r w:rsidRPr="000615DA">
        <w:rPr>
          <w:rFonts w:ascii="Arial" w:hAnsi="Arial" w:cs="Arial"/>
          <w:color w:val="222222"/>
          <w:sz w:val="20"/>
          <w:shd w:val="clear" w:color="auto" w:fill="FFFFFF"/>
          <w:lang w:val="en-US"/>
        </w:rPr>
        <w:t>.</w:t>
      </w:r>
    </w:p>
    <w:p w14:paraId="32C667FC" w14:textId="752A6B9A" w:rsidR="007C705E" w:rsidRPr="000615DA" w:rsidRDefault="007C705E" w:rsidP="004E3AC6">
      <w:pPr>
        <w:rPr>
          <w:rFonts w:ascii="Arial" w:hAnsi="Arial" w:cs="Arial"/>
          <w:color w:val="222222"/>
          <w:sz w:val="20"/>
          <w:shd w:val="clear" w:color="auto" w:fill="FFFFFF"/>
          <w:lang w:val="en-US"/>
        </w:rPr>
      </w:pPr>
      <w:r w:rsidRPr="007C705E">
        <w:rPr>
          <w:rFonts w:ascii="Arial" w:hAnsi="Arial" w:cs="Arial"/>
          <w:color w:val="222222"/>
          <w:sz w:val="20"/>
          <w:shd w:val="clear" w:color="auto" w:fill="FFFFFF"/>
          <w:lang w:val="en-US"/>
        </w:rPr>
        <w:t>Takayama, T., &amp; Judge, G. G. (1964). Equilibrium among spatially separated markets: A reformulation. </w:t>
      </w:r>
      <w:proofErr w:type="spellStart"/>
      <w:r w:rsidRPr="000615DA">
        <w:rPr>
          <w:rFonts w:ascii="Arial" w:hAnsi="Arial" w:cs="Arial"/>
          <w:i/>
          <w:iCs/>
          <w:color w:val="222222"/>
          <w:sz w:val="20"/>
          <w:shd w:val="clear" w:color="auto" w:fill="FFFFFF"/>
          <w:lang w:val="en-US"/>
        </w:rPr>
        <w:t>Econometrica</w:t>
      </w:r>
      <w:proofErr w:type="spellEnd"/>
      <w:r w:rsidRPr="000615DA">
        <w:rPr>
          <w:rFonts w:ascii="Arial" w:hAnsi="Arial" w:cs="Arial"/>
          <w:i/>
          <w:iCs/>
          <w:color w:val="222222"/>
          <w:sz w:val="20"/>
          <w:shd w:val="clear" w:color="auto" w:fill="FFFFFF"/>
          <w:lang w:val="en-US"/>
        </w:rPr>
        <w:t>: Journal of the Econometric Society</w:t>
      </w:r>
      <w:r w:rsidRPr="000615DA">
        <w:rPr>
          <w:rFonts w:ascii="Arial" w:hAnsi="Arial" w:cs="Arial"/>
          <w:color w:val="222222"/>
          <w:sz w:val="20"/>
          <w:shd w:val="clear" w:color="auto" w:fill="FFFFFF"/>
          <w:lang w:val="en-US"/>
        </w:rPr>
        <w:t>, 510-524.</w:t>
      </w:r>
    </w:p>
    <w:p w14:paraId="776EF2B2" w14:textId="4E966095" w:rsidR="007C705E" w:rsidRDefault="007C705E" w:rsidP="004E3AC6">
      <w:pPr>
        <w:rPr>
          <w:rFonts w:ascii="Arial" w:hAnsi="Arial" w:cs="Arial"/>
          <w:color w:val="222222"/>
          <w:sz w:val="20"/>
          <w:shd w:val="clear" w:color="auto" w:fill="FFFFFF"/>
        </w:rPr>
      </w:pPr>
      <w:r w:rsidRPr="007C705E">
        <w:rPr>
          <w:rFonts w:ascii="Arial" w:hAnsi="Arial" w:cs="Arial"/>
          <w:color w:val="222222"/>
          <w:sz w:val="20"/>
          <w:shd w:val="clear" w:color="auto" w:fill="FFFFFF"/>
          <w:lang w:val="en-US"/>
        </w:rPr>
        <w:t>Samuelson, P. A. (1952). Spatial price equilibrium and linear programming. </w:t>
      </w:r>
      <w:r>
        <w:rPr>
          <w:rFonts w:ascii="Arial" w:hAnsi="Arial" w:cs="Arial"/>
          <w:i/>
          <w:iCs/>
          <w:color w:val="222222"/>
          <w:sz w:val="20"/>
          <w:shd w:val="clear" w:color="auto" w:fill="FFFFFF"/>
        </w:rPr>
        <w:t xml:space="preserve">The American </w:t>
      </w:r>
      <w:proofErr w:type="spellStart"/>
      <w:r>
        <w:rPr>
          <w:rFonts w:ascii="Arial" w:hAnsi="Arial" w:cs="Arial"/>
          <w:i/>
          <w:iCs/>
          <w:color w:val="222222"/>
          <w:sz w:val="20"/>
          <w:shd w:val="clear" w:color="auto" w:fill="FFFFFF"/>
        </w:rPr>
        <w:t>economic</w:t>
      </w:r>
      <w:proofErr w:type="spellEnd"/>
      <w:r>
        <w:rPr>
          <w:rFonts w:ascii="Arial" w:hAnsi="Arial" w:cs="Arial"/>
          <w:i/>
          <w:iCs/>
          <w:color w:val="222222"/>
          <w:sz w:val="20"/>
          <w:shd w:val="clear" w:color="auto" w:fill="FFFFFF"/>
        </w:rPr>
        <w:t xml:space="preserve"> review</w:t>
      </w:r>
      <w:r>
        <w:rPr>
          <w:rFonts w:ascii="Arial" w:hAnsi="Arial" w:cs="Arial"/>
          <w:color w:val="222222"/>
          <w:sz w:val="20"/>
          <w:shd w:val="clear" w:color="auto" w:fill="FFFFFF"/>
        </w:rPr>
        <w:t>, </w:t>
      </w:r>
      <w:r>
        <w:rPr>
          <w:rFonts w:ascii="Arial" w:hAnsi="Arial" w:cs="Arial"/>
          <w:i/>
          <w:iCs/>
          <w:color w:val="222222"/>
          <w:sz w:val="20"/>
          <w:shd w:val="clear" w:color="auto" w:fill="FFFFFF"/>
        </w:rPr>
        <w:t>42</w:t>
      </w:r>
      <w:r>
        <w:rPr>
          <w:rFonts w:ascii="Arial" w:hAnsi="Arial" w:cs="Arial"/>
          <w:color w:val="222222"/>
          <w:sz w:val="20"/>
          <w:shd w:val="clear" w:color="auto" w:fill="FFFFFF"/>
        </w:rPr>
        <w:t>(3), 283-303.</w:t>
      </w:r>
    </w:p>
    <w:p w14:paraId="7A040D37" w14:textId="3E60AD96" w:rsidR="007C705E" w:rsidRPr="000615DA" w:rsidRDefault="007C705E" w:rsidP="004E3AC6">
      <w:pPr>
        <w:rPr>
          <w:rFonts w:ascii="Arial" w:hAnsi="Arial" w:cs="Arial"/>
          <w:color w:val="222222"/>
          <w:sz w:val="20"/>
          <w:shd w:val="clear" w:color="auto" w:fill="FFFFFF"/>
          <w:lang w:val="en-US"/>
        </w:rPr>
      </w:pPr>
      <w:r w:rsidRPr="007C705E">
        <w:rPr>
          <w:rFonts w:ascii="Arial" w:hAnsi="Arial" w:cs="Arial"/>
          <w:color w:val="222222"/>
          <w:sz w:val="20"/>
          <w:shd w:val="clear" w:color="auto" w:fill="FFFFFF"/>
          <w:lang w:val="en-US"/>
        </w:rPr>
        <w:t xml:space="preserve">Amoah, L., &amp; </w:t>
      </w:r>
      <w:proofErr w:type="spellStart"/>
      <w:r w:rsidRPr="007C705E">
        <w:rPr>
          <w:rFonts w:ascii="Arial" w:hAnsi="Arial" w:cs="Arial"/>
          <w:color w:val="222222"/>
          <w:sz w:val="20"/>
          <w:shd w:val="clear" w:color="auto" w:fill="FFFFFF"/>
          <w:lang w:val="en-US"/>
        </w:rPr>
        <w:t>Aziakpono</w:t>
      </w:r>
      <w:proofErr w:type="spellEnd"/>
      <w:r w:rsidRPr="007C705E">
        <w:rPr>
          <w:rFonts w:ascii="Arial" w:hAnsi="Arial" w:cs="Arial"/>
          <w:color w:val="222222"/>
          <w:sz w:val="20"/>
          <w:shd w:val="clear" w:color="auto" w:fill="FFFFFF"/>
          <w:lang w:val="en-US"/>
        </w:rPr>
        <w:t xml:space="preserve">, M. J. (2018). Exchange rate pass-through to consumer prices in Ghana: is there </w:t>
      </w:r>
      <w:proofErr w:type="gramStart"/>
      <w:r w:rsidRPr="007C705E">
        <w:rPr>
          <w:rFonts w:ascii="Arial" w:hAnsi="Arial" w:cs="Arial"/>
          <w:color w:val="222222"/>
          <w:sz w:val="20"/>
          <w:shd w:val="clear" w:color="auto" w:fill="FFFFFF"/>
          <w:lang w:val="en-US"/>
        </w:rPr>
        <w:t>asymmetry?.</w:t>
      </w:r>
      <w:proofErr w:type="gramEnd"/>
      <w:r w:rsidRPr="007C705E">
        <w:rPr>
          <w:rFonts w:ascii="Arial" w:hAnsi="Arial" w:cs="Arial"/>
          <w:color w:val="222222"/>
          <w:sz w:val="20"/>
          <w:shd w:val="clear" w:color="auto" w:fill="FFFFFF"/>
          <w:lang w:val="en-US"/>
        </w:rPr>
        <w:t> </w:t>
      </w:r>
      <w:r w:rsidRPr="000615DA">
        <w:rPr>
          <w:rFonts w:ascii="Arial" w:hAnsi="Arial" w:cs="Arial"/>
          <w:i/>
          <w:iCs/>
          <w:color w:val="222222"/>
          <w:sz w:val="20"/>
          <w:shd w:val="clear" w:color="auto" w:fill="FFFFFF"/>
          <w:lang w:val="en-US"/>
        </w:rPr>
        <w:t>International Journal of Emerging Markets</w:t>
      </w:r>
      <w:r w:rsidRPr="000615DA">
        <w:rPr>
          <w:rFonts w:ascii="Arial" w:hAnsi="Arial" w:cs="Arial"/>
          <w:color w:val="222222"/>
          <w:sz w:val="20"/>
          <w:shd w:val="clear" w:color="auto" w:fill="FFFFFF"/>
          <w:lang w:val="en-US"/>
        </w:rPr>
        <w:t>.</w:t>
      </w:r>
    </w:p>
    <w:p w14:paraId="1DF03AAC" w14:textId="0E5974CC" w:rsidR="007C705E" w:rsidRDefault="007C705E" w:rsidP="004E3AC6">
      <w:pPr>
        <w:rPr>
          <w:rFonts w:ascii="Arial" w:hAnsi="Arial" w:cs="Arial"/>
          <w:color w:val="222222"/>
          <w:sz w:val="20"/>
          <w:shd w:val="clear" w:color="auto" w:fill="FFFFFF"/>
        </w:rPr>
      </w:pPr>
      <w:r w:rsidRPr="000615DA">
        <w:rPr>
          <w:rFonts w:ascii="Arial" w:hAnsi="Arial" w:cs="Arial"/>
          <w:color w:val="222222"/>
          <w:sz w:val="20"/>
          <w:shd w:val="clear" w:color="auto" w:fill="FFFFFF"/>
          <w:lang w:val="en-US"/>
        </w:rPr>
        <w:t xml:space="preserve">Zamani, O., </w:t>
      </w:r>
      <w:proofErr w:type="spellStart"/>
      <w:r w:rsidRPr="000615DA">
        <w:rPr>
          <w:rFonts w:ascii="Arial" w:hAnsi="Arial" w:cs="Arial"/>
          <w:color w:val="222222"/>
          <w:sz w:val="20"/>
          <w:shd w:val="clear" w:color="auto" w:fill="FFFFFF"/>
          <w:lang w:val="en-US"/>
        </w:rPr>
        <w:t>Pelikan</w:t>
      </w:r>
      <w:proofErr w:type="spellEnd"/>
      <w:r w:rsidRPr="000615DA">
        <w:rPr>
          <w:rFonts w:ascii="Arial" w:hAnsi="Arial" w:cs="Arial"/>
          <w:color w:val="222222"/>
          <w:sz w:val="20"/>
          <w:shd w:val="clear" w:color="auto" w:fill="FFFFFF"/>
          <w:lang w:val="en-US"/>
        </w:rPr>
        <w:t>, J., &amp; Schott, J. (2021). </w:t>
      </w:r>
      <w:r w:rsidRPr="007C705E">
        <w:rPr>
          <w:rFonts w:ascii="Arial" w:hAnsi="Arial" w:cs="Arial"/>
          <w:i/>
          <w:iCs/>
          <w:color w:val="222222"/>
          <w:sz w:val="20"/>
          <w:shd w:val="clear" w:color="auto" w:fill="FFFFFF"/>
          <w:lang w:val="en-US"/>
        </w:rPr>
        <w:t>EU exports of livestock products to West Africa: An analysis of dairy and poultry trade data</w:t>
      </w:r>
      <w:r w:rsidRPr="007C705E">
        <w:rPr>
          <w:rFonts w:ascii="Arial" w:hAnsi="Arial" w:cs="Arial"/>
          <w:color w:val="222222"/>
          <w:sz w:val="20"/>
          <w:shd w:val="clear" w:color="auto" w:fill="FFFFFF"/>
          <w:lang w:val="en-US"/>
        </w:rPr>
        <w:t xml:space="preserve"> (No. 162). </w:t>
      </w:r>
      <w:r>
        <w:rPr>
          <w:rFonts w:ascii="Arial" w:hAnsi="Arial" w:cs="Arial"/>
          <w:color w:val="222222"/>
          <w:sz w:val="20"/>
          <w:shd w:val="clear" w:color="auto" w:fill="FFFFFF"/>
        </w:rPr>
        <w:t>Thünen Working Paper.</w:t>
      </w:r>
    </w:p>
    <w:p w14:paraId="18E26A1D" w14:textId="71CE2CA8" w:rsidR="007C705E" w:rsidRPr="000615DA" w:rsidRDefault="007C705E" w:rsidP="004E3AC6">
      <w:pPr>
        <w:rPr>
          <w:rFonts w:ascii="Arial" w:hAnsi="Arial" w:cs="Arial"/>
          <w:color w:val="222222"/>
          <w:sz w:val="20"/>
          <w:shd w:val="clear" w:color="auto" w:fill="FFFFFF"/>
          <w:lang w:val="en-US"/>
        </w:rPr>
      </w:pPr>
      <w:proofErr w:type="spellStart"/>
      <w:r>
        <w:rPr>
          <w:rFonts w:ascii="Arial" w:hAnsi="Arial" w:cs="Arial"/>
          <w:color w:val="222222"/>
          <w:sz w:val="20"/>
          <w:shd w:val="clear" w:color="auto" w:fill="FFFFFF"/>
        </w:rPr>
        <w:t>Enu</w:t>
      </w:r>
      <w:proofErr w:type="spellEnd"/>
      <w:r>
        <w:rPr>
          <w:rFonts w:ascii="Arial" w:hAnsi="Arial" w:cs="Arial"/>
          <w:color w:val="222222"/>
          <w:sz w:val="20"/>
          <w:shd w:val="clear" w:color="auto" w:fill="FFFFFF"/>
        </w:rPr>
        <w:t xml:space="preserve">, P., &amp; </w:t>
      </w:r>
      <w:proofErr w:type="spellStart"/>
      <w:r>
        <w:rPr>
          <w:rFonts w:ascii="Arial" w:hAnsi="Arial" w:cs="Arial"/>
          <w:color w:val="222222"/>
          <w:sz w:val="20"/>
          <w:shd w:val="clear" w:color="auto" w:fill="FFFFFF"/>
        </w:rPr>
        <w:t>Attah-Obeng</w:t>
      </w:r>
      <w:proofErr w:type="spellEnd"/>
      <w:r>
        <w:rPr>
          <w:rFonts w:ascii="Arial" w:hAnsi="Arial" w:cs="Arial"/>
          <w:color w:val="222222"/>
          <w:sz w:val="20"/>
          <w:shd w:val="clear" w:color="auto" w:fill="FFFFFF"/>
        </w:rPr>
        <w:t xml:space="preserve">, P. (2013). </w:t>
      </w:r>
      <w:r w:rsidRPr="007C705E">
        <w:rPr>
          <w:rFonts w:ascii="Arial" w:hAnsi="Arial" w:cs="Arial"/>
          <w:color w:val="222222"/>
          <w:sz w:val="20"/>
          <w:shd w:val="clear" w:color="auto" w:fill="FFFFFF"/>
          <w:lang w:val="en-US"/>
        </w:rPr>
        <w:t xml:space="preserve">Which macro factors influence agricultural production in </w:t>
      </w:r>
      <w:proofErr w:type="gramStart"/>
      <w:r w:rsidRPr="007C705E">
        <w:rPr>
          <w:rFonts w:ascii="Arial" w:hAnsi="Arial" w:cs="Arial"/>
          <w:color w:val="222222"/>
          <w:sz w:val="20"/>
          <w:shd w:val="clear" w:color="auto" w:fill="FFFFFF"/>
          <w:lang w:val="en-US"/>
        </w:rPr>
        <w:t>Ghana?.</w:t>
      </w:r>
      <w:proofErr w:type="gramEnd"/>
      <w:r w:rsidRPr="007C705E">
        <w:rPr>
          <w:rFonts w:ascii="Arial" w:hAnsi="Arial" w:cs="Arial"/>
          <w:color w:val="222222"/>
          <w:sz w:val="20"/>
          <w:shd w:val="clear" w:color="auto" w:fill="FFFFFF"/>
          <w:lang w:val="en-US"/>
        </w:rPr>
        <w:t> </w:t>
      </w:r>
      <w:r w:rsidRPr="000615DA">
        <w:rPr>
          <w:rFonts w:ascii="Arial" w:hAnsi="Arial" w:cs="Arial"/>
          <w:i/>
          <w:iCs/>
          <w:color w:val="222222"/>
          <w:sz w:val="20"/>
          <w:shd w:val="clear" w:color="auto" w:fill="FFFFFF"/>
          <w:lang w:val="en-US"/>
        </w:rPr>
        <w:t>Academic Research International</w:t>
      </w:r>
      <w:r w:rsidRPr="000615DA">
        <w:rPr>
          <w:rFonts w:ascii="Arial" w:hAnsi="Arial" w:cs="Arial"/>
          <w:color w:val="222222"/>
          <w:sz w:val="20"/>
          <w:shd w:val="clear" w:color="auto" w:fill="FFFFFF"/>
          <w:lang w:val="en-US"/>
        </w:rPr>
        <w:t>, </w:t>
      </w:r>
      <w:r w:rsidRPr="000615DA">
        <w:rPr>
          <w:rFonts w:ascii="Arial" w:hAnsi="Arial" w:cs="Arial"/>
          <w:i/>
          <w:iCs/>
          <w:color w:val="222222"/>
          <w:sz w:val="20"/>
          <w:shd w:val="clear" w:color="auto" w:fill="FFFFFF"/>
          <w:lang w:val="en-US"/>
        </w:rPr>
        <w:t>4</w:t>
      </w:r>
      <w:r w:rsidRPr="000615DA">
        <w:rPr>
          <w:rFonts w:ascii="Arial" w:hAnsi="Arial" w:cs="Arial"/>
          <w:color w:val="222222"/>
          <w:sz w:val="20"/>
          <w:shd w:val="clear" w:color="auto" w:fill="FFFFFF"/>
          <w:lang w:val="en-US"/>
        </w:rPr>
        <w:t>(5), 333.</w:t>
      </w:r>
    </w:p>
    <w:p w14:paraId="0D9425B7" w14:textId="042887DA" w:rsidR="00126E61" w:rsidRPr="00126E61" w:rsidRDefault="00126E61" w:rsidP="004E3AC6">
      <w:pPr>
        <w:rPr>
          <w:rFonts w:ascii="Arial" w:hAnsi="Arial" w:cs="Arial"/>
          <w:color w:val="222222"/>
          <w:sz w:val="20"/>
          <w:shd w:val="clear" w:color="auto" w:fill="FFFFFF"/>
          <w:lang w:val="en-US"/>
        </w:rPr>
      </w:pPr>
      <w:proofErr w:type="spellStart"/>
      <w:r w:rsidRPr="000615DA">
        <w:rPr>
          <w:rFonts w:ascii="Arial" w:hAnsi="Arial" w:cs="Arial"/>
          <w:color w:val="222222"/>
          <w:sz w:val="20"/>
          <w:shd w:val="clear" w:color="auto" w:fill="FFFFFF"/>
          <w:lang w:val="en-US"/>
        </w:rPr>
        <w:t>Andriamananjara</w:t>
      </w:r>
      <w:proofErr w:type="spellEnd"/>
      <w:r w:rsidRPr="000615DA">
        <w:rPr>
          <w:rFonts w:ascii="Arial" w:hAnsi="Arial" w:cs="Arial"/>
          <w:color w:val="222222"/>
          <w:sz w:val="20"/>
          <w:shd w:val="clear" w:color="auto" w:fill="FFFFFF"/>
          <w:lang w:val="en-US"/>
        </w:rPr>
        <w:t xml:space="preserve">, S., Brenton, P., Von </w:t>
      </w:r>
      <w:proofErr w:type="spellStart"/>
      <w:r w:rsidRPr="000615DA">
        <w:rPr>
          <w:rFonts w:ascii="Arial" w:hAnsi="Arial" w:cs="Arial"/>
          <w:color w:val="222222"/>
          <w:sz w:val="20"/>
          <w:shd w:val="clear" w:color="auto" w:fill="FFFFFF"/>
          <w:lang w:val="en-US"/>
        </w:rPr>
        <w:t>Uexkull</w:t>
      </w:r>
      <w:proofErr w:type="spellEnd"/>
      <w:r w:rsidRPr="000615DA">
        <w:rPr>
          <w:rFonts w:ascii="Arial" w:hAnsi="Arial" w:cs="Arial"/>
          <w:color w:val="222222"/>
          <w:sz w:val="20"/>
          <w:shd w:val="clear" w:color="auto" w:fill="FFFFFF"/>
          <w:lang w:val="en-US"/>
        </w:rPr>
        <w:t xml:space="preserve">, J. E., &amp; Walkenhorst, P. (2009). </w:t>
      </w:r>
      <w:r w:rsidRPr="00126E61">
        <w:rPr>
          <w:rFonts w:ascii="Arial" w:hAnsi="Arial" w:cs="Arial"/>
          <w:color w:val="222222"/>
          <w:sz w:val="20"/>
          <w:shd w:val="clear" w:color="auto" w:fill="FFFFFF"/>
          <w:lang w:val="en-US"/>
        </w:rPr>
        <w:t>Assessing the economic impacts of an economic partnership agreement on Nigeria. </w:t>
      </w:r>
      <w:r w:rsidRPr="00126E61">
        <w:rPr>
          <w:rFonts w:ascii="Arial" w:hAnsi="Arial" w:cs="Arial"/>
          <w:i/>
          <w:iCs/>
          <w:color w:val="222222"/>
          <w:sz w:val="20"/>
          <w:shd w:val="clear" w:color="auto" w:fill="FFFFFF"/>
          <w:lang w:val="en-US"/>
        </w:rPr>
        <w:t>World Bank Policy Research Working Paper</w:t>
      </w:r>
      <w:r w:rsidRPr="00126E61">
        <w:rPr>
          <w:rFonts w:ascii="Arial" w:hAnsi="Arial" w:cs="Arial"/>
          <w:color w:val="222222"/>
          <w:sz w:val="20"/>
          <w:shd w:val="clear" w:color="auto" w:fill="FFFFFF"/>
          <w:lang w:val="en-US"/>
        </w:rPr>
        <w:t>, (4920).</w:t>
      </w:r>
    </w:p>
    <w:p w14:paraId="2052E584" w14:textId="48655F78" w:rsidR="00A45A8C" w:rsidRPr="000615DA" w:rsidRDefault="00126E61" w:rsidP="004E3AC6">
      <w:pPr>
        <w:rPr>
          <w:rFonts w:ascii="Arial" w:hAnsi="Arial" w:cs="Arial"/>
          <w:color w:val="222222"/>
          <w:sz w:val="20"/>
          <w:shd w:val="clear" w:color="auto" w:fill="FFFFFF"/>
          <w:lang w:val="en-US"/>
        </w:rPr>
      </w:pPr>
      <w:proofErr w:type="spellStart"/>
      <w:r w:rsidRPr="00126E61">
        <w:rPr>
          <w:rFonts w:ascii="Arial" w:hAnsi="Arial" w:cs="Arial"/>
          <w:color w:val="222222"/>
          <w:sz w:val="20"/>
          <w:shd w:val="clear" w:color="auto" w:fill="FFFFFF"/>
          <w:lang w:val="en-US"/>
        </w:rPr>
        <w:t>Akunzule</w:t>
      </w:r>
      <w:proofErr w:type="spellEnd"/>
      <w:r w:rsidRPr="00126E61">
        <w:rPr>
          <w:rFonts w:ascii="Arial" w:hAnsi="Arial" w:cs="Arial"/>
          <w:color w:val="222222"/>
          <w:sz w:val="20"/>
          <w:shd w:val="clear" w:color="auto" w:fill="FFFFFF"/>
          <w:lang w:val="en-US"/>
        </w:rPr>
        <w:t xml:space="preserve">, A. N., </w:t>
      </w:r>
      <w:proofErr w:type="spellStart"/>
      <w:r w:rsidRPr="00126E61">
        <w:rPr>
          <w:rFonts w:ascii="Arial" w:hAnsi="Arial" w:cs="Arial"/>
          <w:color w:val="222222"/>
          <w:sz w:val="20"/>
          <w:shd w:val="clear" w:color="auto" w:fill="FFFFFF"/>
          <w:lang w:val="en-US"/>
        </w:rPr>
        <w:t>Koney</w:t>
      </w:r>
      <w:proofErr w:type="spellEnd"/>
      <w:r w:rsidRPr="00126E61">
        <w:rPr>
          <w:rFonts w:ascii="Arial" w:hAnsi="Arial" w:cs="Arial"/>
          <w:color w:val="222222"/>
          <w:sz w:val="20"/>
          <w:shd w:val="clear" w:color="auto" w:fill="FFFFFF"/>
          <w:lang w:val="en-US"/>
        </w:rPr>
        <w:t xml:space="preserve">, E. B. M., &amp; </w:t>
      </w:r>
      <w:proofErr w:type="spellStart"/>
      <w:r w:rsidRPr="00126E61">
        <w:rPr>
          <w:rFonts w:ascii="Arial" w:hAnsi="Arial" w:cs="Arial"/>
          <w:color w:val="222222"/>
          <w:sz w:val="20"/>
          <w:shd w:val="clear" w:color="auto" w:fill="FFFFFF"/>
          <w:lang w:val="en-US"/>
        </w:rPr>
        <w:t>Tiongco</w:t>
      </w:r>
      <w:proofErr w:type="spellEnd"/>
      <w:r w:rsidRPr="00126E61">
        <w:rPr>
          <w:rFonts w:ascii="Arial" w:hAnsi="Arial" w:cs="Arial"/>
          <w:color w:val="222222"/>
          <w:sz w:val="20"/>
          <w:shd w:val="clear" w:color="auto" w:fill="FFFFFF"/>
          <w:lang w:val="en-US"/>
        </w:rPr>
        <w:t>, M. (2009). Economic impact assessment of highly pathogenic avian influenza on the poultry industry in Ghana. </w:t>
      </w:r>
      <w:r w:rsidRPr="000615DA">
        <w:rPr>
          <w:rFonts w:ascii="Arial" w:hAnsi="Arial" w:cs="Arial"/>
          <w:i/>
          <w:iCs/>
          <w:color w:val="222222"/>
          <w:sz w:val="20"/>
          <w:shd w:val="clear" w:color="auto" w:fill="FFFFFF"/>
          <w:lang w:val="en-US"/>
        </w:rPr>
        <w:t>World's Poultry Science Journal</w:t>
      </w:r>
      <w:r w:rsidRPr="000615DA">
        <w:rPr>
          <w:rFonts w:ascii="Arial" w:hAnsi="Arial" w:cs="Arial"/>
          <w:color w:val="222222"/>
          <w:sz w:val="20"/>
          <w:shd w:val="clear" w:color="auto" w:fill="FFFFFF"/>
          <w:lang w:val="en-US"/>
        </w:rPr>
        <w:t>, </w:t>
      </w:r>
      <w:r w:rsidRPr="000615DA">
        <w:rPr>
          <w:rFonts w:ascii="Arial" w:hAnsi="Arial" w:cs="Arial"/>
          <w:i/>
          <w:iCs/>
          <w:color w:val="222222"/>
          <w:sz w:val="20"/>
          <w:shd w:val="clear" w:color="auto" w:fill="FFFFFF"/>
          <w:lang w:val="en-US"/>
        </w:rPr>
        <w:t>65</w:t>
      </w:r>
      <w:r w:rsidRPr="000615DA">
        <w:rPr>
          <w:rFonts w:ascii="Arial" w:hAnsi="Arial" w:cs="Arial"/>
          <w:color w:val="222222"/>
          <w:sz w:val="20"/>
          <w:shd w:val="clear" w:color="auto" w:fill="FFFFFF"/>
          <w:lang w:val="en-US"/>
        </w:rPr>
        <w:t>(3), 517-528.</w:t>
      </w:r>
    </w:p>
    <w:p w14:paraId="740C4E64" w14:textId="6BA07FD0" w:rsidR="00126E61" w:rsidRPr="000615DA" w:rsidRDefault="00126E61" w:rsidP="004E3AC6">
      <w:pPr>
        <w:rPr>
          <w:rFonts w:ascii="Arial" w:hAnsi="Arial" w:cs="Arial"/>
          <w:color w:val="222222"/>
          <w:sz w:val="20"/>
          <w:shd w:val="clear" w:color="auto" w:fill="FFFFFF"/>
          <w:lang w:val="en-US"/>
        </w:rPr>
      </w:pPr>
      <w:r w:rsidRPr="00126E61">
        <w:rPr>
          <w:rFonts w:ascii="Arial" w:hAnsi="Arial" w:cs="Arial"/>
          <w:color w:val="222222"/>
          <w:sz w:val="20"/>
          <w:shd w:val="clear" w:color="auto" w:fill="FFFFFF"/>
          <w:lang w:val="en-US"/>
        </w:rPr>
        <w:t>Johnson, M. C. (2011). Lobbying for trade barriers: a comparison of poultry producers' success in Cameroon, Senegal and Ghana. </w:t>
      </w:r>
      <w:r w:rsidRPr="000615DA">
        <w:rPr>
          <w:rFonts w:ascii="Arial" w:hAnsi="Arial" w:cs="Arial"/>
          <w:i/>
          <w:iCs/>
          <w:color w:val="222222"/>
          <w:sz w:val="20"/>
          <w:shd w:val="clear" w:color="auto" w:fill="FFFFFF"/>
          <w:lang w:val="en-US"/>
        </w:rPr>
        <w:t>The Journal of Modern African Studies</w:t>
      </w:r>
      <w:r w:rsidRPr="000615DA">
        <w:rPr>
          <w:rFonts w:ascii="Arial" w:hAnsi="Arial" w:cs="Arial"/>
          <w:color w:val="222222"/>
          <w:sz w:val="20"/>
          <w:shd w:val="clear" w:color="auto" w:fill="FFFFFF"/>
          <w:lang w:val="en-US"/>
        </w:rPr>
        <w:t>, </w:t>
      </w:r>
      <w:r w:rsidRPr="000615DA">
        <w:rPr>
          <w:rFonts w:ascii="Arial" w:hAnsi="Arial" w:cs="Arial"/>
          <w:i/>
          <w:iCs/>
          <w:color w:val="222222"/>
          <w:sz w:val="20"/>
          <w:shd w:val="clear" w:color="auto" w:fill="FFFFFF"/>
          <w:lang w:val="en-US"/>
        </w:rPr>
        <w:t>49</w:t>
      </w:r>
      <w:r w:rsidRPr="000615DA">
        <w:rPr>
          <w:rFonts w:ascii="Arial" w:hAnsi="Arial" w:cs="Arial"/>
          <w:color w:val="222222"/>
          <w:sz w:val="20"/>
          <w:shd w:val="clear" w:color="auto" w:fill="FFFFFF"/>
          <w:lang w:val="en-US"/>
        </w:rPr>
        <w:t>(4), 575-599.</w:t>
      </w:r>
    </w:p>
    <w:p w14:paraId="07544733" w14:textId="6EC5197D" w:rsidR="00126E61" w:rsidRPr="000E5D59" w:rsidRDefault="00126E61" w:rsidP="004E3AC6">
      <w:pPr>
        <w:rPr>
          <w:rFonts w:asciiTheme="minorHAnsi" w:hAnsiTheme="minorHAnsi" w:cstheme="minorHAnsi"/>
          <w:lang w:val="en-US" w:bidi="fa-IR"/>
        </w:rPr>
      </w:pPr>
      <w:r w:rsidRPr="00126E61">
        <w:rPr>
          <w:rFonts w:ascii="Arial" w:hAnsi="Arial" w:cs="Arial"/>
          <w:color w:val="222222"/>
          <w:sz w:val="20"/>
          <w:shd w:val="clear" w:color="auto" w:fill="FFFFFF"/>
          <w:lang w:val="en-US"/>
        </w:rPr>
        <w:t>Krueger, A. O., &amp; Tuncer, B. (1982). An empirical test of the infant industry argument. </w:t>
      </w:r>
      <w:r>
        <w:rPr>
          <w:rFonts w:ascii="Arial" w:hAnsi="Arial" w:cs="Arial"/>
          <w:i/>
          <w:iCs/>
          <w:color w:val="222222"/>
          <w:sz w:val="20"/>
          <w:shd w:val="clear" w:color="auto" w:fill="FFFFFF"/>
        </w:rPr>
        <w:t xml:space="preserve">The American </w:t>
      </w:r>
      <w:proofErr w:type="spellStart"/>
      <w:r>
        <w:rPr>
          <w:rFonts w:ascii="Arial" w:hAnsi="Arial" w:cs="Arial"/>
          <w:i/>
          <w:iCs/>
          <w:color w:val="222222"/>
          <w:sz w:val="20"/>
          <w:shd w:val="clear" w:color="auto" w:fill="FFFFFF"/>
        </w:rPr>
        <w:t>Economic</w:t>
      </w:r>
      <w:proofErr w:type="spellEnd"/>
      <w:r>
        <w:rPr>
          <w:rFonts w:ascii="Arial" w:hAnsi="Arial" w:cs="Arial"/>
          <w:i/>
          <w:iCs/>
          <w:color w:val="222222"/>
          <w:sz w:val="20"/>
          <w:shd w:val="clear" w:color="auto" w:fill="FFFFFF"/>
        </w:rPr>
        <w:t xml:space="preserve"> Review</w:t>
      </w:r>
      <w:r>
        <w:rPr>
          <w:rFonts w:ascii="Arial" w:hAnsi="Arial" w:cs="Arial"/>
          <w:color w:val="222222"/>
          <w:sz w:val="20"/>
          <w:shd w:val="clear" w:color="auto" w:fill="FFFFFF"/>
        </w:rPr>
        <w:t>, </w:t>
      </w:r>
      <w:r>
        <w:rPr>
          <w:rFonts w:ascii="Arial" w:hAnsi="Arial" w:cs="Arial"/>
          <w:i/>
          <w:iCs/>
          <w:color w:val="222222"/>
          <w:sz w:val="20"/>
          <w:shd w:val="clear" w:color="auto" w:fill="FFFFFF"/>
        </w:rPr>
        <w:t>72</w:t>
      </w:r>
      <w:r>
        <w:rPr>
          <w:rFonts w:ascii="Arial" w:hAnsi="Arial" w:cs="Arial"/>
          <w:color w:val="222222"/>
          <w:sz w:val="20"/>
          <w:shd w:val="clear" w:color="auto" w:fill="FFFFFF"/>
        </w:rPr>
        <w:t>(5), 1142-1152.</w:t>
      </w:r>
    </w:p>
    <w:sectPr w:rsidR="00126E61" w:rsidRPr="000E5D59" w:rsidSect="006962C8">
      <w:headerReference w:type="even" r:id="rId18"/>
      <w:headerReference w:type="default" r:id="rId19"/>
      <w:footerReference w:type="even" r:id="rId20"/>
      <w:footerReference w:type="default" r:id="rId21"/>
      <w:headerReference w:type="first" r:id="rId22"/>
      <w:footerReference w:type="first" r:id="rId23"/>
      <w:pgSz w:w="11913" w:h="16834" w:code="9"/>
      <w:pgMar w:top="1701" w:right="1191" w:bottom="1134" w:left="119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A0A5C" w14:textId="77777777" w:rsidR="00A45A8C" w:rsidRDefault="00A45A8C" w:rsidP="009360BF">
      <w:r>
        <w:separator/>
      </w:r>
    </w:p>
    <w:p w14:paraId="06EC34EE" w14:textId="77777777" w:rsidR="00A45A8C" w:rsidRDefault="00A45A8C" w:rsidP="009360BF"/>
  </w:endnote>
  <w:endnote w:type="continuationSeparator" w:id="0">
    <w:p w14:paraId="48803951" w14:textId="77777777" w:rsidR="00A45A8C" w:rsidRDefault="00A45A8C" w:rsidP="009360BF">
      <w:r>
        <w:continuationSeparator/>
      </w:r>
    </w:p>
    <w:p w14:paraId="7A23A1B4" w14:textId="77777777" w:rsidR="00A45A8C" w:rsidRDefault="00A45A8C" w:rsidP="009360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1A61F" w14:textId="77777777" w:rsidR="00A45A8C" w:rsidRDefault="00A45A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6DA007" w14:textId="77777777" w:rsidR="00A45A8C" w:rsidRDefault="00A45A8C" w:rsidP="007274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8C894" w14:textId="77777777" w:rsidR="00A45A8C" w:rsidRDefault="00A45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BC4DDC" w14:textId="77777777" w:rsidR="00A45A8C" w:rsidRDefault="00A45A8C" w:rsidP="009360BF">
      <w:r>
        <w:separator/>
      </w:r>
    </w:p>
  </w:footnote>
  <w:footnote w:type="continuationSeparator" w:id="0">
    <w:p w14:paraId="25283ED2" w14:textId="77777777" w:rsidR="00A45A8C" w:rsidRDefault="00A45A8C" w:rsidP="009360BF">
      <w:r>
        <w:continuationSeparator/>
      </w:r>
    </w:p>
    <w:p w14:paraId="13FECF84" w14:textId="77777777" w:rsidR="00A45A8C" w:rsidRDefault="00A45A8C" w:rsidP="009360BF"/>
  </w:footnote>
  <w:footnote w:id="1">
    <w:p w14:paraId="46CCCBC5" w14:textId="2FBC6D92" w:rsidR="00A45A8C" w:rsidRPr="00E92CE0" w:rsidRDefault="00A45A8C">
      <w:pPr>
        <w:pStyle w:val="FootnoteText"/>
        <w:rPr>
          <w:lang w:val="en-US"/>
        </w:rPr>
      </w:pPr>
      <w:r>
        <w:rPr>
          <w:rStyle w:val="FootnoteReference"/>
        </w:rPr>
        <w:footnoteRef/>
      </w:r>
      <w:r w:rsidRPr="00E92CE0">
        <w:rPr>
          <w:lang w:val="en-US"/>
        </w:rPr>
        <w:t xml:space="preserve"> Since the ECOWAS CET was implemented after Senegal’s poultry ban, for 115 tariff lines, including poultry products, Senegal applies custom duties exceeding the WTO-bound tariff (WTO, 2017). Senegal’s bound tariff must stand within the range of 15% to 30%, but the rate of ECOWAS for poultry meat is 35%. The ECOWAS member states are negotiating to find solutions for these inconsistencies (WTO, 2017).</w:t>
      </w:r>
    </w:p>
  </w:footnote>
  <w:footnote w:id="2">
    <w:p w14:paraId="06850863" w14:textId="77777777" w:rsidR="00A45A8C" w:rsidRPr="00F746C1" w:rsidRDefault="00A45A8C" w:rsidP="00DC21D1">
      <w:pPr>
        <w:pStyle w:val="FootnoteText"/>
        <w:rPr>
          <w:lang w:val="en-US"/>
        </w:rPr>
      </w:pPr>
      <w:r w:rsidRPr="00A96266">
        <w:rPr>
          <w:rStyle w:val="FootnoteReference"/>
        </w:rPr>
        <w:footnoteRef/>
      </w:r>
      <w:r w:rsidRPr="00F746C1">
        <w:rPr>
          <w:lang w:val="en-US"/>
        </w:rPr>
        <w:t xml:space="preserve"> </w:t>
      </w:r>
      <w:r>
        <w:rPr>
          <w:lang w:val="en-US"/>
        </w:rPr>
        <w:t xml:space="preserve">We base our empirical model on </w:t>
      </w:r>
      <w:r>
        <w:rPr>
          <w:lang w:val="en-US"/>
        </w:rPr>
        <w:t xml:space="preserve">Andam et al. (2017). However, our model majorly focuses on broiler sub-sector including domestic soy production and regional feed conversion rates. Our model also includes the national production of soybean in Ghana. </w:t>
      </w:r>
    </w:p>
  </w:footnote>
  <w:footnote w:id="3">
    <w:p w14:paraId="389F7FAE" w14:textId="77777777" w:rsidR="00A45A8C" w:rsidRPr="004A736C" w:rsidRDefault="00A45A8C" w:rsidP="00DC21D1">
      <w:pPr>
        <w:pStyle w:val="FootnoteText"/>
        <w:rPr>
          <w:lang w:val="en-US"/>
        </w:rPr>
      </w:pPr>
      <w:r w:rsidRPr="00A96266">
        <w:rPr>
          <w:rStyle w:val="FootnoteReference"/>
        </w:rPr>
        <w:footnoteRef/>
      </w:r>
      <w:r w:rsidRPr="004A736C">
        <w:rPr>
          <w:lang w:val="en-US"/>
        </w:rPr>
        <w:t xml:space="preserve"> </w:t>
      </w:r>
      <w:r w:rsidRPr="00C92799">
        <w:rPr>
          <w:rFonts w:asciiTheme="majorBidi" w:hAnsiTheme="majorBidi" w:cstheme="majorBidi"/>
          <w:color w:val="000000" w:themeColor="text1"/>
          <w:lang w:val="en-US"/>
        </w:rPr>
        <w:t>Woltjer et al. (2014) provide a detailed description and assumptions of MAGNET.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A4E81" w14:textId="7B0BAE5E" w:rsidR="00A45A8C" w:rsidRDefault="000615DA">
    <w:pPr>
      <w:pStyle w:val="Header"/>
    </w:pPr>
    <w:r>
      <w:rPr>
        <w:noProof/>
      </w:rPr>
      <w:pict w14:anchorId="7DB746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6672" o:spid="_x0000_s8194" type="#_x0000_t136" style="position:absolute;margin-left:0;margin-top:0;width:625pt;height:46.85pt;rotation:315;z-index:-251655168;mso-position-horizontal:center;mso-position-horizontal-relative:margin;mso-position-vertical:center;mso-position-vertical-relative:margin" o:allowincell="f" fillcolor="silver" stroked="f">
          <v:fill opacity=".5"/>
          <v:textpath style="font-family:&quot;Calibri&quot;;font-size:1pt" string="PRELEMINARY DRAFT – PLEASE DO NOT CITE OR QUO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EB18F" w14:textId="295B8AA3" w:rsidR="00A45A8C" w:rsidRPr="008D0BBC" w:rsidRDefault="000615DA" w:rsidP="007274C8">
    <w:pPr>
      <w:pStyle w:val="Header"/>
    </w:pPr>
    <w:r>
      <w:rPr>
        <w:noProof/>
      </w:rPr>
      <w:pict w14:anchorId="0F8CD8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6673" o:spid="_x0000_s8195" type="#_x0000_t136" style="position:absolute;margin-left:0;margin-top:0;width:625pt;height:46.85pt;rotation:315;z-index:-251653120;mso-position-horizontal:center;mso-position-horizontal-relative:margin;mso-position-vertical:center;mso-position-vertical-relative:margin" o:allowincell="f" fillcolor="silver" stroked="f">
          <v:fill opacity=".5"/>
          <v:textpath style="font-family:&quot;Calibri&quot;;font-size:1pt" string="PRELEMINARY DRAFT – PLEASE DO NOT CITE OR QUO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042C" w14:textId="5217CDCB" w:rsidR="00A45A8C" w:rsidRDefault="000615DA">
    <w:pPr>
      <w:pStyle w:val="Header"/>
    </w:pPr>
    <w:r>
      <w:rPr>
        <w:noProof/>
      </w:rPr>
      <w:pict w14:anchorId="78E3B1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86671" o:spid="_x0000_s8193" type="#_x0000_t136" style="position:absolute;margin-left:0;margin-top:0;width:625pt;height:46.85pt;rotation:315;z-index:-251657216;mso-position-horizontal:center;mso-position-horizontal-relative:margin;mso-position-vertical:center;mso-position-vertical-relative:margin" o:allowincell="f" fillcolor="silver" stroked="f">
          <v:fill opacity=".5"/>
          <v:textpath style="font-family:&quot;Calibri&quot;;font-size:1pt" string="PRELEMINARY DRAFT – PLEASE DO NOT CITE OR QUO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F2931"/>
    <w:multiLevelType w:val="singleLevel"/>
    <w:tmpl w:val="95B48AB8"/>
    <w:lvl w:ilvl="0">
      <w:start w:val="1"/>
      <w:numFmt w:val="bullet"/>
      <w:pStyle w:val="Spiegel-1"/>
      <w:lvlText w:val=""/>
      <w:lvlJc w:val="left"/>
      <w:pPr>
        <w:ind w:left="360" w:hanging="360"/>
      </w:pPr>
      <w:rPr>
        <w:rFonts w:ascii="Symbol" w:hAnsi="Symbol" w:hint="default"/>
        <w:color w:val="008CD2"/>
        <w:u w:val="none" w:color="C0504D" w:themeColor="accent2"/>
      </w:rPr>
    </w:lvl>
  </w:abstractNum>
  <w:abstractNum w:abstractNumId="1" w15:restartNumberingAfterBreak="0">
    <w:nsid w:val="173D2728"/>
    <w:multiLevelType w:val="multilevel"/>
    <w:tmpl w:val="15801AD4"/>
    <w:styleLink w:val="Formatvorlage1"/>
    <w:lvl w:ilvl="0">
      <w:start w:val="1"/>
      <w:numFmt w:val="bullet"/>
      <w:pStyle w:val="Liste-1"/>
      <w:lvlText w:val=""/>
      <w:lvlJc w:val="left"/>
      <w:pPr>
        <w:ind w:left="284" w:hanging="284"/>
      </w:pPr>
      <w:rPr>
        <w:rFonts w:ascii="Symbol" w:hAnsi="Symbol" w:hint="default"/>
        <w:b w:val="0"/>
        <w:color w:val="008CD2"/>
        <w:u w:val="none" w:color="C0504D" w:themeColor="accent2"/>
      </w:rPr>
    </w:lvl>
    <w:lvl w:ilvl="1">
      <w:start w:val="1"/>
      <w:numFmt w:val="bullet"/>
      <w:lvlText w:val="‒"/>
      <w:lvlJc w:val="left"/>
      <w:pPr>
        <w:ind w:left="567" w:hanging="283"/>
      </w:pPr>
      <w:rPr>
        <w:rFonts w:ascii="Calibri" w:hAnsi="Calibri" w:hint="default"/>
        <w:b/>
        <w:i w:val="0"/>
        <w:color w:val="008CD2"/>
        <w:sz w:val="21"/>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color w:val="000000" w:themeColor="text1"/>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2" w15:restartNumberingAfterBreak="0">
    <w:nsid w:val="186C1445"/>
    <w:multiLevelType w:val="multilevel"/>
    <w:tmpl w:val="994A2B2A"/>
    <w:numStyleLink w:val="Formatvorlage3"/>
  </w:abstractNum>
  <w:abstractNum w:abstractNumId="3" w15:restartNumberingAfterBreak="0">
    <w:nsid w:val="191615F4"/>
    <w:multiLevelType w:val="hybridMultilevel"/>
    <w:tmpl w:val="E9482A56"/>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F174855"/>
    <w:multiLevelType w:val="multilevel"/>
    <w:tmpl w:val="FD02EA68"/>
    <w:numStyleLink w:val="Formatvorlage2"/>
  </w:abstractNum>
  <w:abstractNum w:abstractNumId="5" w15:restartNumberingAfterBreak="0">
    <w:nsid w:val="35360EBC"/>
    <w:multiLevelType w:val="multilevel"/>
    <w:tmpl w:val="FD02EA68"/>
    <w:styleLink w:val="Formatvorlage2"/>
    <w:lvl w:ilvl="0">
      <w:start w:val="1"/>
      <w:numFmt w:val="bullet"/>
      <w:pStyle w:val="Liste-2"/>
      <w:lvlText w:val="‒"/>
      <w:lvlJc w:val="left"/>
      <w:pPr>
        <w:ind w:left="284" w:hanging="284"/>
      </w:pPr>
      <w:rPr>
        <w:rFonts w:ascii="Calibri" w:hAnsi="Calibri" w:hint="default"/>
        <w:b/>
        <w:i w:val="0"/>
        <w:color w:val="008CD2"/>
        <w:sz w:val="21"/>
        <w:szCs w:val="32"/>
        <w:u w:val="none" w:color="C0504D" w:themeColor="accent2"/>
      </w:rPr>
    </w:lvl>
    <w:lvl w:ilvl="1">
      <w:start w:val="1"/>
      <w:numFmt w:val="bullet"/>
      <w:lvlText w:val=""/>
      <w:lvlJc w:val="left"/>
      <w:pPr>
        <w:ind w:left="567" w:hanging="283"/>
      </w:pPr>
      <w:rPr>
        <w:rFonts w:ascii="Symbol" w:hAnsi="Symbol" w:hint="default"/>
        <w:color w:val="008CD2"/>
      </w:rPr>
    </w:lvl>
    <w:lvl w:ilvl="2">
      <w:start w:val="1"/>
      <w:numFmt w:val="bullet"/>
      <w:lvlText w:val=""/>
      <w:lvlJc w:val="left"/>
      <w:pPr>
        <w:ind w:left="851" w:hanging="284"/>
      </w:pPr>
      <w:rPr>
        <w:rFonts w:ascii="Wingdings" w:hAnsi="Wingdings" w:hint="default"/>
        <w:color w:val="008CD2"/>
      </w:rPr>
    </w:lvl>
    <w:lvl w:ilvl="3">
      <w:start w:val="1"/>
      <w:numFmt w:val="bullet"/>
      <w:lvlText w:val=""/>
      <w:lvlJc w:val="left"/>
      <w:pPr>
        <w:ind w:left="1134" w:hanging="283"/>
      </w:pPr>
      <w:rPr>
        <w:rFonts w:ascii="Symbol" w:hAnsi="Symbol" w:hint="default"/>
      </w:rPr>
    </w:lvl>
    <w:lvl w:ilvl="4">
      <w:start w:val="1"/>
      <w:numFmt w:val="bullet"/>
      <w:lvlText w:val="o"/>
      <w:lvlJc w:val="left"/>
      <w:pPr>
        <w:ind w:left="1418" w:hanging="284"/>
      </w:pPr>
      <w:rPr>
        <w:rFonts w:ascii="Courier New" w:hAnsi="Courier New" w:hint="default"/>
      </w:rPr>
    </w:lvl>
    <w:lvl w:ilvl="5">
      <w:start w:val="1"/>
      <w:numFmt w:val="bullet"/>
      <w:lvlText w:val=""/>
      <w:lvlJc w:val="left"/>
      <w:pPr>
        <w:ind w:left="1701" w:hanging="283"/>
      </w:pPr>
      <w:rPr>
        <w:rFonts w:ascii="Wingdings" w:hAnsi="Wingdings" w:hint="default"/>
      </w:rPr>
    </w:lvl>
    <w:lvl w:ilvl="6">
      <w:start w:val="1"/>
      <w:numFmt w:val="bullet"/>
      <w:lvlText w:val=""/>
      <w:lvlJc w:val="left"/>
      <w:pPr>
        <w:ind w:left="1985" w:hanging="284"/>
      </w:pPr>
      <w:rPr>
        <w:rFonts w:ascii="Symbol" w:hAnsi="Symbol" w:hint="default"/>
      </w:rPr>
    </w:lvl>
    <w:lvl w:ilvl="7">
      <w:start w:val="1"/>
      <w:numFmt w:val="bullet"/>
      <w:lvlText w:val="o"/>
      <w:lvlJc w:val="left"/>
      <w:pPr>
        <w:ind w:left="2268" w:hanging="283"/>
      </w:pPr>
      <w:rPr>
        <w:rFonts w:ascii="Courier New" w:hAnsi="Courier New" w:hint="default"/>
      </w:rPr>
    </w:lvl>
    <w:lvl w:ilvl="8">
      <w:start w:val="1"/>
      <w:numFmt w:val="bullet"/>
      <w:lvlText w:val=""/>
      <w:lvlJc w:val="left"/>
      <w:pPr>
        <w:ind w:left="2552" w:hanging="284"/>
      </w:pPr>
      <w:rPr>
        <w:rFonts w:ascii="Wingdings" w:hAnsi="Wingdings" w:hint="default"/>
      </w:rPr>
    </w:lvl>
  </w:abstractNum>
  <w:abstractNum w:abstractNumId="6" w15:restartNumberingAfterBreak="0">
    <w:nsid w:val="469F0C8E"/>
    <w:multiLevelType w:val="hybridMultilevel"/>
    <w:tmpl w:val="7C84303A"/>
    <w:lvl w:ilvl="0" w:tplc="670CD09E">
      <w:start w:val="1"/>
      <w:numFmt w:val="decimal"/>
      <w:lvlText w:val="%1."/>
      <w:lvlJc w:val="left"/>
      <w:pPr>
        <w:ind w:left="720" w:hanging="360"/>
      </w:pPr>
      <w:rPr>
        <w:rFonts w:hint="default"/>
        <w:lang w:val="en-U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BE066C"/>
    <w:multiLevelType w:val="singleLevel"/>
    <w:tmpl w:val="F5182F88"/>
    <w:lvl w:ilvl="0">
      <w:start w:val="1"/>
      <w:numFmt w:val="decimal"/>
      <w:pStyle w:val="spiegel-3"/>
      <w:lvlText w:val="(%1)"/>
      <w:lvlJc w:val="left"/>
      <w:pPr>
        <w:tabs>
          <w:tab w:val="num" w:pos="567"/>
        </w:tabs>
        <w:ind w:left="567" w:hanging="567"/>
      </w:pPr>
      <w:rPr>
        <w:b w:val="0"/>
        <w:i w:val="0"/>
      </w:rPr>
    </w:lvl>
  </w:abstractNum>
  <w:abstractNum w:abstractNumId="8" w15:restartNumberingAfterBreak="0">
    <w:nsid w:val="50DA0C04"/>
    <w:multiLevelType w:val="singleLevel"/>
    <w:tmpl w:val="B6EC0C7E"/>
    <w:lvl w:ilvl="0">
      <w:start w:val="1"/>
      <w:numFmt w:val="bullet"/>
      <w:pStyle w:val="Spiegel-2"/>
      <w:lvlText w:val="−"/>
      <w:lvlJc w:val="left"/>
      <w:pPr>
        <w:ind w:left="720" w:hanging="360"/>
      </w:pPr>
      <w:rPr>
        <w:rFonts w:ascii="Calibri" w:hAnsi="Calibri" w:hint="default"/>
        <w:b/>
        <w:i w:val="0"/>
        <w:color w:val="008CD2"/>
        <w:sz w:val="32"/>
        <w:szCs w:val="32"/>
        <w:u w:val="none" w:color="C0504D" w:themeColor="accent2"/>
      </w:rPr>
    </w:lvl>
  </w:abstractNum>
  <w:abstractNum w:abstractNumId="9" w15:restartNumberingAfterBreak="0">
    <w:nsid w:val="566C3A9B"/>
    <w:multiLevelType w:val="multilevel"/>
    <w:tmpl w:val="A964D06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94" w:hanging="794"/>
      </w:pPr>
      <w:rPr>
        <w:rFonts w:hint="default"/>
      </w:rPr>
    </w:lvl>
    <w:lvl w:ilvl="3">
      <w:start w:val="1"/>
      <w:numFmt w:val="decimal"/>
      <w:pStyle w:val="Heading4"/>
      <w:lvlText w:val="%1.%2.%3.%4"/>
      <w:lvlJc w:val="left"/>
      <w:pPr>
        <w:ind w:left="1021" w:hanging="1021"/>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985" w:hanging="1985"/>
      </w:pPr>
      <w:rPr>
        <w:rFonts w:hint="default"/>
      </w:rPr>
    </w:lvl>
    <w:lvl w:ilvl="8">
      <w:start w:val="1"/>
      <w:numFmt w:val="decimal"/>
      <w:pStyle w:val="Heading9"/>
      <w:lvlText w:val="%1.%2.%3.%4.%5.%6.%7.%8.%9"/>
      <w:lvlJc w:val="left"/>
      <w:pPr>
        <w:ind w:left="2268" w:hanging="2268"/>
      </w:pPr>
      <w:rPr>
        <w:rFonts w:hint="default"/>
      </w:rPr>
    </w:lvl>
  </w:abstractNum>
  <w:abstractNum w:abstractNumId="10" w15:restartNumberingAfterBreak="0">
    <w:nsid w:val="59653D74"/>
    <w:multiLevelType w:val="multilevel"/>
    <w:tmpl w:val="994A2B2A"/>
    <w:styleLink w:val="Formatvorlage3"/>
    <w:lvl w:ilvl="0">
      <w:start w:val="1"/>
      <w:numFmt w:val="decimal"/>
      <w:pStyle w:val="Liste-3"/>
      <w:lvlText w:val="(%1)"/>
      <w:lvlJc w:val="left"/>
      <w:pPr>
        <w:tabs>
          <w:tab w:val="num" w:pos="567"/>
        </w:tabs>
        <w:ind w:left="425" w:hanging="425"/>
      </w:pPr>
      <w:rPr>
        <w:rFonts w:hint="default"/>
        <w:b w:val="0"/>
        <w:i w:val="0"/>
      </w:rPr>
    </w:lvl>
    <w:lvl w:ilvl="1">
      <w:start w:val="1"/>
      <w:numFmt w:val="lowerLetter"/>
      <w:lvlText w:val="%2."/>
      <w:lvlJc w:val="left"/>
      <w:pPr>
        <w:tabs>
          <w:tab w:val="num" w:pos="1134"/>
        </w:tabs>
        <w:ind w:left="851" w:hanging="397"/>
      </w:pPr>
      <w:rPr>
        <w:rFonts w:hint="default"/>
      </w:rPr>
    </w:lvl>
    <w:lvl w:ilvl="2">
      <w:start w:val="1"/>
      <w:numFmt w:val="lowerRoman"/>
      <w:lvlText w:val="%3."/>
      <w:lvlJc w:val="right"/>
      <w:pPr>
        <w:tabs>
          <w:tab w:val="num" w:pos="1701"/>
        </w:tabs>
        <w:ind w:left="1247" w:hanging="255"/>
      </w:pPr>
      <w:rPr>
        <w:rFonts w:hint="default"/>
      </w:rPr>
    </w:lvl>
    <w:lvl w:ilvl="3">
      <w:start w:val="1"/>
      <w:numFmt w:val="decimal"/>
      <w:lvlText w:val="%4."/>
      <w:lvlJc w:val="left"/>
      <w:pPr>
        <w:tabs>
          <w:tab w:val="num" w:pos="2268"/>
        </w:tabs>
        <w:ind w:left="1814" w:hanging="680"/>
      </w:pPr>
      <w:rPr>
        <w:rFonts w:hint="default"/>
      </w:rPr>
    </w:lvl>
    <w:lvl w:ilvl="4">
      <w:start w:val="1"/>
      <w:numFmt w:val="lowerLetter"/>
      <w:lvlText w:val="%5."/>
      <w:lvlJc w:val="left"/>
      <w:pPr>
        <w:tabs>
          <w:tab w:val="num" w:pos="2835"/>
        </w:tabs>
        <w:ind w:left="2268" w:hanging="454"/>
      </w:pPr>
      <w:rPr>
        <w:rFonts w:hint="default"/>
      </w:rPr>
    </w:lvl>
    <w:lvl w:ilvl="5">
      <w:start w:val="1"/>
      <w:numFmt w:val="lowerRoman"/>
      <w:lvlText w:val="%6."/>
      <w:lvlJc w:val="right"/>
      <w:pPr>
        <w:tabs>
          <w:tab w:val="num" w:pos="3402"/>
        </w:tabs>
        <w:ind w:left="2722" w:hanging="454"/>
      </w:pPr>
      <w:rPr>
        <w:rFonts w:hint="default"/>
      </w:rPr>
    </w:lvl>
    <w:lvl w:ilvl="6">
      <w:start w:val="1"/>
      <w:numFmt w:val="decimal"/>
      <w:lvlText w:val="%7."/>
      <w:lvlJc w:val="left"/>
      <w:pPr>
        <w:tabs>
          <w:tab w:val="num" w:pos="3969"/>
        </w:tabs>
        <w:ind w:left="3175" w:hanging="453"/>
      </w:pPr>
      <w:rPr>
        <w:rFonts w:hint="default"/>
      </w:rPr>
    </w:lvl>
    <w:lvl w:ilvl="7">
      <w:start w:val="1"/>
      <w:numFmt w:val="lowerLetter"/>
      <w:lvlText w:val="%8."/>
      <w:lvlJc w:val="left"/>
      <w:pPr>
        <w:tabs>
          <w:tab w:val="num" w:pos="4536"/>
        </w:tabs>
        <w:ind w:left="3629" w:hanging="454"/>
      </w:pPr>
      <w:rPr>
        <w:rFonts w:hint="default"/>
      </w:rPr>
    </w:lvl>
    <w:lvl w:ilvl="8">
      <w:start w:val="1"/>
      <w:numFmt w:val="lowerRoman"/>
      <w:lvlText w:val="%9."/>
      <w:lvlJc w:val="right"/>
      <w:pPr>
        <w:tabs>
          <w:tab w:val="num" w:pos="5103"/>
        </w:tabs>
        <w:ind w:left="4082" w:hanging="453"/>
      </w:pPr>
      <w:rPr>
        <w:rFonts w:hint="default"/>
      </w:rPr>
    </w:lvl>
  </w:abstractNum>
  <w:abstractNum w:abstractNumId="11" w15:restartNumberingAfterBreak="0">
    <w:nsid w:val="70F36F25"/>
    <w:multiLevelType w:val="hybridMultilevel"/>
    <w:tmpl w:val="E9482A56"/>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10"/>
  </w:num>
  <w:num w:numId="5">
    <w:abstractNumId w:val="4"/>
  </w:num>
  <w:num w:numId="6">
    <w:abstractNumId w:val="2"/>
  </w:num>
  <w:num w:numId="7">
    <w:abstractNumId w:val="8"/>
  </w:num>
  <w:num w:numId="8">
    <w:abstractNumId w:val="7"/>
  </w:num>
  <w:num w:numId="9">
    <w:abstractNumId w:val="0"/>
  </w:num>
  <w:num w:numId="10">
    <w:abstractNumId w:val="3"/>
  </w:num>
  <w:num w:numId="11">
    <w:abstractNumId w:val="11"/>
  </w:num>
  <w:num w:numId="12">
    <w:abstractNumId w:val="6"/>
  </w:num>
  <w:num w:numId="13">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intFractionalCharacterWidth/>
  <w:embedSystemFonts/>
  <w:activeWritingStyle w:appName="MSWord" w:lang="de-DE"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0"/>
  <w:hyphenationZone w:val="425"/>
  <w:doNotHyphenateCaps/>
  <w:drawingGridHorizontalSpacing w:val="105"/>
  <w:drawingGridVerticalSpacing w:val="163"/>
  <w:displayHorizontalDrawingGridEvery w:val="0"/>
  <w:displayVerticalDrawingGridEvery w:val="2"/>
  <w:doNotShadeFormData/>
  <w:noPunctuationKerning/>
  <w:characterSpacingControl w:val="doNotCompress"/>
  <w:hdrShapeDefaults>
    <o:shapedefaults v:ext="edit" spidmax="8196"/>
    <o:shapelayout v:ext="edit">
      <o:idmap v:ext="edit" data="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1NjA3tjA3NzQ1MTFT0lEKTi0uzszPAykwqQUA4JMdYCwAAAA="/>
  </w:docVars>
  <w:rsids>
    <w:rsidRoot w:val="00DC21D1"/>
    <w:rsid w:val="00001435"/>
    <w:rsid w:val="000114BB"/>
    <w:rsid w:val="00011F3D"/>
    <w:rsid w:val="000155C5"/>
    <w:rsid w:val="00016397"/>
    <w:rsid w:val="0002211F"/>
    <w:rsid w:val="00030A59"/>
    <w:rsid w:val="00034CB3"/>
    <w:rsid w:val="000358AD"/>
    <w:rsid w:val="000367D7"/>
    <w:rsid w:val="00041C64"/>
    <w:rsid w:val="0005696F"/>
    <w:rsid w:val="00056F6A"/>
    <w:rsid w:val="000615DA"/>
    <w:rsid w:val="00062BDE"/>
    <w:rsid w:val="00064FC8"/>
    <w:rsid w:val="00065FE0"/>
    <w:rsid w:val="0006665C"/>
    <w:rsid w:val="0007053D"/>
    <w:rsid w:val="0007149B"/>
    <w:rsid w:val="0009635C"/>
    <w:rsid w:val="0009696B"/>
    <w:rsid w:val="000A038C"/>
    <w:rsid w:val="000A37C9"/>
    <w:rsid w:val="000A5617"/>
    <w:rsid w:val="000B0FA9"/>
    <w:rsid w:val="000B5007"/>
    <w:rsid w:val="000C2B83"/>
    <w:rsid w:val="000C41A5"/>
    <w:rsid w:val="000C4895"/>
    <w:rsid w:val="000C51D9"/>
    <w:rsid w:val="000C54CA"/>
    <w:rsid w:val="000C60E9"/>
    <w:rsid w:val="000D28DB"/>
    <w:rsid w:val="000D3302"/>
    <w:rsid w:val="000D40EB"/>
    <w:rsid w:val="000D42C7"/>
    <w:rsid w:val="000E03FC"/>
    <w:rsid w:val="000E5D59"/>
    <w:rsid w:val="000E7C7C"/>
    <w:rsid w:val="0010310F"/>
    <w:rsid w:val="001057FA"/>
    <w:rsid w:val="00111F1B"/>
    <w:rsid w:val="00114EC0"/>
    <w:rsid w:val="00122F14"/>
    <w:rsid w:val="00126E61"/>
    <w:rsid w:val="00136AAA"/>
    <w:rsid w:val="00144157"/>
    <w:rsid w:val="001515FA"/>
    <w:rsid w:val="00152E0B"/>
    <w:rsid w:val="00162F81"/>
    <w:rsid w:val="00165D2B"/>
    <w:rsid w:val="0016614B"/>
    <w:rsid w:val="00166666"/>
    <w:rsid w:val="00170209"/>
    <w:rsid w:val="00172F5A"/>
    <w:rsid w:val="00186739"/>
    <w:rsid w:val="00186916"/>
    <w:rsid w:val="001A0F91"/>
    <w:rsid w:val="001A5976"/>
    <w:rsid w:val="001A64F0"/>
    <w:rsid w:val="001A6DD0"/>
    <w:rsid w:val="001B24FD"/>
    <w:rsid w:val="001B3783"/>
    <w:rsid w:val="001C6986"/>
    <w:rsid w:val="001C7BD8"/>
    <w:rsid w:val="001D3BE5"/>
    <w:rsid w:val="001E04AA"/>
    <w:rsid w:val="001E5982"/>
    <w:rsid w:val="001E7B63"/>
    <w:rsid w:val="001F7A69"/>
    <w:rsid w:val="0020048F"/>
    <w:rsid w:val="00207750"/>
    <w:rsid w:val="0021245C"/>
    <w:rsid w:val="002149F0"/>
    <w:rsid w:val="00221E07"/>
    <w:rsid w:val="00231F2E"/>
    <w:rsid w:val="00232E4B"/>
    <w:rsid w:val="002369FE"/>
    <w:rsid w:val="00244246"/>
    <w:rsid w:val="00253AA3"/>
    <w:rsid w:val="00255984"/>
    <w:rsid w:val="00255FEC"/>
    <w:rsid w:val="002609CC"/>
    <w:rsid w:val="0026406A"/>
    <w:rsid w:val="00266E3E"/>
    <w:rsid w:val="00267AE7"/>
    <w:rsid w:val="00270BD3"/>
    <w:rsid w:val="00274A92"/>
    <w:rsid w:val="00284F93"/>
    <w:rsid w:val="00287038"/>
    <w:rsid w:val="00287EFE"/>
    <w:rsid w:val="00294194"/>
    <w:rsid w:val="002945AA"/>
    <w:rsid w:val="00295755"/>
    <w:rsid w:val="00296FF7"/>
    <w:rsid w:val="00297F8A"/>
    <w:rsid w:val="002A6138"/>
    <w:rsid w:val="002A6FC4"/>
    <w:rsid w:val="002B3E94"/>
    <w:rsid w:val="002D290C"/>
    <w:rsid w:val="002D4826"/>
    <w:rsid w:val="002E5410"/>
    <w:rsid w:val="00300A78"/>
    <w:rsid w:val="00303602"/>
    <w:rsid w:val="003069DC"/>
    <w:rsid w:val="00310480"/>
    <w:rsid w:val="003131D3"/>
    <w:rsid w:val="003206CA"/>
    <w:rsid w:val="00323640"/>
    <w:rsid w:val="00325C1D"/>
    <w:rsid w:val="00325CAA"/>
    <w:rsid w:val="00337020"/>
    <w:rsid w:val="00343AC4"/>
    <w:rsid w:val="003529BD"/>
    <w:rsid w:val="003627EC"/>
    <w:rsid w:val="00376998"/>
    <w:rsid w:val="00383E9C"/>
    <w:rsid w:val="0039057B"/>
    <w:rsid w:val="00397772"/>
    <w:rsid w:val="00397BAA"/>
    <w:rsid w:val="003A4FC7"/>
    <w:rsid w:val="003A767F"/>
    <w:rsid w:val="003B320B"/>
    <w:rsid w:val="003B6FD6"/>
    <w:rsid w:val="003B7AB3"/>
    <w:rsid w:val="003C26D9"/>
    <w:rsid w:val="003C34DC"/>
    <w:rsid w:val="003C3B05"/>
    <w:rsid w:val="003D2C1A"/>
    <w:rsid w:val="003D5402"/>
    <w:rsid w:val="003E4CC6"/>
    <w:rsid w:val="003E5D13"/>
    <w:rsid w:val="003F3D23"/>
    <w:rsid w:val="003F54CD"/>
    <w:rsid w:val="003F58FA"/>
    <w:rsid w:val="003F76B6"/>
    <w:rsid w:val="0040139D"/>
    <w:rsid w:val="0040742A"/>
    <w:rsid w:val="00431B4A"/>
    <w:rsid w:val="00440DB8"/>
    <w:rsid w:val="00442636"/>
    <w:rsid w:val="00442F88"/>
    <w:rsid w:val="00446FCD"/>
    <w:rsid w:val="00452BC9"/>
    <w:rsid w:val="004573D0"/>
    <w:rsid w:val="00470117"/>
    <w:rsid w:val="00477149"/>
    <w:rsid w:val="0047736E"/>
    <w:rsid w:val="00482DF4"/>
    <w:rsid w:val="00485997"/>
    <w:rsid w:val="00492457"/>
    <w:rsid w:val="00493FA1"/>
    <w:rsid w:val="00495E7B"/>
    <w:rsid w:val="004A1422"/>
    <w:rsid w:val="004A1840"/>
    <w:rsid w:val="004A4C64"/>
    <w:rsid w:val="004C0438"/>
    <w:rsid w:val="004C346D"/>
    <w:rsid w:val="004C6B68"/>
    <w:rsid w:val="004D2441"/>
    <w:rsid w:val="004D307B"/>
    <w:rsid w:val="004D4418"/>
    <w:rsid w:val="004D6A2F"/>
    <w:rsid w:val="004D7170"/>
    <w:rsid w:val="004E0B87"/>
    <w:rsid w:val="004E2187"/>
    <w:rsid w:val="004E3AC6"/>
    <w:rsid w:val="004E6A76"/>
    <w:rsid w:val="004F4F0F"/>
    <w:rsid w:val="005061A8"/>
    <w:rsid w:val="005071B9"/>
    <w:rsid w:val="00523D64"/>
    <w:rsid w:val="00540636"/>
    <w:rsid w:val="005424C7"/>
    <w:rsid w:val="0054292C"/>
    <w:rsid w:val="005579C4"/>
    <w:rsid w:val="00563344"/>
    <w:rsid w:val="00570B33"/>
    <w:rsid w:val="005762B3"/>
    <w:rsid w:val="005A274D"/>
    <w:rsid w:val="005A2C7C"/>
    <w:rsid w:val="005A7C39"/>
    <w:rsid w:val="005B443F"/>
    <w:rsid w:val="005C50B6"/>
    <w:rsid w:val="005D548D"/>
    <w:rsid w:val="005E3794"/>
    <w:rsid w:val="005E62A2"/>
    <w:rsid w:val="005F01A2"/>
    <w:rsid w:val="005F5045"/>
    <w:rsid w:val="005F66B0"/>
    <w:rsid w:val="005F6754"/>
    <w:rsid w:val="005F7D72"/>
    <w:rsid w:val="005F7D8C"/>
    <w:rsid w:val="00601E54"/>
    <w:rsid w:val="0060286E"/>
    <w:rsid w:val="006156D0"/>
    <w:rsid w:val="00621E4F"/>
    <w:rsid w:val="00622D0D"/>
    <w:rsid w:val="00627319"/>
    <w:rsid w:val="006410BE"/>
    <w:rsid w:val="00644B5B"/>
    <w:rsid w:val="0064550D"/>
    <w:rsid w:val="00652044"/>
    <w:rsid w:val="00654583"/>
    <w:rsid w:val="00655127"/>
    <w:rsid w:val="006554DA"/>
    <w:rsid w:val="00660DCF"/>
    <w:rsid w:val="006631FE"/>
    <w:rsid w:val="00663D4E"/>
    <w:rsid w:val="00664C79"/>
    <w:rsid w:val="00681B3F"/>
    <w:rsid w:val="00692E4C"/>
    <w:rsid w:val="006962C8"/>
    <w:rsid w:val="006A0574"/>
    <w:rsid w:val="006A50F1"/>
    <w:rsid w:val="006B07F6"/>
    <w:rsid w:val="006B3C44"/>
    <w:rsid w:val="006B3CBD"/>
    <w:rsid w:val="006B5D33"/>
    <w:rsid w:val="006C1AA2"/>
    <w:rsid w:val="006C36AD"/>
    <w:rsid w:val="006C5D63"/>
    <w:rsid w:val="006E3A39"/>
    <w:rsid w:val="006F3406"/>
    <w:rsid w:val="00703E00"/>
    <w:rsid w:val="007079FB"/>
    <w:rsid w:val="0071056C"/>
    <w:rsid w:val="00726E75"/>
    <w:rsid w:val="007274C8"/>
    <w:rsid w:val="00730001"/>
    <w:rsid w:val="007323E8"/>
    <w:rsid w:val="00733924"/>
    <w:rsid w:val="0074122A"/>
    <w:rsid w:val="007418A5"/>
    <w:rsid w:val="0074268B"/>
    <w:rsid w:val="00752F5B"/>
    <w:rsid w:val="00755CED"/>
    <w:rsid w:val="007622F8"/>
    <w:rsid w:val="00766B9C"/>
    <w:rsid w:val="00775E43"/>
    <w:rsid w:val="00791767"/>
    <w:rsid w:val="007960DF"/>
    <w:rsid w:val="007A07AA"/>
    <w:rsid w:val="007A48E2"/>
    <w:rsid w:val="007B69AE"/>
    <w:rsid w:val="007C4B0B"/>
    <w:rsid w:val="007C67B8"/>
    <w:rsid w:val="007C705E"/>
    <w:rsid w:val="007D0786"/>
    <w:rsid w:val="007D1D14"/>
    <w:rsid w:val="007D3B9B"/>
    <w:rsid w:val="007D6ED1"/>
    <w:rsid w:val="007E5BCC"/>
    <w:rsid w:val="007F5F84"/>
    <w:rsid w:val="00802B8E"/>
    <w:rsid w:val="00805269"/>
    <w:rsid w:val="008147F7"/>
    <w:rsid w:val="008166D6"/>
    <w:rsid w:val="00816EF8"/>
    <w:rsid w:val="008227CA"/>
    <w:rsid w:val="00837EB3"/>
    <w:rsid w:val="00850203"/>
    <w:rsid w:val="00851762"/>
    <w:rsid w:val="008545E8"/>
    <w:rsid w:val="00857244"/>
    <w:rsid w:val="00861AB6"/>
    <w:rsid w:val="00865192"/>
    <w:rsid w:val="00865255"/>
    <w:rsid w:val="00867F43"/>
    <w:rsid w:val="008730E6"/>
    <w:rsid w:val="008743D0"/>
    <w:rsid w:val="00874FDE"/>
    <w:rsid w:val="00881E68"/>
    <w:rsid w:val="008838F7"/>
    <w:rsid w:val="00887AB8"/>
    <w:rsid w:val="008A0FD1"/>
    <w:rsid w:val="008A7EDB"/>
    <w:rsid w:val="008C5042"/>
    <w:rsid w:val="008D0BBC"/>
    <w:rsid w:val="008D2916"/>
    <w:rsid w:val="008D7B1B"/>
    <w:rsid w:val="008E36DC"/>
    <w:rsid w:val="008E7959"/>
    <w:rsid w:val="008F1BE3"/>
    <w:rsid w:val="00902AE2"/>
    <w:rsid w:val="00916BAA"/>
    <w:rsid w:val="00916D31"/>
    <w:rsid w:val="00921D26"/>
    <w:rsid w:val="009312F1"/>
    <w:rsid w:val="009360BF"/>
    <w:rsid w:val="009505D2"/>
    <w:rsid w:val="009521DD"/>
    <w:rsid w:val="00952357"/>
    <w:rsid w:val="0095247D"/>
    <w:rsid w:val="0095332F"/>
    <w:rsid w:val="00960D10"/>
    <w:rsid w:val="009623E4"/>
    <w:rsid w:val="0096678C"/>
    <w:rsid w:val="00967451"/>
    <w:rsid w:val="00972039"/>
    <w:rsid w:val="00993DAE"/>
    <w:rsid w:val="009A1178"/>
    <w:rsid w:val="009A4B82"/>
    <w:rsid w:val="009A73CE"/>
    <w:rsid w:val="009B1175"/>
    <w:rsid w:val="009B3384"/>
    <w:rsid w:val="009B5EA6"/>
    <w:rsid w:val="009B788C"/>
    <w:rsid w:val="009C3E2F"/>
    <w:rsid w:val="009C667D"/>
    <w:rsid w:val="009C71A2"/>
    <w:rsid w:val="009C7647"/>
    <w:rsid w:val="009D59E6"/>
    <w:rsid w:val="009D6FCA"/>
    <w:rsid w:val="009E2F59"/>
    <w:rsid w:val="009E74D5"/>
    <w:rsid w:val="00A06932"/>
    <w:rsid w:val="00A23A0E"/>
    <w:rsid w:val="00A24217"/>
    <w:rsid w:val="00A24E2E"/>
    <w:rsid w:val="00A311AA"/>
    <w:rsid w:val="00A32CA1"/>
    <w:rsid w:val="00A45274"/>
    <w:rsid w:val="00A45A8C"/>
    <w:rsid w:val="00A508B7"/>
    <w:rsid w:val="00A71471"/>
    <w:rsid w:val="00A714DD"/>
    <w:rsid w:val="00A74C04"/>
    <w:rsid w:val="00A758EF"/>
    <w:rsid w:val="00A80A75"/>
    <w:rsid w:val="00A92602"/>
    <w:rsid w:val="00A97E8F"/>
    <w:rsid w:val="00AB0047"/>
    <w:rsid w:val="00AB5512"/>
    <w:rsid w:val="00AC689B"/>
    <w:rsid w:val="00AE58CA"/>
    <w:rsid w:val="00AF2E5A"/>
    <w:rsid w:val="00AF345F"/>
    <w:rsid w:val="00AF5271"/>
    <w:rsid w:val="00AF609A"/>
    <w:rsid w:val="00B073E4"/>
    <w:rsid w:val="00B13E45"/>
    <w:rsid w:val="00B20C9C"/>
    <w:rsid w:val="00B31793"/>
    <w:rsid w:val="00B60376"/>
    <w:rsid w:val="00B60D81"/>
    <w:rsid w:val="00B62425"/>
    <w:rsid w:val="00B6266D"/>
    <w:rsid w:val="00B6394D"/>
    <w:rsid w:val="00B6494E"/>
    <w:rsid w:val="00B677C5"/>
    <w:rsid w:val="00B702D1"/>
    <w:rsid w:val="00B7697C"/>
    <w:rsid w:val="00B85C27"/>
    <w:rsid w:val="00B92745"/>
    <w:rsid w:val="00B969C7"/>
    <w:rsid w:val="00B9771D"/>
    <w:rsid w:val="00BC0CCC"/>
    <w:rsid w:val="00BC10CB"/>
    <w:rsid w:val="00BC3944"/>
    <w:rsid w:val="00BC79B9"/>
    <w:rsid w:val="00BD7475"/>
    <w:rsid w:val="00BE15BC"/>
    <w:rsid w:val="00BF0D70"/>
    <w:rsid w:val="00BF0EB5"/>
    <w:rsid w:val="00BF1FFF"/>
    <w:rsid w:val="00BF2EED"/>
    <w:rsid w:val="00BF70C8"/>
    <w:rsid w:val="00C01EE2"/>
    <w:rsid w:val="00C05D27"/>
    <w:rsid w:val="00C10C81"/>
    <w:rsid w:val="00C14CCE"/>
    <w:rsid w:val="00C16787"/>
    <w:rsid w:val="00C25D03"/>
    <w:rsid w:val="00C27AA6"/>
    <w:rsid w:val="00C33631"/>
    <w:rsid w:val="00C34869"/>
    <w:rsid w:val="00C42150"/>
    <w:rsid w:val="00C56B71"/>
    <w:rsid w:val="00C57AD3"/>
    <w:rsid w:val="00C61AE1"/>
    <w:rsid w:val="00C736E9"/>
    <w:rsid w:val="00C77815"/>
    <w:rsid w:val="00C825D5"/>
    <w:rsid w:val="00C85697"/>
    <w:rsid w:val="00C92D5C"/>
    <w:rsid w:val="00C93794"/>
    <w:rsid w:val="00CA0A79"/>
    <w:rsid w:val="00CA6F44"/>
    <w:rsid w:val="00CA7C0C"/>
    <w:rsid w:val="00CB12F5"/>
    <w:rsid w:val="00CC166B"/>
    <w:rsid w:val="00CC646B"/>
    <w:rsid w:val="00CD1B69"/>
    <w:rsid w:val="00D02FC0"/>
    <w:rsid w:val="00D20B51"/>
    <w:rsid w:val="00D20F72"/>
    <w:rsid w:val="00D26905"/>
    <w:rsid w:val="00D30DB2"/>
    <w:rsid w:val="00D46D45"/>
    <w:rsid w:val="00D55E42"/>
    <w:rsid w:val="00D571A7"/>
    <w:rsid w:val="00D57371"/>
    <w:rsid w:val="00D614EC"/>
    <w:rsid w:val="00D700F7"/>
    <w:rsid w:val="00D77947"/>
    <w:rsid w:val="00D82D81"/>
    <w:rsid w:val="00D8330D"/>
    <w:rsid w:val="00D90F62"/>
    <w:rsid w:val="00D96DC0"/>
    <w:rsid w:val="00DA4E09"/>
    <w:rsid w:val="00DA5531"/>
    <w:rsid w:val="00DB17F4"/>
    <w:rsid w:val="00DB1885"/>
    <w:rsid w:val="00DB3B55"/>
    <w:rsid w:val="00DC21D1"/>
    <w:rsid w:val="00DC2ED9"/>
    <w:rsid w:val="00DC4A3E"/>
    <w:rsid w:val="00DD1EC7"/>
    <w:rsid w:val="00DE12CE"/>
    <w:rsid w:val="00DE78F7"/>
    <w:rsid w:val="00DF356C"/>
    <w:rsid w:val="00E00537"/>
    <w:rsid w:val="00E0087E"/>
    <w:rsid w:val="00E00B07"/>
    <w:rsid w:val="00E00F1B"/>
    <w:rsid w:val="00E0433D"/>
    <w:rsid w:val="00E04F14"/>
    <w:rsid w:val="00E10195"/>
    <w:rsid w:val="00E1091E"/>
    <w:rsid w:val="00E22512"/>
    <w:rsid w:val="00E3276E"/>
    <w:rsid w:val="00E331DA"/>
    <w:rsid w:val="00E36FDC"/>
    <w:rsid w:val="00E41102"/>
    <w:rsid w:val="00E45EDD"/>
    <w:rsid w:val="00E53F7F"/>
    <w:rsid w:val="00E5473D"/>
    <w:rsid w:val="00E91F45"/>
    <w:rsid w:val="00E92CE0"/>
    <w:rsid w:val="00EA184F"/>
    <w:rsid w:val="00EA4E85"/>
    <w:rsid w:val="00EB3236"/>
    <w:rsid w:val="00EC2A1C"/>
    <w:rsid w:val="00EC3A30"/>
    <w:rsid w:val="00ED4119"/>
    <w:rsid w:val="00ED6280"/>
    <w:rsid w:val="00ED68D5"/>
    <w:rsid w:val="00EE0156"/>
    <w:rsid w:val="00EE56E2"/>
    <w:rsid w:val="00EE5924"/>
    <w:rsid w:val="00EF0037"/>
    <w:rsid w:val="00EF16BE"/>
    <w:rsid w:val="00F02309"/>
    <w:rsid w:val="00F0504B"/>
    <w:rsid w:val="00F062FC"/>
    <w:rsid w:val="00F1291A"/>
    <w:rsid w:val="00F16417"/>
    <w:rsid w:val="00F17084"/>
    <w:rsid w:val="00F26DEC"/>
    <w:rsid w:val="00F33F56"/>
    <w:rsid w:val="00F340F3"/>
    <w:rsid w:val="00F36DD8"/>
    <w:rsid w:val="00F45FF9"/>
    <w:rsid w:val="00F52C57"/>
    <w:rsid w:val="00F538FF"/>
    <w:rsid w:val="00F55EA0"/>
    <w:rsid w:val="00F634A2"/>
    <w:rsid w:val="00F65084"/>
    <w:rsid w:val="00F654DC"/>
    <w:rsid w:val="00F65714"/>
    <w:rsid w:val="00F679DF"/>
    <w:rsid w:val="00F7362C"/>
    <w:rsid w:val="00F75D82"/>
    <w:rsid w:val="00F77894"/>
    <w:rsid w:val="00F85083"/>
    <w:rsid w:val="00FA0357"/>
    <w:rsid w:val="00FA18BF"/>
    <w:rsid w:val="00FA63F5"/>
    <w:rsid w:val="00FB0DB4"/>
    <w:rsid w:val="00FB3E35"/>
    <w:rsid w:val="00FC65D5"/>
    <w:rsid w:val="00FC7B14"/>
    <w:rsid w:val="00FE7741"/>
    <w:rsid w:val="00FF768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6"/>
    <o:shapelayout v:ext="edit">
      <o:idmap v:ext="edit" data="1"/>
    </o:shapelayout>
  </w:shapeDefaults>
  <w:decimalSymbol w:val="."/>
  <w:listSeparator w:val=","/>
  <w14:docId w14:val="6641408B"/>
  <w15:chartTrackingRefBased/>
  <w15:docId w15:val="{33F00F5D-F001-4C18-928F-ECD9B4FC5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C21D1"/>
    <w:pPr>
      <w:spacing w:before="320" w:line="320" w:lineRule="atLeast"/>
      <w:jc w:val="both"/>
    </w:pPr>
    <w:rPr>
      <w:rFonts w:ascii="Calibri" w:hAnsi="Calibri"/>
      <w:sz w:val="24"/>
    </w:rPr>
  </w:style>
  <w:style w:type="paragraph" w:styleId="Heading1">
    <w:name w:val="heading 1"/>
    <w:basedOn w:val="Normal"/>
    <w:next w:val="Normal"/>
    <w:link w:val="Heading1Char"/>
    <w:uiPriority w:val="9"/>
    <w:qFormat/>
    <w:rsid w:val="009C667D"/>
    <w:pPr>
      <w:keepNext/>
      <w:numPr>
        <w:numId w:val="1"/>
      </w:numPr>
      <w:spacing w:before="400"/>
      <w:ind w:left="851" w:hanging="851"/>
      <w:jc w:val="left"/>
      <w:outlineLvl w:val="0"/>
    </w:pPr>
    <w:rPr>
      <w:b/>
      <w:color w:val="008CD2"/>
      <w:sz w:val="26"/>
    </w:rPr>
  </w:style>
  <w:style w:type="paragraph" w:styleId="Heading2">
    <w:name w:val="heading 2"/>
    <w:basedOn w:val="Normal"/>
    <w:next w:val="Normal"/>
    <w:link w:val="Heading2Char"/>
    <w:qFormat/>
    <w:rsid w:val="009C667D"/>
    <w:pPr>
      <w:keepNext/>
      <w:numPr>
        <w:ilvl w:val="1"/>
        <w:numId w:val="1"/>
      </w:numPr>
      <w:spacing w:before="400"/>
      <w:jc w:val="left"/>
      <w:outlineLvl w:val="1"/>
    </w:pPr>
    <w:rPr>
      <w:b/>
      <w:color w:val="008CD2"/>
      <w:sz w:val="26"/>
    </w:rPr>
  </w:style>
  <w:style w:type="paragraph" w:styleId="Heading3">
    <w:name w:val="heading 3"/>
    <w:basedOn w:val="Normal"/>
    <w:next w:val="Normal"/>
    <w:link w:val="Heading3Char"/>
    <w:qFormat/>
    <w:rsid w:val="009C667D"/>
    <w:pPr>
      <w:keepNext/>
      <w:numPr>
        <w:ilvl w:val="2"/>
        <w:numId w:val="1"/>
      </w:numPr>
      <w:spacing w:before="400"/>
      <w:ind w:left="1134" w:hanging="1134"/>
      <w:jc w:val="left"/>
      <w:outlineLvl w:val="2"/>
    </w:pPr>
    <w:rPr>
      <w:b/>
      <w:color w:val="008CD2"/>
      <w:sz w:val="26"/>
    </w:rPr>
  </w:style>
  <w:style w:type="paragraph" w:styleId="Heading4">
    <w:name w:val="heading 4"/>
    <w:basedOn w:val="Normal"/>
    <w:next w:val="Normal"/>
    <w:link w:val="Heading4Char"/>
    <w:qFormat/>
    <w:rsid w:val="009C667D"/>
    <w:pPr>
      <w:keepNext/>
      <w:numPr>
        <w:ilvl w:val="3"/>
        <w:numId w:val="1"/>
      </w:numPr>
      <w:spacing w:before="400"/>
      <w:ind w:left="1276" w:hanging="1276"/>
      <w:jc w:val="left"/>
      <w:outlineLvl w:val="3"/>
    </w:pPr>
    <w:rPr>
      <w:b/>
      <w:color w:val="008CD2"/>
      <w:sz w:val="26"/>
    </w:rPr>
  </w:style>
  <w:style w:type="paragraph" w:styleId="Heading5">
    <w:name w:val="heading 5"/>
    <w:basedOn w:val="Normal"/>
    <w:next w:val="Normal"/>
    <w:link w:val="Heading5Char"/>
    <w:qFormat/>
    <w:rsid w:val="009C667D"/>
    <w:pPr>
      <w:keepNext/>
      <w:numPr>
        <w:ilvl w:val="4"/>
        <w:numId w:val="1"/>
      </w:numPr>
      <w:spacing w:before="400"/>
      <w:ind w:left="1418" w:hanging="1418"/>
      <w:jc w:val="left"/>
      <w:outlineLvl w:val="4"/>
    </w:pPr>
    <w:rPr>
      <w:b/>
      <w:color w:val="008CD2"/>
      <w:sz w:val="26"/>
    </w:rPr>
  </w:style>
  <w:style w:type="paragraph" w:styleId="Heading6">
    <w:name w:val="heading 6"/>
    <w:basedOn w:val="Normal"/>
    <w:next w:val="Normal"/>
    <w:link w:val="Heading6Char"/>
    <w:qFormat/>
    <w:rsid w:val="009C667D"/>
    <w:pPr>
      <w:keepNext/>
      <w:numPr>
        <w:ilvl w:val="5"/>
        <w:numId w:val="1"/>
      </w:numPr>
      <w:spacing w:before="400"/>
      <w:ind w:left="1560" w:hanging="1560"/>
      <w:jc w:val="left"/>
      <w:outlineLvl w:val="5"/>
    </w:pPr>
    <w:rPr>
      <w:b/>
      <w:color w:val="008CD2"/>
      <w:sz w:val="26"/>
    </w:rPr>
  </w:style>
  <w:style w:type="paragraph" w:styleId="Heading7">
    <w:name w:val="heading 7"/>
    <w:basedOn w:val="Normal"/>
    <w:next w:val="Normal"/>
    <w:link w:val="Heading7Char"/>
    <w:qFormat/>
    <w:rsid w:val="009C667D"/>
    <w:pPr>
      <w:keepNext/>
      <w:numPr>
        <w:ilvl w:val="6"/>
        <w:numId w:val="1"/>
      </w:numPr>
      <w:spacing w:before="400"/>
      <w:ind w:left="1701" w:hanging="1701"/>
      <w:jc w:val="left"/>
      <w:outlineLvl w:val="6"/>
    </w:pPr>
    <w:rPr>
      <w:b/>
      <w:color w:val="008CD2"/>
      <w:sz w:val="26"/>
    </w:rPr>
  </w:style>
  <w:style w:type="paragraph" w:styleId="Heading8">
    <w:name w:val="heading 8"/>
    <w:basedOn w:val="Normal"/>
    <w:next w:val="Normal"/>
    <w:link w:val="Heading8Char"/>
    <w:qFormat/>
    <w:rsid w:val="009C667D"/>
    <w:pPr>
      <w:keepNext/>
      <w:numPr>
        <w:ilvl w:val="7"/>
        <w:numId w:val="1"/>
      </w:numPr>
      <w:spacing w:before="400"/>
      <w:ind w:left="1843" w:hanging="1843"/>
      <w:jc w:val="left"/>
      <w:outlineLvl w:val="7"/>
    </w:pPr>
    <w:rPr>
      <w:b/>
      <w:color w:val="008CD2"/>
      <w:sz w:val="26"/>
    </w:rPr>
  </w:style>
  <w:style w:type="paragraph" w:styleId="Heading9">
    <w:name w:val="heading 9"/>
    <w:basedOn w:val="Normal"/>
    <w:next w:val="Heading8"/>
    <w:link w:val="Heading9Char"/>
    <w:qFormat/>
    <w:rsid w:val="009C667D"/>
    <w:pPr>
      <w:keepNext/>
      <w:keepLines/>
      <w:numPr>
        <w:ilvl w:val="8"/>
        <w:numId w:val="1"/>
      </w:numPr>
      <w:spacing w:before="400"/>
      <w:ind w:left="1985" w:hanging="1985"/>
      <w:jc w:val="left"/>
      <w:outlineLvl w:val="8"/>
    </w:pPr>
    <w:rPr>
      <w:b/>
      <w:color w:val="008CD2"/>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fik">
    <w:name w:val="Grafik"/>
    <w:basedOn w:val="Normal"/>
    <w:next w:val="Quelle"/>
    <w:qFormat/>
    <w:rsid w:val="00BC0CCC"/>
    <w:pPr>
      <w:keepNext/>
      <w:tabs>
        <w:tab w:val="left" w:pos="1985"/>
      </w:tabs>
      <w:spacing w:before="0"/>
    </w:pPr>
    <w:rPr>
      <w:noProof/>
    </w:rPr>
  </w:style>
  <w:style w:type="paragraph" w:styleId="FootnoteText">
    <w:name w:val="footnote text"/>
    <w:aliases w:val="FußnotentextE,Fußnotentext Char,Fußnotentext Char1 Char,Fußnotentext Char Char Char,Fußnotentext Char1 Char Char Char,Fußnotentext Char Char Char Char Char,Fußnotentext Char1 Char Char Char Char Char,Footnote,Fußnotentext PM,Fußnote,fn"/>
    <w:basedOn w:val="Normal"/>
    <w:link w:val="FootnoteTextChar"/>
    <w:qFormat/>
    <w:rsid w:val="000358AD"/>
    <w:pPr>
      <w:tabs>
        <w:tab w:val="left" w:pos="284"/>
      </w:tabs>
      <w:spacing w:before="80" w:line="200" w:lineRule="atLeast"/>
      <w:ind w:left="284" w:hanging="284"/>
    </w:pPr>
    <w:rPr>
      <w:color w:val="595959"/>
      <w:position w:val="2"/>
      <w:sz w:val="18"/>
    </w:rPr>
  </w:style>
  <w:style w:type="character" w:styleId="FootnoteReference">
    <w:name w:val="footnote reference"/>
    <w:aliases w:val="Footnote Reference1,Footnote Reference Number"/>
    <w:basedOn w:val="DefaultParagraphFont"/>
    <w:semiHidden/>
    <w:rsid w:val="000358AD"/>
    <w:rPr>
      <w:rFonts w:ascii="Calibri" w:hAnsi="Calibri"/>
      <w:b/>
      <w:noProof w:val="0"/>
      <w:color w:val="008CD2"/>
      <w:position w:val="2"/>
      <w:sz w:val="19"/>
      <w:vertAlign w:val="superscript"/>
      <w:lang w:val="de-DE"/>
    </w:rPr>
  </w:style>
  <w:style w:type="paragraph" w:styleId="Footer">
    <w:name w:val="footer"/>
    <w:basedOn w:val="Normal"/>
    <w:next w:val="Normal"/>
    <w:link w:val="FooterChar"/>
    <w:rsid w:val="007274C8"/>
    <w:pPr>
      <w:tabs>
        <w:tab w:val="right" w:pos="9498"/>
      </w:tabs>
      <w:spacing w:before="0" w:line="240" w:lineRule="auto"/>
      <w:ind w:left="12" w:firstLine="1"/>
      <w:jc w:val="left"/>
    </w:pPr>
    <w:rPr>
      <w:sz w:val="18"/>
    </w:rPr>
  </w:style>
  <w:style w:type="paragraph" w:styleId="Header">
    <w:name w:val="header"/>
    <w:basedOn w:val="Normal"/>
    <w:link w:val="HeaderChar"/>
    <w:qFormat/>
    <w:rsid w:val="007274C8"/>
    <w:pPr>
      <w:tabs>
        <w:tab w:val="right" w:pos="9526"/>
      </w:tabs>
      <w:spacing w:before="0" w:line="240" w:lineRule="exact"/>
      <w:jc w:val="left"/>
    </w:pPr>
    <w:rPr>
      <w:color w:val="000000" w:themeColor="text1"/>
      <w:sz w:val="18"/>
    </w:rPr>
  </w:style>
  <w:style w:type="paragraph" w:customStyle="1" w:styleId="Literatur">
    <w:name w:val="Literatur"/>
    <w:basedOn w:val="Normal"/>
    <w:autoRedefine/>
    <w:qFormat/>
    <w:rsid w:val="00F52C57"/>
    <w:pPr>
      <w:tabs>
        <w:tab w:val="left" w:pos="1134"/>
      </w:tabs>
      <w:spacing w:before="80" w:line="240" w:lineRule="exact"/>
      <w:ind w:left="567" w:hanging="567"/>
    </w:pPr>
    <w:rPr>
      <w:color w:val="595959"/>
      <w:sz w:val="20"/>
    </w:rPr>
  </w:style>
  <w:style w:type="paragraph" w:customStyle="1" w:styleId="Titelberschrift">
    <w:name w:val="Titelüberschrift"/>
    <w:basedOn w:val="Normal"/>
    <w:next w:val="Normal"/>
    <w:qFormat/>
    <w:rsid w:val="00F75D82"/>
    <w:pPr>
      <w:tabs>
        <w:tab w:val="left" w:pos="425"/>
      </w:tabs>
      <w:spacing w:before="0"/>
    </w:pPr>
    <w:rPr>
      <w:b/>
      <w:color w:val="008CD2"/>
      <w:sz w:val="32"/>
    </w:rPr>
  </w:style>
  <w:style w:type="paragraph" w:styleId="TOC1">
    <w:name w:val="toc 1"/>
    <w:basedOn w:val="Normal"/>
    <w:next w:val="Normal"/>
    <w:autoRedefine/>
    <w:uiPriority w:val="39"/>
    <w:qFormat/>
    <w:rsid w:val="003C26D9"/>
    <w:pPr>
      <w:tabs>
        <w:tab w:val="left" w:pos="425"/>
        <w:tab w:val="right" w:pos="9526"/>
      </w:tabs>
      <w:spacing w:before="120"/>
      <w:ind w:left="425" w:hanging="425"/>
      <w:jc w:val="left"/>
    </w:pPr>
    <w:rPr>
      <w:b/>
      <w:color w:val="008CD2"/>
    </w:rPr>
  </w:style>
  <w:style w:type="paragraph" w:styleId="TOC2">
    <w:name w:val="toc 2"/>
    <w:basedOn w:val="Normal"/>
    <w:next w:val="Normal"/>
    <w:autoRedefine/>
    <w:uiPriority w:val="39"/>
    <w:rsid w:val="00816EF8"/>
    <w:pPr>
      <w:tabs>
        <w:tab w:val="left" w:pos="1134"/>
        <w:tab w:val="right" w:pos="9526"/>
      </w:tabs>
      <w:spacing w:before="60"/>
      <w:ind w:left="1134" w:hanging="709"/>
      <w:jc w:val="left"/>
    </w:pPr>
    <w:rPr>
      <w:color w:val="000000" w:themeColor="text1"/>
    </w:rPr>
  </w:style>
  <w:style w:type="paragraph" w:styleId="TOC3">
    <w:name w:val="toc 3"/>
    <w:basedOn w:val="Normal"/>
    <w:next w:val="Normal"/>
    <w:autoRedefine/>
    <w:rsid w:val="00816EF8"/>
    <w:pPr>
      <w:tabs>
        <w:tab w:val="left" w:pos="1985"/>
        <w:tab w:val="right" w:pos="9526"/>
      </w:tabs>
      <w:spacing w:before="0"/>
      <w:ind w:left="1985" w:hanging="851"/>
      <w:jc w:val="left"/>
    </w:pPr>
    <w:rPr>
      <w:color w:val="000000" w:themeColor="text1"/>
    </w:rPr>
  </w:style>
  <w:style w:type="character" w:customStyle="1" w:styleId="HeaderChar">
    <w:name w:val="Header Char"/>
    <w:basedOn w:val="DefaultParagraphFont"/>
    <w:link w:val="Header"/>
    <w:locked/>
    <w:rsid w:val="007274C8"/>
    <w:rPr>
      <w:rFonts w:ascii="Calibri" w:hAnsi="Calibri"/>
      <w:color w:val="000000" w:themeColor="text1"/>
      <w:sz w:val="18"/>
    </w:rPr>
  </w:style>
  <w:style w:type="paragraph" w:customStyle="1" w:styleId="berschriftohneNum">
    <w:name w:val="Überschrift ohne Num."/>
    <w:basedOn w:val="Heading1"/>
    <w:next w:val="Normal"/>
    <w:link w:val="berschriftohneNumZchn"/>
    <w:qFormat/>
    <w:rsid w:val="00730001"/>
    <w:pPr>
      <w:numPr>
        <w:numId w:val="0"/>
      </w:numPr>
    </w:pPr>
  </w:style>
  <w:style w:type="paragraph" w:customStyle="1" w:styleId="Zwischenberschriftbold">
    <w:name w:val="Zwischenüberschrift bold"/>
    <w:basedOn w:val="Normal"/>
    <w:next w:val="Normal"/>
    <w:qFormat/>
    <w:rsid w:val="00F75D82"/>
    <w:pPr>
      <w:keepNext/>
    </w:pPr>
    <w:rPr>
      <w:b/>
    </w:rPr>
  </w:style>
  <w:style w:type="paragraph" w:customStyle="1" w:styleId="Zwischenberschriftkursiv">
    <w:name w:val="Zwischenüberschrift kursiv"/>
    <w:basedOn w:val="Zwischenberschriftbold"/>
    <w:next w:val="Normal"/>
    <w:qFormat/>
    <w:rsid w:val="00E3276E"/>
    <w:rPr>
      <w:b w:val="0"/>
      <w:i/>
    </w:rPr>
  </w:style>
  <w:style w:type="paragraph" w:customStyle="1" w:styleId="Quelle">
    <w:name w:val="Quelle"/>
    <w:basedOn w:val="Normal"/>
    <w:next w:val="NachAbbTab"/>
    <w:link w:val="QuelleZchn"/>
    <w:qFormat/>
    <w:rsid w:val="006B07F6"/>
    <w:pPr>
      <w:spacing w:before="120" w:line="200" w:lineRule="atLeast"/>
    </w:pPr>
    <w:rPr>
      <w:color w:val="626262"/>
      <w:sz w:val="18"/>
    </w:rPr>
  </w:style>
  <w:style w:type="character" w:customStyle="1" w:styleId="Heading1Char">
    <w:name w:val="Heading 1 Char"/>
    <w:basedOn w:val="DefaultParagraphFont"/>
    <w:link w:val="Heading1"/>
    <w:uiPriority w:val="9"/>
    <w:rsid w:val="009C667D"/>
    <w:rPr>
      <w:rFonts w:ascii="Calibri" w:hAnsi="Calibri"/>
      <w:b/>
      <w:color w:val="008CD2"/>
      <w:sz w:val="26"/>
    </w:rPr>
  </w:style>
  <w:style w:type="character" w:customStyle="1" w:styleId="Heading2Char">
    <w:name w:val="Heading 2 Char"/>
    <w:basedOn w:val="DefaultParagraphFont"/>
    <w:link w:val="Heading2"/>
    <w:rsid w:val="009C667D"/>
    <w:rPr>
      <w:rFonts w:ascii="Calibri" w:hAnsi="Calibri"/>
      <w:b/>
      <w:color w:val="008CD2"/>
      <w:sz w:val="26"/>
    </w:rPr>
  </w:style>
  <w:style w:type="character" w:customStyle="1" w:styleId="Heading3Char">
    <w:name w:val="Heading 3 Char"/>
    <w:basedOn w:val="DefaultParagraphFont"/>
    <w:link w:val="Heading3"/>
    <w:rsid w:val="009C667D"/>
    <w:rPr>
      <w:rFonts w:ascii="Calibri" w:hAnsi="Calibri"/>
      <w:b/>
      <w:color w:val="008CD2"/>
      <w:sz w:val="26"/>
    </w:rPr>
  </w:style>
  <w:style w:type="character" w:customStyle="1" w:styleId="Heading4Char">
    <w:name w:val="Heading 4 Char"/>
    <w:basedOn w:val="DefaultParagraphFont"/>
    <w:link w:val="Heading4"/>
    <w:rsid w:val="009C667D"/>
    <w:rPr>
      <w:rFonts w:ascii="Calibri" w:hAnsi="Calibri"/>
      <w:b/>
      <w:color w:val="008CD2"/>
      <w:sz w:val="26"/>
    </w:rPr>
  </w:style>
  <w:style w:type="character" w:customStyle="1" w:styleId="Heading5Char">
    <w:name w:val="Heading 5 Char"/>
    <w:basedOn w:val="DefaultParagraphFont"/>
    <w:link w:val="Heading5"/>
    <w:rsid w:val="009C667D"/>
    <w:rPr>
      <w:rFonts w:ascii="Calibri" w:hAnsi="Calibri"/>
      <w:b/>
      <w:color w:val="008CD2"/>
      <w:sz w:val="26"/>
    </w:rPr>
  </w:style>
  <w:style w:type="character" w:customStyle="1" w:styleId="Heading6Char">
    <w:name w:val="Heading 6 Char"/>
    <w:basedOn w:val="DefaultParagraphFont"/>
    <w:link w:val="Heading6"/>
    <w:rsid w:val="009C667D"/>
    <w:rPr>
      <w:rFonts w:ascii="Calibri" w:hAnsi="Calibri"/>
      <w:b/>
      <w:color w:val="008CD2"/>
      <w:sz w:val="26"/>
    </w:rPr>
  </w:style>
  <w:style w:type="character" w:customStyle="1" w:styleId="Heading7Char">
    <w:name w:val="Heading 7 Char"/>
    <w:basedOn w:val="DefaultParagraphFont"/>
    <w:link w:val="Heading7"/>
    <w:rsid w:val="009C667D"/>
    <w:rPr>
      <w:rFonts w:ascii="Calibri" w:hAnsi="Calibri"/>
      <w:b/>
      <w:color w:val="008CD2"/>
      <w:sz w:val="26"/>
    </w:rPr>
  </w:style>
  <w:style w:type="character" w:customStyle="1" w:styleId="Heading8Char">
    <w:name w:val="Heading 8 Char"/>
    <w:basedOn w:val="DefaultParagraphFont"/>
    <w:link w:val="Heading8"/>
    <w:rsid w:val="009C667D"/>
    <w:rPr>
      <w:rFonts w:ascii="Calibri" w:hAnsi="Calibri"/>
      <w:b/>
      <w:color w:val="008CD2"/>
      <w:sz w:val="26"/>
    </w:rPr>
  </w:style>
  <w:style w:type="character" w:customStyle="1" w:styleId="Heading9Char">
    <w:name w:val="Heading 9 Char"/>
    <w:basedOn w:val="DefaultParagraphFont"/>
    <w:link w:val="Heading9"/>
    <w:rsid w:val="009C667D"/>
    <w:rPr>
      <w:rFonts w:ascii="Calibri" w:hAnsi="Calibri"/>
      <w:b/>
      <w:color w:val="008CD2"/>
      <w:sz w:val="26"/>
    </w:rPr>
  </w:style>
  <w:style w:type="character" w:customStyle="1" w:styleId="FootnoteTextChar">
    <w:name w:val="Footnote Text Char"/>
    <w:aliases w:val="FußnotentextE Char,Fußnotentext Char Char,Fußnotentext Char1 Char Char,Fußnotentext Char Char Char Char,Fußnotentext Char1 Char Char Char Char,Fußnotentext Char Char Char Char Char Char,Fußnotentext Char1 Char Char Char Char Char Char"/>
    <w:basedOn w:val="DefaultParagraphFont"/>
    <w:link w:val="FootnoteText"/>
    <w:rsid w:val="000358AD"/>
    <w:rPr>
      <w:rFonts w:ascii="Calibri" w:hAnsi="Calibri"/>
      <w:color w:val="595959"/>
      <w:position w:val="2"/>
      <w:sz w:val="18"/>
    </w:rPr>
  </w:style>
  <w:style w:type="character" w:customStyle="1" w:styleId="FooterChar">
    <w:name w:val="Footer Char"/>
    <w:basedOn w:val="DefaultParagraphFont"/>
    <w:link w:val="Footer"/>
    <w:rsid w:val="007274C8"/>
    <w:rPr>
      <w:rFonts w:ascii="Calibri" w:hAnsi="Calibri"/>
      <w:sz w:val="18"/>
    </w:rPr>
  </w:style>
  <w:style w:type="paragraph" w:styleId="TOCHeading">
    <w:name w:val="TOC Heading"/>
    <w:basedOn w:val="Normal"/>
    <w:next w:val="Normal"/>
    <w:uiPriority w:val="39"/>
    <w:qFormat/>
    <w:rsid w:val="006962C8"/>
    <w:pPr>
      <w:keepLines/>
      <w:spacing w:before="400" w:after="240"/>
    </w:pPr>
    <w:rPr>
      <w:b/>
      <w:bCs/>
      <w:color w:val="008CD2"/>
      <w:sz w:val="26"/>
      <w:szCs w:val="28"/>
    </w:rPr>
  </w:style>
  <w:style w:type="paragraph" w:styleId="Revision">
    <w:name w:val="Revision"/>
    <w:hidden/>
    <w:uiPriority w:val="99"/>
    <w:semiHidden/>
    <w:rsid w:val="00B7697C"/>
    <w:rPr>
      <w:rFonts w:ascii="Times New Roman" w:hAnsi="Times New Roman"/>
      <w:spacing w:val="4"/>
      <w:sz w:val="24"/>
    </w:rPr>
  </w:style>
  <w:style w:type="character" w:customStyle="1" w:styleId="QuelleZchn">
    <w:name w:val="Quelle Zchn"/>
    <w:link w:val="Quelle"/>
    <w:rsid w:val="006B07F6"/>
    <w:rPr>
      <w:rFonts w:ascii="Calibri" w:hAnsi="Calibri"/>
      <w:color w:val="626262"/>
      <w:sz w:val="18"/>
    </w:rPr>
  </w:style>
  <w:style w:type="character" w:styleId="PlaceholderText">
    <w:name w:val="Placeholder Text"/>
    <w:basedOn w:val="DefaultParagraphFont"/>
    <w:uiPriority w:val="99"/>
    <w:semiHidden/>
    <w:rsid w:val="00726E75"/>
    <w:rPr>
      <w:color w:val="808080"/>
    </w:rPr>
  </w:style>
  <w:style w:type="table" w:styleId="TableGrid">
    <w:name w:val="Table Grid"/>
    <w:basedOn w:val="TableNormal"/>
    <w:rsid w:val="00BC7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Normal"/>
    <w:qFormat/>
    <w:rsid w:val="00442636"/>
    <w:pPr>
      <w:spacing w:before="20" w:after="20" w:line="240" w:lineRule="auto"/>
      <w:jc w:val="left"/>
    </w:pPr>
    <w:rPr>
      <w:color w:val="000000" w:themeColor="text1"/>
      <w:sz w:val="20"/>
    </w:rPr>
  </w:style>
  <w:style w:type="paragraph" w:customStyle="1" w:styleId="NachAbbTab">
    <w:name w:val="Nach_Abb+Tab"/>
    <w:basedOn w:val="Normal"/>
    <w:next w:val="Normal"/>
    <w:link w:val="NachAbbTabZchn"/>
    <w:qFormat/>
    <w:rsid w:val="009C7647"/>
    <w:pPr>
      <w:spacing w:before="240"/>
    </w:pPr>
  </w:style>
  <w:style w:type="character" w:customStyle="1" w:styleId="NachAbbTabZchn">
    <w:name w:val="Nach_Abb+Tab Zchn"/>
    <w:link w:val="NachAbbTab"/>
    <w:rsid w:val="009C7647"/>
    <w:rPr>
      <w:rFonts w:ascii="Calibri" w:hAnsi="Calibri"/>
      <w:sz w:val="22"/>
    </w:rPr>
  </w:style>
  <w:style w:type="character" w:styleId="CommentReference">
    <w:name w:val="annotation reference"/>
    <w:basedOn w:val="DefaultParagraphFont"/>
    <w:uiPriority w:val="99"/>
    <w:semiHidden/>
    <w:unhideWhenUsed/>
    <w:rsid w:val="000155C5"/>
    <w:rPr>
      <w:sz w:val="16"/>
      <w:szCs w:val="16"/>
    </w:rPr>
  </w:style>
  <w:style w:type="paragraph" w:styleId="CommentSubject">
    <w:name w:val="annotation subject"/>
    <w:basedOn w:val="Normal"/>
    <w:next w:val="Normal"/>
    <w:link w:val="CommentSubjectChar"/>
    <w:uiPriority w:val="99"/>
    <w:semiHidden/>
    <w:unhideWhenUsed/>
    <w:rsid w:val="00D26905"/>
    <w:pPr>
      <w:spacing w:line="240" w:lineRule="auto"/>
    </w:pPr>
    <w:rPr>
      <w:b/>
      <w:bCs/>
      <w:sz w:val="20"/>
    </w:rPr>
  </w:style>
  <w:style w:type="character" w:customStyle="1" w:styleId="CommentSubjectChar">
    <w:name w:val="Comment Subject Char"/>
    <w:basedOn w:val="DefaultParagraphFont"/>
    <w:link w:val="CommentSubject"/>
    <w:uiPriority w:val="99"/>
    <w:semiHidden/>
    <w:rsid w:val="00D26905"/>
    <w:rPr>
      <w:rFonts w:ascii="Calibri" w:hAnsi="Calibri"/>
      <w:b/>
      <w:bCs/>
    </w:rPr>
  </w:style>
  <w:style w:type="character" w:customStyle="1" w:styleId="Autor">
    <w:name w:val="Autor"/>
    <w:basedOn w:val="DefaultParagraphFont"/>
    <w:qFormat/>
    <w:rsid w:val="009D59E6"/>
    <w:rPr>
      <w:rFonts w:ascii="Calibri" w:hAnsi="Calibri"/>
      <w:caps w:val="0"/>
      <w:smallCaps/>
      <w:color w:val="000000" w:themeColor="text1"/>
      <w:sz w:val="24"/>
    </w:rPr>
  </w:style>
  <w:style w:type="numbering" w:customStyle="1" w:styleId="Formatvorlage1">
    <w:name w:val="Formatvorlage1"/>
    <w:uiPriority w:val="99"/>
    <w:rsid w:val="00D614EC"/>
    <w:pPr>
      <w:numPr>
        <w:numId w:val="2"/>
      </w:numPr>
    </w:pPr>
  </w:style>
  <w:style w:type="paragraph" w:customStyle="1" w:styleId="Liste-1">
    <w:name w:val="Liste-1"/>
    <w:basedOn w:val="Normal"/>
    <w:qFormat/>
    <w:rsid w:val="00D614EC"/>
    <w:pPr>
      <w:numPr>
        <w:numId w:val="2"/>
      </w:numPr>
      <w:tabs>
        <w:tab w:val="left" w:pos="567"/>
      </w:tabs>
      <w:spacing w:before="80"/>
    </w:pPr>
  </w:style>
  <w:style w:type="numbering" w:customStyle="1" w:styleId="Formatvorlage2">
    <w:name w:val="Formatvorlage2"/>
    <w:uiPriority w:val="99"/>
    <w:rsid w:val="00D614EC"/>
    <w:pPr>
      <w:numPr>
        <w:numId w:val="3"/>
      </w:numPr>
    </w:pPr>
  </w:style>
  <w:style w:type="numbering" w:customStyle="1" w:styleId="Formatvorlage3">
    <w:name w:val="Formatvorlage3"/>
    <w:uiPriority w:val="99"/>
    <w:rsid w:val="00D614EC"/>
    <w:pPr>
      <w:numPr>
        <w:numId w:val="4"/>
      </w:numPr>
    </w:pPr>
  </w:style>
  <w:style w:type="paragraph" w:customStyle="1" w:styleId="Liste-2">
    <w:name w:val="Liste-2"/>
    <w:basedOn w:val="Liste-1"/>
    <w:qFormat/>
    <w:rsid w:val="00D614EC"/>
    <w:pPr>
      <w:numPr>
        <w:numId w:val="5"/>
      </w:numPr>
    </w:pPr>
  </w:style>
  <w:style w:type="paragraph" w:customStyle="1" w:styleId="Liste-3">
    <w:name w:val="Liste-3"/>
    <w:basedOn w:val="Liste-2"/>
    <w:qFormat/>
    <w:rsid w:val="00D614EC"/>
    <w:pPr>
      <w:numPr>
        <w:numId w:val="6"/>
      </w:numPr>
      <w:tabs>
        <w:tab w:val="clear" w:pos="567"/>
      </w:tabs>
    </w:pPr>
  </w:style>
  <w:style w:type="character" w:styleId="FollowedHyperlink">
    <w:name w:val="FollowedHyperlink"/>
    <w:basedOn w:val="DefaultParagraphFont"/>
    <w:uiPriority w:val="99"/>
    <w:semiHidden/>
    <w:unhideWhenUsed/>
    <w:rsid w:val="009C7647"/>
    <w:rPr>
      <w:color w:val="800080" w:themeColor="followedHyperlink"/>
      <w:u w:val="single"/>
    </w:rPr>
  </w:style>
  <w:style w:type="table" w:customStyle="1" w:styleId="Thnen-Tabelle2">
    <w:name w:val="Thünen-Tabelle 2"/>
    <w:basedOn w:val="TableNormal"/>
    <w:uiPriority w:val="99"/>
    <w:rsid w:val="0096678C"/>
    <w:rPr>
      <w:rFonts w:ascii="Calibri" w:hAnsi="Calibri"/>
      <w:color w:val="000000" w:themeColor="text1"/>
    </w:rPr>
    <w:tblPr>
      <w:tblStyleRowBandSize w:val="1"/>
    </w:tblPr>
    <w:tblStylePr w:type="firstRow">
      <w:rPr>
        <w:b/>
        <w:color w:val="FFFFFF" w:themeColor="background1"/>
      </w:rPr>
      <w:tblPr/>
      <w:tcPr>
        <w:shd w:val="clear" w:color="auto" w:fill="008CD2"/>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character" w:customStyle="1" w:styleId="NichtaufgelsteErwhnung1">
    <w:name w:val="Nicht aufgelöste Erwähnung1"/>
    <w:basedOn w:val="DefaultParagraphFont"/>
    <w:uiPriority w:val="99"/>
    <w:semiHidden/>
    <w:unhideWhenUsed/>
    <w:rsid w:val="009C7647"/>
    <w:rPr>
      <w:color w:val="605E5C"/>
      <w:shd w:val="clear" w:color="auto" w:fill="E1DFDD"/>
    </w:rPr>
  </w:style>
  <w:style w:type="character" w:customStyle="1" w:styleId="berschriftohneNumZchn">
    <w:name w:val="Überschrift ohne Num. Zchn"/>
    <w:basedOn w:val="DefaultParagraphFont"/>
    <w:link w:val="berschriftohneNum"/>
    <w:rsid w:val="00730001"/>
    <w:rPr>
      <w:rFonts w:ascii="Calibri" w:hAnsi="Calibri"/>
      <w:b/>
      <w:color w:val="008CD2"/>
      <w:sz w:val="28"/>
    </w:rPr>
  </w:style>
  <w:style w:type="table" w:styleId="LightList">
    <w:name w:val="Light List"/>
    <w:basedOn w:val="TableNormal"/>
    <w:uiPriority w:val="61"/>
    <w:rsid w:val="00CC166B"/>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Table6Colorful-Accent5">
    <w:name w:val="List Table 6 Colorful Accent 5"/>
    <w:basedOn w:val="TableNormal"/>
    <w:uiPriority w:val="51"/>
    <w:rsid w:val="00CC166B"/>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ghtShading-Accent1">
    <w:name w:val="Light Shading Accent 1"/>
    <w:basedOn w:val="TableNormal"/>
    <w:uiPriority w:val="60"/>
    <w:rsid w:val="00CC166B"/>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hnen-Tabelle1">
    <w:name w:val="Thünen-Tabelle 1"/>
    <w:basedOn w:val="TableNormal"/>
    <w:uiPriority w:val="99"/>
    <w:rsid w:val="00D26905"/>
    <w:rPr>
      <w:rFonts w:ascii="Calibri" w:hAnsi="Calibri"/>
      <w:color w:val="000000" w:themeColor="text1"/>
    </w:rPr>
    <w:tblPr>
      <w:tblBorders>
        <w:top w:val="single" w:sz="4" w:space="0" w:color="000000" w:themeColor="text1"/>
        <w:bottom w:val="single" w:sz="4" w:space="0" w:color="000000" w:themeColor="text1"/>
      </w:tblBorders>
    </w:tblPr>
    <w:tcPr>
      <w:vAlign w:val="center"/>
    </w:tcPr>
    <w:tblStylePr w:type="firstRow">
      <w:tblPr/>
      <w:tcPr>
        <w:tcBorders>
          <w:top w:val="single" w:sz="4" w:space="0" w:color="000000" w:themeColor="text1"/>
          <w:bottom w:val="single" w:sz="4" w:space="0" w:color="000000" w:themeColor="text1"/>
        </w:tcBorders>
      </w:tcPr>
    </w:tblStylePr>
  </w:style>
  <w:style w:type="paragraph" w:styleId="Caption">
    <w:name w:val="caption"/>
    <w:basedOn w:val="Normal"/>
    <w:next w:val="Normal"/>
    <w:uiPriority w:val="35"/>
    <w:unhideWhenUsed/>
    <w:qFormat/>
    <w:rsid w:val="000B0FA9"/>
    <w:pPr>
      <w:keepNext/>
      <w:tabs>
        <w:tab w:val="left" w:pos="1418"/>
        <w:tab w:val="left" w:pos="2127"/>
      </w:tabs>
      <w:spacing w:before="240" w:after="120"/>
      <w:ind w:left="1418" w:hanging="1418"/>
    </w:pPr>
    <w:rPr>
      <w:b/>
      <w:noProof/>
    </w:rPr>
  </w:style>
  <w:style w:type="character" w:styleId="Hyperlink">
    <w:name w:val="Hyperlink"/>
    <w:basedOn w:val="DefaultParagraphFont"/>
    <w:uiPriority w:val="99"/>
    <w:unhideWhenUsed/>
    <w:rsid w:val="007274C8"/>
    <w:rPr>
      <w:color w:val="0000FF" w:themeColor="hyperlink"/>
      <w:u w:val="single"/>
    </w:rPr>
  </w:style>
  <w:style w:type="paragraph" w:customStyle="1" w:styleId="Tabelle">
    <w:name w:val="Tabelle_Ü"/>
    <w:basedOn w:val="Normal"/>
    <w:next w:val="Grafik"/>
    <w:qFormat/>
    <w:rsid w:val="00DC21D1"/>
    <w:pPr>
      <w:keepNext/>
      <w:spacing w:after="240"/>
      <w:ind w:left="1701" w:hanging="1701"/>
    </w:pPr>
    <w:rPr>
      <w:b/>
    </w:rPr>
  </w:style>
  <w:style w:type="paragraph" w:customStyle="1" w:styleId="Spiegel-1">
    <w:name w:val="Spiegel-1"/>
    <w:basedOn w:val="Normal"/>
    <w:link w:val="Spiegel-1Zchn"/>
    <w:uiPriority w:val="99"/>
    <w:rsid w:val="00DC21D1"/>
    <w:pPr>
      <w:numPr>
        <w:numId w:val="9"/>
      </w:numPr>
      <w:tabs>
        <w:tab w:val="left" w:pos="357"/>
      </w:tabs>
      <w:spacing w:before="120"/>
      <w:ind w:left="357" w:hanging="357"/>
    </w:pPr>
  </w:style>
  <w:style w:type="paragraph" w:styleId="TOC5">
    <w:name w:val="toc 5"/>
    <w:basedOn w:val="Normal"/>
    <w:next w:val="Normal"/>
    <w:autoRedefine/>
    <w:semiHidden/>
    <w:rsid w:val="00DC21D1"/>
    <w:pPr>
      <w:tabs>
        <w:tab w:val="left" w:pos="3969"/>
        <w:tab w:val="left" w:pos="9526"/>
      </w:tabs>
      <w:spacing w:before="120" w:line="240" w:lineRule="auto"/>
      <w:ind w:left="3969" w:hanging="992"/>
    </w:pPr>
    <w:rPr>
      <w:color w:val="000000" w:themeColor="text1"/>
      <w:sz w:val="20"/>
    </w:rPr>
  </w:style>
  <w:style w:type="paragraph" w:customStyle="1" w:styleId="spiegel-3">
    <w:name w:val="spiegel-3"/>
    <w:basedOn w:val="Normal"/>
    <w:qFormat/>
    <w:rsid w:val="00DC21D1"/>
    <w:pPr>
      <w:numPr>
        <w:numId w:val="8"/>
      </w:numPr>
      <w:spacing w:before="200"/>
    </w:pPr>
  </w:style>
  <w:style w:type="paragraph" w:styleId="TOC4">
    <w:name w:val="toc 4"/>
    <w:basedOn w:val="Normal"/>
    <w:next w:val="Normal"/>
    <w:autoRedefine/>
    <w:semiHidden/>
    <w:rsid w:val="00DC21D1"/>
    <w:pPr>
      <w:tabs>
        <w:tab w:val="left" w:pos="2977"/>
        <w:tab w:val="left" w:pos="9526"/>
      </w:tabs>
      <w:spacing w:before="0"/>
      <w:ind w:left="2977" w:hanging="992"/>
      <w:jc w:val="left"/>
    </w:pPr>
    <w:rPr>
      <w:color w:val="000000" w:themeColor="text1"/>
    </w:rPr>
  </w:style>
  <w:style w:type="paragraph" w:customStyle="1" w:styleId="berschriftLiteratur">
    <w:name w:val="Überschrift_Literatur"/>
    <w:basedOn w:val="Heading1"/>
    <w:rsid w:val="00DC21D1"/>
    <w:pPr>
      <w:numPr>
        <w:numId w:val="0"/>
      </w:numPr>
      <w:tabs>
        <w:tab w:val="left" w:pos="482"/>
      </w:tabs>
      <w:spacing w:before="640" w:after="320"/>
      <w:ind w:left="482" w:hanging="482"/>
    </w:pPr>
    <w:rPr>
      <w:sz w:val="30"/>
    </w:rPr>
  </w:style>
  <w:style w:type="paragraph" w:styleId="NoteHeading">
    <w:name w:val="Note Heading"/>
    <w:basedOn w:val="Normal"/>
    <w:next w:val="Normal"/>
    <w:link w:val="NoteHeadingChar"/>
    <w:rsid w:val="00DC21D1"/>
  </w:style>
  <w:style w:type="character" w:customStyle="1" w:styleId="NoteHeadingChar">
    <w:name w:val="Note Heading Char"/>
    <w:basedOn w:val="DefaultParagraphFont"/>
    <w:link w:val="NoteHeading"/>
    <w:rsid w:val="00DC21D1"/>
    <w:rPr>
      <w:rFonts w:ascii="Calibri" w:hAnsi="Calibri"/>
      <w:sz w:val="24"/>
    </w:rPr>
  </w:style>
  <w:style w:type="paragraph" w:customStyle="1" w:styleId="Zwischenberschrift">
    <w:name w:val="Zwischenüberschrift"/>
    <w:basedOn w:val="Normal"/>
    <w:next w:val="NachZwischenberschrift"/>
    <w:qFormat/>
    <w:rsid w:val="00DC21D1"/>
    <w:pPr>
      <w:keepNext/>
    </w:pPr>
    <w:rPr>
      <w:b/>
    </w:rPr>
  </w:style>
  <w:style w:type="paragraph" w:customStyle="1" w:styleId="NachZwischenberschrift">
    <w:name w:val="Nach_Zwischenüberschrift"/>
    <w:basedOn w:val="Normal"/>
    <w:next w:val="Normal"/>
    <w:qFormat/>
    <w:rsid w:val="00DC21D1"/>
    <w:pPr>
      <w:spacing w:before="120"/>
    </w:pPr>
  </w:style>
  <w:style w:type="character" w:styleId="PageNumber">
    <w:name w:val="page number"/>
    <w:basedOn w:val="DefaultParagraphFont"/>
    <w:autoRedefine/>
    <w:rsid w:val="00DC21D1"/>
    <w:rPr>
      <w:rFonts w:ascii="Calibri" w:hAnsi="Calibri"/>
      <w:b w:val="0"/>
      <w:i w:val="0"/>
      <w:caps w:val="0"/>
      <w:smallCaps w:val="0"/>
      <w:strike w:val="0"/>
      <w:dstrike w:val="0"/>
      <w:vanish w:val="0"/>
      <w:color w:val="000000" w:themeColor="text1"/>
      <w:sz w:val="19"/>
      <w:vertAlign w:val="baseline"/>
    </w:rPr>
  </w:style>
  <w:style w:type="paragraph" w:customStyle="1" w:styleId="TitelberschriftAutoren">
    <w:name w:val="Titelüberschrift_Autoren"/>
    <w:basedOn w:val="Titelberschrift"/>
    <w:rsid w:val="00DC21D1"/>
    <w:pPr>
      <w:keepNext/>
      <w:spacing w:before="240"/>
      <w:jc w:val="center"/>
    </w:pPr>
    <w:rPr>
      <w:b w:val="0"/>
      <w:color w:val="000000"/>
      <w:sz w:val="24"/>
    </w:rPr>
  </w:style>
  <w:style w:type="paragraph" w:customStyle="1" w:styleId="Zwischenberschrift2">
    <w:name w:val="Zwischenüberschrift_2"/>
    <w:basedOn w:val="Zwischenberschrift"/>
    <w:next w:val="NachZwischenberschrift"/>
    <w:qFormat/>
    <w:rsid w:val="00DC21D1"/>
    <w:rPr>
      <w:b w:val="0"/>
      <w:i/>
    </w:rPr>
  </w:style>
  <w:style w:type="paragraph" w:customStyle="1" w:styleId="Karte">
    <w:name w:val="Karte_Ü"/>
    <w:basedOn w:val="Tabelle"/>
    <w:next w:val="Grafik"/>
    <w:rsid w:val="00DC21D1"/>
    <w:pPr>
      <w:tabs>
        <w:tab w:val="left" w:pos="1701"/>
      </w:tabs>
    </w:pPr>
  </w:style>
  <w:style w:type="paragraph" w:customStyle="1" w:styleId="Abbildung">
    <w:name w:val="Abbildung_Ü"/>
    <w:basedOn w:val="Tabelle"/>
    <w:next w:val="Grafik"/>
    <w:qFormat/>
    <w:rsid w:val="00DC21D1"/>
    <w:pPr>
      <w:tabs>
        <w:tab w:val="left" w:pos="1985"/>
      </w:tabs>
      <w:ind w:left="1985" w:hanging="1985"/>
    </w:pPr>
  </w:style>
  <w:style w:type="paragraph" w:customStyle="1" w:styleId="AnhangAbbildung">
    <w:name w:val="Anhang_Abbildung_Ü"/>
    <w:basedOn w:val="Normal"/>
    <w:next w:val="Grafik"/>
    <w:qFormat/>
    <w:rsid w:val="00DC21D1"/>
    <w:pPr>
      <w:keepNext/>
      <w:tabs>
        <w:tab w:val="left" w:pos="2268"/>
      </w:tabs>
      <w:spacing w:after="240"/>
      <w:ind w:left="2268" w:hanging="2268"/>
    </w:pPr>
    <w:rPr>
      <w:b/>
    </w:rPr>
  </w:style>
  <w:style w:type="paragraph" w:customStyle="1" w:styleId="AnhangTabelle">
    <w:name w:val="Anhang_Tabelle_Ü"/>
    <w:basedOn w:val="Tabelle"/>
    <w:next w:val="Grafik"/>
    <w:qFormat/>
    <w:rsid w:val="00DC21D1"/>
  </w:style>
  <w:style w:type="paragraph" w:styleId="TOC6">
    <w:name w:val="toc 6"/>
    <w:basedOn w:val="Normal"/>
    <w:next w:val="Normal"/>
    <w:autoRedefine/>
    <w:semiHidden/>
    <w:rsid w:val="00DC21D1"/>
    <w:pPr>
      <w:tabs>
        <w:tab w:val="left" w:pos="5103"/>
        <w:tab w:val="right" w:pos="9072"/>
      </w:tabs>
      <w:spacing w:before="120" w:line="240" w:lineRule="auto"/>
      <w:ind w:left="5103" w:hanging="1134"/>
    </w:pPr>
    <w:rPr>
      <w:noProof/>
      <w:sz w:val="20"/>
    </w:rPr>
  </w:style>
  <w:style w:type="paragraph" w:customStyle="1" w:styleId="AnhangKarte">
    <w:name w:val="Anhang_Karte_Ü"/>
    <w:basedOn w:val="AnhangTabelle"/>
    <w:next w:val="Grafik"/>
    <w:qFormat/>
    <w:rsid w:val="00DC21D1"/>
  </w:style>
  <w:style w:type="paragraph" w:styleId="TOC7">
    <w:name w:val="toc 7"/>
    <w:basedOn w:val="Normal"/>
    <w:next w:val="Normal"/>
    <w:autoRedefine/>
    <w:semiHidden/>
    <w:rsid w:val="00DC21D1"/>
    <w:pPr>
      <w:tabs>
        <w:tab w:val="left" w:pos="6407"/>
        <w:tab w:val="right" w:pos="9072"/>
      </w:tabs>
      <w:spacing w:before="120" w:line="240" w:lineRule="auto"/>
      <w:ind w:left="6407" w:hanging="1304"/>
    </w:pPr>
    <w:rPr>
      <w:sz w:val="20"/>
    </w:rPr>
  </w:style>
  <w:style w:type="character" w:customStyle="1" w:styleId="Spiegel-1Zchn">
    <w:name w:val="Spiegel-1 Zchn"/>
    <w:basedOn w:val="DefaultParagraphFont"/>
    <w:link w:val="Spiegel-1"/>
    <w:uiPriority w:val="99"/>
    <w:rsid w:val="00DC21D1"/>
    <w:rPr>
      <w:rFonts w:ascii="Calibri" w:hAnsi="Calibri"/>
      <w:sz w:val="24"/>
    </w:rPr>
  </w:style>
  <w:style w:type="paragraph" w:customStyle="1" w:styleId="Spiegel-2">
    <w:name w:val="Spiegel-2"/>
    <w:basedOn w:val="Normal"/>
    <w:qFormat/>
    <w:rsid w:val="00DC21D1"/>
    <w:pPr>
      <w:numPr>
        <w:numId w:val="7"/>
      </w:numPr>
      <w:tabs>
        <w:tab w:val="left" w:pos="357"/>
      </w:tabs>
      <w:spacing w:before="120"/>
      <w:ind w:left="357" w:hanging="357"/>
    </w:pPr>
  </w:style>
  <w:style w:type="paragraph" w:styleId="TableofFigures">
    <w:name w:val="table of figures"/>
    <w:basedOn w:val="Normal"/>
    <w:next w:val="Normal"/>
    <w:uiPriority w:val="99"/>
    <w:rsid w:val="00DC21D1"/>
    <w:pPr>
      <w:tabs>
        <w:tab w:val="left" w:pos="1985"/>
        <w:tab w:val="right" w:pos="9526"/>
      </w:tabs>
      <w:spacing w:before="120"/>
      <w:ind w:left="1985" w:right="743" w:hanging="1985"/>
      <w:jc w:val="left"/>
    </w:pPr>
  </w:style>
  <w:style w:type="paragraph" w:styleId="BalloonText">
    <w:name w:val="Balloon Text"/>
    <w:basedOn w:val="Normal"/>
    <w:link w:val="BalloonTextChar"/>
    <w:rsid w:val="00DC21D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C21D1"/>
    <w:rPr>
      <w:rFonts w:ascii="Tahoma" w:hAnsi="Tahoma" w:cs="Tahoma"/>
      <w:sz w:val="16"/>
      <w:szCs w:val="16"/>
    </w:rPr>
  </w:style>
  <w:style w:type="paragraph" w:customStyle="1" w:styleId="Aberschrift1">
    <w:name w:val="A_Überschrift1"/>
    <w:basedOn w:val="Normal"/>
    <w:rsid w:val="00DC21D1"/>
    <w:pPr>
      <w:keepNext/>
      <w:keepLines/>
      <w:tabs>
        <w:tab w:val="left" w:pos="851"/>
      </w:tabs>
      <w:spacing w:before="240" w:after="120" w:line="240" w:lineRule="auto"/>
      <w:jc w:val="left"/>
    </w:pPr>
    <w:rPr>
      <w:rFonts w:ascii="Times New Roman" w:hAnsi="Times New Roman"/>
      <w:b/>
      <w:szCs w:val="24"/>
    </w:rPr>
  </w:style>
  <w:style w:type="paragraph" w:customStyle="1" w:styleId="AText">
    <w:name w:val="A_Text"/>
    <w:basedOn w:val="Normal"/>
    <w:qFormat/>
    <w:rsid w:val="00DC21D1"/>
    <w:pPr>
      <w:spacing w:before="0" w:after="60" w:line="240" w:lineRule="auto"/>
    </w:pPr>
    <w:rPr>
      <w:rFonts w:ascii="Times New Roman" w:hAnsi="Times New Roman"/>
      <w:szCs w:val="24"/>
    </w:rPr>
  </w:style>
  <w:style w:type="paragraph" w:styleId="ListParagraph">
    <w:name w:val="List Paragraph"/>
    <w:basedOn w:val="Normal"/>
    <w:uiPriority w:val="34"/>
    <w:qFormat/>
    <w:rsid w:val="00DC21D1"/>
    <w:pPr>
      <w:suppressAutoHyphens/>
      <w:spacing w:before="160" w:line="280" w:lineRule="atLeast"/>
      <w:ind w:left="720"/>
      <w:contextualSpacing/>
    </w:pPr>
    <w:rPr>
      <w:sz w:val="21"/>
    </w:rPr>
  </w:style>
  <w:style w:type="table" w:customStyle="1" w:styleId="TableGrid3">
    <w:name w:val="Table Grid3"/>
    <w:basedOn w:val="TableNormal"/>
    <w:next w:val="TableGrid"/>
    <w:rsid w:val="00DC21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C21D1"/>
    <w:pPr>
      <w:spacing w:before="0" w:line="240" w:lineRule="auto"/>
    </w:pPr>
    <w:rPr>
      <w:rFonts w:ascii="Times New Roman" w:hAnsi="Times New Roman"/>
      <w:szCs w:val="24"/>
      <w:lang w:val="fr-BE" w:eastAsia="fr-FR"/>
    </w:rPr>
  </w:style>
  <w:style w:type="character" w:customStyle="1" w:styleId="BodyTextChar">
    <w:name w:val="Body Text Char"/>
    <w:basedOn w:val="DefaultParagraphFont"/>
    <w:link w:val="BodyText"/>
    <w:rsid w:val="00DC21D1"/>
    <w:rPr>
      <w:rFonts w:ascii="Times New Roman" w:hAnsi="Times New Roman"/>
      <w:sz w:val="24"/>
      <w:szCs w:val="24"/>
      <w:lang w:val="fr-BE" w:eastAsia="fr-FR"/>
    </w:rPr>
  </w:style>
  <w:style w:type="character" w:styleId="Strong">
    <w:name w:val="Strong"/>
    <w:basedOn w:val="DefaultParagraphFont"/>
    <w:uiPriority w:val="22"/>
    <w:qFormat/>
    <w:rsid w:val="00DC21D1"/>
    <w:rPr>
      <w:b/>
      <w:bCs/>
    </w:rPr>
  </w:style>
  <w:style w:type="paragraph" w:styleId="CommentText">
    <w:name w:val="annotation text"/>
    <w:basedOn w:val="Normal"/>
    <w:link w:val="CommentTextChar"/>
    <w:uiPriority w:val="99"/>
    <w:semiHidden/>
    <w:unhideWhenUsed/>
    <w:rsid w:val="002A6138"/>
    <w:pPr>
      <w:spacing w:line="240" w:lineRule="auto"/>
    </w:pPr>
    <w:rPr>
      <w:sz w:val="20"/>
    </w:rPr>
  </w:style>
  <w:style w:type="character" w:customStyle="1" w:styleId="CommentTextChar">
    <w:name w:val="Comment Text Char"/>
    <w:basedOn w:val="DefaultParagraphFont"/>
    <w:link w:val="CommentText"/>
    <w:uiPriority w:val="99"/>
    <w:semiHidden/>
    <w:rsid w:val="002A6138"/>
    <w:rPr>
      <w:rFonts w:ascii="Calibri" w:hAnsi="Calibri"/>
    </w:rPr>
  </w:style>
  <w:style w:type="character" w:styleId="Emphasis">
    <w:name w:val="Emphasis"/>
    <w:basedOn w:val="DefaultParagraphFont"/>
    <w:uiPriority w:val="20"/>
    <w:qFormat/>
    <w:rsid w:val="00BD7475"/>
    <w:rPr>
      <w:i/>
      <w:iCs/>
    </w:rPr>
  </w:style>
  <w:style w:type="character" w:customStyle="1" w:styleId="largeboldtext">
    <w:name w:val="largeboldtext"/>
    <w:basedOn w:val="DefaultParagraphFont"/>
    <w:rsid w:val="004E3AC6"/>
  </w:style>
  <w:style w:type="character" w:customStyle="1" w:styleId="largeboldgraytext">
    <w:name w:val="largeboldgraytext"/>
    <w:basedOn w:val="DefaultParagraphFont"/>
    <w:rsid w:val="004E3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8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hibanda\Desktop\2.%20Work-station\2_PhD\1%20Journal%20papers\1%20PHD%20Papers\1_First%20Aurthorship\Paper%2011%20-%20High%20feed%20costs\GH_Comparison_FINAL.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'Analysis of costs'!$A$2</c:f>
              <c:strCache>
                <c:ptCount val="1"/>
                <c:pt idx="0">
                  <c:v>Chicks</c:v>
                </c:pt>
              </c:strCache>
            </c:strRef>
          </c:tx>
          <c:spPr>
            <a:solidFill>
              <a:schemeClr val="accent1"/>
            </a:solidFill>
            <a:ln>
              <a:noFill/>
            </a:ln>
            <a:effectLst/>
          </c:spPr>
          <c:invertIfNegative val="0"/>
          <c:cat>
            <c:strRef>
              <c:f>'Analysis of costs'!$B$1:$D$1</c:f>
              <c:strCache>
                <c:ptCount val="3"/>
                <c:pt idx="0">
                  <c:v>Small-scale </c:v>
                </c:pt>
                <c:pt idx="1">
                  <c:v>Medium-scale </c:v>
                </c:pt>
                <c:pt idx="2">
                  <c:v>Large-scale integrated </c:v>
                </c:pt>
              </c:strCache>
            </c:strRef>
          </c:cat>
          <c:val>
            <c:numRef>
              <c:f>'Analysis of costs'!$B$2:$D$2</c:f>
              <c:numCache>
                <c:formatCode>_(* #,##0.00_);_(* \(#,##0.00\);_(* "-"??_);_(@_)</c:formatCode>
                <c:ptCount val="3"/>
                <c:pt idx="0">
                  <c:v>33.830992974048193</c:v>
                </c:pt>
                <c:pt idx="1">
                  <c:v>39.519790632931404</c:v>
                </c:pt>
                <c:pt idx="2">
                  <c:v>29.495691100897172</c:v>
                </c:pt>
              </c:numCache>
            </c:numRef>
          </c:val>
          <c:extLst>
            <c:ext xmlns:c16="http://schemas.microsoft.com/office/drawing/2014/chart" uri="{C3380CC4-5D6E-409C-BE32-E72D297353CC}">
              <c16:uniqueId val="{00000000-980B-4982-AECB-B4660B5262B1}"/>
            </c:ext>
          </c:extLst>
        </c:ser>
        <c:ser>
          <c:idx val="1"/>
          <c:order val="1"/>
          <c:tx>
            <c:strRef>
              <c:f>'Analysis of costs'!$A$3</c:f>
              <c:strCache>
                <c:ptCount val="1"/>
                <c:pt idx="0">
                  <c:v>Feed </c:v>
                </c:pt>
              </c:strCache>
            </c:strRef>
          </c:tx>
          <c:spPr>
            <a:solidFill>
              <a:schemeClr val="accent3"/>
            </a:solidFill>
            <a:ln>
              <a:noFill/>
            </a:ln>
            <a:effectLst/>
          </c:spPr>
          <c:invertIfNegative val="0"/>
          <c:cat>
            <c:strRef>
              <c:f>'Analysis of costs'!$B$1:$D$1</c:f>
              <c:strCache>
                <c:ptCount val="3"/>
                <c:pt idx="0">
                  <c:v>Small-scale </c:v>
                </c:pt>
                <c:pt idx="1">
                  <c:v>Medium-scale </c:v>
                </c:pt>
                <c:pt idx="2">
                  <c:v>Large-scale integrated </c:v>
                </c:pt>
              </c:strCache>
            </c:strRef>
          </c:cat>
          <c:val>
            <c:numRef>
              <c:f>'Analysis of costs'!$B$3:$D$3</c:f>
              <c:numCache>
                <c:formatCode>#,##0.00</c:formatCode>
                <c:ptCount val="3"/>
                <c:pt idx="0">
                  <c:v>80.838871008157852</c:v>
                </c:pt>
                <c:pt idx="1">
                  <c:v>81.634055520914757</c:v>
                </c:pt>
                <c:pt idx="2">
                  <c:v>73.174595951168598</c:v>
                </c:pt>
              </c:numCache>
            </c:numRef>
          </c:val>
          <c:extLst>
            <c:ext xmlns:c16="http://schemas.microsoft.com/office/drawing/2014/chart" uri="{C3380CC4-5D6E-409C-BE32-E72D297353CC}">
              <c16:uniqueId val="{00000001-980B-4982-AECB-B4660B5262B1}"/>
            </c:ext>
          </c:extLst>
        </c:ser>
        <c:ser>
          <c:idx val="2"/>
          <c:order val="2"/>
          <c:tx>
            <c:strRef>
              <c:f>'Analysis of costs'!$A$4</c:f>
              <c:strCache>
                <c:ptCount val="1"/>
                <c:pt idx="0">
                  <c:v>Labour</c:v>
                </c:pt>
              </c:strCache>
            </c:strRef>
          </c:tx>
          <c:spPr>
            <a:solidFill>
              <a:schemeClr val="accent5"/>
            </a:solidFill>
            <a:ln>
              <a:noFill/>
            </a:ln>
            <a:effectLst/>
          </c:spPr>
          <c:invertIfNegative val="0"/>
          <c:cat>
            <c:strRef>
              <c:f>'Analysis of costs'!$B$1:$D$1</c:f>
              <c:strCache>
                <c:ptCount val="3"/>
                <c:pt idx="0">
                  <c:v>Small-scale </c:v>
                </c:pt>
                <c:pt idx="1">
                  <c:v>Medium-scale </c:v>
                </c:pt>
                <c:pt idx="2">
                  <c:v>Large-scale integrated </c:v>
                </c:pt>
              </c:strCache>
            </c:strRef>
          </c:cat>
          <c:val>
            <c:numRef>
              <c:f>'Analysis of costs'!$B$4:$D$4</c:f>
              <c:numCache>
                <c:formatCode>#,##0.00</c:formatCode>
                <c:ptCount val="3"/>
                <c:pt idx="0">
                  <c:v>23.401275660154251</c:v>
                </c:pt>
                <c:pt idx="1">
                  <c:v>10.768906636483939</c:v>
                </c:pt>
                <c:pt idx="2">
                  <c:v>27.267179081281835</c:v>
                </c:pt>
              </c:numCache>
            </c:numRef>
          </c:val>
          <c:extLst>
            <c:ext xmlns:c16="http://schemas.microsoft.com/office/drawing/2014/chart" uri="{C3380CC4-5D6E-409C-BE32-E72D297353CC}">
              <c16:uniqueId val="{00000002-980B-4982-AECB-B4660B5262B1}"/>
            </c:ext>
          </c:extLst>
        </c:ser>
        <c:ser>
          <c:idx val="3"/>
          <c:order val="3"/>
          <c:tx>
            <c:strRef>
              <c:f>'Analysis of costs'!$A$5</c:f>
              <c:strCache>
                <c:ptCount val="1"/>
                <c:pt idx="0">
                  <c:v>Vet &amp; medicine</c:v>
                </c:pt>
              </c:strCache>
            </c:strRef>
          </c:tx>
          <c:spPr>
            <a:solidFill>
              <a:schemeClr val="accent1">
                <a:lumMod val="60000"/>
              </a:schemeClr>
            </a:solidFill>
            <a:ln>
              <a:noFill/>
            </a:ln>
            <a:effectLst/>
          </c:spPr>
          <c:invertIfNegative val="0"/>
          <c:cat>
            <c:strRef>
              <c:f>'Analysis of costs'!$B$1:$D$1</c:f>
              <c:strCache>
                <c:ptCount val="3"/>
                <c:pt idx="0">
                  <c:v>Small-scale </c:v>
                </c:pt>
                <c:pt idx="1">
                  <c:v>Medium-scale </c:v>
                </c:pt>
                <c:pt idx="2">
                  <c:v>Large-scale integrated </c:v>
                </c:pt>
              </c:strCache>
            </c:strRef>
          </c:cat>
          <c:val>
            <c:numRef>
              <c:f>'Analysis of costs'!$B$5:$D$5</c:f>
              <c:numCache>
                <c:formatCode>#,##0.00</c:formatCode>
                <c:ptCount val="3"/>
                <c:pt idx="0">
                  <c:v>10.708369386277116</c:v>
                </c:pt>
                <c:pt idx="1">
                  <c:v>3.4689594000017565</c:v>
                </c:pt>
                <c:pt idx="2">
                  <c:v>23.596552880717734</c:v>
                </c:pt>
              </c:numCache>
            </c:numRef>
          </c:val>
          <c:extLst>
            <c:ext xmlns:c16="http://schemas.microsoft.com/office/drawing/2014/chart" uri="{C3380CC4-5D6E-409C-BE32-E72D297353CC}">
              <c16:uniqueId val="{00000003-980B-4982-AECB-B4660B5262B1}"/>
            </c:ext>
          </c:extLst>
        </c:ser>
        <c:ser>
          <c:idx val="4"/>
          <c:order val="4"/>
          <c:tx>
            <c:strRef>
              <c:f>'Analysis of costs'!$A$6</c:f>
              <c:strCache>
                <c:ptCount val="1"/>
                <c:pt idx="0">
                  <c:v>Other factor costs</c:v>
                </c:pt>
              </c:strCache>
            </c:strRef>
          </c:tx>
          <c:spPr>
            <a:solidFill>
              <a:schemeClr val="accent3">
                <a:lumMod val="60000"/>
              </a:schemeClr>
            </a:solidFill>
            <a:ln>
              <a:noFill/>
            </a:ln>
            <a:effectLst/>
          </c:spPr>
          <c:invertIfNegative val="0"/>
          <c:cat>
            <c:strRef>
              <c:f>'Analysis of costs'!$B$1:$D$1</c:f>
              <c:strCache>
                <c:ptCount val="3"/>
                <c:pt idx="0">
                  <c:v>Small-scale </c:v>
                </c:pt>
                <c:pt idx="1">
                  <c:v>Medium-scale </c:v>
                </c:pt>
                <c:pt idx="2">
                  <c:v>Large-scale integrated </c:v>
                </c:pt>
              </c:strCache>
            </c:strRef>
          </c:cat>
          <c:val>
            <c:numRef>
              <c:f>'Analysis of costs'!$B$6:$D$6</c:f>
              <c:numCache>
                <c:formatCode>#,##0</c:formatCode>
                <c:ptCount val="3"/>
                <c:pt idx="0">
                  <c:v>8.2942510318904645</c:v>
                </c:pt>
                <c:pt idx="1">
                  <c:v>3.0629831422150957</c:v>
                </c:pt>
                <c:pt idx="2">
                  <c:v>2.5592623375717376</c:v>
                </c:pt>
              </c:numCache>
            </c:numRef>
          </c:val>
          <c:extLst>
            <c:ext xmlns:c16="http://schemas.microsoft.com/office/drawing/2014/chart" uri="{C3380CC4-5D6E-409C-BE32-E72D297353CC}">
              <c16:uniqueId val="{00000004-980B-4982-AECB-B4660B5262B1}"/>
            </c:ext>
          </c:extLst>
        </c:ser>
        <c:ser>
          <c:idx val="5"/>
          <c:order val="5"/>
          <c:tx>
            <c:strRef>
              <c:f>'Analysis of costs'!$A$7</c:f>
              <c:strCache>
                <c:ptCount val="1"/>
                <c:pt idx="0">
                  <c:v>Other non factor costs</c:v>
                </c:pt>
              </c:strCache>
            </c:strRef>
          </c:tx>
          <c:spPr>
            <a:solidFill>
              <a:schemeClr val="accent5">
                <a:lumMod val="60000"/>
              </a:schemeClr>
            </a:solidFill>
            <a:ln>
              <a:noFill/>
            </a:ln>
            <a:effectLst/>
          </c:spPr>
          <c:invertIfNegative val="0"/>
          <c:cat>
            <c:strRef>
              <c:f>'Analysis of costs'!$B$1:$D$1</c:f>
              <c:strCache>
                <c:ptCount val="3"/>
                <c:pt idx="0">
                  <c:v>Small-scale </c:v>
                </c:pt>
                <c:pt idx="1">
                  <c:v>Medium-scale </c:v>
                </c:pt>
                <c:pt idx="2">
                  <c:v>Large-scale integrated </c:v>
                </c:pt>
              </c:strCache>
            </c:strRef>
          </c:cat>
          <c:val>
            <c:numRef>
              <c:f>'Analysis of costs'!$B$7:$D$7</c:f>
              <c:numCache>
                <c:formatCode>0.00</c:formatCode>
                <c:ptCount val="3"/>
                <c:pt idx="0" formatCode="#,##0.00">
                  <c:v>11.301164523208413</c:v>
                </c:pt>
                <c:pt idx="1">
                  <c:v>9.9295471867245286</c:v>
                </c:pt>
                <c:pt idx="2">
                  <c:v>22.974188026337888</c:v>
                </c:pt>
              </c:numCache>
            </c:numRef>
          </c:val>
          <c:extLst>
            <c:ext xmlns:c16="http://schemas.microsoft.com/office/drawing/2014/chart" uri="{C3380CC4-5D6E-409C-BE32-E72D297353CC}">
              <c16:uniqueId val="{00000005-980B-4982-AECB-B4660B5262B1}"/>
            </c:ext>
          </c:extLst>
        </c:ser>
        <c:dLbls>
          <c:showLegendKey val="0"/>
          <c:showVal val="0"/>
          <c:showCatName val="0"/>
          <c:showSerName val="0"/>
          <c:showPercent val="0"/>
          <c:showBubbleSize val="0"/>
        </c:dLbls>
        <c:gapWidth val="150"/>
        <c:overlap val="100"/>
        <c:axId val="500190400"/>
        <c:axId val="556316560"/>
      </c:barChart>
      <c:catAx>
        <c:axId val="500190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556316560"/>
        <c:crosses val="autoZero"/>
        <c:auto val="1"/>
        <c:lblAlgn val="ctr"/>
        <c:lblOffset val="100"/>
        <c:noMultiLvlLbl val="0"/>
      </c:catAx>
      <c:valAx>
        <c:axId val="55631656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crossAx val="500190400"/>
        <c:crosses val="autoZero"/>
        <c:crossBetween val="between"/>
      </c:valAx>
      <c:spPr>
        <a:noFill/>
        <a:ln>
          <a:noFill/>
        </a:ln>
        <a:effectLst/>
      </c:spPr>
    </c:plotArea>
    <c:legend>
      <c:legendPos val="r"/>
      <c:layout>
        <c:manualLayout>
          <c:xMode val="edge"/>
          <c:yMode val="edge"/>
          <c:x val="0.75202635384862604"/>
          <c:y val="0.11768307931465646"/>
          <c:w val="0.22044520750695637"/>
          <c:h val="0.29492176675340476"/>
        </c:manualLayout>
      </c:layout>
      <c:overlay val="0"/>
      <c:spPr>
        <a:noFill/>
        <a:ln w="6350">
          <a:solidFill>
            <a:sysClr val="windowText" lastClr="000000">
              <a:lumMod val="65000"/>
              <a:lumOff val="35000"/>
            </a:sysClr>
          </a:solid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de-D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836548626910358E-2"/>
          <c:y val="2.3803161948016686E-2"/>
          <c:w val="0.65857624939739678"/>
          <c:h val="0.88562035642880066"/>
        </c:manualLayout>
      </c:layout>
      <c:barChart>
        <c:barDir val="col"/>
        <c:grouping val="stacked"/>
        <c:varyColors val="0"/>
        <c:ser>
          <c:idx val="0"/>
          <c:order val="0"/>
          <c:tx>
            <c:strRef>
              <c:f>Comparison!$A$236</c:f>
              <c:strCache>
                <c:ptCount val="1"/>
                <c:pt idx="0">
                  <c:v>Chicks</c:v>
                </c:pt>
              </c:strCache>
            </c:strRef>
          </c:tx>
          <c:spPr>
            <a:solidFill>
              <a:schemeClr val="accent1"/>
            </a:solidFill>
            <a:ln>
              <a:noFill/>
            </a:ln>
            <a:effectLst/>
          </c:spPr>
          <c:invertIfNegative val="0"/>
          <c:cat>
            <c:strRef>
              <c:f>Comparison!$B$235:$J$235</c:f>
              <c:strCache>
                <c:ptCount val="3"/>
                <c:pt idx="0">
                  <c:v>Small-scale (Thiès)</c:v>
                </c:pt>
                <c:pt idx="1">
                  <c:v>Medium-scale  (Dakar)</c:v>
                </c:pt>
                <c:pt idx="2">
                  <c:v>Medium-scale (Thiès)</c:v>
                </c:pt>
              </c:strCache>
            </c:strRef>
          </c:cat>
          <c:val>
            <c:numRef>
              <c:f>Comparison!$B$236:$J$236</c:f>
              <c:numCache>
                <c:formatCode>0.00</c:formatCode>
                <c:ptCount val="3"/>
                <c:pt idx="0">
                  <c:v>40.117978952503513</c:v>
                </c:pt>
                <c:pt idx="1">
                  <c:v>36.106181057253167</c:v>
                </c:pt>
                <c:pt idx="2">
                  <c:v>36.334832750764839</c:v>
                </c:pt>
              </c:numCache>
            </c:numRef>
          </c:val>
          <c:extLst>
            <c:ext xmlns:c16="http://schemas.microsoft.com/office/drawing/2014/chart" uri="{C3380CC4-5D6E-409C-BE32-E72D297353CC}">
              <c16:uniqueId val="{00000000-4B6E-43E5-AD07-B56E85BBEA83}"/>
            </c:ext>
          </c:extLst>
        </c:ser>
        <c:ser>
          <c:idx val="1"/>
          <c:order val="1"/>
          <c:tx>
            <c:strRef>
              <c:f>Comparison!$A$237</c:f>
              <c:strCache>
                <c:ptCount val="1"/>
                <c:pt idx="0">
                  <c:v>Feed </c:v>
                </c:pt>
              </c:strCache>
            </c:strRef>
          </c:tx>
          <c:spPr>
            <a:solidFill>
              <a:schemeClr val="accent3"/>
            </a:solidFill>
            <a:ln>
              <a:noFill/>
            </a:ln>
            <a:effectLst/>
          </c:spPr>
          <c:invertIfNegative val="0"/>
          <c:cat>
            <c:strRef>
              <c:f>Comparison!$B$235:$J$235</c:f>
              <c:strCache>
                <c:ptCount val="3"/>
                <c:pt idx="0">
                  <c:v>Small-scale (Thiès)</c:v>
                </c:pt>
                <c:pt idx="1">
                  <c:v>Medium-scale  (Dakar)</c:v>
                </c:pt>
                <c:pt idx="2">
                  <c:v>Medium-scale (Thiès)</c:v>
                </c:pt>
              </c:strCache>
            </c:strRef>
          </c:cat>
          <c:val>
            <c:numRef>
              <c:f>Comparison!$B$237:$J$237</c:f>
              <c:numCache>
                <c:formatCode>0.00</c:formatCode>
                <c:ptCount val="3"/>
                <c:pt idx="0">
                  <c:v>98.422775030141963</c:v>
                </c:pt>
                <c:pt idx="1">
                  <c:v>70.179717847579482</c:v>
                </c:pt>
                <c:pt idx="2">
                  <c:v>74.607358688306221</c:v>
                </c:pt>
              </c:numCache>
            </c:numRef>
          </c:val>
          <c:extLst>
            <c:ext xmlns:c16="http://schemas.microsoft.com/office/drawing/2014/chart" uri="{C3380CC4-5D6E-409C-BE32-E72D297353CC}">
              <c16:uniqueId val="{00000001-4B6E-43E5-AD07-B56E85BBEA83}"/>
            </c:ext>
          </c:extLst>
        </c:ser>
        <c:ser>
          <c:idx val="2"/>
          <c:order val="2"/>
          <c:tx>
            <c:strRef>
              <c:f>Comparison!$A$238</c:f>
              <c:strCache>
                <c:ptCount val="1"/>
                <c:pt idx="0">
                  <c:v>Labour</c:v>
                </c:pt>
              </c:strCache>
            </c:strRef>
          </c:tx>
          <c:spPr>
            <a:solidFill>
              <a:schemeClr val="accent5"/>
            </a:solidFill>
            <a:ln>
              <a:noFill/>
            </a:ln>
            <a:effectLst/>
          </c:spPr>
          <c:invertIfNegative val="0"/>
          <c:cat>
            <c:strRef>
              <c:f>Comparison!$B$235:$J$235</c:f>
              <c:strCache>
                <c:ptCount val="3"/>
                <c:pt idx="0">
                  <c:v>Small-scale (Thiès)</c:v>
                </c:pt>
                <c:pt idx="1">
                  <c:v>Medium-scale  (Dakar)</c:v>
                </c:pt>
                <c:pt idx="2">
                  <c:v>Medium-scale (Thiès)</c:v>
                </c:pt>
              </c:strCache>
            </c:strRef>
          </c:cat>
          <c:val>
            <c:numRef>
              <c:f>Comparison!$B$238:$J$238</c:f>
              <c:numCache>
                <c:formatCode>0.00</c:formatCode>
                <c:ptCount val="3"/>
                <c:pt idx="0">
                  <c:v>10.727437659628336</c:v>
                </c:pt>
                <c:pt idx="1">
                  <c:v>5.447252155852258</c:v>
                </c:pt>
                <c:pt idx="2">
                  <c:v>1.2172926398037658</c:v>
                </c:pt>
              </c:numCache>
            </c:numRef>
          </c:val>
          <c:extLst>
            <c:ext xmlns:c16="http://schemas.microsoft.com/office/drawing/2014/chart" uri="{C3380CC4-5D6E-409C-BE32-E72D297353CC}">
              <c16:uniqueId val="{00000002-4B6E-43E5-AD07-B56E85BBEA83}"/>
            </c:ext>
          </c:extLst>
        </c:ser>
        <c:ser>
          <c:idx val="3"/>
          <c:order val="3"/>
          <c:tx>
            <c:strRef>
              <c:f>Comparison!$A$239</c:f>
              <c:strCache>
                <c:ptCount val="1"/>
                <c:pt idx="0">
                  <c:v>Vet &amp; medicine</c:v>
                </c:pt>
              </c:strCache>
            </c:strRef>
          </c:tx>
          <c:spPr>
            <a:solidFill>
              <a:schemeClr val="accent1">
                <a:lumMod val="60000"/>
              </a:schemeClr>
            </a:solidFill>
            <a:ln>
              <a:noFill/>
            </a:ln>
            <a:effectLst/>
          </c:spPr>
          <c:invertIfNegative val="0"/>
          <c:cat>
            <c:strRef>
              <c:f>Comparison!$B$235:$J$235</c:f>
              <c:strCache>
                <c:ptCount val="3"/>
                <c:pt idx="0">
                  <c:v>Small-scale (Thiès)</c:v>
                </c:pt>
                <c:pt idx="1">
                  <c:v>Medium-scale  (Dakar)</c:v>
                </c:pt>
                <c:pt idx="2">
                  <c:v>Medium-scale (Thiès)</c:v>
                </c:pt>
              </c:strCache>
            </c:strRef>
          </c:cat>
          <c:val>
            <c:numRef>
              <c:f>Comparison!$B$239:$J$239</c:f>
              <c:numCache>
                <c:formatCode>0.00</c:formatCode>
                <c:ptCount val="3"/>
                <c:pt idx="0">
                  <c:v>9.0265452643132917</c:v>
                </c:pt>
                <c:pt idx="1">
                  <c:v>4.0117978952503517</c:v>
                </c:pt>
                <c:pt idx="2">
                  <c:v>2.5177669433274552</c:v>
                </c:pt>
              </c:numCache>
            </c:numRef>
          </c:val>
          <c:extLst>
            <c:ext xmlns:c16="http://schemas.microsoft.com/office/drawing/2014/chart" uri="{C3380CC4-5D6E-409C-BE32-E72D297353CC}">
              <c16:uniqueId val="{00000003-4B6E-43E5-AD07-B56E85BBEA83}"/>
            </c:ext>
          </c:extLst>
        </c:ser>
        <c:ser>
          <c:idx val="4"/>
          <c:order val="4"/>
          <c:tx>
            <c:strRef>
              <c:f>Comparison!$A$240</c:f>
              <c:strCache>
                <c:ptCount val="1"/>
                <c:pt idx="0">
                  <c:v>Other factor costs</c:v>
                </c:pt>
              </c:strCache>
            </c:strRef>
          </c:tx>
          <c:spPr>
            <a:solidFill>
              <a:schemeClr val="accent3">
                <a:lumMod val="60000"/>
              </a:schemeClr>
            </a:solidFill>
            <a:ln>
              <a:noFill/>
            </a:ln>
            <a:effectLst/>
          </c:spPr>
          <c:invertIfNegative val="0"/>
          <c:cat>
            <c:strRef>
              <c:f>Comparison!$B$235:$J$235</c:f>
              <c:strCache>
                <c:ptCount val="3"/>
                <c:pt idx="0">
                  <c:v>Small-scale (Thiès)</c:v>
                </c:pt>
                <c:pt idx="1">
                  <c:v>Medium-scale  (Dakar)</c:v>
                </c:pt>
                <c:pt idx="2">
                  <c:v>Medium-scale (Thiès)</c:v>
                </c:pt>
              </c:strCache>
            </c:strRef>
          </c:cat>
          <c:val>
            <c:numRef>
              <c:f>Comparison!$B$240:$J$240</c:f>
              <c:numCache>
                <c:formatCode>0.00</c:formatCode>
                <c:ptCount val="3"/>
                <c:pt idx="0">
                  <c:v>1.923592889793744</c:v>
                </c:pt>
                <c:pt idx="1">
                  <c:v>4.2739543981412371</c:v>
                </c:pt>
                <c:pt idx="2">
                  <c:v>3.9476248908631932</c:v>
                </c:pt>
              </c:numCache>
            </c:numRef>
          </c:val>
          <c:extLst>
            <c:ext xmlns:c16="http://schemas.microsoft.com/office/drawing/2014/chart" uri="{C3380CC4-5D6E-409C-BE32-E72D297353CC}">
              <c16:uniqueId val="{00000004-4B6E-43E5-AD07-B56E85BBEA83}"/>
            </c:ext>
          </c:extLst>
        </c:ser>
        <c:ser>
          <c:idx val="5"/>
          <c:order val="5"/>
          <c:tx>
            <c:strRef>
              <c:f>Comparison!$A$241</c:f>
              <c:strCache>
                <c:ptCount val="1"/>
                <c:pt idx="0">
                  <c:v>Other non factor costs</c:v>
                </c:pt>
              </c:strCache>
            </c:strRef>
          </c:tx>
          <c:spPr>
            <a:solidFill>
              <a:schemeClr val="accent5">
                <a:lumMod val="60000"/>
              </a:schemeClr>
            </a:solidFill>
            <a:ln>
              <a:noFill/>
            </a:ln>
            <a:effectLst/>
          </c:spPr>
          <c:invertIfNegative val="0"/>
          <c:cat>
            <c:strRef>
              <c:f>Comparison!$B$235:$J$235</c:f>
              <c:strCache>
                <c:ptCount val="3"/>
                <c:pt idx="0">
                  <c:v>Small-scale (Thiès)</c:v>
                </c:pt>
                <c:pt idx="1">
                  <c:v>Medium-scale  (Dakar)</c:v>
                </c:pt>
                <c:pt idx="2">
                  <c:v>Medium-scale (Thiès)</c:v>
                </c:pt>
              </c:strCache>
            </c:strRef>
          </c:cat>
          <c:val>
            <c:numRef>
              <c:f>Comparison!$B$241:$J$241</c:f>
              <c:numCache>
                <c:formatCode>0.00</c:formatCode>
                <c:ptCount val="3"/>
                <c:pt idx="0">
                  <c:v>8.1062253934208002</c:v>
                </c:pt>
                <c:pt idx="1">
                  <c:v>8.6374253654767443</c:v>
                </c:pt>
                <c:pt idx="2">
                  <c:v>4.4781152986781194</c:v>
                </c:pt>
              </c:numCache>
            </c:numRef>
          </c:val>
          <c:extLst>
            <c:ext xmlns:c16="http://schemas.microsoft.com/office/drawing/2014/chart" uri="{C3380CC4-5D6E-409C-BE32-E72D297353CC}">
              <c16:uniqueId val="{00000005-4B6E-43E5-AD07-B56E85BBEA83}"/>
            </c:ext>
          </c:extLst>
        </c:ser>
        <c:dLbls>
          <c:showLegendKey val="0"/>
          <c:showVal val="0"/>
          <c:showCatName val="0"/>
          <c:showSerName val="0"/>
          <c:showPercent val="0"/>
          <c:showBubbleSize val="0"/>
        </c:dLbls>
        <c:gapWidth val="150"/>
        <c:overlap val="100"/>
        <c:axId val="387238688"/>
        <c:axId val="148863168"/>
      </c:barChart>
      <c:catAx>
        <c:axId val="387238688"/>
        <c:scaling>
          <c:orientation val="minMax"/>
        </c:scaling>
        <c:delete val="0"/>
        <c:axPos val="b"/>
        <c:numFmt formatCode="General" sourceLinked="1"/>
        <c:majorTickMark val="out"/>
        <c:minorTickMark val="none"/>
        <c:tickLblPos val="nextTo"/>
        <c:spPr>
          <a:noFill/>
          <a:ln w="6350"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lang="en-US" sz="1050" b="0" i="0" u="none" strike="noStrike" kern="1200" baseline="0">
                <a:solidFill>
                  <a:schemeClr val="tx1"/>
                </a:solidFill>
                <a:latin typeface="+mn-lt"/>
                <a:ea typeface="+mn-ea"/>
                <a:cs typeface="Times New Roman" panose="02020603050405020304" pitchFamily="18" charset="0"/>
              </a:defRPr>
            </a:pPr>
            <a:endParaRPr lang="de-DE"/>
          </a:p>
        </c:txPr>
        <c:crossAx val="148863168"/>
        <c:crosses val="autoZero"/>
        <c:auto val="1"/>
        <c:lblAlgn val="ctr"/>
        <c:lblOffset val="100"/>
        <c:noMultiLvlLbl val="0"/>
      </c:catAx>
      <c:valAx>
        <c:axId val="148863168"/>
        <c:scaling>
          <c:orientation val="minMax"/>
          <c:max val="200"/>
        </c:scaling>
        <c:delete val="0"/>
        <c:axPos val="l"/>
        <c:majorGridlines>
          <c:spPr>
            <a:ln w="6350" cap="flat" cmpd="sng" algn="ctr">
              <a:solidFill>
                <a:schemeClr val="tx1"/>
              </a:solidFill>
              <a:prstDash val="solid"/>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Times New Roman" panose="02020603050405020304" pitchFamily="18" charset="0"/>
              </a:defRPr>
            </a:pPr>
            <a:endParaRPr lang="de-DE"/>
          </a:p>
        </c:txPr>
        <c:crossAx val="387238688"/>
        <c:crosses val="autoZero"/>
        <c:crossBetween val="between"/>
      </c:valAx>
      <c:spPr>
        <a:noFill/>
        <a:ln>
          <a:noFill/>
        </a:ln>
        <a:effectLst/>
      </c:spPr>
    </c:plotArea>
    <c:legend>
      <c:legendPos val="b"/>
      <c:layout>
        <c:manualLayout>
          <c:xMode val="edge"/>
          <c:yMode val="edge"/>
          <c:x val="0.73009717770241123"/>
          <c:y val="1.0052328882087231E-2"/>
          <c:w val="0.22707984810169404"/>
          <c:h val="0.35417890553649445"/>
        </c:manualLayout>
      </c:layout>
      <c:overlay val="0"/>
      <c:spPr>
        <a:noFill/>
        <a:ln>
          <a:solidFill>
            <a:sysClr val="windowText" lastClr="000000">
              <a:lumMod val="65000"/>
              <a:lumOff val="35000"/>
            </a:sysClr>
          </a:solid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Times New Roman" panose="02020603050405020304" pitchFamily="18" charset="0"/>
            </a:defRPr>
          </a:pPr>
          <a:endParaRPr lang="de-D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1000" b="0" i="0" u="none" strike="noStrike" kern="1200" baseline="0">
          <a:solidFill>
            <a:schemeClr val="tx1"/>
          </a:solidFill>
          <a:latin typeface="+mn-lt"/>
          <a:ea typeface="+mn-ea"/>
          <a:cs typeface="+mn-cs"/>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828B38320EB42EE92CFD44CF34BF082"/>
        <w:category>
          <w:name w:val="Allgemein"/>
          <w:gallery w:val="placeholder"/>
        </w:category>
        <w:types>
          <w:type w:val="bbPlcHdr"/>
        </w:types>
        <w:behaviors>
          <w:behavior w:val="content"/>
        </w:behaviors>
        <w:guid w:val="{E54FEF2A-4300-4DCA-AC41-1975FECD8BCF}"/>
      </w:docPartPr>
      <w:docPartBody>
        <w:p w:rsidR="00CD567E" w:rsidRDefault="002C690E" w:rsidP="002C690E">
          <w:pPr>
            <w:pStyle w:val="5828B38320EB42EE92CFD44CF34BF082"/>
          </w:pPr>
          <w:r w:rsidRPr="00177D8B">
            <w:rPr>
              <w:rStyle w:val="PlaceholderText"/>
            </w:rPr>
            <w:t>Click or tap here to enter text.</w:t>
          </w:r>
        </w:p>
      </w:docPartBody>
    </w:docPart>
    <w:docPart>
      <w:docPartPr>
        <w:name w:val="673AB32AB9F942858305D3D1674060DD"/>
        <w:category>
          <w:name w:val="Allgemein"/>
          <w:gallery w:val="placeholder"/>
        </w:category>
        <w:types>
          <w:type w:val="bbPlcHdr"/>
        </w:types>
        <w:behaviors>
          <w:behavior w:val="content"/>
        </w:behaviors>
        <w:guid w:val="{5BFD1062-08AD-4EBA-BAB1-6B2769FFE561}"/>
      </w:docPartPr>
      <w:docPartBody>
        <w:p w:rsidR="00CD567E" w:rsidRDefault="002C690E" w:rsidP="002C690E">
          <w:pPr>
            <w:pStyle w:val="673AB32AB9F942858305D3D1674060DD"/>
          </w:pPr>
          <w:r w:rsidRPr="000A3536">
            <w:rPr>
              <w:rStyle w:val="PlaceholderText"/>
            </w:rPr>
            <w:t>Click or tap here to enter text.</w:t>
          </w:r>
        </w:p>
      </w:docPartBody>
    </w:docPart>
    <w:docPart>
      <w:docPartPr>
        <w:name w:val="218C062171CC4C49A2887AC82716EEB4"/>
        <w:category>
          <w:name w:val="Allgemein"/>
          <w:gallery w:val="placeholder"/>
        </w:category>
        <w:types>
          <w:type w:val="bbPlcHdr"/>
        </w:types>
        <w:behaviors>
          <w:behavior w:val="content"/>
        </w:behaviors>
        <w:guid w:val="{5DA90430-0E85-4DD6-AC63-5CDD5D5801BC}"/>
      </w:docPartPr>
      <w:docPartBody>
        <w:p w:rsidR="00CD567E" w:rsidRDefault="002C690E" w:rsidP="002C690E">
          <w:pPr>
            <w:pStyle w:val="218C062171CC4C49A2887AC82716EEB4"/>
          </w:pPr>
          <w:r w:rsidRPr="000A35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90E"/>
    <w:rsid w:val="002C690E"/>
    <w:rsid w:val="00530BA7"/>
    <w:rsid w:val="00CD567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90E"/>
    <w:rPr>
      <w:color w:val="808080"/>
    </w:rPr>
  </w:style>
  <w:style w:type="paragraph" w:customStyle="1" w:styleId="5828B38320EB42EE92CFD44CF34BF082">
    <w:name w:val="5828B38320EB42EE92CFD44CF34BF082"/>
    <w:rsid w:val="002C690E"/>
  </w:style>
  <w:style w:type="paragraph" w:customStyle="1" w:styleId="673AB32AB9F942858305D3D1674060DD">
    <w:name w:val="673AB32AB9F942858305D3D1674060DD"/>
    <w:rsid w:val="002C690E"/>
  </w:style>
  <w:style w:type="paragraph" w:customStyle="1" w:styleId="218C062171CC4C49A2887AC82716EEB4">
    <w:name w:val="218C062171CC4C49A2887AC82716EEB4"/>
    <w:rsid w:val="002C6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CA5F2C1-CD99-43F0-97E0-9454B976A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6450</Words>
  <Characters>57075</Characters>
  <Application>Microsoft Office Word</Application>
  <DocSecurity>0</DocSecurity>
  <Lines>475</Lines>
  <Paragraphs>126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Th?nen Institut</Company>
  <LinksUpToDate>false</LinksUpToDate>
  <CharactersWithSpaces>63399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Pelikan</dc:creator>
  <cp:keywords/>
  <dc:description/>
  <cp:lastModifiedBy>Omid Zamani</cp:lastModifiedBy>
  <cp:revision>18</cp:revision>
  <cp:lastPrinted>2021-10-06T11:18:00Z</cp:lastPrinted>
  <dcterms:created xsi:type="dcterms:W3CDTF">2022-04-05T15:17:00Z</dcterms:created>
  <dcterms:modified xsi:type="dcterms:W3CDTF">2022-04-14T20:48:00Z</dcterms:modified>
</cp:coreProperties>
</file>