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71569" w14:textId="5B1603CB" w:rsidR="004A7154" w:rsidRPr="00593A5D" w:rsidRDefault="00645A28" w:rsidP="00593A5D">
      <w:pPr>
        <w:pStyle w:val="Title"/>
        <w:keepNext/>
        <w:keepLines/>
        <w:widowControl/>
        <w:jc w:val="center"/>
        <w:rPr>
          <w:rFonts w:asciiTheme="minorHAnsi" w:hAnsiTheme="minorHAnsi" w:cstheme="minorHAnsi"/>
        </w:rPr>
      </w:pPr>
      <w:r w:rsidRPr="00593A5D">
        <w:rPr>
          <w:rFonts w:asciiTheme="minorHAnsi" w:hAnsiTheme="minorHAnsi" w:cstheme="minorHAnsi"/>
        </w:rPr>
        <w:t xml:space="preserve">The impact of the African Continental Free Trade Area: an evaluation with </w:t>
      </w:r>
      <w:r w:rsidR="003568C9" w:rsidRPr="00593A5D">
        <w:rPr>
          <w:rFonts w:asciiTheme="minorHAnsi" w:hAnsiTheme="minorHAnsi" w:cstheme="minorHAnsi"/>
        </w:rPr>
        <w:t xml:space="preserve">a </w:t>
      </w:r>
      <w:r w:rsidRPr="00593A5D">
        <w:rPr>
          <w:rFonts w:asciiTheme="minorHAnsi" w:hAnsiTheme="minorHAnsi" w:cstheme="minorHAnsi"/>
        </w:rPr>
        <w:t>modelling of informal cross-border trade</w:t>
      </w:r>
    </w:p>
    <w:p w14:paraId="3A40C3D2" w14:textId="77777777" w:rsidR="004A7154" w:rsidRPr="00593A5D" w:rsidRDefault="00645A28" w:rsidP="003568C9">
      <w:pPr>
        <w:pStyle w:val="Title"/>
        <w:keepNext/>
        <w:keepLines/>
        <w:widowControl/>
        <w:jc w:val="right"/>
        <w:rPr>
          <w:rFonts w:asciiTheme="minorHAnsi" w:hAnsiTheme="minorHAnsi" w:cstheme="minorHAnsi"/>
          <w:b/>
          <w:bCs/>
          <w:i/>
          <w:iCs/>
          <w:sz w:val="22"/>
          <w:szCs w:val="22"/>
          <w:lang w:val="fr-FR"/>
        </w:rPr>
      </w:pPr>
      <w:r w:rsidRPr="00593A5D">
        <w:rPr>
          <w:rFonts w:asciiTheme="minorHAnsi" w:hAnsiTheme="minorHAnsi" w:cstheme="minorHAnsi"/>
          <w:b/>
          <w:bCs/>
          <w:i/>
          <w:iCs/>
          <w:sz w:val="22"/>
          <w:szCs w:val="22"/>
          <w:lang w:val="fr-FR"/>
        </w:rPr>
        <w:t>Antoine Bouët</w:t>
      </w:r>
      <w:r w:rsidR="004A7154" w:rsidRPr="00593A5D">
        <w:rPr>
          <w:rFonts w:asciiTheme="minorHAnsi" w:hAnsiTheme="minorHAnsi" w:cstheme="minorHAnsi"/>
          <w:b/>
          <w:bCs/>
          <w:i/>
          <w:iCs/>
          <w:sz w:val="22"/>
          <w:szCs w:val="22"/>
          <w:lang w:val="fr-FR"/>
        </w:rPr>
        <w:t xml:space="preserve"> (IFPRI)</w:t>
      </w:r>
      <w:r w:rsidRPr="00593A5D">
        <w:rPr>
          <w:rFonts w:asciiTheme="minorHAnsi" w:hAnsiTheme="minorHAnsi" w:cstheme="minorHAnsi"/>
          <w:b/>
          <w:bCs/>
          <w:i/>
          <w:iCs/>
          <w:sz w:val="22"/>
          <w:szCs w:val="22"/>
          <w:lang w:val="fr-FR"/>
        </w:rPr>
        <w:t xml:space="preserve"> </w:t>
      </w:r>
    </w:p>
    <w:p w14:paraId="387AE747" w14:textId="70A9B990" w:rsidR="004A7154" w:rsidRPr="00593A5D" w:rsidRDefault="00645A28" w:rsidP="003568C9">
      <w:pPr>
        <w:pStyle w:val="Title"/>
        <w:keepNext/>
        <w:keepLines/>
        <w:widowControl/>
        <w:jc w:val="right"/>
        <w:rPr>
          <w:rFonts w:asciiTheme="minorHAnsi" w:hAnsiTheme="minorHAnsi" w:cstheme="minorHAnsi"/>
          <w:b/>
          <w:bCs/>
          <w:i/>
          <w:iCs/>
          <w:sz w:val="22"/>
          <w:szCs w:val="22"/>
          <w:lang w:val="fr-FR"/>
        </w:rPr>
      </w:pPr>
      <w:r w:rsidRPr="00593A5D">
        <w:rPr>
          <w:rFonts w:asciiTheme="minorHAnsi" w:hAnsiTheme="minorHAnsi" w:cstheme="minorHAnsi"/>
          <w:b/>
          <w:bCs/>
          <w:i/>
          <w:iCs/>
          <w:sz w:val="22"/>
          <w:szCs w:val="22"/>
          <w:lang w:val="fr-FR"/>
        </w:rPr>
        <w:t xml:space="preserve">David Laborde </w:t>
      </w:r>
      <w:r w:rsidR="004A7154" w:rsidRPr="00593A5D">
        <w:rPr>
          <w:rFonts w:asciiTheme="minorHAnsi" w:hAnsiTheme="minorHAnsi" w:cstheme="minorHAnsi"/>
          <w:b/>
          <w:bCs/>
          <w:i/>
          <w:iCs/>
          <w:sz w:val="22"/>
          <w:szCs w:val="22"/>
          <w:lang w:val="fr-FR"/>
        </w:rPr>
        <w:t>(IFPRI)</w:t>
      </w:r>
    </w:p>
    <w:p w14:paraId="15A0EBB6" w14:textId="7CA09B83" w:rsidR="00645A28" w:rsidRPr="00593A5D" w:rsidRDefault="00645A28" w:rsidP="003568C9">
      <w:pPr>
        <w:pStyle w:val="Title"/>
        <w:keepNext/>
        <w:keepLines/>
        <w:widowControl/>
        <w:jc w:val="right"/>
        <w:rPr>
          <w:rFonts w:asciiTheme="minorHAnsi" w:hAnsiTheme="minorHAnsi" w:cstheme="minorHAnsi"/>
          <w:b/>
          <w:bCs/>
          <w:i/>
          <w:iCs/>
          <w:sz w:val="22"/>
          <w:szCs w:val="22"/>
        </w:rPr>
      </w:pPr>
      <w:r w:rsidRPr="00593A5D">
        <w:rPr>
          <w:rFonts w:asciiTheme="minorHAnsi" w:hAnsiTheme="minorHAnsi" w:cstheme="minorHAnsi"/>
          <w:b/>
          <w:bCs/>
          <w:i/>
          <w:iCs/>
          <w:sz w:val="22"/>
          <w:szCs w:val="22"/>
        </w:rPr>
        <w:t xml:space="preserve">Fousseini Traoré </w:t>
      </w:r>
      <w:r w:rsidR="004A7154" w:rsidRPr="00593A5D">
        <w:rPr>
          <w:rFonts w:asciiTheme="minorHAnsi" w:hAnsiTheme="minorHAnsi" w:cstheme="minorHAnsi"/>
          <w:b/>
          <w:bCs/>
          <w:i/>
          <w:iCs/>
          <w:sz w:val="22"/>
          <w:szCs w:val="22"/>
        </w:rPr>
        <w:t>(IFPRI)</w:t>
      </w:r>
    </w:p>
    <w:p w14:paraId="002220D9" w14:textId="0C3534F6" w:rsidR="00645A28" w:rsidRDefault="00645A28" w:rsidP="003568C9">
      <w:pPr>
        <w:pStyle w:val="Heading1"/>
      </w:pPr>
      <w:r w:rsidRPr="00645A28">
        <w:t>Introduction</w:t>
      </w:r>
    </w:p>
    <w:p w14:paraId="720245DA" w14:textId="69420488" w:rsidR="00A83D48" w:rsidRPr="00C2046F" w:rsidRDefault="00252223" w:rsidP="00957624">
      <w:proofErr w:type="gramStart"/>
      <w:r w:rsidRPr="00CD521F">
        <w:t>Africa</w:t>
      </w:r>
      <w:r>
        <w:t>‘</w:t>
      </w:r>
      <w:proofErr w:type="gramEnd"/>
      <w:r>
        <w:t>s trade</w:t>
      </w:r>
      <w:r w:rsidR="00CD521F" w:rsidRPr="00CD521F">
        <w:t xml:space="preserve"> integration has been considered for a decade as a priority strategy for the economic development of the continent. In July 2019, the African heads of state launched the African Continental Free Trade Area</w:t>
      </w:r>
      <w:r w:rsidR="006F7677">
        <w:t xml:space="preserve"> (</w:t>
      </w:r>
      <w:proofErr w:type="spellStart"/>
      <w:r w:rsidR="006F7677">
        <w:t>AfCFTA</w:t>
      </w:r>
      <w:proofErr w:type="spellEnd"/>
      <w:r w:rsidR="006F7677">
        <w:t>)</w:t>
      </w:r>
      <w:r w:rsidR="00CD521F" w:rsidRPr="00CD521F">
        <w:t xml:space="preserve"> in Niamey (Niger). </w:t>
      </w:r>
      <w:r w:rsidR="00CD521F" w:rsidRPr="00C2046F">
        <w:t>This</w:t>
      </w:r>
      <w:r w:rsidR="006F7677">
        <w:t xml:space="preserve"> trade reform</w:t>
      </w:r>
      <w:r w:rsidR="00CD521F" w:rsidRPr="00C2046F">
        <w:t xml:space="preserve"> began on January 1, 2021.</w:t>
      </w:r>
    </w:p>
    <w:p w14:paraId="29552394" w14:textId="1617EC17" w:rsidR="00957624" w:rsidRPr="00C2046F" w:rsidRDefault="00C2046F" w:rsidP="00C2046F">
      <w:r w:rsidRPr="00C2046F">
        <w:t xml:space="preserve">From an economic point of view, this initiative is justified. First, the costs of intra-African trade are particularly high, not only customs duties and non-tariff measures, but also costs related to customs procedures, transport and communication infrastructure, insurance and credit, foreign exchange risk management, security, administrative </w:t>
      </w:r>
      <w:proofErr w:type="gramStart"/>
      <w:r w:rsidRPr="00C2046F">
        <w:t>harassment</w:t>
      </w:r>
      <w:proofErr w:type="gramEnd"/>
      <w:r w:rsidRPr="00C2046F">
        <w:t xml:space="preserve"> and corruption.</w:t>
      </w:r>
      <w:r w:rsidR="00E4665E">
        <w:rPr>
          <w:rStyle w:val="FootnoteReference"/>
        </w:rPr>
        <w:footnoteReference w:id="1"/>
      </w:r>
      <w:r w:rsidRPr="00C2046F">
        <w:t xml:space="preserve"> Second, the level of intra-African trade as a share of total trade appears low and, more importantly, has not increased in the last 15 years. In this regard, Figure 1 shows the evolution of the share of intra-African agricultural exports and imports in total exports and imports between 2005 and 2020: it shows no significant progression</w:t>
      </w:r>
      <w:r>
        <w:t>.</w:t>
      </w:r>
    </w:p>
    <w:p w14:paraId="3C519488" w14:textId="145050F5" w:rsidR="00593A5D" w:rsidRPr="00593A5D" w:rsidRDefault="00593A5D" w:rsidP="00593A5D">
      <w:pPr>
        <w:pStyle w:val="Graph"/>
      </w:pPr>
      <w:bookmarkStart w:id="0" w:name="_Ref99362393"/>
      <w:r w:rsidRPr="00593A5D">
        <w:t>Share of intra-African agric</w:t>
      </w:r>
      <w:r>
        <w:t>ultural trade in total agricultural trade – 2005-2020</w:t>
      </w:r>
      <w:bookmarkEnd w:id="0"/>
    </w:p>
    <w:p w14:paraId="4325A330" w14:textId="0409CE83" w:rsidR="00593A5D" w:rsidRDefault="00593A5D" w:rsidP="00593A5D">
      <w:pPr>
        <w:pStyle w:val="NoSpacing"/>
        <w:rPr>
          <w:lang w:val="fr-FR"/>
        </w:rPr>
      </w:pPr>
      <w:r>
        <w:rPr>
          <w:noProof/>
        </w:rPr>
        <w:drawing>
          <wp:inline distT="0" distB="0" distL="0" distR="0" wp14:anchorId="07442A8B" wp14:editId="590E7161">
            <wp:extent cx="5697940" cy="2647666"/>
            <wp:effectExtent l="0" t="0" r="17145" b="635"/>
            <wp:docPr id="1" name="Chart 1">
              <a:extLst xmlns:a="http://schemas.openxmlformats.org/drawingml/2006/main">
                <a:ext uri="{FF2B5EF4-FFF2-40B4-BE49-F238E27FC236}">
                  <a16:creationId xmlns:a16="http://schemas.microsoft.com/office/drawing/2014/main" id="{2E177706-85B5-48C9-9658-18F9C9307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74468A1" w14:textId="666EA9AD" w:rsidR="00593A5D" w:rsidRPr="00252223" w:rsidRDefault="00593A5D" w:rsidP="00593A5D">
      <w:pPr>
        <w:pStyle w:val="Source"/>
      </w:pPr>
      <w:r w:rsidRPr="00252223">
        <w:t>Source: AATM 2022 and authors’ calculation</w:t>
      </w:r>
    </w:p>
    <w:p w14:paraId="6992CE8F" w14:textId="6C42DA86" w:rsidR="00A83D48" w:rsidRPr="00C2046F" w:rsidRDefault="00E4665E" w:rsidP="00C2046F">
      <w:r>
        <w:t>Third</w:t>
      </w:r>
      <w:r w:rsidR="00252223">
        <w:t>, a</w:t>
      </w:r>
      <w:r w:rsidR="00C2046F" w:rsidRPr="00C2046F">
        <w:t xml:space="preserve">nother justification for the </w:t>
      </w:r>
      <w:proofErr w:type="spellStart"/>
      <w:r w:rsidR="006F7677">
        <w:t>AfCFTA</w:t>
      </w:r>
      <w:proofErr w:type="spellEnd"/>
      <w:r w:rsidR="006F7677" w:rsidRPr="00C2046F">
        <w:t xml:space="preserve"> </w:t>
      </w:r>
      <w:r w:rsidR="00C2046F" w:rsidRPr="00C2046F">
        <w:t xml:space="preserve">is in the product structure of African trade. Extra-African exports, especially in the agricultural sector, are mainly unprocessed exports and African imports from the rest of the world are </w:t>
      </w:r>
      <w:r w:rsidR="006F7677" w:rsidRPr="00C2046F">
        <w:t xml:space="preserve">mainly </w:t>
      </w:r>
      <w:r w:rsidR="00C2046F" w:rsidRPr="00C2046F">
        <w:t xml:space="preserve">semi-processed or processed imports. However, intra-African trade, particularly in the agricultural and food sectors, shows a growing trend toward trade in processed </w:t>
      </w:r>
      <w:r w:rsidR="00C2046F" w:rsidRPr="00C2046F">
        <w:lastRenderedPageBreak/>
        <w:t>products and the emergence of regional value chains</w:t>
      </w:r>
      <w:r w:rsidR="004E099C" w:rsidRPr="00C2046F">
        <w:t>.</w:t>
      </w:r>
      <w:r w:rsidR="004E099C">
        <w:rPr>
          <w:rStyle w:val="FootnoteReference"/>
          <w:lang w:val="fr-FR"/>
        </w:rPr>
        <w:footnoteReference w:id="2"/>
      </w:r>
      <w:r w:rsidR="004E099C" w:rsidRPr="00C2046F">
        <w:t xml:space="preserve"> </w:t>
      </w:r>
      <w:r w:rsidR="00252223">
        <w:t xml:space="preserve">Therefore it can be argued that the continental trade </w:t>
      </w:r>
      <w:proofErr w:type="spellStart"/>
      <w:r w:rsidR="00252223">
        <w:t>intregration</w:t>
      </w:r>
      <w:proofErr w:type="spellEnd"/>
      <w:r w:rsidR="00252223">
        <w:t xml:space="preserve"> will increase production and exports of </w:t>
      </w:r>
      <w:proofErr w:type="gramStart"/>
      <w:r w:rsidR="00252223">
        <w:t>high-value</w:t>
      </w:r>
      <w:proofErr w:type="gramEnd"/>
      <w:r w:rsidR="00252223">
        <w:t xml:space="preserve"> added products in Africa. </w:t>
      </w:r>
    </w:p>
    <w:p w14:paraId="1F0D496C" w14:textId="6DC412F3" w:rsidR="009D1974" w:rsidRPr="00C2046F" w:rsidRDefault="00E4665E" w:rsidP="00973E82">
      <w:r>
        <w:t>Fourth, t</w:t>
      </w:r>
      <w:r w:rsidR="00C2046F" w:rsidRPr="00C2046F">
        <w:t xml:space="preserve">he creation of a continent-wide free trade area can finally give competitive African producers better access to a market that is larger than a country or </w:t>
      </w:r>
      <w:r>
        <w:t xml:space="preserve">a </w:t>
      </w:r>
      <w:r w:rsidR="00C2046F" w:rsidRPr="00C2046F">
        <w:t>Regional Economic Community and growing rapidly due to demographics and economic activity. At the same time, it can improve African households' access to cheaper products and more variety.</w:t>
      </w:r>
      <w:r w:rsidR="009F066C" w:rsidRPr="00C2046F">
        <w:t xml:space="preserve">  </w:t>
      </w:r>
    </w:p>
    <w:p w14:paraId="13C53484" w14:textId="57CB0AEB" w:rsidR="00C2046F" w:rsidRPr="00C2046F" w:rsidRDefault="00C2046F" w:rsidP="00C2046F">
      <w:r w:rsidRPr="00C2046F">
        <w:t>Initial assessments of the impact of this trade agreement have concluded positively</w:t>
      </w:r>
      <w:r w:rsidR="006F7677">
        <w:t xml:space="preserve"> on the benefits of this reform</w:t>
      </w:r>
      <w:r w:rsidRPr="00C2046F">
        <w:t>, especially if the negotiations focus on non-tariff measures, services, and trade facilitation: Section 3 of this chapter thus compares studies conducted on this topic by the World Bank, UNECA in collaboration with CEPII, IFPRI, and the JRC.</w:t>
      </w:r>
      <w:r w:rsidR="00E4665E">
        <w:rPr>
          <w:rStyle w:val="FootnoteReference"/>
        </w:rPr>
        <w:footnoteReference w:id="3"/>
      </w:r>
      <w:r w:rsidRPr="00C2046F">
        <w:t xml:space="preserve"> This literature review gives an optimistic view of the potential of the </w:t>
      </w:r>
      <w:proofErr w:type="spellStart"/>
      <w:r w:rsidR="008E4C70">
        <w:t>AfCFTA</w:t>
      </w:r>
      <w:proofErr w:type="spellEnd"/>
      <w:r w:rsidRPr="00C2046F">
        <w:t xml:space="preserve"> in terms of trade creation and contribution to economic activity and African households</w:t>
      </w:r>
      <w:r w:rsidR="009B5FDE">
        <w:t xml:space="preserve">’ </w:t>
      </w:r>
      <w:r w:rsidR="009B5FDE" w:rsidRPr="00C2046F">
        <w:t>welfare</w:t>
      </w:r>
      <w:r w:rsidRPr="00C2046F">
        <w:t xml:space="preserve">. </w:t>
      </w:r>
    </w:p>
    <w:p w14:paraId="036CF388" w14:textId="7DED22BC" w:rsidR="00AA441D" w:rsidRPr="00C2046F" w:rsidRDefault="00C2046F" w:rsidP="00C2046F">
      <w:r w:rsidRPr="00C2046F">
        <w:t xml:space="preserve">However, these assessments do not </w:t>
      </w:r>
      <w:proofErr w:type="gramStart"/>
      <w:r w:rsidRPr="00C2046F">
        <w:t>take into account</w:t>
      </w:r>
      <w:proofErr w:type="gramEnd"/>
      <w:r w:rsidRPr="00C2046F">
        <w:t xml:space="preserve"> a key feature of African trade, particularly agricultural trade: the importance of informal trade. There are several definitions of informal trade (see Section 4) or forms of informal trade, depending on whether it is carried out by the informal sector or is not registered by customs authorities. An important feature of informal trade is that it is generally not recorded in customs statistics.</w:t>
      </w:r>
      <w:r w:rsidR="004B0030">
        <w:rPr>
          <w:rStyle w:val="FootnoteReference"/>
          <w:lang w:val="fr-FR"/>
        </w:rPr>
        <w:footnoteReference w:id="4"/>
      </w:r>
      <w:r w:rsidR="004B0030" w:rsidRPr="00C2046F">
        <w:t xml:space="preserve"> </w:t>
      </w:r>
      <w:r w:rsidRPr="00C2046F">
        <w:t xml:space="preserve">Thus, the assessments of the </w:t>
      </w:r>
      <w:proofErr w:type="spellStart"/>
      <w:r w:rsidR="006F7677">
        <w:t>AfCFTA</w:t>
      </w:r>
      <w:proofErr w:type="spellEnd"/>
      <w:r w:rsidRPr="00C2046F">
        <w:t xml:space="preserve"> to date are based on trade data that significantly underestimate trade between African countries: according to </w:t>
      </w:r>
      <w:proofErr w:type="spellStart"/>
      <w:r w:rsidRPr="00C2046F">
        <w:t>Gaarder</w:t>
      </w:r>
      <w:proofErr w:type="spellEnd"/>
      <w:r w:rsidRPr="00C2046F">
        <w:t>, Luke, and Sommer (2021), i</w:t>
      </w:r>
      <w:r w:rsidR="006F7677">
        <w:t>nformal trade</w:t>
      </w:r>
      <w:r w:rsidRPr="00C2046F">
        <w:t xml:space="preserve"> accounts for between 7 percent and 16 percent of official intra-African trade flows, and between 30 percent and 72 percent of official trade between neighboring countries. According to this "preliminary estimate," the underestimation of intra-African trade by official databases is significant.</w:t>
      </w:r>
      <w:r w:rsidR="0090319E" w:rsidRPr="00C2046F">
        <w:t xml:space="preserve"> </w:t>
      </w:r>
    </w:p>
    <w:p w14:paraId="4AC053D6" w14:textId="236ECCB0" w:rsidR="00A83D48" w:rsidRPr="00EB4596" w:rsidRDefault="00EB4596" w:rsidP="007C30C4">
      <w:r>
        <w:t>Yet t</w:t>
      </w:r>
      <w:r w:rsidRPr="00EB4596">
        <w:t xml:space="preserve">he consequences of a trade agreement, or more generally of a reduction in </w:t>
      </w:r>
      <w:r>
        <w:t>trading</w:t>
      </w:r>
      <w:r w:rsidRPr="00EB4596">
        <w:t xml:space="preserve"> costs, depend on the initial size of trade. We can identify two channels through which this underestimation can play a role in assessing the impact of a trade agreement.</w:t>
      </w:r>
      <w:r w:rsidR="0090319E" w:rsidRPr="00EB4596">
        <w:t xml:space="preserve"> </w:t>
      </w:r>
    </w:p>
    <w:p w14:paraId="2D7065DF" w14:textId="47FD920B" w:rsidR="008A0E4C" w:rsidRPr="00C2046F" w:rsidRDefault="00C2046F" w:rsidP="00664DEA">
      <w:r w:rsidRPr="00C2046F">
        <w:t xml:space="preserve">First, a size effect is clearly at play. Arnaud </w:t>
      </w:r>
      <w:proofErr w:type="spellStart"/>
      <w:r w:rsidRPr="00C2046F">
        <w:t>Costinot</w:t>
      </w:r>
      <w:proofErr w:type="spellEnd"/>
      <w:r w:rsidRPr="00C2046F">
        <w:t xml:space="preserve"> and Andrés Rodriguez-Clare (2014) show that the benefit (welfare for economists) that a nation derives from a variation in international trade costs depends on the variation in the share of national expenditure on local products and the elasticity of trade with respect to </w:t>
      </w:r>
      <w:r w:rsidR="00EB4596">
        <w:t>trading</w:t>
      </w:r>
      <w:r w:rsidRPr="00C2046F">
        <w:t xml:space="preserve"> costs. For the same variation in trad</w:t>
      </w:r>
      <w:r w:rsidR="00EB4596">
        <w:t>ing</w:t>
      </w:r>
      <w:r w:rsidRPr="00C2046F">
        <w:t xml:space="preserve"> costs, this variation in the share of national expenditure </w:t>
      </w:r>
      <w:r w:rsidR="00EB4596" w:rsidRPr="00C2046F">
        <w:t xml:space="preserve">on local products </w:t>
      </w:r>
      <w:r w:rsidRPr="00C2046F">
        <w:t>will be smaller for a large country or for a country that initially trades little.</w:t>
      </w:r>
      <w:r w:rsidR="008A0E4C">
        <w:rPr>
          <w:rStyle w:val="FootnoteReference"/>
          <w:lang w:val="fr-FR"/>
        </w:rPr>
        <w:footnoteReference w:id="5"/>
      </w:r>
      <w:r w:rsidR="008A0E4C" w:rsidRPr="00C2046F">
        <w:t xml:space="preserve"> </w:t>
      </w:r>
      <w:r w:rsidRPr="00C2046F">
        <w:t xml:space="preserve">If intra-African trade is higher than initially expected, the share of domestic spending on local products is automatically lower, and the change in this share for some reduction in trade costs should be higher, which should therefore lead to the conclusion of larger trade-generating and welfare-enhancing effects of the </w:t>
      </w:r>
      <w:proofErr w:type="spellStart"/>
      <w:r w:rsidR="00EB4596">
        <w:t>AfCFTA</w:t>
      </w:r>
      <w:proofErr w:type="spellEnd"/>
      <w:r w:rsidRPr="00C2046F">
        <w:t>.</w:t>
      </w:r>
      <w:r w:rsidR="00D32266" w:rsidRPr="00C2046F">
        <w:t xml:space="preserve"> </w:t>
      </w:r>
    </w:p>
    <w:p w14:paraId="0B08AA92" w14:textId="0CA31733" w:rsidR="00664DEA" w:rsidRPr="00045B93" w:rsidRDefault="00C2046F" w:rsidP="00664DEA">
      <w:r w:rsidRPr="00C2046F">
        <w:t xml:space="preserve">Second, there is also a trade structure effect. Indeed, informal trade in Africa is essentially between neighboring countries. </w:t>
      </w:r>
      <w:proofErr w:type="gramStart"/>
      <w:r w:rsidRPr="00C2046F">
        <w:t>Generally</w:t>
      </w:r>
      <w:proofErr w:type="gramEnd"/>
      <w:r w:rsidRPr="00C2046F">
        <w:t xml:space="preserve"> in Africa, neighboring countries belong to the same Regional Economic Community (REC): there are 212 country contiguities on the African continent, and among these</w:t>
      </w:r>
      <w:r w:rsidR="00EB4596">
        <w:t xml:space="preserve"> 212 </w:t>
      </w:r>
      <w:r w:rsidR="00EB4596" w:rsidRPr="00C2046F">
        <w:t>pairs of contiguous countries</w:t>
      </w:r>
      <w:r w:rsidRPr="00C2046F">
        <w:t xml:space="preserve">, 160 belong to the same REC, </w:t>
      </w:r>
      <w:r w:rsidRPr="009B5FDE">
        <w:rPr>
          <w:i/>
          <w:iCs/>
        </w:rPr>
        <w:t>i.e.</w:t>
      </w:r>
      <w:r w:rsidRPr="00C2046F">
        <w:t xml:space="preserve"> 75.5% of cases.</w:t>
      </w:r>
      <w:r w:rsidR="00131EFA">
        <w:rPr>
          <w:rStyle w:val="FootnoteReference"/>
          <w:lang w:val="fr-FR"/>
        </w:rPr>
        <w:footnoteReference w:id="6"/>
      </w:r>
      <w:r w:rsidR="009B5FDE">
        <w:t xml:space="preserve"> </w:t>
      </w:r>
      <w:r w:rsidR="00045B93" w:rsidRPr="00045B93">
        <w:t xml:space="preserve">Informal trade in Africa </w:t>
      </w:r>
      <w:r w:rsidR="00EB4596">
        <w:t>takes many forms</w:t>
      </w:r>
      <w:r w:rsidR="00045B93" w:rsidRPr="00045B93">
        <w:t xml:space="preserve">. It can take the form of individuals crossing a border with small quantities that </w:t>
      </w:r>
      <w:r w:rsidR="00045B93" w:rsidRPr="00045B93">
        <w:lastRenderedPageBreak/>
        <w:t xml:space="preserve">customs officials tolerate without registering; it is then trade between bordering countries that can take place between countries belonging to the same REC (for example, between Uganda and Kenya as recorded by UBOS at the Busia border post - see https://www.ubos.org/explore-statistics/10/) or not belonging to the same REC (for example, between Uganda and the DR Congo as recorded by UBOS at the </w:t>
      </w:r>
      <w:proofErr w:type="spellStart"/>
      <w:r w:rsidR="00045B93" w:rsidRPr="00045B93">
        <w:t>Goli</w:t>
      </w:r>
      <w:proofErr w:type="spellEnd"/>
      <w:r w:rsidR="00045B93" w:rsidRPr="00045B93">
        <w:t xml:space="preserve"> border post</w:t>
      </w:r>
      <w:r w:rsidR="00063983">
        <w:t xml:space="preserve"> – see same website</w:t>
      </w:r>
      <w:r w:rsidR="00045B93" w:rsidRPr="00045B93">
        <w:t>)</w:t>
      </w:r>
      <w:r w:rsidR="00EB4596">
        <w:t>.</w:t>
      </w:r>
      <w:r w:rsidR="00045B93" w:rsidRPr="00045B93">
        <w:t xml:space="preserve"> </w:t>
      </w:r>
      <w:r w:rsidR="00063983">
        <w:t xml:space="preserve">Another illustration comes from </w:t>
      </w:r>
      <w:r w:rsidR="00045B93" w:rsidRPr="00045B93">
        <w:t>West Africa,</w:t>
      </w:r>
      <w:r w:rsidR="00063983">
        <w:t xml:space="preserve"> where</w:t>
      </w:r>
      <w:r w:rsidR="00045B93" w:rsidRPr="00045B93">
        <w:t xml:space="preserve"> a significant portion of trade between ECOWAS countries is not recorded by customs officials because it is not subject to tax collection, whether it is carried out in small quantities by individuals in the informal sector or by trucks of formal sector companies. </w:t>
      </w:r>
      <w:r w:rsidR="00063983">
        <w:t>However, i</w:t>
      </w:r>
      <w:r w:rsidR="00045B93" w:rsidRPr="00045B93">
        <w:t xml:space="preserve">n the same region, a significant portion of trade between Benin and Nigeria is smuggled through border crossings without customs officers, simply because Nigeria does not comply with ECOWAS obligations and levies duties on its imports from Benin or imposes import bans. This pattern of informal trade is important to the subject of this study because either the data correction will add trade on borders that impose costs on trade in the form of tariffs or non-tariff measures and the implementation of the </w:t>
      </w:r>
      <w:proofErr w:type="spellStart"/>
      <w:r w:rsidR="005644B4">
        <w:t>AfCFTA</w:t>
      </w:r>
      <w:proofErr w:type="spellEnd"/>
      <w:r w:rsidR="005644B4" w:rsidRPr="00045B93">
        <w:t xml:space="preserve"> </w:t>
      </w:r>
      <w:r w:rsidR="00045B93" w:rsidRPr="00045B93">
        <w:t xml:space="preserve">will likely find even larger welfare and activity gains, or it will add trade on borders between countries that are already trading </w:t>
      </w:r>
      <w:proofErr w:type="gramStart"/>
      <w:r w:rsidR="00045B93" w:rsidRPr="00045B93">
        <w:t>freely</w:t>
      </w:r>
      <w:proofErr w:type="gramEnd"/>
      <w:r w:rsidR="00045B93" w:rsidRPr="00045B93">
        <w:t xml:space="preserve"> and the effect will be indeterminate.</w:t>
      </w:r>
      <w:r w:rsidR="00A77CDC" w:rsidRPr="00045B93">
        <w:t xml:space="preserve"> </w:t>
      </w:r>
    </w:p>
    <w:p w14:paraId="72B4D71A" w14:textId="19173486" w:rsidR="00B847AB" w:rsidRPr="00045B93" w:rsidRDefault="00045B93" w:rsidP="00973E82">
      <w:r w:rsidRPr="00045B93">
        <w:t xml:space="preserve">Our study also seeks to consider the impact of the </w:t>
      </w:r>
      <w:proofErr w:type="spellStart"/>
      <w:r w:rsidR="005644B4">
        <w:t>AfCFTA</w:t>
      </w:r>
      <w:proofErr w:type="spellEnd"/>
      <w:r w:rsidR="005644B4" w:rsidRPr="00045B93">
        <w:t xml:space="preserve"> </w:t>
      </w:r>
      <w:r w:rsidRPr="00045B93">
        <w:t xml:space="preserve">on the share of trade that is informal. </w:t>
      </w:r>
      <w:r w:rsidR="00063983">
        <w:t xml:space="preserve">This why we propose a modelling of traders’ decision between formal and informal channels. </w:t>
      </w:r>
      <w:r w:rsidRPr="00045B93">
        <w:t>In Africa</w:t>
      </w:r>
      <w:r w:rsidR="00063983">
        <w:t xml:space="preserve"> like elsewhere</w:t>
      </w:r>
      <w:r w:rsidRPr="00045B93">
        <w:t>, traders make a trade-off between declaring trade and incurring costs or not declaring trade and incurring fewer costs while taking a risk. Reducing the costs of trade can be expected to reduce the share of trade that is informal</w:t>
      </w:r>
      <w:r w:rsidR="005644B4">
        <w:t>, but it may not eliminate it</w:t>
      </w:r>
      <w:r w:rsidRPr="00045B93">
        <w:t>. By modeling the decision to use the formal or informal trade channel, it is possible to show an additional positive effect of the agreement on government revenues (customs duties remain after the agreement, but because they are reduced, informal traders formalize their operations</w:t>
      </w:r>
      <w:r w:rsidR="005644B4">
        <w:t xml:space="preserve"> and the </w:t>
      </w:r>
      <w:proofErr w:type="gramStart"/>
      <w:r w:rsidR="005644B4">
        <w:t>amount</w:t>
      </w:r>
      <w:proofErr w:type="gramEnd"/>
      <w:r w:rsidR="005644B4">
        <w:t xml:space="preserve"> of customs duties can augment</w:t>
      </w:r>
      <w:r w:rsidRPr="00045B93">
        <w:t>), and an additional positive effect on the welfare of traders (they take less risk) or consumers (health standards are more respected).</w:t>
      </w:r>
      <w:r w:rsidR="00AD68B7" w:rsidRPr="00045B93">
        <w:t xml:space="preserve"> </w:t>
      </w:r>
    </w:p>
    <w:p w14:paraId="1E0D4DBA" w14:textId="1E3F24BE" w:rsidR="00B847AB" w:rsidRPr="00045B93" w:rsidRDefault="00045B93" w:rsidP="00F57AE7">
      <w:r w:rsidRPr="00045B93">
        <w:t xml:space="preserve">Our objective here is to assess the potential trade and economic consequences of the </w:t>
      </w:r>
      <w:proofErr w:type="spellStart"/>
      <w:r w:rsidRPr="00045B93">
        <w:t>AfCFTA</w:t>
      </w:r>
      <w:proofErr w:type="spellEnd"/>
      <w:r w:rsidRPr="00045B93">
        <w:t xml:space="preserve"> by modeling African informal trade and incorporating estimates of its importance in the data that underlie this estimation. We use a dynamic multi-sectoral computable general equilibrium model for this purpose: MIRAGRODEP. Trade data augmentation is done using initiatives that measure informal trade, such as the Interstate Committee for Drought Control in the Sahel in West Africa.</w:t>
      </w:r>
      <w:r w:rsidR="00F57AE7" w:rsidRPr="00045B93">
        <w:t xml:space="preserve"> </w:t>
      </w:r>
    </w:p>
    <w:p w14:paraId="2B6BC828" w14:textId="0A2EE7B8" w:rsidR="00F57AE7" w:rsidRDefault="00045B93" w:rsidP="00F57AE7">
      <w:pPr>
        <w:rPr>
          <w:lang w:val="fr-FR"/>
        </w:rPr>
      </w:pPr>
      <w:r w:rsidRPr="00045B93">
        <w:t xml:space="preserve">Section 2 presents the status of the </w:t>
      </w:r>
      <w:proofErr w:type="spellStart"/>
      <w:r w:rsidR="005644B4">
        <w:t>AfCFTA</w:t>
      </w:r>
      <w:proofErr w:type="spellEnd"/>
      <w:r w:rsidRPr="00045B93">
        <w:t xml:space="preserve">. In Section 3, we review the literature on previous evaluations of the </w:t>
      </w:r>
      <w:proofErr w:type="spellStart"/>
      <w:r w:rsidR="005644B4">
        <w:t>AfCFTA</w:t>
      </w:r>
      <w:proofErr w:type="spellEnd"/>
      <w:r w:rsidRPr="00045B93">
        <w:t xml:space="preserve">. In section 4, we show the importance of informal trade in Africa based on several ongoing and past initiatives. The MIRAGRODEP model is presented in Section 5. Section 6 presents the results of this evaluation and compares them to previous evaluations. </w:t>
      </w:r>
      <w:r w:rsidRPr="00045B93">
        <w:rPr>
          <w:lang w:val="fr-FR"/>
        </w:rPr>
        <w:t xml:space="preserve">Section 7 </w:t>
      </w:r>
      <w:proofErr w:type="spellStart"/>
      <w:r w:rsidRPr="00045B93">
        <w:rPr>
          <w:lang w:val="fr-FR"/>
        </w:rPr>
        <w:t>concludes</w:t>
      </w:r>
      <w:proofErr w:type="spellEnd"/>
      <w:r w:rsidRPr="00045B93">
        <w:rPr>
          <w:lang w:val="fr-FR"/>
        </w:rPr>
        <w:t>.</w:t>
      </w:r>
    </w:p>
    <w:p w14:paraId="1F6B77DB" w14:textId="31ED69D0" w:rsidR="00645A28" w:rsidRDefault="00645A28" w:rsidP="003568C9">
      <w:pPr>
        <w:pStyle w:val="Heading1"/>
      </w:pPr>
      <w:bookmarkStart w:id="1" w:name="_Ref99451193"/>
      <w:r w:rsidRPr="00645A28">
        <w:t>Background</w:t>
      </w:r>
      <w:r w:rsidR="00A26C86">
        <w:t>: state of completion of the AfCFTA</w:t>
      </w:r>
      <w:bookmarkEnd w:id="1"/>
    </w:p>
    <w:p w14:paraId="1EBC894D" w14:textId="576EF88B" w:rsidR="003568C9" w:rsidRDefault="006A4EFA" w:rsidP="00A26C86">
      <w:pPr>
        <w:pStyle w:val="Heading2"/>
        <w:numPr>
          <w:ilvl w:val="0"/>
          <w:numId w:val="14"/>
        </w:numPr>
      </w:pPr>
      <w:r>
        <w:t>Global perspective on the AfCFTA</w:t>
      </w:r>
    </w:p>
    <w:p w14:paraId="4A4FCF67" w14:textId="7EFF437A" w:rsidR="003A0897" w:rsidRDefault="00183BA0" w:rsidP="00973E82">
      <w:r w:rsidRPr="00292632">
        <w:rPr>
          <w:bCs/>
        </w:rPr>
        <w:t xml:space="preserve">The </w:t>
      </w:r>
      <w:proofErr w:type="spellStart"/>
      <w:r w:rsidRPr="00292632">
        <w:rPr>
          <w:bCs/>
        </w:rPr>
        <w:t>AfCFTA</w:t>
      </w:r>
      <w:proofErr w:type="spellEnd"/>
      <w:r w:rsidRPr="00292632">
        <w:rPr>
          <w:bCs/>
        </w:rPr>
        <w:t xml:space="preserve"> is a very ambitious project which aims at creating one of the largest free trade areas in the world</w:t>
      </w:r>
      <w:r w:rsidRPr="00292632">
        <w:t xml:space="preserve">. </w:t>
      </w:r>
      <w:r w:rsidR="003A0897" w:rsidRPr="00292632">
        <w:t xml:space="preserve">The Agreement establishing the AfCFTA comes with a series of protocols and annexes (Figure 1) and consists of three phases. Phase I negotiations cover trade in goods, trade in services, and the procedures of dispute settlement. Phase II include </w:t>
      </w:r>
      <w:proofErr w:type="gramStart"/>
      <w:r w:rsidR="003A0897" w:rsidRPr="00292632">
        <w:t>investment,</w:t>
      </w:r>
      <w:proofErr w:type="gramEnd"/>
      <w:r w:rsidR="003A0897" w:rsidRPr="00292632">
        <w:t xml:space="preserve"> competition policy and intellectual property rights and phase III will be conducted on e-commerce. Negotiations started in February 2016, and involved a dedicated Continental Task force, the Negotiating forum (AfCFTA-NF), the Senior Trade Officials (STOs) and the African Union Ministers of Trade (AMOT). These institutions were supported by </w:t>
      </w:r>
      <w:proofErr w:type="gramStart"/>
      <w:r w:rsidR="003A0897" w:rsidRPr="00292632">
        <w:t>Technical</w:t>
      </w:r>
      <w:proofErr w:type="gramEnd"/>
      <w:r w:rsidR="003A0897" w:rsidRPr="00292632">
        <w:t xml:space="preserve"> working groups on the topics covered in the annexes (rules of origin, sanitary and phytosanitary measures, etc.).</w:t>
      </w:r>
      <w:r w:rsidR="00EE082F">
        <w:t xml:space="preserve"> Figure 1 below presents</w:t>
      </w:r>
      <w:r w:rsidR="00DD46F6">
        <w:t xml:space="preserve"> the architecture of the agreement </w:t>
      </w:r>
      <w:r w:rsidR="00A34321">
        <w:t>as well the main phases.</w:t>
      </w:r>
    </w:p>
    <w:p w14:paraId="418F4F52" w14:textId="575851C2" w:rsidR="00A34321" w:rsidRPr="00A34321" w:rsidRDefault="00A34321" w:rsidP="00973E82">
      <w:r w:rsidRPr="00A34321">
        <w:lastRenderedPageBreak/>
        <w:t xml:space="preserve">While significant progress has been made for phase I negotiations, the operationalization and Phase II talks suffered a major delay, due partly to the COVID-19 pandemic. </w:t>
      </w:r>
      <w:r w:rsidR="001B16EE">
        <w:t xml:space="preserve">To </w:t>
      </w:r>
      <w:r w:rsidR="00E21113">
        <w:t>make up for the lost time, i</w:t>
      </w:r>
      <w:r w:rsidR="001B16EE">
        <w:t xml:space="preserve">t was decided to merge </w:t>
      </w:r>
      <w:r w:rsidRPr="00A34321">
        <w:t xml:space="preserve">phase II and Phase III </w:t>
      </w:r>
      <w:proofErr w:type="spellStart"/>
      <w:r w:rsidRPr="00A34321">
        <w:t>negotiations.The</w:t>
      </w:r>
      <w:proofErr w:type="spellEnd"/>
      <w:r w:rsidRPr="00A34321">
        <w:t xml:space="preserve"> agreement entered into force on May 30, 2019 after 54 countries</w:t>
      </w:r>
      <w:r w:rsidRPr="00BD2CFA">
        <w:rPr>
          <w:vertAlign w:val="superscript"/>
        </w:rPr>
        <w:footnoteReference w:id="7"/>
      </w:r>
      <w:r w:rsidRPr="00A34321">
        <w:t xml:space="preserve">  had signed and 28 deposited their instruments of ratification with the Chairperson of the African Union Commission (AUC)</w:t>
      </w:r>
      <w:r w:rsidR="00BD2CFA">
        <w:t>.</w:t>
      </w:r>
      <w:r w:rsidRPr="00BD2CFA">
        <w:rPr>
          <w:vertAlign w:val="superscript"/>
        </w:rPr>
        <w:footnoteReference w:id="8"/>
      </w:r>
      <w:r w:rsidRPr="00A34321">
        <w:t xml:space="preserve"> Soon thereafter, the operational phase of the agreement was launched at the 12th Extraordinary Session of the Assembly of the African Union in Niamey, Niger on July 7, 2019 with five initiatives and operational instruments: i) the product specific Rules of origin covering 90 per cent of tariff lines; ii) the online negotiating forum; iii) the monitoring and </w:t>
      </w:r>
      <w:r w:rsidR="00C73CA0">
        <w:t>reduction</w:t>
      </w:r>
      <w:r w:rsidRPr="00A34321">
        <w:t xml:space="preserve"> of non-tariff </w:t>
      </w:r>
      <w:r w:rsidR="00852C67">
        <w:t>measures (NTMs)</w:t>
      </w:r>
      <w:r w:rsidRPr="00A34321">
        <w:t xml:space="preserve">; iv) a digital payments and settlements system and v) the AU Trade Observatory. The Secretariat in charge of the implementation is hosted by Ghana and was officially handed over in August 2020. Although the </w:t>
      </w:r>
      <w:r w:rsidRPr="00A34321">
        <w:rPr>
          <w:color w:val="333333"/>
          <w:shd w:val="clear" w:color="auto" w:fill="FFFFFF"/>
        </w:rPr>
        <w:t xml:space="preserve">Secretary-General has been sworn in March 2020, </w:t>
      </w:r>
      <w:r w:rsidRPr="00A34321">
        <w:t xml:space="preserve">the Secretariat is </w:t>
      </w:r>
      <w:r w:rsidR="006335A4">
        <w:t>yet to be</w:t>
      </w:r>
      <w:r w:rsidRPr="00A34321">
        <w:t xml:space="preserve"> fully operational</w:t>
      </w:r>
      <w:r w:rsidRPr="00A34321">
        <w:rPr>
          <w:color w:val="333333"/>
          <w:shd w:val="clear" w:color="auto" w:fill="FFFFFF"/>
        </w:rPr>
        <w:t>. Furthermore, there are also outstanding budgetary issues that need to be resolved. As to the Trade Observatory, which is supposed to be the m</w:t>
      </w:r>
      <w:r w:rsidRPr="00A34321">
        <w:t xml:space="preserve">ain repository African trade data, only the beta version of the dashboard has been released in December 2020, with the technical support of the International Trade Center and the funding of the European Union. </w:t>
      </w:r>
    </w:p>
    <w:p w14:paraId="72D484B9" w14:textId="77777777" w:rsidR="003A0897" w:rsidRDefault="003A0897" w:rsidP="003A0897">
      <w:pPr>
        <w:pStyle w:val="Caption"/>
        <w:jc w:val="center"/>
        <w:rPr>
          <w:rFonts w:ascii="Calibri" w:hAnsi="Calibri" w:cs="Calibri"/>
          <w:i/>
          <w:iCs w:val="0"/>
          <w:color w:val="000000"/>
        </w:rPr>
      </w:pPr>
      <w:r>
        <w:t xml:space="preserve">Figure </w:t>
      </w:r>
      <w:r w:rsidR="003425BA">
        <w:fldChar w:fldCharType="begin"/>
      </w:r>
      <w:r w:rsidR="003425BA">
        <w:instrText xml:space="preserve"> SEQ Figure \* AR</w:instrText>
      </w:r>
      <w:r w:rsidR="003425BA">
        <w:instrText xml:space="preserve">ABIC </w:instrText>
      </w:r>
      <w:r w:rsidR="003425BA">
        <w:fldChar w:fldCharType="separate"/>
      </w:r>
      <w:r>
        <w:rPr>
          <w:noProof/>
        </w:rPr>
        <w:t>1</w:t>
      </w:r>
      <w:r w:rsidR="003425BA">
        <w:rPr>
          <w:noProof/>
        </w:rPr>
        <w:fldChar w:fldCharType="end"/>
      </w:r>
      <w:r>
        <w:t xml:space="preserve"> </w:t>
      </w:r>
      <w:r w:rsidRPr="0028619C">
        <w:t>Architecture of the AfCFTA Agreement</w:t>
      </w:r>
    </w:p>
    <w:p w14:paraId="5DF49308" w14:textId="384286DF" w:rsidR="003A0897" w:rsidRPr="00964DFF" w:rsidRDefault="004D455E" w:rsidP="003A0897">
      <w:pPr>
        <w:jc w:val="center"/>
        <w:rPr>
          <w:rFonts w:cs="Calibri"/>
          <w:i/>
          <w:iCs/>
          <w:color w:val="000000"/>
        </w:rPr>
      </w:pPr>
      <w:r>
        <w:rPr>
          <w:noProof/>
        </w:rPr>
        <w:drawing>
          <wp:inline distT="0" distB="0" distL="0" distR="0" wp14:anchorId="6B58856A" wp14:editId="5B581F57">
            <wp:extent cx="5943600" cy="4243705"/>
            <wp:effectExtent l="0" t="0" r="0" b="444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243705"/>
                    </a:xfrm>
                    <a:prstGeom prst="rect">
                      <a:avLst/>
                    </a:prstGeom>
                    <a:noFill/>
                    <a:ln>
                      <a:noFill/>
                    </a:ln>
                  </pic:spPr>
                </pic:pic>
              </a:graphicData>
            </a:graphic>
          </wp:inline>
        </w:drawing>
      </w:r>
    </w:p>
    <w:p w14:paraId="0AB9946B" w14:textId="77777777" w:rsidR="003A0897" w:rsidRDefault="003A0897" w:rsidP="003A0897">
      <w:pPr>
        <w:ind w:left="720" w:firstLine="360"/>
        <w:rPr>
          <w:rFonts w:cstheme="minorHAnsi"/>
        </w:rPr>
      </w:pPr>
      <w:r>
        <w:rPr>
          <w:rFonts w:cstheme="minorHAnsi"/>
        </w:rPr>
        <w:lastRenderedPageBreak/>
        <w:t>Source: TRALAC</w:t>
      </w:r>
    </w:p>
    <w:p w14:paraId="02F6F746" w14:textId="38279290" w:rsidR="003A0897" w:rsidRPr="000D26F1" w:rsidRDefault="003A0897" w:rsidP="000D26F1">
      <w:r>
        <w:t xml:space="preserve">The schedule of liberalization is presented in Table 2. There are two groups of countries: Least Developed countries (LDCs) and non-LDCs. Non-LDCs have 5 years to liberalize 90% of their tariff lines and 10 years for the sensitive products which constitute 7% of tariff lines. Each country can exclude up to 3% of its tariff lines </w:t>
      </w:r>
      <w:proofErr w:type="gramStart"/>
      <w:r>
        <w:t>provided that</w:t>
      </w:r>
      <w:proofErr w:type="gramEnd"/>
      <w:r>
        <w:t xml:space="preserve"> this does not represent more than 10% </w:t>
      </w:r>
      <w:r w:rsidRPr="008556DB">
        <w:t>of intra-African import value</w:t>
      </w:r>
      <w:r>
        <w:t xml:space="preserve"> (double qualification). LDCs could implement the tariff dismantling over a longer </w:t>
      </w:r>
      <w:proofErr w:type="gramStart"/>
      <w:r>
        <w:t>period of time</w:t>
      </w:r>
      <w:proofErr w:type="gramEnd"/>
      <w:r>
        <w:t xml:space="preserve">: 10 years for the first phase (90% </w:t>
      </w:r>
      <w:r w:rsidR="000F6B32">
        <w:t>o</w:t>
      </w:r>
      <w:r>
        <w:t xml:space="preserve">f tariff lines) and 13 years to liberalize sensitive products. It is worth noting that during the negotiations a group of six countries (the so-called G6) </w:t>
      </w:r>
      <w:r w:rsidRPr="007E340E">
        <w:t>consisting of five LDCs (Ethiopia, Madagascar, Malawi, Sudan, Zambia) and Zimbabwe called for a differential treatment, mainly a 15-year phase-down period for the first phase, due to the specific development challenges they face.</w:t>
      </w:r>
      <w:r>
        <w:rPr>
          <w:rFonts w:ascii="Arial" w:hAnsi="Arial" w:cs="Arial"/>
          <w:color w:val="202124"/>
          <w:shd w:val="clear" w:color="auto" w:fill="FFFFFF"/>
        </w:rPr>
        <w:t xml:space="preserve"> </w:t>
      </w:r>
      <w:r>
        <w:t xml:space="preserve">However, after these countries withdrew their reservations in 2020 and joined the rest of the parties in implementing the tariff liberalization process. </w:t>
      </w:r>
    </w:p>
    <w:p w14:paraId="03167037" w14:textId="77777777" w:rsidR="003A0897" w:rsidRPr="00331231" w:rsidRDefault="003A0897" w:rsidP="003A0897">
      <w:pPr>
        <w:pStyle w:val="Caption"/>
        <w:rPr>
          <w:rFonts w:asciiTheme="minorHAnsi" w:hAnsiTheme="minorHAnsi" w:cstheme="minorHAnsi"/>
          <w:sz w:val="22"/>
          <w:szCs w:val="22"/>
        </w:rPr>
      </w:pPr>
      <w:r>
        <w:t xml:space="preserve">Table </w:t>
      </w:r>
      <w:r w:rsidR="003425BA">
        <w:fldChar w:fldCharType="begin"/>
      </w:r>
      <w:r w:rsidR="003425BA">
        <w:instrText xml:space="preserve"> SEQ Table \* ARABIC </w:instrText>
      </w:r>
      <w:r w:rsidR="003425BA">
        <w:fldChar w:fldCharType="separate"/>
      </w:r>
      <w:r>
        <w:rPr>
          <w:noProof/>
        </w:rPr>
        <w:t>2</w:t>
      </w:r>
      <w:r w:rsidR="003425BA">
        <w:rPr>
          <w:noProof/>
        </w:rPr>
        <w:fldChar w:fldCharType="end"/>
      </w:r>
      <w:r>
        <w:t xml:space="preserve"> Schedule of liberalization</w:t>
      </w:r>
    </w:p>
    <w:tbl>
      <w:tblPr>
        <w:tblStyle w:val="IFPRITableStyle"/>
        <w:tblW w:w="0" w:type="auto"/>
        <w:tblLook w:val="04A0" w:firstRow="1" w:lastRow="0" w:firstColumn="1" w:lastColumn="0" w:noHBand="0" w:noVBand="1"/>
      </w:tblPr>
      <w:tblGrid>
        <w:gridCol w:w="2377"/>
        <w:gridCol w:w="2592"/>
        <w:gridCol w:w="2484"/>
      </w:tblGrid>
      <w:tr w:rsidR="003A0897" w:rsidRPr="001F13CD" w14:paraId="23F46123" w14:textId="77777777" w:rsidTr="007F42A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77" w:type="dxa"/>
          </w:tcPr>
          <w:p w14:paraId="0EDB9ACA" w14:textId="77777777" w:rsidR="003A0897" w:rsidRPr="001F13CD" w:rsidRDefault="003A0897" w:rsidP="007F42A8">
            <w:pPr>
              <w:keepNext/>
              <w:keepLines/>
              <w:rPr>
                <w:rFonts w:ascii="Arial" w:hAnsi="Arial" w:cs="Arial"/>
                <w:sz w:val="20"/>
                <w:szCs w:val="20"/>
              </w:rPr>
            </w:pPr>
          </w:p>
        </w:tc>
        <w:tc>
          <w:tcPr>
            <w:tcW w:w="2592" w:type="dxa"/>
          </w:tcPr>
          <w:p w14:paraId="19CE02B1" w14:textId="77777777" w:rsidR="003A0897" w:rsidRPr="001F13CD" w:rsidRDefault="003A0897" w:rsidP="007F42A8">
            <w:pPr>
              <w:keepNext/>
              <w:keepLines/>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F13CD">
              <w:rPr>
                <w:rFonts w:ascii="Arial" w:hAnsi="Arial" w:cs="Arial"/>
                <w:sz w:val="20"/>
                <w:szCs w:val="20"/>
              </w:rPr>
              <w:t>LDCs</w:t>
            </w:r>
          </w:p>
        </w:tc>
        <w:tc>
          <w:tcPr>
            <w:tcW w:w="2484" w:type="dxa"/>
          </w:tcPr>
          <w:p w14:paraId="0F49F979" w14:textId="77777777" w:rsidR="003A0897" w:rsidRPr="001F13CD" w:rsidRDefault="003A0897" w:rsidP="007F42A8">
            <w:pPr>
              <w:keepNext/>
              <w:keepLines/>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F13CD">
              <w:rPr>
                <w:rFonts w:ascii="Arial" w:hAnsi="Arial" w:cs="Arial"/>
                <w:sz w:val="20"/>
                <w:szCs w:val="20"/>
              </w:rPr>
              <w:t>Non LDCs</w:t>
            </w:r>
          </w:p>
        </w:tc>
      </w:tr>
      <w:tr w:rsidR="003A0897" w:rsidRPr="001F13CD" w14:paraId="7862EBE2" w14:textId="77777777" w:rsidTr="007F4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Pr>
          <w:p w14:paraId="713F4ECF" w14:textId="77777777" w:rsidR="003A0897" w:rsidRPr="001F13CD" w:rsidRDefault="003A0897" w:rsidP="007F42A8">
            <w:pPr>
              <w:keepNext/>
              <w:keepLines/>
              <w:rPr>
                <w:rFonts w:ascii="Arial" w:hAnsi="Arial" w:cs="Arial"/>
                <w:sz w:val="20"/>
                <w:szCs w:val="20"/>
              </w:rPr>
            </w:pPr>
            <w:r w:rsidRPr="001F13CD">
              <w:rPr>
                <w:rFonts w:ascii="Arial" w:hAnsi="Arial" w:cs="Arial"/>
                <w:color w:val="222222"/>
                <w:sz w:val="20"/>
                <w:szCs w:val="20"/>
                <w:shd w:val="clear" w:color="auto" w:fill="FFFFFF"/>
              </w:rPr>
              <w:t>Full liberalization</w:t>
            </w:r>
          </w:p>
        </w:tc>
        <w:tc>
          <w:tcPr>
            <w:tcW w:w="2592" w:type="dxa"/>
          </w:tcPr>
          <w:p w14:paraId="24BF45E6" w14:textId="77777777" w:rsidR="003A0897" w:rsidRPr="001F13CD" w:rsidRDefault="003A0897" w:rsidP="007F42A8">
            <w:pPr>
              <w:cnfStyle w:val="000000100000" w:firstRow="0" w:lastRow="0" w:firstColumn="0" w:lastColumn="0" w:oddVBand="0" w:evenVBand="0" w:oddHBand="1" w:evenHBand="0" w:firstRowFirstColumn="0" w:firstRowLastColumn="0" w:lastRowFirstColumn="0" w:lastRowLastColumn="0"/>
              <w:rPr>
                <w:rFonts w:ascii="Arial" w:hAnsi="Arial" w:cs="Arial"/>
                <w:color w:val="222222"/>
                <w:sz w:val="20"/>
                <w:szCs w:val="20"/>
              </w:rPr>
            </w:pPr>
            <w:r w:rsidRPr="001F13CD">
              <w:rPr>
                <w:rFonts w:ascii="Arial" w:hAnsi="Arial" w:cs="Arial"/>
                <w:color w:val="222222"/>
                <w:sz w:val="20"/>
                <w:szCs w:val="20"/>
              </w:rPr>
              <w:t>90% of tariff lines</w:t>
            </w:r>
          </w:p>
          <w:p w14:paraId="58E95535" w14:textId="77777777" w:rsidR="003A0897" w:rsidRPr="001F13CD" w:rsidRDefault="003A0897" w:rsidP="007F42A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1F13CD">
              <w:rPr>
                <w:rFonts w:ascii="Arial" w:hAnsi="Arial" w:cs="Arial"/>
                <w:color w:val="222222"/>
                <w:sz w:val="20"/>
                <w:szCs w:val="20"/>
              </w:rPr>
              <w:t>10-year phase down</w:t>
            </w:r>
          </w:p>
        </w:tc>
        <w:tc>
          <w:tcPr>
            <w:tcW w:w="2484" w:type="dxa"/>
          </w:tcPr>
          <w:p w14:paraId="0A76A521" w14:textId="77777777" w:rsidR="003A0897" w:rsidRPr="001F13CD" w:rsidRDefault="003A0897" w:rsidP="007F42A8">
            <w:pPr>
              <w:cnfStyle w:val="000000100000" w:firstRow="0" w:lastRow="0" w:firstColumn="0" w:lastColumn="0" w:oddVBand="0" w:evenVBand="0" w:oddHBand="1" w:evenHBand="0" w:firstRowFirstColumn="0" w:firstRowLastColumn="0" w:lastRowFirstColumn="0" w:lastRowLastColumn="0"/>
              <w:rPr>
                <w:rFonts w:ascii="Arial" w:hAnsi="Arial" w:cs="Arial"/>
                <w:color w:val="222222"/>
                <w:sz w:val="20"/>
                <w:szCs w:val="20"/>
              </w:rPr>
            </w:pPr>
            <w:r w:rsidRPr="001F13CD">
              <w:rPr>
                <w:rFonts w:ascii="Arial" w:hAnsi="Arial" w:cs="Arial"/>
                <w:color w:val="222222"/>
                <w:sz w:val="20"/>
                <w:szCs w:val="20"/>
              </w:rPr>
              <w:t>90% of tariff lines</w:t>
            </w:r>
          </w:p>
          <w:p w14:paraId="04A9926C" w14:textId="77777777" w:rsidR="003A0897" w:rsidRPr="001F13CD" w:rsidRDefault="003A0897" w:rsidP="007F42A8">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F13CD">
              <w:rPr>
                <w:rFonts w:ascii="Arial" w:hAnsi="Arial" w:cs="Arial"/>
                <w:color w:val="222222"/>
                <w:sz w:val="20"/>
                <w:szCs w:val="20"/>
              </w:rPr>
              <w:t>5-year phase down</w:t>
            </w:r>
          </w:p>
        </w:tc>
      </w:tr>
      <w:tr w:rsidR="003A0897" w:rsidRPr="001F13CD" w14:paraId="0D1D7B90" w14:textId="77777777" w:rsidTr="007F42A8">
        <w:tc>
          <w:tcPr>
            <w:cnfStyle w:val="001000000000" w:firstRow="0" w:lastRow="0" w:firstColumn="1" w:lastColumn="0" w:oddVBand="0" w:evenVBand="0" w:oddHBand="0" w:evenHBand="0" w:firstRowFirstColumn="0" w:firstRowLastColumn="0" w:lastRowFirstColumn="0" w:lastRowLastColumn="0"/>
            <w:tcW w:w="2377" w:type="dxa"/>
          </w:tcPr>
          <w:p w14:paraId="06003537" w14:textId="77777777" w:rsidR="003A0897" w:rsidRPr="001F13CD" w:rsidRDefault="003A0897" w:rsidP="007F42A8">
            <w:pPr>
              <w:keepNext/>
              <w:keepLines/>
              <w:rPr>
                <w:rFonts w:ascii="Arial" w:hAnsi="Arial" w:cs="Arial"/>
                <w:sz w:val="20"/>
                <w:szCs w:val="20"/>
              </w:rPr>
            </w:pPr>
            <w:r w:rsidRPr="001F13CD">
              <w:rPr>
                <w:rFonts w:ascii="Arial" w:hAnsi="Arial" w:cs="Arial"/>
                <w:color w:val="222222"/>
                <w:sz w:val="20"/>
                <w:szCs w:val="20"/>
                <w:shd w:val="clear" w:color="auto" w:fill="FFFFFF"/>
              </w:rPr>
              <w:t>Sensitive products</w:t>
            </w:r>
          </w:p>
        </w:tc>
        <w:tc>
          <w:tcPr>
            <w:tcW w:w="2592" w:type="dxa"/>
          </w:tcPr>
          <w:p w14:paraId="5106390D" w14:textId="77777777" w:rsidR="003A0897" w:rsidRPr="001F13CD" w:rsidRDefault="003A0897" w:rsidP="007F42A8">
            <w:pPr>
              <w:cnfStyle w:val="000000000000" w:firstRow="0" w:lastRow="0" w:firstColumn="0" w:lastColumn="0" w:oddVBand="0" w:evenVBand="0" w:oddHBand="0" w:evenHBand="0" w:firstRowFirstColumn="0" w:firstRowLastColumn="0" w:lastRowFirstColumn="0" w:lastRowLastColumn="0"/>
              <w:rPr>
                <w:rFonts w:ascii="Arial" w:hAnsi="Arial" w:cs="Arial"/>
                <w:color w:val="222222"/>
                <w:sz w:val="20"/>
                <w:szCs w:val="20"/>
              </w:rPr>
            </w:pPr>
            <w:r w:rsidRPr="001F13CD">
              <w:rPr>
                <w:rFonts w:ascii="Arial" w:hAnsi="Arial" w:cs="Arial"/>
                <w:color w:val="222222"/>
                <w:sz w:val="20"/>
                <w:szCs w:val="20"/>
              </w:rPr>
              <w:t>7% of tariff lines</w:t>
            </w:r>
          </w:p>
          <w:p w14:paraId="76C778CB" w14:textId="77777777" w:rsidR="003A0897" w:rsidRPr="001F13CD" w:rsidRDefault="003A0897" w:rsidP="007F42A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F13CD">
              <w:rPr>
                <w:rFonts w:ascii="Arial" w:hAnsi="Arial" w:cs="Arial"/>
                <w:color w:val="222222"/>
                <w:sz w:val="20"/>
                <w:szCs w:val="20"/>
                <w:shd w:val="clear" w:color="auto" w:fill="FFFFFF"/>
              </w:rPr>
              <w:t>13-year phase down</w:t>
            </w:r>
          </w:p>
        </w:tc>
        <w:tc>
          <w:tcPr>
            <w:tcW w:w="2484" w:type="dxa"/>
          </w:tcPr>
          <w:p w14:paraId="5D71F21D" w14:textId="77777777" w:rsidR="003A0897" w:rsidRPr="001F13CD" w:rsidRDefault="003A0897" w:rsidP="007F42A8">
            <w:pPr>
              <w:cnfStyle w:val="000000000000" w:firstRow="0" w:lastRow="0" w:firstColumn="0" w:lastColumn="0" w:oddVBand="0" w:evenVBand="0" w:oddHBand="0" w:evenHBand="0" w:firstRowFirstColumn="0" w:firstRowLastColumn="0" w:lastRowFirstColumn="0" w:lastRowLastColumn="0"/>
              <w:rPr>
                <w:rFonts w:ascii="Arial" w:hAnsi="Arial" w:cs="Arial"/>
                <w:color w:val="222222"/>
                <w:sz w:val="20"/>
                <w:szCs w:val="20"/>
              </w:rPr>
            </w:pPr>
            <w:r w:rsidRPr="001F13CD">
              <w:rPr>
                <w:rFonts w:ascii="Arial" w:hAnsi="Arial" w:cs="Arial"/>
                <w:color w:val="222222"/>
                <w:sz w:val="20"/>
                <w:szCs w:val="20"/>
              </w:rPr>
              <w:t>7% of tariff lines</w:t>
            </w:r>
          </w:p>
          <w:p w14:paraId="776231CD" w14:textId="77777777" w:rsidR="003A0897" w:rsidRPr="001F13CD" w:rsidRDefault="003A0897" w:rsidP="007F42A8">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F13CD">
              <w:rPr>
                <w:rFonts w:ascii="Arial" w:hAnsi="Arial" w:cs="Arial"/>
                <w:color w:val="222222"/>
                <w:sz w:val="20"/>
                <w:szCs w:val="20"/>
                <w:shd w:val="clear" w:color="auto" w:fill="FFFFFF"/>
              </w:rPr>
              <w:t>10-year phase down</w:t>
            </w:r>
          </w:p>
        </w:tc>
      </w:tr>
      <w:tr w:rsidR="003A0897" w:rsidRPr="001F13CD" w14:paraId="7B85791E" w14:textId="77777777" w:rsidTr="007F4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7" w:type="dxa"/>
          </w:tcPr>
          <w:p w14:paraId="3F1A00FB" w14:textId="77777777" w:rsidR="003A0897" w:rsidRPr="001F13CD" w:rsidRDefault="003A0897" w:rsidP="007F42A8">
            <w:pPr>
              <w:keepNext/>
              <w:keepLines/>
              <w:rPr>
                <w:rFonts w:ascii="Arial" w:hAnsi="Arial" w:cs="Arial"/>
                <w:sz w:val="20"/>
                <w:szCs w:val="20"/>
              </w:rPr>
            </w:pPr>
            <w:r w:rsidRPr="001F13CD">
              <w:rPr>
                <w:rFonts w:ascii="Arial" w:hAnsi="Arial" w:cs="Arial"/>
                <w:color w:val="222222"/>
                <w:sz w:val="20"/>
                <w:szCs w:val="20"/>
                <w:shd w:val="clear" w:color="auto" w:fill="FFFFFF"/>
              </w:rPr>
              <w:t>Excluded products</w:t>
            </w:r>
          </w:p>
        </w:tc>
        <w:tc>
          <w:tcPr>
            <w:tcW w:w="2592" w:type="dxa"/>
          </w:tcPr>
          <w:p w14:paraId="63A46377" w14:textId="77777777" w:rsidR="003A0897" w:rsidRPr="001F13CD" w:rsidRDefault="003A0897" w:rsidP="007F42A8">
            <w:pPr>
              <w:cnfStyle w:val="000000100000" w:firstRow="0" w:lastRow="0" w:firstColumn="0" w:lastColumn="0" w:oddVBand="0" w:evenVBand="0" w:oddHBand="1" w:evenHBand="0" w:firstRowFirstColumn="0" w:firstRowLastColumn="0" w:lastRowFirstColumn="0" w:lastRowLastColumn="0"/>
              <w:rPr>
                <w:rFonts w:ascii="Arial" w:hAnsi="Arial" w:cs="Arial"/>
                <w:color w:val="222222"/>
                <w:sz w:val="20"/>
                <w:szCs w:val="20"/>
              </w:rPr>
            </w:pPr>
            <w:r w:rsidRPr="001F13CD">
              <w:rPr>
                <w:rFonts w:ascii="Arial" w:hAnsi="Arial" w:cs="Arial"/>
                <w:color w:val="222222"/>
                <w:sz w:val="20"/>
                <w:szCs w:val="20"/>
              </w:rPr>
              <w:t>3% of tariff lines</w:t>
            </w:r>
          </w:p>
        </w:tc>
        <w:tc>
          <w:tcPr>
            <w:tcW w:w="2484" w:type="dxa"/>
          </w:tcPr>
          <w:p w14:paraId="3488B49B" w14:textId="77777777" w:rsidR="003A0897" w:rsidRPr="001F13CD" w:rsidRDefault="003A0897" w:rsidP="007F42A8">
            <w:pPr>
              <w:cnfStyle w:val="000000100000" w:firstRow="0" w:lastRow="0" w:firstColumn="0" w:lastColumn="0" w:oddVBand="0" w:evenVBand="0" w:oddHBand="1" w:evenHBand="0" w:firstRowFirstColumn="0" w:firstRowLastColumn="0" w:lastRowFirstColumn="0" w:lastRowLastColumn="0"/>
              <w:rPr>
                <w:rFonts w:ascii="Arial" w:hAnsi="Arial" w:cs="Arial"/>
                <w:color w:val="222222"/>
                <w:sz w:val="20"/>
                <w:szCs w:val="20"/>
              </w:rPr>
            </w:pPr>
            <w:r w:rsidRPr="001F13CD">
              <w:rPr>
                <w:rFonts w:ascii="Arial" w:hAnsi="Arial" w:cs="Arial"/>
                <w:color w:val="222222"/>
                <w:sz w:val="20"/>
                <w:szCs w:val="20"/>
              </w:rPr>
              <w:t>3% of tariff lines</w:t>
            </w:r>
          </w:p>
        </w:tc>
      </w:tr>
    </w:tbl>
    <w:p w14:paraId="4A8479CC" w14:textId="77777777" w:rsidR="003A0897" w:rsidRDefault="003A0897" w:rsidP="003A0897">
      <w:pPr>
        <w:shd w:val="clear" w:color="auto" w:fill="FFFFFF"/>
        <w:spacing w:line="390" w:lineRule="atLeast"/>
        <w:rPr>
          <w:rFonts w:cstheme="minorHAnsi"/>
          <w:color w:val="000000"/>
          <w:lang w:eastAsia="ja-JP"/>
        </w:rPr>
      </w:pPr>
      <w:r>
        <w:rPr>
          <w:rFonts w:cstheme="minorHAnsi"/>
          <w:color w:val="000000"/>
          <w:lang w:eastAsia="ja-JP"/>
        </w:rPr>
        <w:t xml:space="preserve">Source: UNECA and TRALAC </w:t>
      </w:r>
    </w:p>
    <w:p w14:paraId="5741515D" w14:textId="77777777" w:rsidR="003A0897" w:rsidRPr="004A1EBF" w:rsidRDefault="003A0897" w:rsidP="003A0897">
      <w:pPr>
        <w:shd w:val="clear" w:color="auto" w:fill="FFFFFF"/>
        <w:spacing w:line="390" w:lineRule="atLeast"/>
        <w:rPr>
          <w:rFonts w:cstheme="minorHAnsi"/>
          <w:color w:val="000000"/>
          <w:lang w:eastAsia="ja-JP"/>
        </w:rPr>
      </w:pPr>
    </w:p>
    <w:p w14:paraId="448F133A" w14:textId="1704563B" w:rsidR="006A4EFA" w:rsidRDefault="006A4EFA" w:rsidP="00A26C86">
      <w:pPr>
        <w:pStyle w:val="Heading2"/>
        <w:numPr>
          <w:ilvl w:val="0"/>
          <w:numId w:val="14"/>
        </w:numPr>
      </w:pPr>
      <w:r>
        <w:t>Current state of negotiations</w:t>
      </w:r>
    </w:p>
    <w:p w14:paraId="1C6CD221" w14:textId="1E15F855" w:rsidR="006A4EFA" w:rsidRDefault="006A4EFA" w:rsidP="00973E82">
      <w:pPr>
        <w:pStyle w:val="Heading3"/>
        <w:numPr>
          <w:ilvl w:val="0"/>
          <w:numId w:val="44"/>
        </w:numPr>
      </w:pPr>
      <w:r>
        <w:t>Details of the tariff negotiation</w:t>
      </w:r>
    </w:p>
    <w:p w14:paraId="69F11E04" w14:textId="77777777" w:rsidR="001A2AB4" w:rsidRDefault="001A2AB4" w:rsidP="001A2AB4">
      <w:pPr>
        <w:pStyle w:val="Default"/>
        <w:jc w:val="both"/>
        <w:rPr>
          <w:rFonts w:asciiTheme="minorHAnsi" w:hAnsiTheme="minorHAnsi" w:cstheme="minorHAnsi"/>
          <w:color w:val="auto"/>
          <w:sz w:val="22"/>
          <w:szCs w:val="22"/>
          <w:lang w:eastAsia="en-US"/>
        </w:rPr>
      </w:pPr>
    </w:p>
    <w:p w14:paraId="66F59957" w14:textId="612E7A06" w:rsidR="00057394" w:rsidRPr="000D26F1" w:rsidRDefault="00BC6EC7" w:rsidP="000D26F1">
      <w:r w:rsidRPr="0020739D">
        <w:t>As of January 1</w:t>
      </w:r>
      <w:r w:rsidRPr="0020739D">
        <w:rPr>
          <w:vertAlign w:val="superscript"/>
        </w:rPr>
        <w:t>st</w:t>
      </w:r>
      <w:r w:rsidRPr="0020739D">
        <w:t>, 2022,</w:t>
      </w:r>
      <w:r w:rsidR="00963911" w:rsidRPr="0020739D">
        <w:t xml:space="preserve"> </w:t>
      </w:r>
      <w:r w:rsidRPr="0020739D">
        <w:t>40</w:t>
      </w:r>
      <w:r w:rsidR="00963911" w:rsidRPr="0020739D">
        <w:t xml:space="preserve"> countries have deposited their instruments of ratification with the AUC Chairperson </w:t>
      </w:r>
      <w:r w:rsidR="0058600C" w:rsidRPr="0020739D">
        <w:t xml:space="preserve">(Table 1) </w:t>
      </w:r>
      <w:r w:rsidR="00963911" w:rsidRPr="0020739D">
        <w:t>and 4</w:t>
      </w:r>
      <w:r w:rsidR="008A0AB0" w:rsidRPr="0020739D">
        <w:t>3</w:t>
      </w:r>
      <w:r w:rsidR="00963911" w:rsidRPr="0020739D">
        <w:t xml:space="preserve"> have submitted their schedules of tariff concessions. </w:t>
      </w:r>
      <w:r w:rsidR="000C5891" w:rsidRPr="0020739D">
        <w:t xml:space="preserve">Countries that have already submitted their </w:t>
      </w:r>
      <w:r w:rsidR="00A2558F" w:rsidRPr="0020739D">
        <w:t xml:space="preserve">market access offers include those of ECOWAS, EAC, CEMAC, SACU, as well as Malawi and Mauritius. </w:t>
      </w:r>
      <w:r w:rsidR="00963911" w:rsidRPr="0020739D">
        <w:t>In the initial plan, trade under AfCFTA should have begun on July 1, 2020. However, this step had to be postponed due to the Covid-19 pandemic. Eventually, during, the Thirteenth Extraordinary Session (special meeting on the AfCFTA), in Johannesburg on December 5, 2020, the African Union decided to start trading under the AfCFTA on January 1, 2021, based on the approved schedules of tariff concessions, with agreed Rules of Origin, and Customs Documentation.</w:t>
      </w:r>
      <w:r w:rsidR="000B573E" w:rsidRPr="0020739D">
        <w:t xml:space="preserve"> However, </w:t>
      </w:r>
      <w:r w:rsidR="001A1576">
        <w:t xml:space="preserve">according to the Secretariat, </w:t>
      </w:r>
      <w:r w:rsidR="000B573E" w:rsidRPr="0020739D">
        <w:t xml:space="preserve">among the 43 </w:t>
      </w:r>
      <w:r w:rsidR="0092245E" w:rsidRPr="0020739D">
        <w:t xml:space="preserve">tariff concessions submitted, only 29 complied with the </w:t>
      </w:r>
      <w:proofErr w:type="gramStart"/>
      <w:r w:rsidR="0092245E" w:rsidRPr="0020739D">
        <w:t>negotiations</w:t>
      </w:r>
      <w:proofErr w:type="gramEnd"/>
      <w:r w:rsidR="0092245E" w:rsidRPr="0020739D">
        <w:t xml:space="preserve"> modalities. </w:t>
      </w:r>
      <w:r w:rsidR="00963911" w:rsidRPr="0020739D">
        <w:t xml:space="preserve"> </w:t>
      </w:r>
      <w:r w:rsidR="00501A47" w:rsidRPr="0020739D">
        <w:t>Furthermore, n</w:t>
      </w:r>
      <w:r w:rsidR="00963911" w:rsidRPr="0020739D">
        <w:t>egotiations are still ongoing for rules of origin</w:t>
      </w:r>
      <w:r w:rsidR="00501A47" w:rsidRPr="0020739D">
        <w:t>.</w:t>
      </w:r>
      <w:r w:rsidR="00963911" w:rsidRPr="0020739D">
        <w:t xml:space="preserve"> According to the Secretariat, </w:t>
      </w:r>
      <w:r w:rsidR="00481488" w:rsidRPr="0020739D">
        <w:t>as of January 1</w:t>
      </w:r>
      <w:r w:rsidR="00481488" w:rsidRPr="0020739D">
        <w:rPr>
          <w:vertAlign w:val="superscript"/>
        </w:rPr>
        <w:t>st</w:t>
      </w:r>
      <w:r w:rsidR="00481488" w:rsidRPr="0020739D">
        <w:t xml:space="preserve">, </w:t>
      </w:r>
      <w:r w:rsidR="00963911" w:rsidRPr="0020739D">
        <w:t>Member countries have agreed on</w:t>
      </w:r>
      <w:r w:rsidR="00F40676" w:rsidRPr="0020739D">
        <w:t xml:space="preserve"> </w:t>
      </w:r>
      <w:r w:rsidR="00481488" w:rsidRPr="0020739D">
        <w:t>87.8 of tariff lines</w:t>
      </w:r>
      <w:r w:rsidR="00F40676" w:rsidRPr="0020739D">
        <w:t>.</w:t>
      </w:r>
      <w:r w:rsidR="00963911" w:rsidRPr="0020739D">
        <w:t xml:space="preserve"> The outstanding issues are for dairy products, automotive, clothing &amp; textiles, sugar and edible oils. </w:t>
      </w:r>
    </w:p>
    <w:p w14:paraId="13264131" w14:textId="2F8CFF7A" w:rsidR="00785484" w:rsidRDefault="00FB65B0" w:rsidP="00973E82">
      <w:r w:rsidRPr="00055FAD">
        <w:t xml:space="preserve">The next important step is expected to </w:t>
      </w:r>
      <w:r w:rsidR="006E703D" w:rsidRPr="00055FAD">
        <w:t xml:space="preserve">come </w:t>
      </w:r>
      <w:r w:rsidRPr="00055FAD">
        <w:t>i</w:t>
      </w:r>
      <w:r w:rsidR="00785484" w:rsidRPr="00055FAD">
        <w:t xml:space="preserve">n February 2022, </w:t>
      </w:r>
      <w:proofErr w:type="gramStart"/>
      <w:r w:rsidR="00785484" w:rsidRPr="00055FAD">
        <w:t>w</w:t>
      </w:r>
      <w:r w:rsidRPr="00055FAD">
        <w:t xml:space="preserve">ith </w:t>
      </w:r>
      <w:r w:rsidR="00785484" w:rsidRPr="00055FAD">
        <w:t xml:space="preserve"> </w:t>
      </w:r>
      <w:r w:rsidR="006E703D" w:rsidRPr="00055FAD">
        <w:t>the</w:t>
      </w:r>
      <w:proofErr w:type="gramEnd"/>
      <w:r w:rsidR="006E703D" w:rsidRPr="00055FAD">
        <w:t xml:space="preserve"> </w:t>
      </w:r>
      <w:r w:rsidR="00785484" w:rsidRPr="00055FAD">
        <w:t xml:space="preserve"> publi</w:t>
      </w:r>
      <w:r w:rsidR="006E703D" w:rsidRPr="00055FAD">
        <w:t>cation</w:t>
      </w:r>
      <w:r w:rsidR="00785484" w:rsidRPr="00055FAD">
        <w:t xml:space="preserve"> </w:t>
      </w:r>
      <w:r w:rsidR="006E703D" w:rsidRPr="00055FAD">
        <w:t xml:space="preserve">of </w:t>
      </w:r>
      <w:r w:rsidR="00785484" w:rsidRPr="00055FAD">
        <w:t xml:space="preserve"> the AfCFTA tariff book</w:t>
      </w:r>
      <w:r w:rsidR="006E703D" w:rsidRPr="00055FAD">
        <w:t>. This</w:t>
      </w:r>
      <w:r w:rsidR="00785484" w:rsidRPr="00055FAD">
        <w:t xml:space="preserve"> will include rules of origin and the customs procedures that apply to products. </w:t>
      </w:r>
      <w:r w:rsidR="00D207A4" w:rsidRPr="00055FAD">
        <w:t>In that book t</w:t>
      </w:r>
      <w:r w:rsidR="00785484" w:rsidRPr="00055FAD">
        <w:t xml:space="preserve">raders will be able to identify </w:t>
      </w:r>
      <w:r w:rsidR="005A39D2" w:rsidRPr="00055FAD">
        <w:t xml:space="preserve">what are the associated tariffs and the rules of origin that apply to </w:t>
      </w:r>
      <w:r w:rsidR="00055FAD" w:rsidRPr="00055FAD">
        <w:t>each</w:t>
      </w:r>
      <w:r w:rsidR="00785484" w:rsidRPr="00055FAD">
        <w:t xml:space="preserve"> product</w:t>
      </w:r>
      <w:r w:rsidR="00055FAD" w:rsidRPr="00055FAD">
        <w:t xml:space="preserve">. </w:t>
      </w:r>
    </w:p>
    <w:p w14:paraId="0C3CABEE" w14:textId="77777777" w:rsidR="000D26F1" w:rsidRDefault="000D26F1" w:rsidP="000D26F1">
      <w:pPr>
        <w:pStyle w:val="Heading3"/>
        <w:numPr>
          <w:ilvl w:val="0"/>
          <w:numId w:val="44"/>
        </w:numPr>
      </w:pPr>
      <w:r>
        <w:lastRenderedPageBreak/>
        <w:t>Details of the NTMs negotiation</w:t>
      </w:r>
    </w:p>
    <w:p w14:paraId="4F31B2E0" w14:textId="249FD2CB" w:rsidR="000D26F1" w:rsidRPr="00055FAD" w:rsidRDefault="000D26F1" w:rsidP="00973E82">
      <w:r w:rsidRPr="00347C89">
        <w:t xml:space="preserve">In addition to removing tariffs, one of the main objectives of the </w:t>
      </w:r>
      <w:proofErr w:type="spellStart"/>
      <w:r w:rsidRPr="00347C89">
        <w:t>AfCFTA</w:t>
      </w:r>
      <w:proofErr w:type="spellEnd"/>
      <w:r w:rsidRPr="00347C89">
        <w:t xml:space="preserve"> is to reduce </w:t>
      </w:r>
      <w:proofErr w:type="spellStart"/>
      <w:proofErr w:type="gramStart"/>
      <w:r w:rsidRPr="00347C89">
        <w:t>non tariff</w:t>
      </w:r>
      <w:proofErr w:type="spellEnd"/>
      <w:proofErr w:type="gramEnd"/>
      <w:r w:rsidRPr="00347C89">
        <w:t xml:space="preserve"> barriers among countries. These barriers concern mainly regulatory measures such as Sanitary and Phyto sanitary measures and </w:t>
      </w:r>
      <w:proofErr w:type="gramStart"/>
      <w:r w:rsidRPr="00347C89">
        <w:t>Technical</w:t>
      </w:r>
      <w:proofErr w:type="gramEnd"/>
      <w:r w:rsidRPr="00347C89">
        <w:t xml:space="preserve"> barriers to trade that hinder trade more than tariffs in Africa. Seven categories of NTMs have been defined under the </w:t>
      </w:r>
      <w:proofErr w:type="spellStart"/>
      <w:r w:rsidRPr="00347C89">
        <w:t>AfCFTA</w:t>
      </w:r>
      <w:proofErr w:type="spellEnd"/>
      <w:r w:rsidRPr="00347C89">
        <w:t>: Government Participation in Trade and Restrictive Practices Tolerated by Government, Customs and Administrative Entry Procedures, Technical Barriers to Trade, Sanitary and Phytosanitary Measures, Specific Limitations, Charges on Imports, others</w:t>
      </w:r>
      <w:r w:rsidRPr="00E30575">
        <w:t xml:space="preserve">. </w:t>
      </w:r>
      <w:r>
        <w:t xml:space="preserve">The </w:t>
      </w:r>
      <w:r w:rsidRPr="00303237">
        <w:t>objective regarding N</w:t>
      </w:r>
      <w:r>
        <w:t>T</w:t>
      </w:r>
      <w:r w:rsidRPr="00303237">
        <w:t xml:space="preserve">Ms is twofold: reduce existing barriers and not introduce new ones. To meet these goals, an </w:t>
      </w:r>
      <w:r w:rsidRPr="00066DA2">
        <w:t xml:space="preserve">online reporting, monitoring and eliminating mechanism has been put in place. With this facility accessible at </w:t>
      </w:r>
      <w:hyperlink r:id="rId10" w:history="1">
        <w:r w:rsidRPr="00066DA2">
          <w:t>https://tradebarriers.africa/home</w:t>
        </w:r>
      </w:hyperlink>
      <w:r w:rsidRPr="00066DA2">
        <w:t xml:space="preserve">, the formal private sector and informal traders are encouraged to report any obstacle they may encounter when trading goods, such as excessive delays, illegal fees and document requirements. Furthermore, countries should </w:t>
      </w:r>
      <w:proofErr w:type="gramStart"/>
      <w:r w:rsidRPr="00066DA2">
        <w:t>establish  plans</w:t>
      </w:r>
      <w:proofErr w:type="gramEnd"/>
      <w:r w:rsidRPr="00066DA2">
        <w:t xml:space="preserve"> (matrices) for the elimination of non-tariff measures, prioritized according to their impact on intra-</w:t>
      </w:r>
      <w:r w:rsidRPr="00303237">
        <w:t>African trade.</w:t>
      </w:r>
    </w:p>
    <w:p w14:paraId="730839A7" w14:textId="2FA4A9B5" w:rsidR="00963911" w:rsidRDefault="00963911" w:rsidP="00973E82">
      <w:pPr>
        <w:pStyle w:val="Table"/>
        <w:rPr>
          <w:rFonts w:asciiTheme="minorHAnsi" w:hAnsiTheme="minorHAnsi" w:cstheme="minorHAnsi"/>
        </w:rPr>
      </w:pPr>
      <w:r>
        <w:t>Status of ratifications</w:t>
      </w:r>
      <w:r w:rsidR="001E48E7">
        <w:rPr>
          <w:rStyle w:val="FootnoteReference"/>
        </w:rPr>
        <w:footnoteReference w:id="9"/>
      </w:r>
      <w:r>
        <w:t xml:space="preserve"> </w:t>
      </w:r>
    </w:p>
    <w:tbl>
      <w:tblPr>
        <w:tblStyle w:val="IFPRITableStyle"/>
        <w:tblW w:w="0" w:type="auto"/>
        <w:tblLook w:val="04A0" w:firstRow="1" w:lastRow="0" w:firstColumn="1" w:lastColumn="0" w:noHBand="0" w:noVBand="1"/>
      </w:tblPr>
      <w:tblGrid>
        <w:gridCol w:w="7405"/>
      </w:tblGrid>
      <w:tr w:rsidR="003917E6" w:rsidRPr="001F13CD" w14:paraId="73FDA2E7" w14:textId="77777777" w:rsidTr="003917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05" w:type="dxa"/>
          </w:tcPr>
          <w:p w14:paraId="1D98A6AB" w14:textId="77777777" w:rsidR="003917E6" w:rsidRPr="001B155A" w:rsidRDefault="003917E6" w:rsidP="007F42A8">
            <w:pPr>
              <w:keepNext/>
              <w:keepLines/>
              <w:rPr>
                <w:rFonts w:asciiTheme="minorHAnsi" w:hAnsiTheme="minorHAnsi" w:cstheme="minorHAnsi"/>
                <w:sz w:val="20"/>
                <w:szCs w:val="20"/>
              </w:rPr>
            </w:pPr>
            <w:r w:rsidRPr="001B155A">
              <w:rPr>
                <w:rFonts w:asciiTheme="minorHAnsi" w:hAnsiTheme="minorHAnsi" w:cstheme="minorHAnsi"/>
                <w:sz w:val="20"/>
                <w:szCs w:val="20"/>
              </w:rPr>
              <w:t>Countries having deposited their instrument of ratification</w:t>
            </w:r>
          </w:p>
        </w:tc>
      </w:tr>
      <w:tr w:rsidR="003917E6" w:rsidRPr="001F13CD" w14:paraId="167EB0EE" w14:textId="77777777" w:rsidTr="003917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05" w:type="dxa"/>
          </w:tcPr>
          <w:p w14:paraId="645F7592" w14:textId="77777777" w:rsidR="003917E6" w:rsidRPr="001B155A" w:rsidRDefault="003917E6" w:rsidP="007F42A8">
            <w:pPr>
              <w:autoSpaceDE w:val="0"/>
              <w:autoSpaceDN w:val="0"/>
              <w:adjustRightInd w:val="0"/>
              <w:rPr>
                <w:rFonts w:asciiTheme="minorHAnsi" w:hAnsiTheme="minorHAnsi" w:cstheme="minorHAnsi"/>
                <w:color w:val="000000"/>
                <w:sz w:val="20"/>
                <w:szCs w:val="20"/>
              </w:rPr>
            </w:pPr>
          </w:p>
          <w:p w14:paraId="3D2E5368" w14:textId="093F0C24" w:rsidR="003917E6" w:rsidRPr="001B155A" w:rsidRDefault="003917E6" w:rsidP="007F42A8">
            <w:pPr>
              <w:autoSpaceDE w:val="0"/>
              <w:autoSpaceDN w:val="0"/>
              <w:adjustRightInd w:val="0"/>
              <w:rPr>
                <w:rFonts w:asciiTheme="minorHAnsi" w:hAnsiTheme="minorHAnsi" w:cstheme="minorHAnsi"/>
                <w:b w:val="0"/>
                <w:bCs/>
                <w:color w:val="000000"/>
                <w:sz w:val="20"/>
                <w:szCs w:val="20"/>
              </w:rPr>
            </w:pPr>
            <w:r w:rsidRPr="001B155A">
              <w:rPr>
                <w:rFonts w:asciiTheme="minorHAnsi" w:hAnsiTheme="minorHAnsi" w:cstheme="minorHAnsi"/>
                <w:b w:val="0"/>
                <w:bCs/>
                <w:color w:val="000000"/>
                <w:sz w:val="20"/>
                <w:szCs w:val="20"/>
              </w:rPr>
              <w:t xml:space="preserve">Algeria, Angola, Burkina Faso, Burundi, Cameroon, Central African Republic, Chad, </w:t>
            </w:r>
            <w:r w:rsidR="00A77ADB" w:rsidRPr="001B155A">
              <w:rPr>
                <w:rFonts w:asciiTheme="minorHAnsi" w:hAnsiTheme="minorHAnsi" w:cstheme="minorHAnsi"/>
                <w:b w:val="0"/>
                <w:bCs/>
                <w:color w:val="000000"/>
                <w:sz w:val="20"/>
                <w:szCs w:val="20"/>
              </w:rPr>
              <w:t xml:space="preserve">Congo, </w:t>
            </w:r>
            <w:r w:rsidRPr="001B155A">
              <w:rPr>
                <w:rFonts w:asciiTheme="minorHAnsi" w:hAnsiTheme="minorHAnsi" w:cstheme="minorHAnsi"/>
                <w:b w:val="0"/>
                <w:bCs/>
                <w:color w:val="000000"/>
                <w:sz w:val="20"/>
                <w:szCs w:val="20"/>
              </w:rPr>
              <w:t xml:space="preserve">Côte d’Ivoire, Djibouti, Egypt, </w:t>
            </w:r>
            <w:r w:rsidR="00A77ADB" w:rsidRPr="001B155A">
              <w:rPr>
                <w:rFonts w:asciiTheme="minorHAnsi" w:hAnsiTheme="minorHAnsi" w:cstheme="minorHAnsi"/>
                <w:b w:val="0"/>
                <w:bCs/>
                <w:color w:val="000000"/>
                <w:sz w:val="20"/>
                <w:szCs w:val="20"/>
              </w:rPr>
              <w:t xml:space="preserve">Equatorial Guinea, </w:t>
            </w:r>
            <w:r w:rsidRPr="001B155A">
              <w:rPr>
                <w:rFonts w:asciiTheme="minorHAnsi" w:hAnsiTheme="minorHAnsi" w:cstheme="minorHAnsi"/>
                <w:b w:val="0"/>
                <w:bCs/>
                <w:color w:val="000000"/>
                <w:sz w:val="20"/>
                <w:szCs w:val="20"/>
              </w:rPr>
              <w:t>Eswatini, Ethiopia,</w:t>
            </w:r>
            <w:r w:rsidRPr="001B155A">
              <w:rPr>
                <w:rFonts w:asciiTheme="minorHAnsi" w:hAnsiTheme="minorHAnsi" w:cstheme="minorHAnsi"/>
                <w:color w:val="000000"/>
                <w:sz w:val="20"/>
                <w:szCs w:val="20"/>
              </w:rPr>
              <w:t xml:space="preserve"> </w:t>
            </w:r>
            <w:r w:rsidRPr="001B155A">
              <w:rPr>
                <w:rFonts w:asciiTheme="minorHAnsi" w:hAnsiTheme="minorHAnsi" w:cstheme="minorHAnsi"/>
                <w:b w:val="0"/>
                <w:bCs/>
                <w:color w:val="000000"/>
                <w:sz w:val="20"/>
                <w:szCs w:val="20"/>
              </w:rPr>
              <w:t xml:space="preserve">Gabon, The Gambia, Ghana, Guinea, Kenya, Lesotho, </w:t>
            </w:r>
            <w:r w:rsidR="00A77ADB" w:rsidRPr="001B155A">
              <w:rPr>
                <w:rFonts w:asciiTheme="minorHAnsi" w:hAnsiTheme="minorHAnsi" w:cstheme="minorHAnsi"/>
                <w:b w:val="0"/>
                <w:bCs/>
                <w:color w:val="000000"/>
                <w:sz w:val="20"/>
                <w:szCs w:val="20"/>
              </w:rPr>
              <w:t xml:space="preserve">Malawi, </w:t>
            </w:r>
            <w:r w:rsidRPr="001B155A">
              <w:rPr>
                <w:rFonts w:asciiTheme="minorHAnsi" w:hAnsiTheme="minorHAnsi" w:cstheme="minorHAnsi"/>
                <w:b w:val="0"/>
                <w:bCs/>
                <w:color w:val="000000"/>
                <w:sz w:val="20"/>
                <w:szCs w:val="20"/>
              </w:rPr>
              <w:t xml:space="preserve">Mali, </w:t>
            </w:r>
            <w:r w:rsidR="00A77ADB" w:rsidRPr="001B155A">
              <w:rPr>
                <w:rFonts w:asciiTheme="minorHAnsi" w:hAnsiTheme="minorHAnsi" w:cstheme="minorHAnsi"/>
                <w:b w:val="0"/>
                <w:bCs/>
                <w:color w:val="000000"/>
                <w:sz w:val="20"/>
                <w:szCs w:val="20"/>
              </w:rPr>
              <w:t xml:space="preserve">Mauritania, </w:t>
            </w:r>
            <w:r w:rsidRPr="001B155A">
              <w:rPr>
                <w:rFonts w:asciiTheme="minorHAnsi" w:hAnsiTheme="minorHAnsi" w:cstheme="minorHAnsi"/>
                <w:b w:val="0"/>
                <w:bCs/>
                <w:color w:val="000000"/>
                <w:sz w:val="20"/>
                <w:szCs w:val="20"/>
              </w:rPr>
              <w:t xml:space="preserve">Mauritius, Namibia, Niger, Nigeria, Rwanda, Saharawi Arab Democratic Republic, Sao Tome and Principe, Senegal, Seychelles, Sierra Leone, South Africa, </w:t>
            </w:r>
            <w:proofErr w:type="spellStart"/>
            <w:proofErr w:type="gramStart"/>
            <w:r w:rsidRPr="001B155A">
              <w:rPr>
                <w:rFonts w:asciiTheme="minorHAnsi" w:hAnsiTheme="minorHAnsi" w:cstheme="minorHAnsi"/>
                <w:b w:val="0"/>
                <w:bCs/>
                <w:color w:val="000000"/>
                <w:sz w:val="20"/>
                <w:szCs w:val="20"/>
              </w:rPr>
              <w:t>Tanzania,Togo</w:t>
            </w:r>
            <w:proofErr w:type="spellEnd"/>
            <w:proofErr w:type="gramEnd"/>
            <w:r w:rsidRPr="001B155A">
              <w:rPr>
                <w:rFonts w:asciiTheme="minorHAnsi" w:hAnsiTheme="minorHAnsi" w:cstheme="minorHAnsi"/>
                <w:b w:val="0"/>
                <w:bCs/>
                <w:color w:val="000000"/>
                <w:sz w:val="20"/>
                <w:szCs w:val="20"/>
              </w:rPr>
              <w:t xml:space="preserve">, Tunisia, Uganda, Zambia, Zimbabwe </w:t>
            </w:r>
          </w:p>
          <w:p w14:paraId="35428FCE" w14:textId="77777777" w:rsidR="003917E6" w:rsidRPr="001B155A" w:rsidRDefault="003917E6" w:rsidP="007F42A8">
            <w:pPr>
              <w:keepNext/>
              <w:keepLines/>
              <w:rPr>
                <w:rFonts w:asciiTheme="minorHAnsi" w:hAnsiTheme="minorHAnsi" w:cstheme="minorHAnsi"/>
                <w:sz w:val="20"/>
                <w:szCs w:val="20"/>
              </w:rPr>
            </w:pPr>
          </w:p>
        </w:tc>
      </w:tr>
    </w:tbl>
    <w:p w14:paraId="155661B8" w14:textId="77777777" w:rsidR="00963911" w:rsidRDefault="00963911" w:rsidP="00963911">
      <w:pPr>
        <w:pStyle w:val="Default"/>
        <w:ind w:left="720"/>
        <w:jc w:val="both"/>
        <w:rPr>
          <w:rFonts w:asciiTheme="minorHAnsi" w:hAnsiTheme="minorHAnsi" w:cstheme="minorHAnsi"/>
          <w:color w:val="auto"/>
          <w:sz w:val="22"/>
          <w:szCs w:val="22"/>
          <w:lang w:eastAsia="en-US"/>
        </w:rPr>
      </w:pPr>
    </w:p>
    <w:p w14:paraId="5CCF2172" w14:textId="65308669" w:rsidR="00963911" w:rsidRPr="00C73CA0" w:rsidRDefault="007A7C23" w:rsidP="00973E82">
      <w:pPr>
        <w:pStyle w:val="Source"/>
        <w:rPr>
          <w:rFonts w:ascii="Arial" w:hAnsi="Arial" w:cs="Arial"/>
          <w:sz w:val="24"/>
          <w:szCs w:val="24"/>
        </w:rPr>
      </w:pPr>
      <w:r>
        <w:t>Source: African Union</w:t>
      </w:r>
    </w:p>
    <w:p w14:paraId="70E94C76" w14:textId="65F8756A" w:rsidR="002C3EB4" w:rsidRDefault="00645A28" w:rsidP="00A26C86">
      <w:pPr>
        <w:pStyle w:val="Heading1"/>
      </w:pPr>
      <w:bookmarkStart w:id="2" w:name="_Ref99377341"/>
      <w:r w:rsidRPr="00645A28">
        <w:t>Review of literature</w:t>
      </w:r>
      <w:bookmarkEnd w:id="2"/>
      <w:r w:rsidRPr="00645A28">
        <w:t xml:space="preserve"> </w:t>
      </w:r>
    </w:p>
    <w:p w14:paraId="38E46829" w14:textId="49D36C67" w:rsidR="002C3EB4" w:rsidRDefault="002C3EB4" w:rsidP="00A26C86">
      <w:pPr>
        <w:pStyle w:val="Heading2"/>
        <w:numPr>
          <w:ilvl w:val="0"/>
          <w:numId w:val="33"/>
        </w:numPr>
      </w:pPr>
      <w:r>
        <w:t xml:space="preserve">Findings of the </w:t>
      </w:r>
      <w:r w:rsidR="00645A28" w:rsidRPr="00645A28">
        <w:t>World Bank</w:t>
      </w:r>
      <w:r>
        <w:t xml:space="preserve"> study</w:t>
      </w:r>
    </w:p>
    <w:p w14:paraId="4EF2882E" w14:textId="0591DC3B" w:rsidR="002A7737" w:rsidRPr="003B5FE8" w:rsidRDefault="00B63E26" w:rsidP="00252C42">
      <w:r>
        <w:t>The World Bank</w:t>
      </w:r>
      <w:r w:rsidR="00857A50" w:rsidRPr="003B5FE8">
        <w:t xml:space="preserve"> (</w:t>
      </w:r>
      <w:r w:rsidR="00CE1924" w:rsidRPr="003B5FE8">
        <w:t>2020</w:t>
      </w:r>
      <w:r w:rsidR="00857A50" w:rsidRPr="003B5FE8">
        <w:t>)</w:t>
      </w:r>
      <w:r w:rsidR="00727CB7" w:rsidRPr="003B5FE8">
        <w:t xml:space="preserve"> </w:t>
      </w:r>
      <w:r w:rsidR="003F4564" w:rsidRPr="003B5FE8">
        <w:t xml:space="preserve">performed </w:t>
      </w:r>
      <w:r w:rsidR="00727CB7" w:rsidRPr="003B5FE8">
        <w:t xml:space="preserve">a comprehensive study on the </w:t>
      </w:r>
      <w:proofErr w:type="spellStart"/>
      <w:r w:rsidR="00691C48" w:rsidRPr="003B5FE8">
        <w:t>the</w:t>
      </w:r>
      <w:proofErr w:type="spellEnd"/>
      <w:r w:rsidR="00691C48" w:rsidRPr="003B5FE8">
        <w:t xml:space="preserve"> economic and </w:t>
      </w:r>
      <w:r w:rsidR="004C0895" w:rsidRPr="003B5FE8">
        <w:t xml:space="preserve">distributional </w:t>
      </w:r>
      <w:proofErr w:type="gramStart"/>
      <w:r w:rsidR="004C0895" w:rsidRPr="003B5FE8">
        <w:t xml:space="preserve">effects </w:t>
      </w:r>
      <w:r w:rsidR="00727CB7" w:rsidRPr="003B5FE8">
        <w:t xml:space="preserve"> of</w:t>
      </w:r>
      <w:proofErr w:type="gramEnd"/>
      <w:r w:rsidR="00727CB7" w:rsidRPr="003B5FE8">
        <w:t xml:space="preserve"> the AfCFTA</w:t>
      </w:r>
      <w:r w:rsidR="004C0895" w:rsidRPr="003B5FE8">
        <w:t>.</w:t>
      </w:r>
      <w:r w:rsidR="00E1792E" w:rsidRPr="003B5FE8">
        <w:t xml:space="preserve"> The study uses a global computable general equilibrium model</w:t>
      </w:r>
      <w:r w:rsidR="008F5850" w:rsidRPr="003B5FE8">
        <w:t xml:space="preserve"> calibrated to the GTAP database</w:t>
      </w:r>
      <w:r w:rsidR="00E345D4">
        <w:rPr>
          <w:rStyle w:val="FootnoteReference"/>
          <w:rFonts w:ascii="Arial" w:hAnsi="Arial" w:cs="Arial"/>
          <w:sz w:val="20"/>
          <w:szCs w:val="20"/>
        </w:rPr>
        <w:footnoteReference w:id="10"/>
      </w:r>
      <w:r w:rsidR="000E3A3A" w:rsidRPr="003B5FE8">
        <w:t xml:space="preserve"> and </w:t>
      </w:r>
      <w:r w:rsidR="00125999" w:rsidRPr="003B5FE8">
        <w:t>the global microsimulation framework Global Income Distribution Dynamics (GIDD)</w:t>
      </w:r>
      <w:r w:rsidR="00B62A57">
        <w:rPr>
          <w:rStyle w:val="FootnoteReference"/>
          <w:rFonts w:ascii="Arial" w:hAnsi="Arial" w:cs="Arial"/>
          <w:sz w:val="20"/>
          <w:szCs w:val="20"/>
        </w:rPr>
        <w:footnoteReference w:id="11"/>
      </w:r>
      <w:r w:rsidR="000F564E">
        <w:t xml:space="preserve"> </w:t>
      </w:r>
      <w:r w:rsidR="000E3A3A" w:rsidRPr="003B5FE8">
        <w:t xml:space="preserve">to assess the implications of the agreement </w:t>
      </w:r>
      <w:r w:rsidR="00125999" w:rsidRPr="003B5FE8">
        <w:t>for economic growth, trade</w:t>
      </w:r>
      <w:r w:rsidR="004F3A37" w:rsidRPr="003B5FE8">
        <w:t>, employment</w:t>
      </w:r>
      <w:r w:rsidR="00125999" w:rsidRPr="003B5FE8">
        <w:t xml:space="preserve"> and poverty</w:t>
      </w:r>
      <w:r w:rsidR="008F5850" w:rsidRPr="003B5FE8">
        <w:t xml:space="preserve">. </w:t>
      </w:r>
      <w:r w:rsidR="00217BD8" w:rsidRPr="003B5FE8">
        <w:t xml:space="preserve">The analysis goes beyond </w:t>
      </w:r>
      <w:r w:rsidR="00D67BA9" w:rsidRPr="003B5FE8">
        <w:t xml:space="preserve">tariffs and covers </w:t>
      </w:r>
      <w:proofErr w:type="spellStart"/>
      <w:proofErr w:type="gramStart"/>
      <w:r w:rsidR="00D67BA9" w:rsidRPr="003B5FE8">
        <w:t>non tariff</w:t>
      </w:r>
      <w:proofErr w:type="spellEnd"/>
      <w:proofErr w:type="gramEnd"/>
      <w:r w:rsidR="00D67BA9" w:rsidRPr="003B5FE8">
        <w:t xml:space="preserve"> measures </w:t>
      </w:r>
      <w:r w:rsidR="003B5FE8" w:rsidRPr="003B5FE8">
        <w:t xml:space="preserve">both in goods and services, as well as trade facilitation measures. </w:t>
      </w:r>
    </w:p>
    <w:p w14:paraId="59C8F16F" w14:textId="048D02A2" w:rsidR="00330D5A" w:rsidRPr="00252C42" w:rsidRDefault="0020265E" w:rsidP="00252C42">
      <w:r w:rsidRPr="00252C42">
        <w:t>Regarding the scenarios</w:t>
      </w:r>
      <w:r w:rsidR="00250B02" w:rsidRPr="00252C42">
        <w:t xml:space="preserve">, the </w:t>
      </w:r>
      <w:r w:rsidR="00F70F16" w:rsidRPr="00252C42">
        <w:t>study</w:t>
      </w:r>
      <w:r w:rsidR="00250B02" w:rsidRPr="00252C42">
        <w:t xml:space="preserve"> assumes</w:t>
      </w:r>
      <w:r w:rsidR="00330D5A" w:rsidRPr="00252C42">
        <w:t>:</w:t>
      </w:r>
    </w:p>
    <w:p w14:paraId="544AF228" w14:textId="7876B7AF" w:rsidR="00414355" w:rsidRPr="00252C42" w:rsidRDefault="006B04C5" w:rsidP="00252C42">
      <w:pPr>
        <w:pStyle w:val="ListParagraph"/>
        <w:numPr>
          <w:ilvl w:val="0"/>
          <w:numId w:val="43"/>
        </w:numPr>
      </w:pPr>
      <w:r w:rsidRPr="00252C42">
        <w:t>A</w:t>
      </w:r>
      <w:r w:rsidR="00E0127E" w:rsidRPr="00252C42">
        <w:t xml:space="preserve"> progressive reduction on 90% of tariff lines </w:t>
      </w:r>
      <w:r w:rsidR="00D46E76" w:rsidRPr="00252C42">
        <w:t>starting in 2020 over a 5-year period for non LDCs and 10 years for LDCS</w:t>
      </w:r>
      <w:r w:rsidR="00330D5A" w:rsidRPr="00252C42">
        <w:t xml:space="preserve">. </w:t>
      </w:r>
      <w:r w:rsidR="007231A5" w:rsidRPr="00252C42">
        <w:t xml:space="preserve">Staring in 2025 a similar progressive reduction for 7% of tariff lines </w:t>
      </w:r>
      <w:r w:rsidR="008A4FF7" w:rsidRPr="00252C42">
        <w:t xml:space="preserve">over </w:t>
      </w:r>
      <w:proofErr w:type="gramStart"/>
      <w:r w:rsidR="008A4FF7" w:rsidRPr="00252C42">
        <w:t xml:space="preserve">5 </w:t>
      </w:r>
      <w:r w:rsidR="008A4FF7" w:rsidRPr="00252C42">
        <w:lastRenderedPageBreak/>
        <w:t>year</w:t>
      </w:r>
      <w:proofErr w:type="gramEnd"/>
      <w:r w:rsidR="008A4FF7" w:rsidRPr="00252C42">
        <w:t xml:space="preserve"> period for non LDCs and </w:t>
      </w:r>
      <w:r w:rsidR="00787224" w:rsidRPr="00252C42">
        <w:t xml:space="preserve">8 years for LDCs. </w:t>
      </w:r>
      <w:r w:rsidR="005E0E25" w:rsidRPr="00252C42">
        <w:t xml:space="preserve">Thus, up </w:t>
      </w:r>
      <w:r w:rsidR="00414355" w:rsidRPr="00252C42">
        <w:t>to 3 percent of tariff</w:t>
      </w:r>
      <w:r w:rsidR="005E0E25" w:rsidRPr="00252C42">
        <w:t xml:space="preserve"> </w:t>
      </w:r>
      <w:r w:rsidR="00414355" w:rsidRPr="00252C42">
        <w:t>lines that account for no</w:t>
      </w:r>
      <w:r w:rsidR="00CC2312" w:rsidRPr="00252C42">
        <w:t>t</w:t>
      </w:r>
      <w:r w:rsidR="00414355" w:rsidRPr="00252C42">
        <w:t xml:space="preserve"> more than 10 percent of intra-Africa imports </w:t>
      </w:r>
      <w:r w:rsidR="005E0E25" w:rsidRPr="00252C42">
        <w:t xml:space="preserve">are </w:t>
      </w:r>
      <w:r w:rsidR="00414355" w:rsidRPr="00252C42">
        <w:t>excluded from liberalization by the end of 2030 (2033 for LDCs).</w:t>
      </w:r>
    </w:p>
    <w:p w14:paraId="3D2927F2" w14:textId="33DD33DD" w:rsidR="00414355" w:rsidRPr="00252C42" w:rsidRDefault="00414355" w:rsidP="00252C42">
      <w:pPr>
        <w:pStyle w:val="ListParagraph"/>
        <w:numPr>
          <w:ilvl w:val="0"/>
          <w:numId w:val="43"/>
        </w:numPr>
      </w:pPr>
      <w:r w:rsidRPr="00252C42">
        <w:t xml:space="preserve">Nontariff </w:t>
      </w:r>
      <w:r w:rsidR="00240105" w:rsidRPr="00252C42">
        <w:t xml:space="preserve">measures </w:t>
      </w:r>
      <w:r w:rsidRPr="00252C42">
        <w:t>are reduced on a most-favored</w:t>
      </w:r>
      <w:r w:rsidR="00240105" w:rsidRPr="00252C42">
        <w:t xml:space="preserve"> </w:t>
      </w:r>
      <w:r w:rsidRPr="00252C42">
        <w:t>nation</w:t>
      </w:r>
      <w:r w:rsidR="00240105" w:rsidRPr="00252C42">
        <w:t xml:space="preserve"> </w:t>
      </w:r>
      <w:r w:rsidRPr="00252C42">
        <w:t>(MFN) basis</w:t>
      </w:r>
      <w:r w:rsidR="00240105" w:rsidRPr="00252C42">
        <w:t xml:space="preserve"> for both goods and services</w:t>
      </w:r>
      <w:r w:rsidR="00BC0B21" w:rsidRPr="00252C42">
        <w:t xml:space="preserve"> with the assumption </w:t>
      </w:r>
      <w:r w:rsidRPr="00252C42">
        <w:t>that 50 percent of NT</w:t>
      </w:r>
      <w:r w:rsidR="003C64A9" w:rsidRPr="00252C42">
        <w:t>M</w:t>
      </w:r>
      <w:r w:rsidRPr="00252C42">
        <w:t>s can be addressed</w:t>
      </w:r>
      <w:r w:rsidR="00240105" w:rsidRPr="00252C42">
        <w:t xml:space="preserve"> </w:t>
      </w:r>
      <w:r w:rsidRPr="00252C42">
        <w:t>with policy changes within the context of AfCFTA</w:t>
      </w:r>
      <w:r w:rsidRPr="00252C42">
        <w:rPr>
          <w:rFonts w:hint="eastAsia"/>
        </w:rPr>
        <w:t>—</w:t>
      </w:r>
      <w:r w:rsidRPr="00252C42">
        <w:t>with a cap of 50 percentage</w:t>
      </w:r>
      <w:r w:rsidR="003C64A9" w:rsidRPr="00252C42">
        <w:t xml:space="preserve"> </w:t>
      </w:r>
      <w:r w:rsidRPr="00252C42">
        <w:t xml:space="preserve">points. </w:t>
      </w:r>
    </w:p>
    <w:p w14:paraId="6CB111C1" w14:textId="70AF1816" w:rsidR="00F4046E" w:rsidRPr="00252C42" w:rsidRDefault="00EC2288" w:rsidP="00252C42">
      <w:r w:rsidRPr="00252C42">
        <w:t xml:space="preserve">Trade facilitation measures will accompany the </w:t>
      </w:r>
      <w:r w:rsidR="00414355" w:rsidRPr="00252C42">
        <w:t xml:space="preserve">AfCFTA through </w:t>
      </w:r>
      <w:r w:rsidR="001845AD" w:rsidRPr="00252C42">
        <w:t xml:space="preserve">the </w:t>
      </w:r>
      <w:r w:rsidR="00414355" w:rsidRPr="00252C42">
        <w:t>implementation</w:t>
      </w:r>
      <w:r w:rsidR="001845AD" w:rsidRPr="00252C42">
        <w:t xml:space="preserve"> </w:t>
      </w:r>
      <w:r w:rsidR="00414355" w:rsidRPr="00252C42">
        <w:t xml:space="preserve">of a trade facilitation agreement (TFA). </w:t>
      </w:r>
      <w:r w:rsidR="00621B58" w:rsidRPr="00252C42">
        <w:t xml:space="preserve">Thanks </w:t>
      </w:r>
      <w:r w:rsidR="008F1578" w:rsidRPr="00252C42">
        <w:t>to the agreement trade costs are halved</w:t>
      </w:r>
      <w:r w:rsidR="002A56C9" w:rsidRPr="00252C42">
        <w:t xml:space="preserve">, capped at 10 percentage points. </w:t>
      </w:r>
    </w:p>
    <w:p w14:paraId="4DF83A9C" w14:textId="77777777" w:rsidR="008E4A6C" w:rsidRPr="00252C42" w:rsidRDefault="008E4A6C" w:rsidP="00252C42"/>
    <w:p w14:paraId="321B3301" w14:textId="57230B86" w:rsidR="00F9725A" w:rsidRPr="00252C42" w:rsidRDefault="00E53C03" w:rsidP="00252C42">
      <w:r w:rsidRPr="00252C42">
        <w:t xml:space="preserve">The results show that the </w:t>
      </w:r>
      <w:r w:rsidR="00CD5B1D" w:rsidRPr="00252C42">
        <w:t>AfCFTA would significantly boost intraregional trade</w:t>
      </w:r>
      <w:r w:rsidR="00C25442" w:rsidRPr="00252C42">
        <w:t>, particularly</w:t>
      </w:r>
      <w:r w:rsidRPr="00252C42">
        <w:t xml:space="preserve"> </w:t>
      </w:r>
      <w:r w:rsidR="00CD5B1D" w:rsidRPr="00252C42">
        <w:t xml:space="preserve">in manufacturing. By 2035, </w:t>
      </w:r>
      <w:r w:rsidR="00C82A81" w:rsidRPr="00252C42">
        <w:t xml:space="preserve">while </w:t>
      </w:r>
      <w:r w:rsidR="00CD5B1D" w:rsidRPr="00252C42">
        <w:t xml:space="preserve">total exports </w:t>
      </w:r>
      <w:r w:rsidR="004E2AAE" w:rsidRPr="00252C42">
        <w:t xml:space="preserve">in volume </w:t>
      </w:r>
      <w:r w:rsidR="00CD5B1D" w:rsidRPr="00252C42">
        <w:t>would increase by 29</w:t>
      </w:r>
      <w:r w:rsidR="00C82A81" w:rsidRPr="00252C42">
        <w:t xml:space="preserve">% </w:t>
      </w:r>
      <w:r w:rsidR="00CD5B1D" w:rsidRPr="00252C42">
        <w:t xml:space="preserve">relative to </w:t>
      </w:r>
      <w:r w:rsidR="004E2AAE" w:rsidRPr="00252C42">
        <w:t>the baseline</w:t>
      </w:r>
      <w:r w:rsidR="00C82A81" w:rsidRPr="00252C42">
        <w:t>, i</w:t>
      </w:r>
      <w:r w:rsidR="00CD5B1D" w:rsidRPr="00252C42">
        <w:t>ntracontinental exports would increase by</w:t>
      </w:r>
      <w:r w:rsidR="00C82A81" w:rsidRPr="00252C42">
        <w:t xml:space="preserve"> </w:t>
      </w:r>
      <w:r w:rsidR="00CD5B1D" w:rsidRPr="00252C42">
        <w:t>81</w:t>
      </w:r>
      <w:r w:rsidR="00C82A81" w:rsidRPr="00252C42">
        <w:t xml:space="preserve">%. </w:t>
      </w:r>
      <w:r w:rsidR="006E10DB" w:rsidRPr="00252C42">
        <w:t xml:space="preserve">Intraregional exports would rise </w:t>
      </w:r>
      <w:r w:rsidR="00FC7438" w:rsidRPr="00252C42">
        <w:t>the most for Cameroon, Egypt</w:t>
      </w:r>
      <w:r w:rsidR="0011342C" w:rsidRPr="00252C42">
        <w:t xml:space="preserve">, </w:t>
      </w:r>
      <w:r w:rsidR="00FC7438" w:rsidRPr="00252C42">
        <w:t>Morocco</w:t>
      </w:r>
      <w:r w:rsidR="0011342C" w:rsidRPr="00252C42">
        <w:t>,</w:t>
      </w:r>
      <w:r w:rsidR="00FC7438" w:rsidRPr="00252C42">
        <w:t xml:space="preserve"> and Ghana</w:t>
      </w:r>
      <w:r w:rsidR="00BB04FD" w:rsidRPr="00252C42">
        <w:t xml:space="preserve">. </w:t>
      </w:r>
      <w:r w:rsidR="00AF2148" w:rsidRPr="00252C42">
        <w:t xml:space="preserve">For these four countries, exports </w:t>
      </w:r>
      <w:r w:rsidR="00790BC9" w:rsidRPr="00252C42">
        <w:t xml:space="preserve">more than double compared to the baseline. </w:t>
      </w:r>
      <w:r w:rsidR="00707BE5" w:rsidRPr="00252C42">
        <w:t xml:space="preserve">At the sectoral level, </w:t>
      </w:r>
      <w:r w:rsidR="00663B68" w:rsidRPr="00252C42">
        <w:t>intra-Africa trade in manufact</w:t>
      </w:r>
      <w:r w:rsidR="006006F6" w:rsidRPr="00252C42">
        <w:t>uring would increase by 110%</w:t>
      </w:r>
      <w:r w:rsidR="00D20030" w:rsidRPr="00252C42">
        <w:t xml:space="preserve">, while agricultural trade would </w:t>
      </w:r>
      <w:r w:rsidR="00E1787C" w:rsidRPr="00252C42">
        <w:t>increase by 49</w:t>
      </w:r>
      <w:r w:rsidR="006D5CE0" w:rsidRPr="00252C42">
        <w:t xml:space="preserve">%. </w:t>
      </w:r>
      <w:r w:rsidR="00E1787C" w:rsidRPr="00252C42">
        <w:t xml:space="preserve"> </w:t>
      </w:r>
      <w:r w:rsidR="006D5CE0" w:rsidRPr="00252C42">
        <w:t xml:space="preserve">For services, the gains are </w:t>
      </w:r>
      <w:r w:rsidR="00E95DB2" w:rsidRPr="00252C42">
        <w:t xml:space="preserve">limited: </w:t>
      </w:r>
      <w:r w:rsidR="00923FA3" w:rsidRPr="00252C42">
        <w:t xml:space="preserve">total trade would increase by 4% while </w:t>
      </w:r>
      <w:r w:rsidR="00E95DB2" w:rsidRPr="00252C42">
        <w:t>intra-Africa trade would increase by 14%</w:t>
      </w:r>
      <w:r w:rsidR="00923FA3" w:rsidRPr="00252C42">
        <w:t xml:space="preserve">. </w:t>
      </w:r>
      <w:r w:rsidR="00E95DB2" w:rsidRPr="00252C42">
        <w:t xml:space="preserve"> </w:t>
      </w:r>
    </w:p>
    <w:p w14:paraId="5340ECA8" w14:textId="262BEC75" w:rsidR="008B5B4C" w:rsidRPr="00252C42" w:rsidRDefault="002A09EC" w:rsidP="00252C42">
      <w:r w:rsidRPr="00252C42">
        <w:t xml:space="preserve">At the </w:t>
      </w:r>
      <w:proofErr w:type="spellStart"/>
      <w:r w:rsidRPr="00252C42">
        <w:t>macroecomic</w:t>
      </w:r>
      <w:proofErr w:type="spellEnd"/>
      <w:r w:rsidRPr="00252C42">
        <w:t xml:space="preserve"> level, </w:t>
      </w:r>
      <w:r w:rsidR="003E65D6" w:rsidRPr="00252C42">
        <w:t xml:space="preserve">the impact of the </w:t>
      </w:r>
      <w:proofErr w:type="spellStart"/>
      <w:r w:rsidR="003E65D6" w:rsidRPr="00252C42">
        <w:t>AfCFTA</w:t>
      </w:r>
      <w:proofErr w:type="spellEnd"/>
      <w:r w:rsidR="003E65D6" w:rsidRPr="00252C42">
        <w:t xml:space="preserve"> on tax revenu</w:t>
      </w:r>
      <w:r w:rsidR="008A04BB" w:rsidRPr="00252C42">
        <w:t>e</w:t>
      </w:r>
      <w:r w:rsidR="003E65D6" w:rsidRPr="00252C42">
        <w:t xml:space="preserve">s is small. For 49 </w:t>
      </w:r>
      <w:r w:rsidR="007276EA" w:rsidRPr="00252C42">
        <w:t xml:space="preserve">out of the 54 countries included in the analysis, the </w:t>
      </w:r>
      <w:proofErr w:type="gramStart"/>
      <w:r w:rsidR="007276EA" w:rsidRPr="00252C42">
        <w:t>short term</w:t>
      </w:r>
      <w:proofErr w:type="gramEnd"/>
      <w:r w:rsidR="007276EA" w:rsidRPr="00252C42">
        <w:t xml:space="preserve"> impact is less than </w:t>
      </w:r>
      <w:r w:rsidR="00C178D5" w:rsidRPr="00252C42">
        <w:t xml:space="preserve">1.5% and total tax revenues would decline by less than 0.5%. </w:t>
      </w:r>
      <w:r w:rsidR="00161D87" w:rsidRPr="00252C42">
        <w:t xml:space="preserve">The limited impact is explained by the small share of revenues coming from intra-Africa trade and </w:t>
      </w:r>
      <w:r w:rsidR="00664108" w:rsidRPr="00252C42">
        <w:t xml:space="preserve">the exclusion clause. In the long run, </w:t>
      </w:r>
      <w:r w:rsidR="004B2256" w:rsidRPr="00252C42">
        <w:t xml:space="preserve">by 2035 </w:t>
      </w:r>
      <w:r w:rsidR="00664108" w:rsidRPr="00252C42">
        <w:t xml:space="preserve">the study finds that </w:t>
      </w:r>
      <w:r w:rsidRPr="00252C42">
        <w:t>tariff revenues would grow by 3</w:t>
      </w:r>
      <w:r w:rsidR="004B2256" w:rsidRPr="00252C42">
        <w:t xml:space="preserve">% </w:t>
      </w:r>
      <w:r w:rsidRPr="00252C42">
        <w:t>relative to the baseline</w:t>
      </w:r>
      <w:r w:rsidR="008E4A6C" w:rsidRPr="00252C42">
        <w:t xml:space="preserve">. </w:t>
      </w:r>
      <w:r w:rsidRPr="00252C42">
        <w:t xml:space="preserve"> </w:t>
      </w:r>
    </w:p>
    <w:p w14:paraId="597D1570" w14:textId="121C3FA5" w:rsidR="003069D3" w:rsidRPr="00252C42" w:rsidRDefault="00640C4C" w:rsidP="00252C42">
      <w:r w:rsidRPr="00252C42">
        <w:t xml:space="preserve">The study goes beyond the macroeconomic impacts and analyses the </w:t>
      </w:r>
      <w:r w:rsidR="006F4C0F" w:rsidRPr="00252C42">
        <w:t>distributional outcomes. The results show that by</w:t>
      </w:r>
      <w:r w:rsidR="00B22388" w:rsidRPr="00252C42">
        <w:t xml:space="preserve"> 2035, the agreement</w:t>
      </w:r>
      <w:r w:rsidR="006F4C0F" w:rsidRPr="00252C42">
        <w:t xml:space="preserve"> </w:t>
      </w:r>
      <w:r w:rsidR="00B22388" w:rsidRPr="00252C42">
        <w:t>would contribute to lifting an additional 30 million people from extreme poverty</w:t>
      </w:r>
      <w:r w:rsidR="00EB311F" w:rsidRPr="00252C42">
        <w:t xml:space="preserve"> </w:t>
      </w:r>
      <w:r w:rsidR="00B22388" w:rsidRPr="00252C42">
        <w:t xml:space="preserve">and 68 million people from moderate poverty. </w:t>
      </w:r>
      <w:r w:rsidR="007C66F2" w:rsidRPr="00252C42">
        <w:t>When fully implemented, the AfCFTA would lead to r</w:t>
      </w:r>
      <w:r w:rsidR="00B22388" w:rsidRPr="00252C42">
        <w:t>eal income gains increase</w:t>
      </w:r>
      <w:r w:rsidR="00362B61" w:rsidRPr="00252C42">
        <w:t>s</w:t>
      </w:r>
      <w:r w:rsidR="00B22388" w:rsidRPr="00252C42">
        <w:t xml:space="preserve"> </w:t>
      </w:r>
      <w:r w:rsidR="00362B61" w:rsidRPr="00252C42">
        <w:t>of</w:t>
      </w:r>
      <w:r w:rsidR="00B22388" w:rsidRPr="00252C42">
        <w:t xml:space="preserve"> 7 percent, nearly US$450 billio</w:t>
      </w:r>
      <w:r w:rsidR="00B2673C" w:rsidRPr="00252C42">
        <w:t>n. The maximum gains are observed in C</w:t>
      </w:r>
      <w:r w:rsidR="0011342C" w:rsidRPr="00252C42">
        <w:t>ô</w:t>
      </w:r>
      <w:r w:rsidR="00B2673C" w:rsidRPr="00252C42">
        <w:t xml:space="preserve">te d’Ivoire and </w:t>
      </w:r>
      <w:r w:rsidR="006A0276" w:rsidRPr="00252C42">
        <w:t xml:space="preserve">Zimbabwe (14%). </w:t>
      </w:r>
      <w:proofErr w:type="gramStart"/>
      <w:r w:rsidR="006A0276" w:rsidRPr="00252C42">
        <w:t>Also</w:t>
      </w:r>
      <w:proofErr w:type="gramEnd"/>
      <w:r w:rsidR="006A0276" w:rsidRPr="00252C42">
        <w:t xml:space="preserve"> the biggest gains come from </w:t>
      </w:r>
      <w:r w:rsidR="00285D67" w:rsidRPr="00252C42">
        <w:t>the reduction in NTMs</w:t>
      </w:r>
      <w:r w:rsidR="00AE1986" w:rsidRPr="00252C42">
        <w:t xml:space="preserve"> and the implementation of the Trade facilitation agreement. </w:t>
      </w:r>
    </w:p>
    <w:p w14:paraId="57EAB46A" w14:textId="081097F0" w:rsidR="002C3EB4" w:rsidRDefault="002C3EB4" w:rsidP="00A26C86">
      <w:pPr>
        <w:pStyle w:val="Heading2"/>
        <w:numPr>
          <w:ilvl w:val="0"/>
          <w:numId w:val="14"/>
        </w:numPr>
      </w:pPr>
      <w:r>
        <w:t xml:space="preserve">Findings of the </w:t>
      </w:r>
      <w:r w:rsidR="00645A28" w:rsidRPr="00645A28">
        <w:t>UNECA</w:t>
      </w:r>
      <w:r>
        <w:t xml:space="preserve"> study</w:t>
      </w:r>
    </w:p>
    <w:p w14:paraId="447FDE7C" w14:textId="7AAE0E06" w:rsidR="00562A0C" w:rsidRPr="006357B1" w:rsidRDefault="00283E57" w:rsidP="00252C42">
      <w:r w:rsidRPr="006357B1">
        <w:t>In a seminal study</w:t>
      </w:r>
      <w:r w:rsidR="00407EEB" w:rsidRPr="006357B1">
        <w:t xml:space="preserve"> in 2018</w:t>
      </w:r>
      <w:r w:rsidRPr="006357B1">
        <w:t xml:space="preserve">, </w:t>
      </w:r>
      <w:r w:rsidR="00943329" w:rsidRPr="006357B1">
        <w:t xml:space="preserve">the United Nations Economic Commission for Africa (UNECA) </w:t>
      </w:r>
      <w:r w:rsidR="00332C53" w:rsidRPr="006357B1">
        <w:t xml:space="preserve">performed one of the first analysis of the impact of the AfCFTA. </w:t>
      </w:r>
      <w:r w:rsidR="00407EEB" w:rsidRPr="006357B1">
        <w:t xml:space="preserve">It is worth noting that </w:t>
      </w:r>
      <w:r w:rsidR="00B3058C" w:rsidRPr="006357B1">
        <w:t>at that moment, some of the critical outcomes of the negotiations were not known</w:t>
      </w:r>
      <w:r w:rsidR="00374803" w:rsidRPr="006357B1">
        <w:t xml:space="preserve">. This was the case for the selection of </w:t>
      </w:r>
      <w:r w:rsidR="00CA5E73" w:rsidRPr="006357B1">
        <w:t xml:space="preserve">sensitive and </w:t>
      </w:r>
      <w:r w:rsidR="00374803" w:rsidRPr="006357B1">
        <w:t>excluded products</w:t>
      </w:r>
      <w:r w:rsidR="001216E2" w:rsidRPr="006357B1">
        <w:t xml:space="preserve">. </w:t>
      </w:r>
      <w:r w:rsidR="00385E38" w:rsidRPr="006357B1">
        <w:t xml:space="preserve">The study uses the MIRAGE global computable general equilibrium model </w:t>
      </w:r>
      <w:r w:rsidR="009E0CFE" w:rsidRPr="006357B1">
        <w:t xml:space="preserve">calibrated to the GTAP </w:t>
      </w:r>
      <w:r w:rsidR="00387B13">
        <w:t xml:space="preserve">and </w:t>
      </w:r>
      <w:r w:rsidR="00CA035C">
        <w:t>MAcMap-HS6</w:t>
      </w:r>
      <w:r w:rsidR="00387B13">
        <w:t xml:space="preserve"> </w:t>
      </w:r>
      <w:r w:rsidR="009E0CFE" w:rsidRPr="006357B1">
        <w:t>database</w:t>
      </w:r>
      <w:r w:rsidR="00387B13">
        <w:t>s</w:t>
      </w:r>
      <w:r w:rsidR="009E0CFE" w:rsidRPr="006357B1">
        <w:t>.</w:t>
      </w:r>
      <w:r w:rsidR="00CA035C">
        <w:rPr>
          <w:rStyle w:val="FootnoteReference"/>
          <w:rFonts w:ascii="Arial" w:hAnsi="Arial" w:cs="Arial"/>
          <w:sz w:val="20"/>
          <w:szCs w:val="20"/>
        </w:rPr>
        <w:footnoteReference w:id="12"/>
      </w:r>
      <w:r w:rsidR="009E0CFE" w:rsidRPr="006357B1">
        <w:t xml:space="preserve"> </w:t>
      </w:r>
      <w:r w:rsidR="00E62212" w:rsidRPr="006357B1">
        <w:t xml:space="preserve">Given the uncertainty about some of the outcomes of the negotiations, </w:t>
      </w:r>
      <w:r w:rsidR="00415BE8" w:rsidRPr="006357B1">
        <w:t>two scenarios were simulated:</w:t>
      </w:r>
    </w:p>
    <w:p w14:paraId="61D38181" w14:textId="40AA3B00" w:rsidR="00415BE8" w:rsidRPr="00252C42" w:rsidRDefault="00444CEF" w:rsidP="00252C42">
      <w:pPr>
        <w:pStyle w:val="ListParagraph"/>
        <w:numPr>
          <w:ilvl w:val="0"/>
          <w:numId w:val="42"/>
        </w:numPr>
      </w:pPr>
      <w:r w:rsidRPr="00252C42">
        <w:t xml:space="preserve">A tariff line approach: </w:t>
      </w:r>
      <w:r w:rsidR="00CA5E73" w:rsidRPr="00252C42">
        <w:t xml:space="preserve">90% of tariff lines are liberalized </w:t>
      </w:r>
      <w:r w:rsidR="00E60A4C" w:rsidRPr="00252C42">
        <w:t xml:space="preserve">over 5 years for non LDCs, 10 years for LDCs and 15 years </w:t>
      </w:r>
      <w:r w:rsidR="00E9158B" w:rsidRPr="00252C42">
        <w:t>for a group of seven countries.</w:t>
      </w:r>
      <w:r w:rsidR="00540F16" w:rsidRPr="00252C42">
        <w:footnoteReference w:id="13"/>
      </w:r>
      <w:r w:rsidR="00302E22" w:rsidRPr="00252C42">
        <w:t xml:space="preserve"> The remaining 10% is divided into sensitive products (9%) </w:t>
      </w:r>
      <w:r w:rsidR="00A77BCF" w:rsidRPr="00252C42">
        <w:t xml:space="preserve">to be liberalized within 10 years for non LDCs </w:t>
      </w:r>
      <w:r w:rsidR="00973FC7" w:rsidRPr="00252C42">
        <w:t xml:space="preserve">and 13 years for LDCs and the group of seven </w:t>
      </w:r>
      <w:proofErr w:type="gramStart"/>
      <w:r w:rsidR="00973FC7" w:rsidRPr="00252C42">
        <w:t>countries, and</w:t>
      </w:r>
      <w:proofErr w:type="gramEnd"/>
      <w:r w:rsidR="00973FC7" w:rsidRPr="00252C42">
        <w:t xml:space="preserve"> </w:t>
      </w:r>
      <w:r w:rsidR="00984BB0" w:rsidRPr="00252C42">
        <w:t xml:space="preserve">excluded products (1%). </w:t>
      </w:r>
    </w:p>
    <w:p w14:paraId="351F173C" w14:textId="270F98DA" w:rsidR="00984BB0" w:rsidRPr="00252C42" w:rsidRDefault="00655A2D" w:rsidP="00252C42">
      <w:pPr>
        <w:pStyle w:val="ListParagraph"/>
        <w:numPr>
          <w:ilvl w:val="0"/>
          <w:numId w:val="42"/>
        </w:numPr>
      </w:pPr>
      <w:r w:rsidRPr="00252C42">
        <w:t xml:space="preserve">The double qualification approach: </w:t>
      </w:r>
      <w:r w:rsidR="00E64DC7" w:rsidRPr="00252C42">
        <w:t xml:space="preserve">under that approach </w:t>
      </w:r>
      <w:r w:rsidR="005D642F" w:rsidRPr="00252C42">
        <w:t xml:space="preserve">non sensitive products represent </w:t>
      </w:r>
      <w:r w:rsidR="00151627" w:rsidRPr="00252C42">
        <w:t xml:space="preserve">at least </w:t>
      </w:r>
      <w:r w:rsidR="005D642F" w:rsidRPr="00252C42">
        <w:t xml:space="preserve">90% </w:t>
      </w:r>
      <w:r w:rsidR="00151627" w:rsidRPr="00252C42">
        <w:t xml:space="preserve">of tariff lines and not less than 90% of the total value of imports. </w:t>
      </w:r>
      <w:r w:rsidR="006357B1" w:rsidRPr="00252C42">
        <w:t>The remainder is split between sensitive (7%) and excluded products (3%).</w:t>
      </w:r>
    </w:p>
    <w:p w14:paraId="3F1BC227" w14:textId="378BE853" w:rsidR="0001170A" w:rsidRPr="00836859" w:rsidRDefault="0001170A" w:rsidP="00252C42">
      <w:r w:rsidRPr="00836859">
        <w:lastRenderedPageBreak/>
        <w:t xml:space="preserve">For each of the scenarios, </w:t>
      </w:r>
      <w:r w:rsidR="00D84C22" w:rsidRPr="00836859">
        <w:t xml:space="preserve">3 options are to select the list of sensitive and excluded products: i) </w:t>
      </w:r>
      <w:r w:rsidR="007A5B74" w:rsidRPr="00836859">
        <w:t xml:space="preserve">tariff revenue losses, ii) </w:t>
      </w:r>
      <w:r w:rsidR="00A15294" w:rsidRPr="00836859">
        <w:t>promoting industrialization in addition to delaying tariff revenue losses, iii)</w:t>
      </w:r>
      <w:r w:rsidR="00C4197C">
        <w:t xml:space="preserve"> </w:t>
      </w:r>
      <w:r w:rsidR="00081EEC" w:rsidRPr="00836859">
        <w:t xml:space="preserve">green industrialization in addition to delaying tariff revenue losses. </w:t>
      </w:r>
    </w:p>
    <w:p w14:paraId="021C05E8" w14:textId="332913C9" w:rsidR="00882C4F" w:rsidRPr="00007AF7" w:rsidRDefault="009760C8" w:rsidP="00007AF7">
      <w:r w:rsidRPr="00836859">
        <w:t xml:space="preserve">The results show </w:t>
      </w:r>
      <w:r w:rsidR="00CC7716" w:rsidRPr="00836859">
        <w:t>that the overall impact would be limited in terms of growth and trade</w:t>
      </w:r>
      <w:r w:rsidR="00895D42" w:rsidRPr="00836859">
        <w:t xml:space="preserve">, whatever the scenario. Indeed, </w:t>
      </w:r>
      <w:r w:rsidR="003D1974" w:rsidRPr="00836859">
        <w:t xml:space="preserve">Africa GDP would increase by 1% and total exports by 3%. </w:t>
      </w:r>
      <w:r w:rsidR="006A4B66" w:rsidRPr="00836859">
        <w:t>However, when it comes to intra-</w:t>
      </w:r>
      <w:proofErr w:type="spellStart"/>
      <w:r w:rsidR="006A4B66" w:rsidRPr="00836859">
        <w:t>africa</w:t>
      </w:r>
      <w:r w:rsidR="00C072C8" w:rsidRPr="00836859">
        <w:t>n</w:t>
      </w:r>
      <w:proofErr w:type="spellEnd"/>
      <w:r w:rsidR="006A4B66" w:rsidRPr="00836859">
        <w:t xml:space="preserve"> trade</w:t>
      </w:r>
      <w:r w:rsidR="00C072C8" w:rsidRPr="00836859">
        <w:t xml:space="preserve">, the figures are significant. </w:t>
      </w:r>
      <w:r w:rsidR="00764E02" w:rsidRPr="00836859">
        <w:t xml:space="preserve">By 2040, </w:t>
      </w:r>
      <w:r w:rsidR="000612DB" w:rsidRPr="00836859">
        <w:t>intra</w:t>
      </w:r>
      <w:r w:rsidR="007A2700" w:rsidRPr="00836859">
        <w:t>-</w:t>
      </w:r>
      <w:proofErr w:type="spellStart"/>
      <w:r w:rsidR="007A2700" w:rsidRPr="00836859">
        <w:t>african</w:t>
      </w:r>
      <w:proofErr w:type="spellEnd"/>
      <w:r w:rsidR="007A2700" w:rsidRPr="00836859">
        <w:t xml:space="preserve"> trade could increase by</w:t>
      </w:r>
      <w:r w:rsidR="0018393F" w:rsidRPr="00836859">
        <w:t xml:space="preserve"> between 15% ($50 billion) </w:t>
      </w:r>
      <w:r w:rsidR="009D5578">
        <w:t>and</w:t>
      </w:r>
      <w:r w:rsidR="007A2700" w:rsidRPr="00836859">
        <w:t xml:space="preserve"> 25% (</w:t>
      </w:r>
      <w:r w:rsidR="00EE09BF" w:rsidRPr="00836859">
        <w:t>$</w:t>
      </w:r>
      <w:r w:rsidR="002A66D6" w:rsidRPr="00836859">
        <w:t>7</w:t>
      </w:r>
      <w:r w:rsidR="00EE09BF" w:rsidRPr="00836859">
        <w:t>0 billion</w:t>
      </w:r>
      <w:r w:rsidR="007A2700" w:rsidRPr="00836859">
        <w:t>) compared to the baseline</w:t>
      </w:r>
      <w:r w:rsidR="002A66D6" w:rsidRPr="00836859">
        <w:t xml:space="preserve">, with </w:t>
      </w:r>
      <w:r w:rsidR="001F1C7D" w:rsidRPr="00836859">
        <w:t xml:space="preserve">the double qualification approach </w:t>
      </w:r>
      <w:r w:rsidR="0001170A" w:rsidRPr="00836859">
        <w:t xml:space="preserve">producing the highest benefits. </w:t>
      </w:r>
      <w:r w:rsidR="003F60F4" w:rsidRPr="00836859">
        <w:t xml:space="preserve">At the sectoral level, </w:t>
      </w:r>
      <w:r w:rsidR="009570E8" w:rsidRPr="00836859">
        <w:t>t</w:t>
      </w:r>
      <w:r w:rsidR="003F60F4" w:rsidRPr="00836859">
        <w:t xml:space="preserve">he increase in intra-African trade </w:t>
      </w:r>
      <w:r w:rsidR="009570E8" w:rsidRPr="00836859">
        <w:t>would be</w:t>
      </w:r>
      <w:r w:rsidR="003F60F4" w:rsidRPr="00836859">
        <w:t xml:space="preserve"> most pronounced in industrial sectors,</w:t>
      </w:r>
      <w:r w:rsidR="009570E8" w:rsidRPr="00836859">
        <w:t xml:space="preserve"> </w:t>
      </w:r>
      <w:r w:rsidR="00593E90" w:rsidRPr="00836859">
        <w:t xml:space="preserve">with exports </w:t>
      </w:r>
      <w:proofErr w:type="gramStart"/>
      <w:r w:rsidR="00593E90" w:rsidRPr="00836859">
        <w:t xml:space="preserve">increasing </w:t>
      </w:r>
      <w:r w:rsidR="003F60F4" w:rsidRPr="00836859">
        <w:t xml:space="preserve"> by</w:t>
      </w:r>
      <w:proofErr w:type="gramEnd"/>
      <w:r w:rsidR="003F60F4" w:rsidRPr="00836859">
        <w:t xml:space="preserve"> between about 25</w:t>
      </w:r>
      <w:r w:rsidR="00593E90" w:rsidRPr="00836859">
        <w:t xml:space="preserve">% </w:t>
      </w:r>
      <w:r w:rsidR="003F60F4" w:rsidRPr="00836859">
        <w:t>($36 billion) and 30</w:t>
      </w:r>
      <w:r w:rsidR="00593E90" w:rsidRPr="00836859">
        <w:t>%</w:t>
      </w:r>
      <w:r w:rsidR="003F60F4" w:rsidRPr="00836859">
        <w:t xml:space="preserve"> ($44 billion), in 2040</w:t>
      </w:r>
      <w:r w:rsidR="00593E90" w:rsidRPr="00836859">
        <w:t xml:space="preserve"> </w:t>
      </w:r>
      <w:r w:rsidR="003F60F4" w:rsidRPr="00836859">
        <w:t xml:space="preserve">compared to </w:t>
      </w:r>
      <w:r w:rsidR="00593E90" w:rsidRPr="00836859">
        <w:t>the baseline</w:t>
      </w:r>
      <w:r w:rsidR="003F60F4" w:rsidRPr="00836859">
        <w:t xml:space="preserve">. </w:t>
      </w:r>
      <w:r w:rsidR="00D60F18" w:rsidRPr="00836859">
        <w:t>Textile, apparel, leather</w:t>
      </w:r>
      <w:r w:rsidR="006A5F7B" w:rsidRPr="00836859">
        <w:t xml:space="preserve">, wood and paper and vehicle would benefit the most from the reform. </w:t>
      </w:r>
      <w:r w:rsidR="009B2BE4" w:rsidRPr="00836859">
        <w:t xml:space="preserve">The results </w:t>
      </w:r>
      <w:r w:rsidR="00FB2FAC" w:rsidRPr="00836859">
        <w:t xml:space="preserve">also show limited losses of tariff revenues. Depending on the scenario, the </w:t>
      </w:r>
      <w:r w:rsidR="00882C4F" w:rsidRPr="00836859">
        <w:t>magnitude of tariff revenue loss</w:t>
      </w:r>
      <w:r w:rsidR="00FB2FAC" w:rsidRPr="00836859">
        <w:t xml:space="preserve"> </w:t>
      </w:r>
      <w:r w:rsidR="00882C4F" w:rsidRPr="00836859">
        <w:t>rang</w:t>
      </w:r>
      <w:r w:rsidR="00FB2FAC" w:rsidRPr="00836859">
        <w:t>es</w:t>
      </w:r>
      <w:r w:rsidR="00882C4F" w:rsidRPr="00836859">
        <w:t xml:space="preserve"> between 6.5</w:t>
      </w:r>
      <w:r w:rsidR="00FB2FAC" w:rsidRPr="00836859">
        <w:t>%</w:t>
      </w:r>
      <w:r w:rsidR="00882C4F" w:rsidRPr="00836859">
        <w:t xml:space="preserve"> ($8.5 billion) and 9.9</w:t>
      </w:r>
      <w:r w:rsidR="00FB2FAC" w:rsidRPr="00836859">
        <w:t>%</w:t>
      </w:r>
      <w:r w:rsidR="00882C4F" w:rsidRPr="00836859">
        <w:t xml:space="preserve"> ($13 billion</w:t>
      </w:r>
      <w:r w:rsidR="00FB2FAC" w:rsidRPr="00836859">
        <w:t xml:space="preserve">). </w:t>
      </w:r>
    </w:p>
    <w:p w14:paraId="515C9A38" w14:textId="377B4061" w:rsidR="00836859" w:rsidRPr="00117B27" w:rsidRDefault="0016407B" w:rsidP="0018376E">
      <w:r w:rsidRPr="00836859">
        <w:t xml:space="preserve">In a recent study jointly </w:t>
      </w:r>
      <w:r w:rsidR="007B582E" w:rsidRPr="00836859">
        <w:t xml:space="preserve">performed </w:t>
      </w:r>
      <w:r w:rsidRPr="00836859">
        <w:t>by UNECA</w:t>
      </w:r>
      <w:r w:rsidR="001200E0" w:rsidRPr="00836859">
        <w:t xml:space="preserve"> and </w:t>
      </w:r>
      <w:r w:rsidRPr="00836859">
        <w:t xml:space="preserve">CEPII </w:t>
      </w:r>
      <w:r w:rsidR="00EF0334" w:rsidRPr="00836859">
        <w:t>(</w:t>
      </w:r>
      <w:r w:rsidR="001200E0" w:rsidRPr="00836859">
        <w:t xml:space="preserve">UNECA, </w:t>
      </w:r>
      <w:r w:rsidR="00FB2FAC" w:rsidRPr="00836859">
        <w:t>2021</w:t>
      </w:r>
      <w:r w:rsidR="00EF0334" w:rsidRPr="00836859">
        <w:t xml:space="preserve">) </w:t>
      </w:r>
      <w:r w:rsidRPr="00836859">
        <w:t>with update</w:t>
      </w:r>
      <w:r w:rsidR="009D5578">
        <w:t>d</w:t>
      </w:r>
      <w:r w:rsidRPr="00836859">
        <w:t xml:space="preserve"> scenarios,</w:t>
      </w:r>
      <w:r w:rsidR="00D149EE" w:rsidRPr="00836859">
        <w:t xml:space="preserve"> which include i) </w:t>
      </w:r>
      <w:r w:rsidR="00EB7344" w:rsidRPr="00836859">
        <w:t xml:space="preserve">liberalization of trade in goods in line with agreed AfCFTA modalities, ii) 50 percent reduction of actionable restrictions to trade in the five </w:t>
      </w:r>
      <w:proofErr w:type="spellStart"/>
      <w:r w:rsidR="00EB7344" w:rsidRPr="00836859">
        <w:t>AfCFTA</w:t>
      </w:r>
      <w:proofErr w:type="spellEnd"/>
      <w:r w:rsidR="00EB7344" w:rsidRPr="00836859">
        <w:t xml:space="preserve"> priority services sectors</w:t>
      </w:r>
      <w:r w:rsidR="00066586" w:rsidRPr="009D5578">
        <w:rPr>
          <w:vertAlign w:val="superscript"/>
        </w:rPr>
        <w:footnoteReference w:id="14"/>
      </w:r>
      <w:r w:rsidR="002D0FAC" w:rsidRPr="00836859">
        <w:t xml:space="preserve"> plus health and education services</w:t>
      </w:r>
      <w:r w:rsidR="00EB7344" w:rsidRPr="00836859">
        <w:t xml:space="preserve">, iii) </w:t>
      </w:r>
      <w:r w:rsidR="00B16038" w:rsidRPr="00836859">
        <w:t xml:space="preserve">50% cut of actionable NTMs, </w:t>
      </w:r>
      <w:r w:rsidR="00EF0334" w:rsidRPr="00836859">
        <w:t>the authors fin</w:t>
      </w:r>
      <w:r w:rsidR="00EB7344" w:rsidRPr="00836859">
        <w:t xml:space="preserve">d </w:t>
      </w:r>
      <w:r w:rsidR="002D0FAC" w:rsidRPr="00836859">
        <w:t xml:space="preserve">that </w:t>
      </w:r>
      <w:r w:rsidR="00BD3ABB" w:rsidRPr="00836859">
        <w:t>the value of intra-</w:t>
      </w:r>
      <w:proofErr w:type="spellStart"/>
      <w:r w:rsidR="00BD3ABB" w:rsidRPr="00836859">
        <w:t>african</w:t>
      </w:r>
      <w:proofErr w:type="spellEnd"/>
      <w:r w:rsidR="00BD3ABB" w:rsidRPr="00836859">
        <w:t xml:space="preserve"> trade would increase by 270% in 2045 compared to the baseline. </w:t>
      </w:r>
      <w:r w:rsidR="00F44406" w:rsidRPr="00836859">
        <w:t>Intra-</w:t>
      </w:r>
      <w:proofErr w:type="spellStart"/>
      <w:r w:rsidR="00F44406" w:rsidRPr="00836859">
        <w:t>african</w:t>
      </w:r>
      <w:proofErr w:type="spellEnd"/>
      <w:r w:rsidR="00F44406" w:rsidRPr="00836859">
        <w:t xml:space="preserve"> trade would increase by 41, 39.2 and 39% respectively for </w:t>
      </w:r>
      <w:proofErr w:type="spellStart"/>
      <w:r w:rsidR="00F44406" w:rsidRPr="00836859">
        <w:t>agrifood</w:t>
      </w:r>
      <w:proofErr w:type="spellEnd"/>
      <w:r w:rsidR="00F44406" w:rsidRPr="00836859">
        <w:t xml:space="preserve">, services and industry under the current scenario. </w:t>
      </w:r>
      <w:r w:rsidR="005617C2" w:rsidRPr="00836859">
        <w:t xml:space="preserve">The results also show that </w:t>
      </w:r>
      <w:r w:rsidR="00461569" w:rsidRPr="00836859">
        <w:t xml:space="preserve">addressing NTMs would maximize the benefits. </w:t>
      </w:r>
      <w:r w:rsidR="00807B32" w:rsidRPr="00836859">
        <w:t xml:space="preserve">The impacts could double or even quadruple compared to </w:t>
      </w:r>
      <w:r w:rsidR="004B18F4" w:rsidRPr="00836859">
        <w:t xml:space="preserve">the sole </w:t>
      </w:r>
      <w:r w:rsidR="00807B32" w:rsidRPr="00836859">
        <w:t>tariff</w:t>
      </w:r>
      <w:r w:rsidR="004B18F4" w:rsidRPr="00836859">
        <w:t xml:space="preserve">s liberalization </w:t>
      </w:r>
      <w:proofErr w:type="gramStart"/>
      <w:r w:rsidR="004B18F4" w:rsidRPr="00836859">
        <w:t>depending  on</w:t>
      </w:r>
      <w:proofErr w:type="gramEnd"/>
      <w:r w:rsidR="004B18F4" w:rsidRPr="00836859">
        <w:t xml:space="preserve"> the reduction of NTMs.</w:t>
      </w:r>
      <w:r w:rsidR="00BF059C" w:rsidRPr="00836859">
        <w:t xml:space="preserve"> </w:t>
      </w:r>
      <w:r w:rsidR="00340838" w:rsidRPr="00836859">
        <w:t>Finally</w:t>
      </w:r>
      <w:r w:rsidR="00BF059C" w:rsidRPr="00836859">
        <w:t xml:space="preserve"> aggregate </w:t>
      </w:r>
      <w:r w:rsidR="00340838" w:rsidRPr="00836859">
        <w:t>tariff revenue losses would be moderate</w:t>
      </w:r>
      <w:r w:rsidR="00447600" w:rsidRPr="00836859">
        <w:t xml:space="preserve">. In 2045, tariff revenue </w:t>
      </w:r>
      <w:r w:rsidR="002C612A" w:rsidRPr="00836859">
        <w:t>would decrease by 8% compared to the baseline</w:t>
      </w:r>
      <w:r w:rsidR="00836859" w:rsidRPr="00836859">
        <w:t xml:space="preserve"> with some countries more affected than others.</w:t>
      </w:r>
    </w:p>
    <w:p w14:paraId="65F5EB3E" w14:textId="1008FFBE" w:rsidR="00A26C86" w:rsidRDefault="002C3EB4" w:rsidP="00A26C86">
      <w:pPr>
        <w:pStyle w:val="Heading2"/>
        <w:numPr>
          <w:ilvl w:val="0"/>
          <w:numId w:val="14"/>
        </w:numPr>
      </w:pPr>
      <w:r>
        <w:t xml:space="preserve">Findings of the </w:t>
      </w:r>
      <w:r w:rsidR="00645A28" w:rsidRPr="00645A28">
        <w:t>IFPRI</w:t>
      </w:r>
      <w:r>
        <w:t xml:space="preserve"> study</w:t>
      </w:r>
    </w:p>
    <w:p w14:paraId="4447E06F" w14:textId="4B598CEE" w:rsidR="00490710" w:rsidRPr="00A32372" w:rsidRDefault="00490710" w:rsidP="0018376E">
      <w:proofErr w:type="spellStart"/>
      <w:r w:rsidRPr="00A32372">
        <w:t>Bou</w:t>
      </w:r>
      <w:r w:rsidR="009D5578">
        <w:t>ë</w:t>
      </w:r>
      <w:r w:rsidRPr="00A32372">
        <w:t>t</w:t>
      </w:r>
      <w:proofErr w:type="spellEnd"/>
      <w:r w:rsidRPr="00A32372">
        <w:t xml:space="preserve"> et al</w:t>
      </w:r>
      <w:r w:rsidR="007B3186" w:rsidRPr="00A32372">
        <w:t xml:space="preserve"> (2021) is </w:t>
      </w:r>
      <w:r w:rsidR="00B800D7" w:rsidRPr="00A32372">
        <w:t xml:space="preserve">one </w:t>
      </w:r>
      <w:r w:rsidR="007B3186" w:rsidRPr="00A32372">
        <w:t>the first stud</w:t>
      </w:r>
      <w:r w:rsidR="00B800D7" w:rsidRPr="00A32372">
        <w:t>ies</w:t>
      </w:r>
      <w:r w:rsidR="007B3186" w:rsidRPr="00A32372">
        <w:t xml:space="preserve"> assessing the impact of the AfCFTA incorporating NTMs</w:t>
      </w:r>
      <w:r w:rsidR="00DD1624" w:rsidRPr="00A32372">
        <w:t xml:space="preserve"> and foreign </w:t>
      </w:r>
      <w:r w:rsidR="0053690E" w:rsidRPr="00A32372">
        <w:t>direct investment</w:t>
      </w:r>
      <w:r w:rsidR="000E7CF7" w:rsidRPr="00A32372">
        <w:t xml:space="preserve">. </w:t>
      </w:r>
      <w:r w:rsidR="00220501" w:rsidRPr="00A32372">
        <w:t xml:space="preserve">The study employed the MIRAGRODEP global CGE model calibrated to the GTAP 10 database. </w:t>
      </w:r>
      <w:r w:rsidR="00142CC2" w:rsidRPr="00A32372">
        <w:t xml:space="preserve">The model also </w:t>
      </w:r>
      <w:r w:rsidR="000F513E" w:rsidRPr="00A32372">
        <w:t>includes the consistent tariff aggregator of</w:t>
      </w:r>
      <w:r w:rsidR="00A32372" w:rsidRPr="00A32372">
        <w:t xml:space="preserve"> </w:t>
      </w:r>
      <w:r w:rsidR="00A32372" w:rsidRPr="00A32372">
        <w:rPr>
          <w:color w:val="221E1F"/>
        </w:rPr>
        <w:t>Laborde, Martin et Van der Mensbrugghe (2017).</w:t>
      </w:r>
      <w:r w:rsidR="00A32372" w:rsidRPr="00A32372">
        <w:t xml:space="preserve"> </w:t>
      </w:r>
      <w:r w:rsidR="00DD6A66" w:rsidRPr="00A32372">
        <w:t xml:space="preserve">Two </w:t>
      </w:r>
      <w:r w:rsidR="00830A2C" w:rsidRPr="00A32372">
        <w:t xml:space="preserve">main </w:t>
      </w:r>
      <w:r w:rsidR="00DD6A66" w:rsidRPr="00A32372">
        <w:t>scenarios are simulated:</w:t>
      </w:r>
    </w:p>
    <w:p w14:paraId="01EDF2E2" w14:textId="03FA1D39" w:rsidR="00DD6A66" w:rsidRPr="00A32372" w:rsidRDefault="00990122" w:rsidP="0018376E">
      <w:pPr>
        <w:pStyle w:val="ListParagraph"/>
        <w:numPr>
          <w:ilvl w:val="0"/>
          <w:numId w:val="44"/>
        </w:numPr>
      </w:pPr>
      <w:r w:rsidRPr="00A32372">
        <w:t xml:space="preserve">Scenario 1 corresponds to the </w:t>
      </w:r>
      <w:r w:rsidR="00BB294D" w:rsidRPr="00A32372">
        <w:t>AfCFTA</w:t>
      </w:r>
      <w:r w:rsidRPr="00A32372">
        <w:t xml:space="preserve"> without sensitive and excluded products</w:t>
      </w:r>
      <w:r w:rsidR="00BB294D" w:rsidRPr="00A32372">
        <w:t xml:space="preserve">. Under this scenario, </w:t>
      </w:r>
      <w:r w:rsidR="002F4F1A" w:rsidRPr="00A32372">
        <w:t>the complete</w:t>
      </w:r>
      <w:r w:rsidRPr="00A32372">
        <w:t xml:space="preserve"> elimination </w:t>
      </w:r>
      <w:r w:rsidR="002F4F1A" w:rsidRPr="00A32372">
        <w:t>of tariffs</w:t>
      </w:r>
      <w:r w:rsidRPr="00A32372">
        <w:t xml:space="preserve"> (without</w:t>
      </w:r>
      <w:r w:rsidR="00BB294D" w:rsidRPr="00A32372">
        <w:t xml:space="preserve"> </w:t>
      </w:r>
      <w:r w:rsidRPr="00A32372">
        <w:t>sensitive and excluded products) allows</w:t>
      </w:r>
      <w:r w:rsidR="00BB294D" w:rsidRPr="00A32372">
        <w:t xml:space="preserve"> </w:t>
      </w:r>
      <w:r w:rsidRPr="00A32372">
        <w:t>to study the impact of the sensitive and excluded</w:t>
      </w:r>
      <w:r w:rsidR="002F4F1A" w:rsidRPr="00A32372">
        <w:t xml:space="preserve"> products clause</w:t>
      </w:r>
      <w:r w:rsidRPr="00A32372">
        <w:t>. It thus represents the maximum</w:t>
      </w:r>
      <w:r w:rsidR="00BB294D" w:rsidRPr="00A32372">
        <w:t xml:space="preserve"> </w:t>
      </w:r>
      <w:r w:rsidRPr="00A32372">
        <w:t>gain that should be observed in</w:t>
      </w:r>
      <w:r w:rsidR="00BB294D" w:rsidRPr="00A32372">
        <w:t xml:space="preserve"> </w:t>
      </w:r>
      <w:r w:rsidRPr="00A32372">
        <w:t>the absence of an exclusion clause.</w:t>
      </w:r>
    </w:p>
    <w:p w14:paraId="4D6F5797" w14:textId="71866714" w:rsidR="00490710" w:rsidRPr="00A32372" w:rsidRDefault="007E4662" w:rsidP="0018376E">
      <w:pPr>
        <w:pStyle w:val="ListParagraph"/>
        <w:numPr>
          <w:ilvl w:val="0"/>
          <w:numId w:val="44"/>
        </w:numPr>
      </w:pPr>
      <w:r w:rsidRPr="00A32372">
        <w:t xml:space="preserve">Scenario 2 corresponds to the </w:t>
      </w:r>
      <w:r w:rsidR="006C3697" w:rsidRPr="00A32372">
        <w:t>AfCFTA</w:t>
      </w:r>
      <w:r w:rsidRPr="00A32372">
        <w:t xml:space="preserve"> </w:t>
      </w:r>
      <w:r w:rsidR="006C3697" w:rsidRPr="00A32372">
        <w:t xml:space="preserve">in its </w:t>
      </w:r>
      <w:r w:rsidR="009C5BC2" w:rsidRPr="00A32372">
        <w:t xml:space="preserve">final </w:t>
      </w:r>
      <w:proofErr w:type="spellStart"/>
      <w:r w:rsidR="009C5BC2" w:rsidRPr="00A32372">
        <w:t>oucomes</w:t>
      </w:r>
      <w:proofErr w:type="spellEnd"/>
      <w:r w:rsidR="009C5BC2" w:rsidRPr="00A32372">
        <w:t xml:space="preserve"> </w:t>
      </w:r>
      <w:r w:rsidRPr="00A32372">
        <w:t xml:space="preserve">with </w:t>
      </w:r>
      <w:r w:rsidR="009C5BC2" w:rsidRPr="00A32372">
        <w:t xml:space="preserve">a </w:t>
      </w:r>
      <w:r w:rsidRPr="00A32372">
        <w:t xml:space="preserve">reduction of </w:t>
      </w:r>
      <w:r w:rsidR="009C5BC2" w:rsidRPr="00A32372">
        <w:t>NTMs by</w:t>
      </w:r>
      <w:r w:rsidRPr="00A32372">
        <w:t xml:space="preserve"> 50%</w:t>
      </w:r>
      <w:r w:rsidR="009C5BC2" w:rsidRPr="00A32372">
        <w:t xml:space="preserve">. </w:t>
      </w:r>
      <w:r w:rsidRPr="00A32372">
        <w:t xml:space="preserve"> </w:t>
      </w:r>
      <w:r w:rsidR="003F01CF" w:rsidRPr="00A32372">
        <w:t>Under that scenario, tariffs</w:t>
      </w:r>
      <w:r w:rsidRPr="00A32372">
        <w:t xml:space="preserve"> </w:t>
      </w:r>
      <w:r w:rsidR="003F01CF" w:rsidRPr="00A32372">
        <w:t xml:space="preserve">are eliminated </w:t>
      </w:r>
      <w:r w:rsidRPr="00A32372">
        <w:t>between African countries on</w:t>
      </w:r>
      <w:r w:rsidR="003F01CF" w:rsidRPr="00A32372">
        <w:t xml:space="preserve"> </w:t>
      </w:r>
      <w:r w:rsidRPr="00A32372">
        <w:t xml:space="preserve">90% of tariff lines between 2021 and 2025, followed by </w:t>
      </w:r>
      <w:r w:rsidR="00AD70B4" w:rsidRPr="00A32372">
        <w:t>the</w:t>
      </w:r>
      <w:r w:rsidRPr="00A32372">
        <w:t xml:space="preserve"> </w:t>
      </w:r>
      <w:r w:rsidR="00AD70B4" w:rsidRPr="00A32372">
        <w:t xml:space="preserve">liberalization of </w:t>
      </w:r>
      <w:r w:rsidRPr="00A32372">
        <w:t xml:space="preserve">7% </w:t>
      </w:r>
      <w:r w:rsidR="00AD70B4" w:rsidRPr="00A32372">
        <w:t xml:space="preserve">of </w:t>
      </w:r>
      <w:r w:rsidRPr="00A32372">
        <w:t xml:space="preserve">lines corresponding to sensitive </w:t>
      </w:r>
      <w:r w:rsidR="00B03788" w:rsidRPr="00A32372">
        <w:t xml:space="preserve">products </w:t>
      </w:r>
      <w:r w:rsidRPr="00A32372">
        <w:t xml:space="preserve">between 2026 and 2030. </w:t>
      </w:r>
      <w:r w:rsidR="00CF0E2A" w:rsidRPr="00A32372">
        <w:t xml:space="preserve">3% of tariff lines are excluded from liberalization </w:t>
      </w:r>
      <w:r w:rsidR="00441812" w:rsidRPr="00A32372">
        <w:t xml:space="preserve">in line with the agreement. </w:t>
      </w:r>
      <w:proofErr w:type="gramStart"/>
      <w:r w:rsidR="009E3678" w:rsidRPr="00A32372">
        <w:t>The  LDCs</w:t>
      </w:r>
      <w:proofErr w:type="gramEnd"/>
      <w:r w:rsidR="009E3678" w:rsidRPr="00A32372">
        <w:t xml:space="preserve"> clause is included in the analysis and the list</w:t>
      </w:r>
      <w:r w:rsidR="00201607" w:rsidRPr="00A32372">
        <w:t>s</w:t>
      </w:r>
      <w:r w:rsidR="009E3678" w:rsidRPr="00A32372">
        <w:t xml:space="preserve"> of sensitive and excluded product</w:t>
      </w:r>
      <w:r w:rsidR="00201607" w:rsidRPr="00A32372">
        <w:t xml:space="preserve">s are selected based on the political economy criterion of </w:t>
      </w:r>
      <w:r w:rsidR="007812C7" w:rsidRPr="00A32372">
        <w:t>Jean, Laborde and Martin (2010).</w:t>
      </w:r>
    </w:p>
    <w:p w14:paraId="449BCC86" w14:textId="55B002BC" w:rsidR="00F413FB" w:rsidRPr="004415B6" w:rsidRDefault="00751AB0" w:rsidP="0018376E">
      <w:r w:rsidRPr="00C4197C">
        <w:t xml:space="preserve">The results </w:t>
      </w:r>
      <w:r w:rsidR="00C3515D" w:rsidRPr="00C4197C">
        <w:t xml:space="preserve">show a </w:t>
      </w:r>
      <w:r w:rsidR="00814F19" w:rsidRPr="00C4197C">
        <w:t xml:space="preserve">moderate impact on GDP and real income of households. </w:t>
      </w:r>
      <w:r w:rsidR="0083410F" w:rsidRPr="00C4197C">
        <w:t>The impact on GDP ranges from</w:t>
      </w:r>
      <w:r w:rsidR="00C4197C" w:rsidRPr="00C4197C">
        <w:t xml:space="preserve"> </w:t>
      </w:r>
      <w:r w:rsidR="00796335" w:rsidRPr="00C4197C">
        <w:t>-0.3%</w:t>
      </w:r>
      <w:r w:rsidR="0083410F" w:rsidRPr="00C4197C">
        <w:t xml:space="preserve"> to </w:t>
      </w:r>
      <w:r w:rsidR="00AA216D" w:rsidRPr="00C4197C">
        <w:t xml:space="preserve">0.3% </w:t>
      </w:r>
      <w:r w:rsidR="0083410F" w:rsidRPr="00C4197C">
        <w:t xml:space="preserve">for the scenario without </w:t>
      </w:r>
      <w:r w:rsidR="00205233" w:rsidRPr="00C4197C">
        <w:t xml:space="preserve">exclusion lists and </w:t>
      </w:r>
      <w:r w:rsidR="004945F5" w:rsidRPr="00C4197C">
        <w:t xml:space="preserve">from -0.2 to 0.3% </w:t>
      </w:r>
      <w:r w:rsidR="00205233" w:rsidRPr="00C4197C">
        <w:t>for the second scenario</w:t>
      </w:r>
      <w:r w:rsidR="00537E79" w:rsidRPr="00C4197C">
        <w:t xml:space="preserve"> and depending on the R</w:t>
      </w:r>
      <w:r w:rsidR="000F4EFF">
        <w:t xml:space="preserve">egional </w:t>
      </w:r>
      <w:r w:rsidR="00537E79" w:rsidRPr="00C4197C">
        <w:t>E</w:t>
      </w:r>
      <w:r w:rsidR="000F4EFF">
        <w:t xml:space="preserve">conomic </w:t>
      </w:r>
      <w:r w:rsidR="00537E79" w:rsidRPr="00C4197C">
        <w:t>C</w:t>
      </w:r>
      <w:r w:rsidR="000F4EFF">
        <w:t>ommunity</w:t>
      </w:r>
      <w:r w:rsidR="00537E79" w:rsidRPr="00C4197C">
        <w:t xml:space="preserve"> under consideration</w:t>
      </w:r>
      <w:r w:rsidR="00774659" w:rsidRPr="00C4197C">
        <w:t xml:space="preserve"> in 2035 compared to the baseline</w:t>
      </w:r>
      <w:r w:rsidR="00205233" w:rsidRPr="00C4197C">
        <w:t xml:space="preserve">. </w:t>
      </w:r>
      <w:r w:rsidR="00537E79" w:rsidRPr="00C4197C">
        <w:t xml:space="preserve">In the second (realistic) scenario, </w:t>
      </w:r>
      <w:r w:rsidR="00D46699" w:rsidRPr="00C4197C">
        <w:t>the eastern Africa region is the one which benefits the most fr</w:t>
      </w:r>
      <w:r w:rsidR="000F4EFF">
        <w:t>o</w:t>
      </w:r>
      <w:r w:rsidR="00D46699" w:rsidRPr="00C4197C">
        <w:t xml:space="preserve">m the agreement with an increase in GDP in volume of 0.3%. </w:t>
      </w:r>
      <w:r w:rsidR="00DA0FA5" w:rsidRPr="00C4197C">
        <w:t xml:space="preserve">Similar results are found for the real income of households. </w:t>
      </w:r>
      <w:r w:rsidR="00CA40D4" w:rsidRPr="00C4197C">
        <w:t xml:space="preserve">Regarding trade flows, </w:t>
      </w:r>
      <w:r w:rsidR="00D67280" w:rsidRPr="00C4197C">
        <w:t>intra-</w:t>
      </w:r>
      <w:proofErr w:type="spellStart"/>
      <w:r w:rsidR="00D67280" w:rsidRPr="00C4197C">
        <w:t>african</w:t>
      </w:r>
      <w:proofErr w:type="spellEnd"/>
      <w:r w:rsidR="00D67280" w:rsidRPr="00C4197C">
        <w:t xml:space="preserve"> trade would increase by 15% </w:t>
      </w:r>
      <w:r w:rsidR="00213850" w:rsidRPr="00C4197C">
        <w:t xml:space="preserve">in 2035 </w:t>
      </w:r>
      <w:r w:rsidR="00213850" w:rsidRPr="00C4197C">
        <w:lastRenderedPageBreak/>
        <w:t>compared to the baseline</w:t>
      </w:r>
      <w:r w:rsidR="00AF6CAF">
        <w:t>.</w:t>
      </w:r>
      <w:r w:rsidR="00A53DDE" w:rsidRPr="000F4EFF">
        <w:rPr>
          <w:vertAlign w:val="superscript"/>
        </w:rPr>
        <w:footnoteReference w:id="15"/>
      </w:r>
      <w:r w:rsidR="00213850" w:rsidRPr="00C4197C">
        <w:t xml:space="preserve"> </w:t>
      </w:r>
      <w:r w:rsidR="00F445DA" w:rsidRPr="00C4197C">
        <w:t xml:space="preserve">Ethiopia, </w:t>
      </w:r>
      <w:r w:rsidR="001E4B00" w:rsidRPr="00C4197C">
        <w:t>t</w:t>
      </w:r>
      <w:r w:rsidR="00F445DA" w:rsidRPr="00C4197C">
        <w:t xml:space="preserve">he CEMAC region </w:t>
      </w:r>
      <w:r w:rsidR="001E4B00" w:rsidRPr="00C4197C">
        <w:t>and Morocc</w:t>
      </w:r>
      <w:r w:rsidR="000F4EFF">
        <w:t>o</w:t>
      </w:r>
      <w:r w:rsidR="001E4B00" w:rsidRPr="00C4197C">
        <w:t xml:space="preserve"> </w:t>
      </w:r>
      <w:r w:rsidR="00036A05" w:rsidRPr="00C4197C">
        <w:t>would register the highest increases in</w:t>
      </w:r>
      <w:r w:rsidR="00143CDC" w:rsidRPr="00C4197C">
        <w:t xml:space="preserve"> </w:t>
      </w:r>
      <w:r w:rsidR="00B051BA" w:rsidRPr="00C4197C">
        <w:t xml:space="preserve">their total </w:t>
      </w:r>
      <w:r w:rsidR="00036A05" w:rsidRPr="00C4197C">
        <w:t xml:space="preserve">exports </w:t>
      </w:r>
      <w:r w:rsidR="00CD0ABF" w:rsidRPr="00C4197C">
        <w:t>with 5</w:t>
      </w:r>
      <w:r w:rsidR="004D7EA5" w:rsidRPr="00C4197C">
        <w:t xml:space="preserve">.5, </w:t>
      </w:r>
      <w:r w:rsidR="001E4B00" w:rsidRPr="00C4197C">
        <w:t xml:space="preserve">2.3 and </w:t>
      </w:r>
      <w:r w:rsidR="00FE0412" w:rsidRPr="00C4197C">
        <w:t xml:space="preserve">2.1 </w:t>
      </w:r>
      <w:r w:rsidR="001E4B00" w:rsidRPr="00C4197C">
        <w:t>respectively.</w:t>
      </w:r>
      <w:r w:rsidR="00FE0412" w:rsidRPr="00C4197C">
        <w:t xml:space="preserve"> </w:t>
      </w:r>
      <w:r w:rsidR="00EC118A" w:rsidRPr="00C4197C">
        <w:t>For intra-</w:t>
      </w:r>
      <w:proofErr w:type="spellStart"/>
      <w:r w:rsidR="00EC118A" w:rsidRPr="00C4197C">
        <w:t>african</w:t>
      </w:r>
      <w:proofErr w:type="spellEnd"/>
      <w:r w:rsidR="00EC118A" w:rsidRPr="00C4197C">
        <w:t xml:space="preserve"> trade, Morocco, Ethiopia and </w:t>
      </w:r>
      <w:r w:rsidR="00D1222B" w:rsidRPr="00C4197C">
        <w:t xml:space="preserve">the rest of North Africa </w:t>
      </w:r>
      <w:r w:rsidR="00D81638" w:rsidRPr="00C4197C">
        <w:t xml:space="preserve">would register exports increases of 68, 37 and 27% respectively. </w:t>
      </w:r>
    </w:p>
    <w:p w14:paraId="3FE5C275" w14:textId="0D1C9396" w:rsidR="00AE100A" w:rsidRDefault="00AE100A" w:rsidP="00A26C86">
      <w:pPr>
        <w:pStyle w:val="Heading2"/>
        <w:numPr>
          <w:ilvl w:val="0"/>
          <w:numId w:val="14"/>
        </w:numPr>
      </w:pPr>
      <w:r>
        <w:t>Findings of the JRC study</w:t>
      </w:r>
    </w:p>
    <w:p w14:paraId="1F165B77" w14:textId="388717C0" w:rsidR="00156780" w:rsidRPr="0018376E" w:rsidRDefault="00097648" w:rsidP="0018376E">
      <w:r w:rsidRPr="00873118">
        <w:t xml:space="preserve">The study by </w:t>
      </w:r>
      <w:proofErr w:type="spellStart"/>
      <w:r w:rsidR="002231DE" w:rsidRPr="00873118">
        <w:t>Simola</w:t>
      </w:r>
      <w:proofErr w:type="spellEnd"/>
      <w:r w:rsidR="002231DE" w:rsidRPr="00873118">
        <w:t xml:space="preserve"> et al. (2021)</w:t>
      </w:r>
      <w:r w:rsidR="00C8099C" w:rsidRPr="00873118">
        <w:t xml:space="preserve"> from the Joint Research Center (JRC) of the European</w:t>
      </w:r>
      <w:r w:rsidR="00E805F7" w:rsidRPr="00873118">
        <w:t xml:space="preserve"> </w:t>
      </w:r>
      <w:proofErr w:type="gramStart"/>
      <w:r w:rsidR="00E805F7" w:rsidRPr="00873118">
        <w:t xml:space="preserve">Commission </w:t>
      </w:r>
      <w:r w:rsidR="002231DE" w:rsidRPr="00873118">
        <w:t xml:space="preserve"> </w:t>
      </w:r>
      <w:r w:rsidRPr="00873118">
        <w:t>was</w:t>
      </w:r>
      <w:proofErr w:type="gramEnd"/>
      <w:r w:rsidRPr="00873118">
        <w:t xml:space="preserve"> performed in partnership with the African Union Commission</w:t>
      </w:r>
      <w:r w:rsidR="00E805F7" w:rsidRPr="00873118">
        <w:t xml:space="preserve">. It employed a global </w:t>
      </w:r>
      <w:r w:rsidR="00F7276B" w:rsidRPr="00873118">
        <w:t>CGE model of the GTAP ty</w:t>
      </w:r>
      <w:r w:rsidR="00AF6CAF">
        <w:t>p</w:t>
      </w:r>
      <w:r w:rsidR="00F7276B" w:rsidRPr="00873118">
        <w:t xml:space="preserve">e, named </w:t>
      </w:r>
      <w:r w:rsidR="008650B6" w:rsidRPr="00873118">
        <w:t xml:space="preserve">the Modular Applied </w:t>
      </w:r>
      <w:proofErr w:type="spellStart"/>
      <w:r w:rsidR="008650B6" w:rsidRPr="00873118">
        <w:t>GeNeral</w:t>
      </w:r>
      <w:proofErr w:type="spellEnd"/>
      <w:r w:rsidR="008650B6" w:rsidRPr="00873118">
        <w:t xml:space="preserve"> Equilibrium Tool (MAGNET)</w:t>
      </w:r>
      <w:r w:rsidR="00F7276B" w:rsidRPr="00873118">
        <w:t xml:space="preserve">. </w:t>
      </w:r>
      <w:r w:rsidR="00D50377" w:rsidRPr="00873118">
        <w:t xml:space="preserve">Since the final market access offers were not available at the time of the study, the authors adopt an approach </w:t>
      </w:r>
      <w:proofErr w:type="gramStart"/>
      <w:r w:rsidR="00D50377" w:rsidRPr="00873118">
        <w:t>similar to</w:t>
      </w:r>
      <w:proofErr w:type="gramEnd"/>
      <w:r w:rsidR="00D50377" w:rsidRPr="00873118">
        <w:t xml:space="preserve"> UNECA (2018). </w:t>
      </w:r>
      <w:r w:rsidR="00DA5B8B" w:rsidRPr="00873118">
        <w:t xml:space="preserve">Four lists of products are considered: </w:t>
      </w:r>
      <w:r w:rsidR="00091B5C" w:rsidRPr="00873118">
        <w:t>non-sensitive, non-sensitive G7, sensitive and excluded.</w:t>
      </w:r>
      <w:r w:rsidR="00DE7E4A" w:rsidRPr="00873118">
        <w:t xml:space="preserve"> </w:t>
      </w:r>
      <w:r w:rsidR="00A01A89" w:rsidRPr="00873118">
        <w:t xml:space="preserve">For non </w:t>
      </w:r>
      <w:proofErr w:type="spellStart"/>
      <w:r w:rsidR="00A01A89" w:rsidRPr="00873118">
        <w:t>sens</w:t>
      </w:r>
      <w:r w:rsidR="00607566" w:rsidRPr="00873118">
        <w:t>i</w:t>
      </w:r>
      <w:r w:rsidR="00A01A89" w:rsidRPr="00873118">
        <w:t>itive</w:t>
      </w:r>
      <w:proofErr w:type="spellEnd"/>
      <w:r w:rsidR="00A01A89" w:rsidRPr="00873118">
        <w:t xml:space="preserve"> products, </w:t>
      </w:r>
      <w:r w:rsidR="00430ABB" w:rsidRPr="00873118">
        <w:t xml:space="preserve">90% of tariff lines are liberalized over 5 years for non LDCs, 10 years for LDCs and 15 years for </w:t>
      </w:r>
      <w:r w:rsidR="00A01A89" w:rsidRPr="00873118">
        <w:t>the</w:t>
      </w:r>
      <w:r w:rsidR="00430ABB" w:rsidRPr="00873118">
        <w:t xml:space="preserve"> group of seven countries</w:t>
      </w:r>
      <w:r w:rsidR="0084613E" w:rsidRPr="00873118">
        <w:t xml:space="preserve"> (G7)</w:t>
      </w:r>
      <w:r w:rsidR="00430ABB" w:rsidRPr="00873118">
        <w:t>.</w:t>
      </w:r>
      <w:r w:rsidR="00430ABB" w:rsidRPr="00AF6CAF">
        <w:rPr>
          <w:vertAlign w:val="superscript"/>
        </w:rPr>
        <w:footnoteReference w:id="16"/>
      </w:r>
      <w:r w:rsidR="0084613E" w:rsidRPr="00873118">
        <w:t xml:space="preserve"> For sensitive products, </w:t>
      </w:r>
      <w:r w:rsidR="00086ED5" w:rsidRPr="00873118">
        <w:t xml:space="preserve">up to 7% of tariff lines </w:t>
      </w:r>
      <w:r w:rsidR="00E975B8" w:rsidRPr="00873118">
        <w:t>are liberalized within 10 years for non LDCs and 13 years for LDCs and the group of seven countries.</w:t>
      </w:r>
      <w:r w:rsidR="00383CBA" w:rsidRPr="00873118">
        <w:t xml:space="preserve"> Excluded products represent up to 3% of tariff lines </w:t>
      </w:r>
      <w:r w:rsidR="00244F67" w:rsidRPr="00873118">
        <w:t xml:space="preserve">covering less than 10 % of value of imports from Africa. </w:t>
      </w:r>
      <w:r w:rsidR="00A47A56" w:rsidRPr="00873118">
        <w:t xml:space="preserve">To select sensitive and excluded products, a </w:t>
      </w:r>
      <w:r w:rsidR="004F7A61" w:rsidRPr="00873118">
        <w:t>tariff revenue</w:t>
      </w:r>
      <w:r w:rsidR="00AA1FD4" w:rsidRPr="00873118">
        <w:t xml:space="preserve"> </w:t>
      </w:r>
      <w:proofErr w:type="spellStart"/>
      <w:r w:rsidR="00EF6612" w:rsidRPr="00873118">
        <w:t>maximisation</w:t>
      </w:r>
      <w:proofErr w:type="spellEnd"/>
      <w:r w:rsidR="004F7A61" w:rsidRPr="00873118">
        <w:t xml:space="preserve"> </w:t>
      </w:r>
      <w:r w:rsidR="00A47A56" w:rsidRPr="00873118">
        <w:t xml:space="preserve">criterion is </w:t>
      </w:r>
      <w:r w:rsidR="004F7A61" w:rsidRPr="00873118">
        <w:t>retained</w:t>
      </w:r>
      <w:r w:rsidR="00AA1FD4" w:rsidRPr="00873118">
        <w:t xml:space="preserve">. </w:t>
      </w:r>
      <w:r w:rsidR="00A47A56" w:rsidRPr="00873118">
        <w:t xml:space="preserve">However, in addition, </w:t>
      </w:r>
      <w:r w:rsidR="00873118" w:rsidRPr="00873118">
        <w:t>four</w:t>
      </w:r>
      <w:r w:rsidR="009E54D2" w:rsidRPr="00873118">
        <w:t xml:space="preserve"> options </w:t>
      </w:r>
      <w:r w:rsidR="00544527" w:rsidRPr="00873118">
        <w:t>reflecting different</w:t>
      </w:r>
      <w:r w:rsidR="009E54D2" w:rsidRPr="00873118">
        <w:t xml:space="preserve"> import </w:t>
      </w:r>
      <w:proofErr w:type="spellStart"/>
      <w:r w:rsidR="009E54D2" w:rsidRPr="00873118">
        <w:t>liberalisation</w:t>
      </w:r>
      <w:proofErr w:type="spellEnd"/>
      <w:r w:rsidR="009E54D2" w:rsidRPr="00873118">
        <w:t xml:space="preserve"> strategy are considered</w:t>
      </w:r>
      <w:r w:rsidR="00544527" w:rsidRPr="00873118">
        <w:t xml:space="preserve"> as a primary objective. </w:t>
      </w:r>
      <w:r w:rsidR="00AE01D1" w:rsidRPr="00873118">
        <w:t>Thus,</w:t>
      </w:r>
      <w:r w:rsidR="009E54D2" w:rsidRPr="00873118">
        <w:t xml:space="preserve"> </w:t>
      </w:r>
      <w:r w:rsidR="00AE01D1" w:rsidRPr="00873118">
        <w:t>a</w:t>
      </w:r>
      <w:r w:rsidR="009E54D2" w:rsidRPr="00873118">
        <w:t xml:space="preserve"> complete </w:t>
      </w:r>
      <w:proofErr w:type="spellStart"/>
      <w:r w:rsidR="009E54D2" w:rsidRPr="00873118">
        <w:t>liberalisation</w:t>
      </w:r>
      <w:proofErr w:type="spellEnd"/>
      <w:r w:rsidR="009E54D2" w:rsidRPr="00873118">
        <w:t xml:space="preserve"> of a defined product group </w:t>
      </w:r>
      <w:r w:rsidR="00AE01D1" w:rsidRPr="00873118">
        <w:t xml:space="preserve">is performed </w:t>
      </w:r>
      <w:r w:rsidR="009E54D2" w:rsidRPr="00873118">
        <w:t xml:space="preserve">before applying the tariff revenue </w:t>
      </w:r>
      <w:proofErr w:type="spellStart"/>
      <w:r w:rsidR="009E54D2" w:rsidRPr="00873118">
        <w:t>maximisation</w:t>
      </w:r>
      <w:proofErr w:type="spellEnd"/>
      <w:r w:rsidR="009E54D2" w:rsidRPr="00873118">
        <w:t xml:space="preserve"> approach to the remaining tariff lines. These options are:</w:t>
      </w:r>
      <w:r w:rsidR="00AF6CAF">
        <w:t xml:space="preserve"> </w:t>
      </w:r>
      <w:proofErr w:type="spellStart"/>
      <w:r w:rsidR="00F223C6" w:rsidRPr="00873118">
        <w:t>i</w:t>
      </w:r>
      <w:proofErr w:type="spellEnd"/>
      <w:r w:rsidR="00F223C6" w:rsidRPr="00873118">
        <w:t>) no additional strategy</w:t>
      </w:r>
      <w:r w:rsidR="00873118" w:rsidRPr="00873118">
        <w:t xml:space="preserve">, ii) </w:t>
      </w:r>
      <w:r w:rsidR="00AA1FD4" w:rsidRPr="00AA1FD4">
        <w:t xml:space="preserve">improving food access by </w:t>
      </w:r>
      <w:proofErr w:type="spellStart"/>
      <w:r w:rsidR="00AA1FD4" w:rsidRPr="00AA1FD4">
        <w:t>liberalising</w:t>
      </w:r>
      <w:proofErr w:type="spellEnd"/>
      <w:r w:rsidR="00AA1FD4" w:rsidRPr="00AA1FD4">
        <w:t xml:space="preserve"> agri-food products</w:t>
      </w:r>
      <w:r w:rsidR="00873118" w:rsidRPr="00873118">
        <w:t xml:space="preserve">, iii) </w:t>
      </w:r>
      <w:r w:rsidR="00AA1FD4" w:rsidRPr="00AA1FD4">
        <w:t xml:space="preserve">promoting </w:t>
      </w:r>
      <w:proofErr w:type="spellStart"/>
      <w:r w:rsidR="00AA1FD4" w:rsidRPr="00AA1FD4">
        <w:t>industrialisation</w:t>
      </w:r>
      <w:proofErr w:type="spellEnd"/>
      <w:r w:rsidR="00AA1FD4" w:rsidRPr="00AA1FD4">
        <w:t xml:space="preserve"> by </w:t>
      </w:r>
      <w:proofErr w:type="spellStart"/>
      <w:r w:rsidR="00AA1FD4" w:rsidRPr="00AA1FD4">
        <w:t>liberalising</w:t>
      </w:r>
      <w:proofErr w:type="spellEnd"/>
      <w:r w:rsidR="00AA1FD4" w:rsidRPr="00AA1FD4">
        <w:t xml:space="preserve"> intermediate input products, </w:t>
      </w:r>
      <w:r w:rsidR="00873118" w:rsidRPr="00873118">
        <w:t xml:space="preserve">and iv) </w:t>
      </w:r>
      <w:r w:rsidR="00AA1FD4" w:rsidRPr="00AA1FD4">
        <w:t xml:space="preserve">increasing healthy competition by </w:t>
      </w:r>
      <w:proofErr w:type="spellStart"/>
      <w:r w:rsidR="00AA1FD4" w:rsidRPr="00AA1FD4">
        <w:t>liberalising</w:t>
      </w:r>
      <w:proofErr w:type="spellEnd"/>
      <w:r w:rsidR="00AA1FD4" w:rsidRPr="00AA1FD4">
        <w:t xml:space="preserve"> industries with revealed comparative advantage within </w:t>
      </w:r>
      <w:r w:rsidR="00873118" w:rsidRPr="00873118">
        <w:t>Africa.</w:t>
      </w:r>
    </w:p>
    <w:p w14:paraId="4CBB85F6" w14:textId="7435AE6F" w:rsidR="00156780" w:rsidRPr="00AA1FD4" w:rsidRDefault="00156780" w:rsidP="0018376E">
      <w:r>
        <w:t xml:space="preserve">Regarding NTMs, the authors </w:t>
      </w:r>
      <w:proofErr w:type="gramStart"/>
      <w:r w:rsidR="00C0518A">
        <w:t>make the assumption</w:t>
      </w:r>
      <w:proofErr w:type="gramEnd"/>
      <w:r w:rsidR="00C0518A">
        <w:t xml:space="preserve"> that t</w:t>
      </w:r>
      <w:r w:rsidR="00C0518A" w:rsidRPr="005129F3">
        <w:t xml:space="preserve">he </w:t>
      </w:r>
      <w:proofErr w:type="spellStart"/>
      <w:r w:rsidR="00C0518A" w:rsidRPr="005129F3">
        <w:t>AfCFTA</w:t>
      </w:r>
      <w:proofErr w:type="spellEnd"/>
      <w:r w:rsidR="00C0518A" w:rsidRPr="005129F3">
        <w:t xml:space="preserve"> will </w:t>
      </w:r>
      <w:proofErr w:type="spellStart"/>
      <w:r w:rsidR="00C0518A" w:rsidRPr="005129F3">
        <w:t>harmonise</w:t>
      </w:r>
      <w:proofErr w:type="spellEnd"/>
      <w:r w:rsidR="00C0518A" w:rsidRPr="005129F3">
        <w:t xml:space="preserve"> rules and regulations in and thereby reduce the cost of trading for trade </w:t>
      </w:r>
      <w:r w:rsidR="00A813EA" w:rsidRPr="005129F3">
        <w:t xml:space="preserve">both </w:t>
      </w:r>
      <w:r w:rsidR="00C0518A" w:rsidRPr="005129F3">
        <w:t xml:space="preserve">within </w:t>
      </w:r>
      <w:r w:rsidR="00A813EA" w:rsidRPr="005129F3">
        <w:t xml:space="preserve">Africa and </w:t>
      </w:r>
      <w:r w:rsidR="00CB308D" w:rsidRPr="005129F3">
        <w:t xml:space="preserve">with external partners. </w:t>
      </w:r>
      <w:r w:rsidR="00A813EA" w:rsidRPr="005129F3">
        <w:t xml:space="preserve"> </w:t>
      </w:r>
      <w:r w:rsidR="00CB308D" w:rsidRPr="005129F3">
        <w:t>The</w:t>
      </w:r>
      <w:r w:rsidR="00C0518A" w:rsidRPr="005129F3">
        <w:t xml:space="preserve"> AfCFTA </w:t>
      </w:r>
      <w:r w:rsidR="00CB308D" w:rsidRPr="005129F3">
        <w:t>is supposed to yield</w:t>
      </w:r>
      <w:r w:rsidR="00C0518A" w:rsidRPr="005129F3">
        <w:t xml:space="preserve"> a reduction of 50 % in NTMs on merchandise and services trade for all intra-A</w:t>
      </w:r>
      <w:r w:rsidR="00683F97" w:rsidRPr="005129F3">
        <w:t>frican</w:t>
      </w:r>
      <w:r w:rsidR="00C0518A" w:rsidRPr="005129F3">
        <w:t xml:space="preserve"> states. The AfCFTA is also assumed to reduce the cost of trading with countries outside of the AU </w:t>
      </w:r>
      <w:r w:rsidR="00683F97" w:rsidRPr="005129F3">
        <w:t>by 25%</w:t>
      </w:r>
      <w:r w:rsidR="008C6FBF" w:rsidRPr="005129F3">
        <w:t xml:space="preserve">. </w:t>
      </w:r>
      <w:proofErr w:type="gramStart"/>
      <w:r w:rsidR="005129F3" w:rsidRPr="005129F3">
        <w:t>Therefore</w:t>
      </w:r>
      <w:proofErr w:type="gramEnd"/>
      <w:r w:rsidR="005129F3" w:rsidRPr="005129F3">
        <w:t xml:space="preserve"> </w:t>
      </w:r>
      <w:r w:rsidR="00C0518A" w:rsidRPr="005129F3">
        <w:t xml:space="preserve">NTMs for all imports and exports between AU and non-AU countries are assumed to decrease by 25 %. </w:t>
      </w:r>
    </w:p>
    <w:p w14:paraId="4AF82B04" w14:textId="30EE4637" w:rsidR="005360E8" w:rsidRPr="00F35D4C" w:rsidRDefault="00BA24E0" w:rsidP="0018376E">
      <w:pPr>
        <w:rPr>
          <w:color w:val="000000"/>
        </w:rPr>
      </w:pPr>
      <w:r w:rsidRPr="00BA24E0">
        <w:rPr>
          <w:color w:val="000000"/>
        </w:rPr>
        <w:t xml:space="preserve">Overall, with tariff and NTMs liberalization </w:t>
      </w:r>
      <w:r w:rsidR="000E4A4C" w:rsidRPr="00F35D4C">
        <w:rPr>
          <w:color w:val="000000"/>
        </w:rPr>
        <w:t xml:space="preserve">while </w:t>
      </w:r>
      <w:r w:rsidR="00917344" w:rsidRPr="00F35D4C">
        <w:rPr>
          <w:color w:val="000000"/>
        </w:rPr>
        <w:t xml:space="preserve">Africa overall trade would increase modestly by 2.6%, </w:t>
      </w:r>
      <w:r w:rsidRPr="00BA24E0">
        <w:rPr>
          <w:color w:val="000000"/>
        </w:rPr>
        <w:t xml:space="preserve">intra-African trade </w:t>
      </w:r>
      <w:r w:rsidR="00917344" w:rsidRPr="00F35D4C">
        <w:rPr>
          <w:color w:val="000000"/>
        </w:rPr>
        <w:t>would increase by</w:t>
      </w:r>
      <w:r w:rsidRPr="00BA24E0">
        <w:rPr>
          <w:color w:val="000000"/>
        </w:rPr>
        <w:t xml:space="preserve"> 22 % by 2035</w:t>
      </w:r>
      <w:r w:rsidR="00917344" w:rsidRPr="00F35D4C">
        <w:rPr>
          <w:color w:val="000000"/>
        </w:rPr>
        <w:t xml:space="preserve"> compared to the baseline</w:t>
      </w:r>
      <w:r w:rsidR="00953153" w:rsidRPr="00F35D4C">
        <w:rPr>
          <w:color w:val="000000"/>
        </w:rPr>
        <w:t xml:space="preserve">, with </w:t>
      </w:r>
      <w:r w:rsidR="005B7250" w:rsidRPr="00F35D4C">
        <w:rPr>
          <w:color w:val="000000"/>
        </w:rPr>
        <w:t>two third of the gains coming from tariffs liberalization</w:t>
      </w:r>
      <w:r w:rsidR="005476C5" w:rsidRPr="00F35D4C">
        <w:rPr>
          <w:color w:val="000000"/>
        </w:rPr>
        <w:t>.</w:t>
      </w:r>
      <w:r w:rsidR="00C20032" w:rsidRPr="00F35D4C">
        <w:rPr>
          <w:color w:val="000000"/>
        </w:rPr>
        <w:t xml:space="preserve"> </w:t>
      </w:r>
      <w:r w:rsidR="00E666A3" w:rsidRPr="001D4E8D">
        <w:rPr>
          <w:color w:val="000000"/>
        </w:rPr>
        <w:t xml:space="preserve">Tariff revenues </w:t>
      </w:r>
      <w:r w:rsidR="00F35D4C" w:rsidRPr="001D4E8D">
        <w:rPr>
          <w:color w:val="000000"/>
        </w:rPr>
        <w:t xml:space="preserve">would </w:t>
      </w:r>
      <w:r w:rsidR="00E666A3" w:rsidRPr="001D4E8D">
        <w:rPr>
          <w:color w:val="000000"/>
        </w:rPr>
        <w:t xml:space="preserve">decrease </w:t>
      </w:r>
      <w:r w:rsidR="00F35D4C" w:rsidRPr="001D4E8D">
        <w:rPr>
          <w:color w:val="000000"/>
        </w:rPr>
        <w:t>by</w:t>
      </w:r>
      <w:r w:rsidR="00E666A3" w:rsidRPr="001D4E8D">
        <w:rPr>
          <w:color w:val="000000"/>
        </w:rPr>
        <w:t xml:space="preserve"> 8.2 % at the AU level</w:t>
      </w:r>
      <w:r w:rsidR="00F35D4C" w:rsidRPr="001D4E8D">
        <w:rPr>
          <w:color w:val="000000"/>
        </w:rPr>
        <w:t xml:space="preserve"> and the reduction </w:t>
      </w:r>
      <w:r w:rsidR="00E666A3" w:rsidRPr="001D4E8D">
        <w:rPr>
          <w:color w:val="000000"/>
        </w:rPr>
        <w:t>range</w:t>
      </w:r>
      <w:r w:rsidR="0050046E" w:rsidRPr="001D4E8D">
        <w:rPr>
          <w:color w:val="000000"/>
        </w:rPr>
        <w:t>s from</w:t>
      </w:r>
      <w:r w:rsidR="00E666A3" w:rsidRPr="001D4E8D">
        <w:rPr>
          <w:color w:val="000000"/>
        </w:rPr>
        <w:t xml:space="preserve"> 4.4 (</w:t>
      </w:r>
      <w:r w:rsidR="0050046E" w:rsidRPr="001D4E8D">
        <w:rPr>
          <w:color w:val="000000"/>
        </w:rPr>
        <w:t>COMESA</w:t>
      </w:r>
      <w:r w:rsidR="00E666A3" w:rsidRPr="001D4E8D">
        <w:rPr>
          <w:color w:val="000000"/>
        </w:rPr>
        <w:t xml:space="preserve">) </w:t>
      </w:r>
      <w:r w:rsidR="0050046E" w:rsidRPr="001D4E8D">
        <w:rPr>
          <w:color w:val="000000"/>
        </w:rPr>
        <w:t xml:space="preserve">to </w:t>
      </w:r>
      <w:r w:rsidR="00E666A3" w:rsidRPr="001D4E8D">
        <w:rPr>
          <w:color w:val="000000"/>
        </w:rPr>
        <w:t>13.3 % (</w:t>
      </w:r>
      <w:r w:rsidR="0050046E" w:rsidRPr="001D4E8D">
        <w:rPr>
          <w:color w:val="000000"/>
        </w:rPr>
        <w:t>ECCAS</w:t>
      </w:r>
      <w:r w:rsidR="00E666A3" w:rsidRPr="001D4E8D">
        <w:rPr>
          <w:color w:val="000000"/>
        </w:rPr>
        <w:t>).</w:t>
      </w:r>
      <w:r w:rsidR="00F35D4C" w:rsidRPr="001D4E8D">
        <w:rPr>
          <w:color w:val="000000"/>
        </w:rPr>
        <w:t xml:space="preserve"> </w:t>
      </w:r>
      <w:r w:rsidR="004C297B" w:rsidRPr="001D4E8D">
        <w:rPr>
          <w:color w:val="000000"/>
        </w:rPr>
        <w:t>Africa GDP increases by 0.42%</w:t>
      </w:r>
      <w:r w:rsidR="00D12D5B" w:rsidRPr="001D4E8D">
        <w:rPr>
          <w:color w:val="000000"/>
        </w:rPr>
        <w:t xml:space="preserve"> with ranges </w:t>
      </w:r>
      <w:r w:rsidR="001D4E8D">
        <w:rPr>
          <w:color w:val="000000"/>
        </w:rPr>
        <w:t xml:space="preserve">between </w:t>
      </w:r>
      <w:r w:rsidR="00D12D5B" w:rsidRPr="00D12D5B">
        <w:rPr>
          <w:color w:val="000000"/>
        </w:rPr>
        <w:t xml:space="preserve">0.33 % and 0.59 % for all the </w:t>
      </w:r>
      <w:proofErr w:type="spellStart"/>
      <w:r w:rsidR="00D12D5B" w:rsidRPr="00D12D5B">
        <w:rPr>
          <w:color w:val="000000"/>
        </w:rPr>
        <w:t>RECs.</w:t>
      </w:r>
      <w:proofErr w:type="spellEnd"/>
      <w:r w:rsidR="00D12D5B" w:rsidRPr="001D4E8D">
        <w:rPr>
          <w:color w:val="000000"/>
        </w:rPr>
        <w:t xml:space="preserve"> </w:t>
      </w:r>
      <w:r w:rsidR="00885D8F" w:rsidRPr="001D4E8D">
        <w:rPr>
          <w:color w:val="000000"/>
        </w:rPr>
        <w:t xml:space="preserve">The results show that tariff cuts alone have a small effect on overall GDP (0.05%) and </w:t>
      </w:r>
      <w:r w:rsidR="00FF4718" w:rsidRPr="001D4E8D">
        <w:rPr>
          <w:color w:val="000000"/>
        </w:rPr>
        <w:t xml:space="preserve">that the </w:t>
      </w:r>
      <w:r w:rsidR="00BF29A9" w:rsidRPr="001D4E8D">
        <w:rPr>
          <w:color w:val="000000"/>
        </w:rPr>
        <w:t xml:space="preserve">alternative </w:t>
      </w:r>
      <w:r w:rsidR="003D636F" w:rsidRPr="001D4E8D">
        <w:rPr>
          <w:color w:val="000000"/>
        </w:rPr>
        <w:t xml:space="preserve">cuts </w:t>
      </w:r>
      <w:r w:rsidR="00885D8F" w:rsidRPr="001D4E8D">
        <w:rPr>
          <w:color w:val="000000"/>
        </w:rPr>
        <w:t xml:space="preserve">options have little impact on </w:t>
      </w:r>
      <w:r w:rsidR="003D636F" w:rsidRPr="001D4E8D">
        <w:rPr>
          <w:color w:val="000000"/>
        </w:rPr>
        <w:t>the</w:t>
      </w:r>
      <w:r w:rsidR="001D4E8D" w:rsidRPr="001D4E8D">
        <w:rPr>
          <w:color w:val="000000"/>
        </w:rPr>
        <w:t xml:space="preserve"> figures</w:t>
      </w:r>
      <w:r w:rsidR="00885D8F" w:rsidRPr="001D4E8D">
        <w:rPr>
          <w:color w:val="000000"/>
        </w:rPr>
        <w:t>.</w:t>
      </w:r>
      <w:r w:rsidR="00885D8F">
        <w:t xml:space="preserve"> </w:t>
      </w:r>
      <w:r w:rsidR="00F35D4C" w:rsidRPr="00F35D4C">
        <w:t xml:space="preserve">The simulations </w:t>
      </w:r>
      <w:r w:rsidR="00F01B3F">
        <w:t xml:space="preserve">also </w:t>
      </w:r>
      <w:r w:rsidR="005360E8" w:rsidRPr="00F35D4C">
        <w:t xml:space="preserve">indicate </w:t>
      </w:r>
      <w:r w:rsidR="00F35D4C" w:rsidRPr="00F35D4C">
        <w:t xml:space="preserve">some </w:t>
      </w:r>
      <w:r w:rsidR="005360E8" w:rsidRPr="00F35D4C">
        <w:t>improvements for food security indicators.</w:t>
      </w:r>
      <w:r w:rsidR="001870B8" w:rsidRPr="00F35D4C">
        <w:t xml:space="preserve"> </w:t>
      </w:r>
      <w:r w:rsidR="00F35D4C" w:rsidRPr="00F35D4C">
        <w:t>T</w:t>
      </w:r>
      <w:r w:rsidR="001870B8" w:rsidRPr="00F35D4C">
        <w:t>he overall increase in h</w:t>
      </w:r>
      <w:r w:rsidR="00F35D4C" w:rsidRPr="00F35D4C">
        <w:t xml:space="preserve">ousehold </w:t>
      </w:r>
      <w:r w:rsidR="001870B8" w:rsidRPr="00F35D4C">
        <w:t xml:space="preserve">d disposable income </w:t>
      </w:r>
      <w:proofErr w:type="gramStart"/>
      <w:r w:rsidR="001870B8" w:rsidRPr="00F35D4C">
        <w:t>is  1.7</w:t>
      </w:r>
      <w:proofErr w:type="gramEnd"/>
      <w:r w:rsidR="001870B8" w:rsidRPr="00F35D4C">
        <w:t xml:space="preserve"> % and food consumption per capita </w:t>
      </w:r>
      <w:r w:rsidR="00D91D85" w:rsidRPr="00F35D4C">
        <w:t>would increase by 0.85%, ranging between 0.5% (</w:t>
      </w:r>
      <w:r w:rsidR="005A0F8A" w:rsidRPr="00F35D4C">
        <w:t>COMESA</w:t>
      </w:r>
      <w:r w:rsidR="00D91D85" w:rsidRPr="00F35D4C">
        <w:t>) and 1.7% (</w:t>
      </w:r>
      <w:r w:rsidR="005A0F8A" w:rsidRPr="00F35D4C">
        <w:t>ECOWAS</w:t>
      </w:r>
      <w:r w:rsidR="00D91D85" w:rsidRPr="00F35D4C">
        <w:t>).</w:t>
      </w:r>
    </w:p>
    <w:p w14:paraId="35339199" w14:textId="63527C2E" w:rsidR="00FB3271" w:rsidRDefault="00EF2F4C" w:rsidP="00EF2F4C">
      <w:pPr>
        <w:pStyle w:val="Heading2"/>
      </w:pPr>
      <w:r>
        <w:t>A comparison of four assessments</w:t>
      </w:r>
    </w:p>
    <w:p w14:paraId="0498C01B" w14:textId="41717339" w:rsidR="0047610D" w:rsidRDefault="00DA76FB" w:rsidP="005476C5">
      <w:pPr>
        <w:autoSpaceDE w:val="0"/>
        <w:autoSpaceDN w:val="0"/>
        <w:adjustRightInd w:val="0"/>
      </w:pPr>
      <w:r w:rsidRPr="00A50B47">
        <w:t xml:space="preserve">Let us compare now </w:t>
      </w:r>
      <w:r w:rsidR="00A50B47" w:rsidRPr="00A50B47">
        <w:t xml:space="preserve">these results and find out the </w:t>
      </w:r>
      <w:r w:rsidR="00A50B47">
        <w:t xml:space="preserve">reasons of similarities and differences. </w:t>
      </w:r>
      <w:r w:rsidR="00A50B47" w:rsidRPr="00A50B47">
        <w:t>We focus on four assessments</w:t>
      </w:r>
      <w:r w:rsidR="00A50B47">
        <w:t xml:space="preserve"> conducted at the World Bank, by UNECA</w:t>
      </w:r>
      <w:r w:rsidR="00951540">
        <w:t>-</w:t>
      </w:r>
      <w:r w:rsidR="00A50B47">
        <w:t xml:space="preserve">CEPII, by IFPRI and by JRC </w:t>
      </w:r>
      <w:r w:rsidR="00851C3C">
        <w:t xml:space="preserve">(see </w:t>
      </w:r>
      <w:r w:rsidR="00851C3C">
        <w:fldChar w:fldCharType="begin"/>
      </w:r>
      <w:r w:rsidR="00851C3C">
        <w:instrText xml:space="preserve"> REF _Ref99101894 \r \h </w:instrText>
      </w:r>
      <w:r w:rsidR="00851C3C">
        <w:fldChar w:fldCharType="separate"/>
      </w:r>
      <w:r w:rsidR="00851C3C">
        <w:t>Table 2</w:t>
      </w:r>
      <w:r w:rsidR="00851C3C">
        <w:fldChar w:fldCharType="end"/>
      </w:r>
      <w:r w:rsidR="00851C3C">
        <w:t>)</w:t>
      </w:r>
      <w:r w:rsidR="00A50B47" w:rsidRPr="00A50B47">
        <w:t>, excluding those which did not incorporate sufficient</w:t>
      </w:r>
      <w:r w:rsidR="00A50B47">
        <w:t xml:space="preserve"> details of the final agreements: </w:t>
      </w:r>
      <w:r w:rsidR="00F35B31" w:rsidRPr="00F35B31">
        <w:t xml:space="preserve">Jensen and </w:t>
      </w:r>
      <w:proofErr w:type="spellStart"/>
      <w:r w:rsidR="00F35B31" w:rsidRPr="00F35B31">
        <w:t>Sandrey</w:t>
      </w:r>
      <w:proofErr w:type="spellEnd"/>
      <w:r w:rsidR="00F35B31" w:rsidRPr="00F35B31">
        <w:t xml:space="preserve"> </w:t>
      </w:r>
      <w:r w:rsidR="00A50B47">
        <w:t>(</w:t>
      </w:r>
      <w:r w:rsidR="00F35B31" w:rsidRPr="00F35B31">
        <w:t>2015</w:t>
      </w:r>
      <w:r w:rsidR="00A50B47">
        <w:t xml:space="preserve">), </w:t>
      </w:r>
      <w:proofErr w:type="spellStart"/>
      <w:r w:rsidR="0097726E">
        <w:t>Saygili</w:t>
      </w:r>
      <w:proofErr w:type="spellEnd"/>
      <w:r w:rsidR="0097726E">
        <w:t xml:space="preserve"> et al. </w:t>
      </w:r>
      <w:r w:rsidR="00A50B47">
        <w:t>(</w:t>
      </w:r>
      <w:r w:rsidR="0097726E">
        <w:t>2017</w:t>
      </w:r>
      <w:r w:rsidR="00A50B47">
        <w:t xml:space="preserve">) and </w:t>
      </w:r>
      <w:proofErr w:type="spellStart"/>
      <w:r w:rsidR="006F4546">
        <w:t>Abrego</w:t>
      </w:r>
      <w:proofErr w:type="spellEnd"/>
      <w:r w:rsidR="006F4546">
        <w:t xml:space="preserve"> et al.</w:t>
      </w:r>
      <w:r w:rsidR="00A50B47">
        <w:t xml:space="preserve"> (</w:t>
      </w:r>
      <w:r w:rsidR="00191415">
        <w:t>2019</w:t>
      </w:r>
      <w:r w:rsidR="00A50B47">
        <w:t>) are worth mentioning</w:t>
      </w:r>
      <w:r w:rsidR="00617EA2">
        <w:t>,</w:t>
      </w:r>
      <w:r w:rsidR="00A50B47">
        <w:t xml:space="preserve"> but they evaluate </w:t>
      </w:r>
      <w:r w:rsidR="0047610D">
        <w:t xml:space="preserve">the impact of </w:t>
      </w:r>
      <w:r w:rsidR="00A50B47">
        <w:t>a complete</w:t>
      </w:r>
      <w:r w:rsidR="00191415">
        <w:t xml:space="preserve"> </w:t>
      </w:r>
      <w:r w:rsidR="00A50B47" w:rsidRPr="00F35B31">
        <w:t>removal o</w:t>
      </w:r>
      <w:r w:rsidR="00A50B47">
        <w:t>f all import tariffs on intra-African trade</w:t>
      </w:r>
      <w:r w:rsidR="0047610D">
        <w:t xml:space="preserve"> as they did not know the details of the reform at the time of publication</w:t>
      </w:r>
      <w:r w:rsidR="00A50B47">
        <w:t>.</w:t>
      </w:r>
    </w:p>
    <w:p w14:paraId="235E7F1E" w14:textId="77777777" w:rsidR="00B31A08" w:rsidRDefault="0047610D" w:rsidP="005476C5">
      <w:pPr>
        <w:autoSpaceDE w:val="0"/>
        <w:autoSpaceDN w:val="0"/>
        <w:adjustRightInd w:val="0"/>
      </w:pPr>
      <w:r>
        <w:lastRenderedPageBreak/>
        <w:t>The four CGE models are close, especially MIRAGE and MIRAGRODEP</w:t>
      </w:r>
      <w:r w:rsidR="00371F9B">
        <w:t xml:space="preserve">: on the production side competition is perfect and returns to scale are constant and the modelling of production is based on a nest of CES functions. </w:t>
      </w:r>
    </w:p>
    <w:p w14:paraId="316F8125" w14:textId="37B12ED5" w:rsidR="00191415" w:rsidRDefault="00371F9B" w:rsidP="005476C5">
      <w:pPr>
        <w:autoSpaceDE w:val="0"/>
        <w:autoSpaceDN w:val="0"/>
        <w:adjustRightInd w:val="0"/>
      </w:pPr>
      <w:r>
        <w:t>However</w:t>
      </w:r>
      <w:r w:rsidR="00B902D7">
        <w:t xml:space="preserve"> t</w:t>
      </w:r>
      <w:r w:rsidR="0047610D">
        <w:t>hey can differ on the functional forms adopted to represent the representative consumer’s utility</w:t>
      </w:r>
      <w:r w:rsidR="00E83CB7">
        <w:t>,</w:t>
      </w:r>
      <w:r w:rsidR="00B902D7">
        <w:rPr>
          <w:rStyle w:val="FootnoteReference"/>
        </w:rPr>
        <w:footnoteReference w:id="17"/>
      </w:r>
      <w:r w:rsidR="00B902D7">
        <w:t xml:space="preserve"> </w:t>
      </w:r>
      <w:r w:rsidR="00E83CB7">
        <w:t>the labor markets assumptions,</w:t>
      </w:r>
      <w:r w:rsidR="00E83CB7">
        <w:rPr>
          <w:rStyle w:val="FootnoteReference"/>
        </w:rPr>
        <w:footnoteReference w:id="18"/>
      </w:r>
      <w:r w:rsidR="00E83CB7">
        <w:t xml:space="preserve"> </w:t>
      </w:r>
      <w:proofErr w:type="gramStart"/>
      <w:r w:rsidR="00B902D7">
        <w:t xml:space="preserve">the  </w:t>
      </w:r>
      <w:r>
        <w:t>public</w:t>
      </w:r>
      <w:proofErr w:type="gramEnd"/>
      <w:r>
        <w:t xml:space="preserve"> closure, the baseline. In ENVISAGE, the </w:t>
      </w:r>
      <w:r w:rsidR="00E83CB7">
        <w:t xml:space="preserve">value added in the </w:t>
      </w:r>
      <w:r>
        <w:t xml:space="preserve">crop production </w:t>
      </w:r>
      <w:r w:rsidR="00E83CB7">
        <w:t>includes a capital-energy-fertilizer-land bundle that is a distinctive feature</w:t>
      </w:r>
      <w:r w:rsidR="00742792">
        <w:t xml:space="preserve"> of this model</w:t>
      </w:r>
      <w:r w:rsidR="00E83CB7">
        <w:t xml:space="preserve">. </w:t>
      </w:r>
      <w:r w:rsidR="00742792">
        <w:t>The behavioral parameters adopted in these models are close if not identical.</w:t>
      </w:r>
      <w:r w:rsidR="00617EA2">
        <w:rPr>
          <w:rStyle w:val="FootnoteReference"/>
        </w:rPr>
        <w:footnoteReference w:id="19"/>
      </w:r>
    </w:p>
    <w:p w14:paraId="746C599C" w14:textId="704E183B" w:rsidR="00A50B47" w:rsidRPr="00F35B31" w:rsidRDefault="00A50B47" w:rsidP="00A50B47">
      <w:pPr>
        <w:pStyle w:val="Table"/>
      </w:pPr>
      <w:bookmarkStart w:id="3" w:name="_Ref99101894"/>
      <w:r>
        <w:t xml:space="preserve">Four CGE assessments of the </w:t>
      </w:r>
      <w:proofErr w:type="spellStart"/>
      <w:r>
        <w:t>AfCFTA</w:t>
      </w:r>
      <w:proofErr w:type="spellEnd"/>
      <w:r>
        <w:t>: a comparison</w:t>
      </w:r>
      <w:bookmarkEnd w:id="3"/>
    </w:p>
    <w:tbl>
      <w:tblPr>
        <w:tblW w:w="8400" w:type="dxa"/>
        <w:tblInd w:w="118" w:type="dxa"/>
        <w:tblLook w:val="04A0" w:firstRow="1" w:lastRow="0" w:firstColumn="1" w:lastColumn="0" w:noHBand="0" w:noVBand="1"/>
      </w:tblPr>
      <w:tblGrid>
        <w:gridCol w:w="1680"/>
        <w:gridCol w:w="1680"/>
        <w:gridCol w:w="1680"/>
        <w:gridCol w:w="1680"/>
        <w:gridCol w:w="1680"/>
      </w:tblGrid>
      <w:tr w:rsidR="0020668A" w:rsidRPr="0020668A" w14:paraId="5F1F8756" w14:textId="77777777" w:rsidTr="0020668A">
        <w:trPr>
          <w:trHeight w:val="220"/>
        </w:trPr>
        <w:tc>
          <w:tcPr>
            <w:tcW w:w="16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EF47DA" w14:textId="77777777" w:rsidR="0020668A" w:rsidRPr="0020668A" w:rsidRDefault="0020668A" w:rsidP="0020668A">
            <w:pPr>
              <w:rPr>
                <w:rFonts w:eastAsia="Times New Roman" w:cs="Calibri"/>
                <w:b/>
                <w:bCs/>
                <w:color w:val="000000"/>
                <w:sz w:val="16"/>
                <w:szCs w:val="16"/>
              </w:rPr>
            </w:pPr>
            <w:r w:rsidRPr="0020668A">
              <w:rPr>
                <w:rFonts w:eastAsia="Times New Roman" w:cs="Calibri"/>
                <w:b/>
                <w:bCs/>
                <w:color w:val="000000"/>
                <w:sz w:val="16"/>
                <w:szCs w:val="16"/>
              </w:rPr>
              <w:t> </w:t>
            </w:r>
          </w:p>
        </w:tc>
        <w:tc>
          <w:tcPr>
            <w:tcW w:w="1680" w:type="dxa"/>
            <w:tcBorders>
              <w:top w:val="single" w:sz="8" w:space="0" w:color="auto"/>
              <w:left w:val="nil"/>
              <w:bottom w:val="single" w:sz="8" w:space="0" w:color="auto"/>
              <w:right w:val="nil"/>
            </w:tcBorders>
            <w:shd w:val="clear" w:color="auto" w:fill="auto"/>
            <w:noWrap/>
            <w:vAlign w:val="center"/>
            <w:hideMark/>
          </w:tcPr>
          <w:p w14:paraId="6EA46875" w14:textId="77777777" w:rsidR="0020668A" w:rsidRPr="0020668A" w:rsidRDefault="0020668A" w:rsidP="0020668A">
            <w:pPr>
              <w:jc w:val="center"/>
              <w:rPr>
                <w:rFonts w:eastAsia="Times New Roman" w:cs="Calibri"/>
                <w:b/>
                <w:bCs/>
                <w:color w:val="000000"/>
                <w:sz w:val="16"/>
                <w:szCs w:val="16"/>
              </w:rPr>
            </w:pPr>
            <w:r w:rsidRPr="0020668A">
              <w:rPr>
                <w:rFonts w:eastAsia="Times New Roman" w:cs="Calibri"/>
                <w:b/>
                <w:bCs/>
                <w:color w:val="000000"/>
                <w:sz w:val="16"/>
                <w:szCs w:val="16"/>
              </w:rPr>
              <w:t>World Bank</w:t>
            </w:r>
          </w:p>
        </w:tc>
        <w:tc>
          <w:tcPr>
            <w:tcW w:w="1680" w:type="dxa"/>
            <w:tcBorders>
              <w:top w:val="single" w:sz="8" w:space="0" w:color="auto"/>
              <w:left w:val="nil"/>
              <w:bottom w:val="single" w:sz="8" w:space="0" w:color="auto"/>
              <w:right w:val="nil"/>
            </w:tcBorders>
            <w:shd w:val="clear" w:color="auto" w:fill="auto"/>
            <w:noWrap/>
            <w:vAlign w:val="center"/>
            <w:hideMark/>
          </w:tcPr>
          <w:p w14:paraId="344850C8" w14:textId="77777777" w:rsidR="0020668A" w:rsidRPr="0020668A" w:rsidRDefault="0020668A" w:rsidP="0020668A">
            <w:pPr>
              <w:jc w:val="center"/>
              <w:rPr>
                <w:rFonts w:eastAsia="Times New Roman" w:cs="Calibri"/>
                <w:b/>
                <w:bCs/>
                <w:color w:val="000000"/>
                <w:sz w:val="16"/>
                <w:szCs w:val="16"/>
              </w:rPr>
            </w:pPr>
            <w:r w:rsidRPr="0020668A">
              <w:rPr>
                <w:rFonts w:eastAsia="Times New Roman" w:cs="Calibri"/>
                <w:b/>
                <w:bCs/>
                <w:color w:val="000000"/>
                <w:sz w:val="16"/>
                <w:szCs w:val="16"/>
              </w:rPr>
              <w:t>UNECA-CEPII</w:t>
            </w:r>
          </w:p>
        </w:tc>
        <w:tc>
          <w:tcPr>
            <w:tcW w:w="1680" w:type="dxa"/>
            <w:tcBorders>
              <w:top w:val="single" w:sz="8" w:space="0" w:color="auto"/>
              <w:left w:val="nil"/>
              <w:bottom w:val="single" w:sz="8" w:space="0" w:color="auto"/>
              <w:right w:val="nil"/>
            </w:tcBorders>
            <w:shd w:val="clear" w:color="auto" w:fill="auto"/>
            <w:noWrap/>
            <w:vAlign w:val="center"/>
            <w:hideMark/>
          </w:tcPr>
          <w:p w14:paraId="554FE14C" w14:textId="77777777" w:rsidR="0020668A" w:rsidRPr="0020668A" w:rsidRDefault="0020668A" w:rsidP="0020668A">
            <w:pPr>
              <w:jc w:val="center"/>
              <w:rPr>
                <w:rFonts w:eastAsia="Times New Roman" w:cs="Calibri"/>
                <w:b/>
                <w:bCs/>
                <w:color w:val="000000"/>
                <w:sz w:val="16"/>
                <w:szCs w:val="16"/>
              </w:rPr>
            </w:pPr>
            <w:r w:rsidRPr="0020668A">
              <w:rPr>
                <w:rFonts w:eastAsia="Times New Roman" w:cs="Calibri"/>
                <w:b/>
                <w:bCs/>
                <w:color w:val="000000"/>
                <w:sz w:val="16"/>
                <w:szCs w:val="16"/>
              </w:rPr>
              <w:t>IFPRI</w:t>
            </w:r>
          </w:p>
        </w:tc>
        <w:tc>
          <w:tcPr>
            <w:tcW w:w="1680" w:type="dxa"/>
            <w:tcBorders>
              <w:top w:val="single" w:sz="8" w:space="0" w:color="auto"/>
              <w:left w:val="nil"/>
              <w:bottom w:val="single" w:sz="8" w:space="0" w:color="auto"/>
              <w:right w:val="single" w:sz="8" w:space="0" w:color="auto"/>
            </w:tcBorders>
            <w:shd w:val="clear" w:color="auto" w:fill="auto"/>
            <w:noWrap/>
            <w:vAlign w:val="center"/>
            <w:hideMark/>
          </w:tcPr>
          <w:p w14:paraId="7482F5E0" w14:textId="77777777" w:rsidR="0020668A" w:rsidRPr="0020668A" w:rsidRDefault="0020668A" w:rsidP="0020668A">
            <w:pPr>
              <w:jc w:val="center"/>
              <w:rPr>
                <w:rFonts w:eastAsia="Times New Roman" w:cs="Calibri"/>
                <w:b/>
                <w:bCs/>
                <w:color w:val="000000"/>
                <w:sz w:val="16"/>
                <w:szCs w:val="16"/>
              </w:rPr>
            </w:pPr>
            <w:r w:rsidRPr="0020668A">
              <w:rPr>
                <w:rFonts w:eastAsia="Times New Roman" w:cs="Calibri"/>
                <w:b/>
                <w:bCs/>
                <w:color w:val="000000"/>
                <w:sz w:val="16"/>
                <w:szCs w:val="16"/>
              </w:rPr>
              <w:t>JRC</w:t>
            </w:r>
          </w:p>
        </w:tc>
      </w:tr>
      <w:tr w:rsidR="0020668A" w:rsidRPr="0020668A" w14:paraId="4C68AE54" w14:textId="77777777" w:rsidTr="0020668A">
        <w:trPr>
          <w:trHeight w:val="210"/>
        </w:trPr>
        <w:tc>
          <w:tcPr>
            <w:tcW w:w="1680" w:type="dxa"/>
            <w:tcBorders>
              <w:top w:val="nil"/>
              <w:left w:val="single" w:sz="8" w:space="0" w:color="auto"/>
              <w:bottom w:val="nil"/>
              <w:right w:val="single" w:sz="8" w:space="0" w:color="auto"/>
            </w:tcBorders>
            <w:shd w:val="clear" w:color="auto" w:fill="auto"/>
            <w:vAlign w:val="center"/>
            <w:hideMark/>
          </w:tcPr>
          <w:p w14:paraId="5797DCE9" w14:textId="77777777" w:rsidR="0020668A" w:rsidRPr="0020668A" w:rsidRDefault="0020668A" w:rsidP="0020668A">
            <w:pPr>
              <w:jc w:val="center"/>
              <w:rPr>
                <w:rFonts w:eastAsia="Times New Roman" w:cs="Calibri"/>
                <w:b/>
                <w:bCs/>
                <w:color w:val="000000"/>
                <w:sz w:val="16"/>
                <w:szCs w:val="16"/>
              </w:rPr>
            </w:pPr>
            <w:r w:rsidRPr="0020668A">
              <w:rPr>
                <w:rFonts w:eastAsia="Times New Roman" w:cs="Calibri"/>
                <w:b/>
                <w:bCs/>
                <w:color w:val="000000"/>
                <w:sz w:val="16"/>
                <w:szCs w:val="16"/>
              </w:rPr>
              <w:t>Model</w:t>
            </w:r>
          </w:p>
        </w:tc>
        <w:tc>
          <w:tcPr>
            <w:tcW w:w="1680" w:type="dxa"/>
            <w:tcBorders>
              <w:top w:val="nil"/>
              <w:left w:val="nil"/>
              <w:bottom w:val="nil"/>
              <w:right w:val="nil"/>
            </w:tcBorders>
            <w:shd w:val="clear" w:color="auto" w:fill="auto"/>
            <w:vAlign w:val="center"/>
            <w:hideMark/>
          </w:tcPr>
          <w:p w14:paraId="7802BB58"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ENVISAGE</w:t>
            </w:r>
          </w:p>
        </w:tc>
        <w:tc>
          <w:tcPr>
            <w:tcW w:w="1680" w:type="dxa"/>
            <w:tcBorders>
              <w:top w:val="nil"/>
              <w:left w:val="nil"/>
              <w:bottom w:val="nil"/>
              <w:right w:val="nil"/>
            </w:tcBorders>
            <w:shd w:val="clear" w:color="auto" w:fill="auto"/>
            <w:vAlign w:val="center"/>
            <w:hideMark/>
          </w:tcPr>
          <w:p w14:paraId="1BDA23F8"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MIRAGE</w:t>
            </w:r>
          </w:p>
        </w:tc>
        <w:tc>
          <w:tcPr>
            <w:tcW w:w="1680" w:type="dxa"/>
            <w:tcBorders>
              <w:top w:val="nil"/>
              <w:left w:val="nil"/>
              <w:bottom w:val="nil"/>
              <w:right w:val="nil"/>
            </w:tcBorders>
            <w:shd w:val="clear" w:color="auto" w:fill="auto"/>
            <w:vAlign w:val="center"/>
            <w:hideMark/>
          </w:tcPr>
          <w:p w14:paraId="1AA2A475"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MIRAGRODEP</w:t>
            </w:r>
          </w:p>
        </w:tc>
        <w:tc>
          <w:tcPr>
            <w:tcW w:w="1680" w:type="dxa"/>
            <w:tcBorders>
              <w:top w:val="nil"/>
              <w:left w:val="nil"/>
              <w:bottom w:val="nil"/>
              <w:right w:val="single" w:sz="8" w:space="0" w:color="auto"/>
            </w:tcBorders>
            <w:shd w:val="clear" w:color="auto" w:fill="auto"/>
            <w:vAlign w:val="center"/>
            <w:hideMark/>
          </w:tcPr>
          <w:p w14:paraId="6C8BDB4B"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MAGNET</w:t>
            </w:r>
          </w:p>
        </w:tc>
      </w:tr>
      <w:tr w:rsidR="0020668A" w:rsidRPr="0020668A" w14:paraId="25BBF44B" w14:textId="77777777" w:rsidTr="0020668A">
        <w:trPr>
          <w:trHeight w:val="640"/>
        </w:trPr>
        <w:tc>
          <w:tcPr>
            <w:tcW w:w="1680" w:type="dxa"/>
            <w:tcBorders>
              <w:top w:val="nil"/>
              <w:left w:val="single" w:sz="8" w:space="0" w:color="auto"/>
              <w:bottom w:val="nil"/>
              <w:right w:val="single" w:sz="8" w:space="0" w:color="auto"/>
            </w:tcBorders>
            <w:shd w:val="clear" w:color="auto" w:fill="auto"/>
            <w:vAlign w:val="center"/>
            <w:hideMark/>
          </w:tcPr>
          <w:p w14:paraId="66F49D83" w14:textId="77777777" w:rsidR="0020668A" w:rsidRPr="0020668A" w:rsidRDefault="0020668A" w:rsidP="0020668A">
            <w:pPr>
              <w:jc w:val="center"/>
              <w:rPr>
                <w:rFonts w:eastAsia="Times New Roman" w:cs="Calibri"/>
                <w:b/>
                <w:bCs/>
                <w:color w:val="000000"/>
                <w:sz w:val="16"/>
                <w:szCs w:val="16"/>
              </w:rPr>
            </w:pPr>
            <w:r w:rsidRPr="0020668A">
              <w:rPr>
                <w:rFonts w:eastAsia="Times New Roman" w:cs="Calibri"/>
                <w:b/>
                <w:bCs/>
                <w:color w:val="000000"/>
                <w:sz w:val="16"/>
                <w:szCs w:val="16"/>
              </w:rPr>
              <w:t>Geographic and sector disaggregation</w:t>
            </w:r>
          </w:p>
        </w:tc>
        <w:tc>
          <w:tcPr>
            <w:tcW w:w="1680" w:type="dxa"/>
            <w:tcBorders>
              <w:top w:val="nil"/>
              <w:left w:val="nil"/>
              <w:bottom w:val="nil"/>
              <w:right w:val="nil"/>
            </w:tcBorders>
            <w:shd w:val="clear" w:color="auto" w:fill="auto"/>
            <w:vAlign w:val="center"/>
            <w:hideMark/>
          </w:tcPr>
          <w:p w14:paraId="514B91FD"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34 countries/regions and 28 sectors</w:t>
            </w:r>
          </w:p>
        </w:tc>
        <w:tc>
          <w:tcPr>
            <w:tcW w:w="1680" w:type="dxa"/>
            <w:tcBorders>
              <w:top w:val="nil"/>
              <w:left w:val="nil"/>
              <w:bottom w:val="nil"/>
              <w:right w:val="nil"/>
            </w:tcBorders>
            <w:shd w:val="clear" w:color="auto" w:fill="auto"/>
            <w:vAlign w:val="center"/>
            <w:hideMark/>
          </w:tcPr>
          <w:p w14:paraId="5B2C8A39"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29 countries/regions and 30 sectors</w:t>
            </w:r>
          </w:p>
        </w:tc>
        <w:tc>
          <w:tcPr>
            <w:tcW w:w="1680" w:type="dxa"/>
            <w:tcBorders>
              <w:top w:val="nil"/>
              <w:left w:val="nil"/>
              <w:bottom w:val="nil"/>
              <w:right w:val="nil"/>
            </w:tcBorders>
            <w:shd w:val="clear" w:color="auto" w:fill="auto"/>
            <w:vAlign w:val="center"/>
            <w:hideMark/>
          </w:tcPr>
          <w:p w14:paraId="56BF9B73"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22 countries/regions and 40 sectors</w:t>
            </w:r>
          </w:p>
        </w:tc>
        <w:tc>
          <w:tcPr>
            <w:tcW w:w="1680" w:type="dxa"/>
            <w:tcBorders>
              <w:top w:val="nil"/>
              <w:left w:val="nil"/>
              <w:bottom w:val="nil"/>
              <w:right w:val="single" w:sz="8" w:space="0" w:color="auto"/>
            </w:tcBorders>
            <w:shd w:val="clear" w:color="auto" w:fill="auto"/>
            <w:vAlign w:val="center"/>
            <w:hideMark/>
          </w:tcPr>
          <w:p w14:paraId="0FBB7674"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36 countries/regions and 40 sectors</w:t>
            </w:r>
          </w:p>
        </w:tc>
      </w:tr>
      <w:tr w:rsidR="0020668A" w:rsidRPr="0020668A" w14:paraId="4C355DF5" w14:textId="77777777" w:rsidTr="0020668A">
        <w:trPr>
          <w:trHeight w:val="420"/>
        </w:trPr>
        <w:tc>
          <w:tcPr>
            <w:tcW w:w="1680" w:type="dxa"/>
            <w:tcBorders>
              <w:top w:val="nil"/>
              <w:left w:val="single" w:sz="8" w:space="0" w:color="auto"/>
              <w:bottom w:val="nil"/>
              <w:right w:val="single" w:sz="8" w:space="0" w:color="auto"/>
            </w:tcBorders>
            <w:shd w:val="clear" w:color="auto" w:fill="auto"/>
            <w:vAlign w:val="center"/>
            <w:hideMark/>
          </w:tcPr>
          <w:p w14:paraId="3697A4E8" w14:textId="77777777" w:rsidR="0020668A" w:rsidRPr="0020668A" w:rsidRDefault="0020668A" w:rsidP="0020668A">
            <w:pPr>
              <w:jc w:val="center"/>
              <w:rPr>
                <w:rFonts w:eastAsia="Times New Roman" w:cs="Calibri"/>
                <w:b/>
                <w:bCs/>
                <w:color w:val="000000"/>
                <w:sz w:val="16"/>
                <w:szCs w:val="16"/>
              </w:rPr>
            </w:pPr>
            <w:r w:rsidRPr="0020668A">
              <w:rPr>
                <w:rFonts w:eastAsia="Times New Roman" w:cs="Calibri"/>
                <w:b/>
                <w:bCs/>
                <w:color w:val="000000"/>
                <w:sz w:val="16"/>
                <w:szCs w:val="16"/>
              </w:rPr>
              <w:t>Tariff aggregator</w:t>
            </w:r>
          </w:p>
        </w:tc>
        <w:tc>
          <w:tcPr>
            <w:tcW w:w="1680" w:type="dxa"/>
            <w:tcBorders>
              <w:top w:val="nil"/>
              <w:left w:val="nil"/>
              <w:bottom w:val="nil"/>
              <w:right w:val="nil"/>
            </w:tcBorders>
            <w:shd w:val="clear" w:color="auto" w:fill="auto"/>
            <w:vAlign w:val="center"/>
            <w:hideMark/>
          </w:tcPr>
          <w:p w14:paraId="729E32F1"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Trade-weighted</w:t>
            </w:r>
          </w:p>
        </w:tc>
        <w:tc>
          <w:tcPr>
            <w:tcW w:w="1680" w:type="dxa"/>
            <w:tcBorders>
              <w:top w:val="nil"/>
              <w:left w:val="nil"/>
              <w:bottom w:val="nil"/>
              <w:right w:val="nil"/>
            </w:tcBorders>
            <w:shd w:val="clear" w:color="auto" w:fill="auto"/>
            <w:vAlign w:val="center"/>
            <w:hideMark/>
          </w:tcPr>
          <w:p w14:paraId="3A153F83"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Reference Groups' trade weighs</w:t>
            </w:r>
          </w:p>
        </w:tc>
        <w:tc>
          <w:tcPr>
            <w:tcW w:w="1680" w:type="dxa"/>
            <w:tcBorders>
              <w:top w:val="nil"/>
              <w:left w:val="nil"/>
              <w:bottom w:val="nil"/>
              <w:right w:val="nil"/>
            </w:tcBorders>
            <w:shd w:val="clear" w:color="auto" w:fill="auto"/>
            <w:vAlign w:val="center"/>
            <w:hideMark/>
          </w:tcPr>
          <w:p w14:paraId="5C325716"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Consistent aggregator</w:t>
            </w:r>
          </w:p>
        </w:tc>
        <w:tc>
          <w:tcPr>
            <w:tcW w:w="1680" w:type="dxa"/>
            <w:tcBorders>
              <w:top w:val="nil"/>
              <w:left w:val="nil"/>
              <w:bottom w:val="nil"/>
              <w:right w:val="single" w:sz="8" w:space="0" w:color="auto"/>
            </w:tcBorders>
            <w:shd w:val="clear" w:color="auto" w:fill="auto"/>
            <w:vAlign w:val="center"/>
            <w:hideMark/>
          </w:tcPr>
          <w:p w14:paraId="1243C04F"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Trade-weighted</w:t>
            </w:r>
          </w:p>
        </w:tc>
      </w:tr>
      <w:tr w:rsidR="0020668A" w:rsidRPr="0020668A" w14:paraId="3C12FF6B" w14:textId="77777777" w:rsidTr="0020668A">
        <w:trPr>
          <w:trHeight w:val="840"/>
        </w:trPr>
        <w:tc>
          <w:tcPr>
            <w:tcW w:w="1680" w:type="dxa"/>
            <w:tcBorders>
              <w:top w:val="nil"/>
              <w:left w:val="single" w:sz="8" w:space="0" w:color="auto"/>
              <w:bottom w:val="nil"/>
              <w:right w:val="single" w:sz="8" w:space="0" w:color="auto"/>
            </w:tcBorders>
            <w:shd w:val="clear" w:color="auto" w:fill="auto"/>
            <w:vAlign w:val="center"/>
            <w:hideMark/>
          </w:tcPr>
          <w:p w14:paraId="36624FE1" w14:textId="77777777" w:rsidR="0020668A" w:rsidRPr="0020668A" w:rsidRDefault="0020668A" w:rsidP="0020668A">
            <w:pPr>
              <w:jc w:val="center"/>
              <w:rPr>
                <w:rFonts w:eastAsia="Times New Roman" w:cs="Calibri"/>
                <w:b/>
                <w:bCs/>
                <w:color w:val="000000"/>
                <w:sz w:val="16"/>
                <w:szCs w:val="16"/>
              </w:rPr>
            </w:pPr>
            <w:r w:rsidRPr="0020668A">
              <w:rPr>
                <w:rFonts w:eastAsia="Times New Roman" w:cs="Calibri"/>
                <w:b/>
                <w:bCs/>
                <w:color w:val="000000"/>
                <w:sz w:val="16"/>
                <w:szCs w:val="16"/>
              </w:rPr>
              <w:t>Share of excluded products</w:t>
            </w:r>
          </w:p>
        </w:tc>
        <w:tc>
          <w:tcPr>
            <w:tcW w:w="1680" w:type="dxa"/>
            <w:tcBorders>
              <w:top w:val="nil"/>
              <w:left w:val="nil"/>
              <w:bottom w:val="nil"/>
              <w:right w:val="nil"/>
            </w:tcBorders>
            <w:shd w:val="clear" w:color="auto" w:fill="auto"/>
            <w:vAlign w:val="center"/>
            <w:hideMark/>
          </w:tcPr>
          <w:p w14:paraId="749F3657"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3% of tariff lines and less than 10% of imports with LDCs clause</w:t>
            </w:r>
          </w:p>
        </w:tc>
        <w:tc>
          <w:tcPr>
            <w:tcW w:w="1680" w:type="dxa"/>
            <w:tcBorders>
              <w:top w:val="nil"/>
              <w:left w:val="nil"/>
              <w:bottom w:val="nil"/>
              <w:right w:val="nil"/>
            </w:tcBorders>
            <w:shd w:val="clear" w:color="auto" w:fill="auto"/>
            <w:vAlign w:val="center"/>
            <w:hideMark/>
          </w:tcPr>
          <w:p w14:paraId="1AF48C03"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3% of tariff lines and less than 10% of imports with LDCs clause</w:t>
            </w:r>
          </w:p>
        </w:tc>
        <w:tc>
          <w:tcPr>
            <w:tcW w:w="1680" w:type="dxa"/>
            <w:tcBorders>
              <w:top w:val="nil"/>
              <w:left w:val="nil"/>
              <w:bottom w:val="nil"/>
              <w:right w:val="nil"/>
            </w:tcBorders>
            <w:shd w:val="clear" w:color="auto" w:fill="auto"/>
            <w:vAlign w:val="center"/>
            <w:hideMark/>
          </w:tcPr>
          <w:p w14:paraId="32AC11DA"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3% of tariff lines and less than 10% of imports with LDCs clause</w:t>
            </w:r>
          </w:p>
        </w:tc>
        <w:tc>
          <w:tcPr>
            <w:tcW w:w="1680" w:type="dxa"/>
            <w:tcBorders>
              <w:top w:val="nil"/>
              <w:left w:val="nil"/>
              <w:bottom w:val="nil"/>
              <w:right w:val="single" w:sz="8" w:space="0" w:color="auto"/>
            </w:tcBorders>
            <w:shd w:val="clear" w:color="auto" w:fill="auto"/>
            <w:vAlign w:val="center"/>
            <w:hideMark/>
          </w:tcPr>
          <w:p w14:paraId="0E35ABF8"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3% of tariff lines and less than 10% of imports with LDCs clause</w:t>
            </w:r>
          </w:p>
        </w:tc>
      </w:tr>
      <w:tr w:rsidR="0020668A" w:rsidRPr="0020668A" w14:paraId="4BD2D85F" w14:textId="77777777" w:rsidTr="0020668A">
        <w:trPr>
          <w:trHeight w:val="1260"/>
        </w:trPr>
        <w:tc>
          <w:tcPr>
            <w:tcW w:w="1680" w:type="dxa"/>
            <w:tcBorders>
              <w:top w:val="nil"/>
              <w:left w:val="single" w:sz="8" w:space="0" w:color="auto"/>
              <w:bottom w:val="nil"/>
              <w:right w:val="single" w:sz="8" w:space="0" w:color="auto"/>
            </w:tcBorders>
            <w:shd w:val="clear" w:color="auto" w:fill="auto"/>
            <w:vAlign w:val="center"/>
            <w:hideMark/>
          </w:tcPr>
          <w:p w14:paraId="3FDD79CC" w14:textId="77777777" w:rsidR="0020668A" w:rsidRPr="0020668A" w:rsidRDefault="0020668A" w:rsidP="0020668A">
            <w:pPr>
              <w:jc w:val="center"/>
              <w:rPr>
                <w:rFonts w:eastAsia="Times New Roman" w:cs="Calibri"/>
                <w:b/>
                <w:bCs/>
                <w:color w:val="000000"/>
                <w:sz w:val="16"/>
                <w:szCs w:val="16"/>
              </w:rPr>
            </w:pPr>
            <w:r w:rsidRPr="0020668A">
              <w:rPr>
                <w:rFonts w:eastAsia="Times New Roman" w:cs="Calibri"/>
                <w:b/>
                <w:bCs/>
                <w:color w:val="000000"/>
                <w:sz w:val="16"/>
                <w:szCs w:val="16"/>
              </w:rPr>
              <w:t>Criteria for selection of excluded products</w:t>
            </w:r>
          </w:p>
        </w:tc>
        <w:tc>
          <w:tcPr>
            <w:tcW w:w="1680" w:type="dxa"/>
            <w:tcBorders>
              <w:top w:val="nil"/>
              <w:left w:val="nil"/>
              <w:bottom w:val="nil"/>
              <w:right w:val="nil"/>
            </w:tcBorders>
            <w:shd w:val="clear" w:color="auto" w:fill="auto"/>
            <w:vAlign w:val="center"/>
            <w:hideMark/>
          </w:tcPr>
          <w:p w14:paraId="2E965D5A"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Minimize tariff revenues losses</w:t>
            </w:r>
          </w:p>
        </w:tc>
        <w:tc>
          <w:tcPr>
            <w:tcW w:w="1680" w:type="dxa"/>
            <w:tcBorders>
              <w:top w:val="nil"/>
              <w:left w:val="nil"/>
              <w:bottom w:val="nil"/>
              <w:right w:val="nil"/>
            </w:tcBorders>
            <w:shd w:val="clear" w:color="auto" w:fill="auto"/>
            <w:vAlign w:val="center"/>
            <w:hideMark/>
          </w:tcPr>
          <w:p w14:paraId="59882228"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 xml:space="preserve">Minimize tariff revenues or Promotion of industrialization or </w:t>
            </w:r>
            <w:proofErr w:type="gramStart"/>
            <w:r w:rsidRPr="0020668A">
              <w:rPr>
                <w:rFonts w:eastAsia="Times New Roman" w:cs="Calibri"/>
                <w:color w:val="000000"/>
                <w:sz w:val="16"/>
                <w:szCs w:val="16"/>
              </w:rPr>
              <w:t>Green</w:t>
            </w:r>
            <w:proofErr w:type="gramEnd"/>
            <w:r w:rsidRPr="0020668A">
              <w:rPr>
                <w:rFonts w:eastAsia="Times New Roman" w:cs="Calibri"/>
                <w:color w:val="000000"/>
                <w:sz w:val="16"/>
                <w:szCs w:val="16"/>
              </w:rPr>
              <w:t xml:space="preserve"> industrialization</w:t>
            </w:r>
          </w:p>
        </w:tc>
        <w:tc>
          <w:tcPr>
            <w:tcW w:w="1680" w:type="dxa"/>
            <w:tcBorders>
              <w:top w:val="nil"/>
              <w:left w:val="nil"/>
              <w:bottom w:val="nil"/>
              <w:right w:val="nil"/>
            </w:tcBorders>
            <w:shd w:val="clear" w:color="auto" w:fill="auto"/>
            <w:vAlign w:val="center"/>
            <w:hideMark/>
          </w:tcPr>
          <w:p w14:paraId="569337EA"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Political economy approach</w:t>
            </w:r>
          </w:p>
        </w:tc>
        <w:tc>
          <w:tcPr>
            <w:tcW w:w="1680" w:type="dxa"/>
            <w:tcBorders>
              <w:top w:val="nil"/>
              <w:left w:val="nil"/>
              <w:bottom w:val="nil"/>
              <w:right w:val="single" w:sz="8" w:space="0" w:color="auto"/>
            </w:tcBorders>
            <w:shd w:val="clear" w:color="auto" w:fill="auto"/>
            <w:vAlign w:val="center"/>
            <w:hideMark/>
          </w:tcPr>
          <w:p w14:paraId="68D4EE9C"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Minimize tariff revenues losses</w:t>
            </w:r>
          </w:p>
        </w:tc>
      </w:tr>
      <w:tr w:rsidR="0020668A" w:rsidRPr="0020668A" w14:paraId="254B576A" w14:textId="77777777" w:rsidTr="0020668A">
        <w:trPr>
          <w:trHeight w:val="420"/>
        </w:trPr>
        <w:tc>
          <w:tcPr>
            <w:tcW w:w="1680" w:type="dxa"/>
            <w:tcBorders>
              <w:top w:val="nil"/>
              <w:left w:val="single" w:sz="8" w:space="0" w:color="auto"/>
              <w:bottom w:val="nil"/>
              <w:right w:val="single" w:sz="8" w:space="0" w:color="auto"/>
            </w:tcBorders>
            <w:shd w:val="clear" w:color="auto" w:fill="auto"/>
            <w:vAlign w:val="center"/>
            <w:hideMark/>
          </w:tcPr>
          <w:p w14:paraId="72C39E75" w14:textId="77777777" w:rsidR="0020668A" w:rsidRPr="0020668A" w:rsidRDefault="0020668A" w:rsidP="0020668A">
            <w:pPr>
              <w:jc w:val="center"/>
              <w:rPr>
                <w:rFonts w:eastAsia="Times New Roman" w:cs="Calibri"/>
                <w:b/>
                <w:bCs/>
                <w:color w:val="000000"/>
                <w:sz w:val="16"/>
                <w:szCs w:val="16"/>
              </w:rPr>
            </w:pPr>
            <w:r w:rsidRPr="0020668A">
              <w:rPr>
                <w:rFonts w:eastAsia="Times New Roman" w:cs="Calibri"/>
                <w:b/>
                <w:bCs/>
                <w:color w:val="000000"/>
                <w:sz w:val="16"/>
                <w:szCs w:val="16"/>
              </w:rPr>
              <w:t>Degree of ambition</w:t>
            </w:r>
          </w:p>
        </w:tc>
        <w:tc>
          <w:tcPr>
            <w:tcW w:w="1680" w:type="dxa"/>
            <w:tcBorders>
              <w:top w:val="nil"/>
              <w:left w:val="nil"/>
              <w:bottom w:val="nil"/>
              <w:right w:val="nil"/>
            </w:tcBorders>
            <w:shd w:val="clear" w:color="auto" w:fill="auto"/>
            <w:vAlign w:val="center"/>
            <w:hideMark/>
          </w:tcPr>
          <w:p w14:paraId="55A2E890"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Tariffs + NTMs + Services + TFA</w:t>
            </w:r>
          </w:p>
        </w:tc>
        <w:tc>
          <w:tcPr>
            <w:tcW w:w="1680" w:type="dxa"/>
            <w:tcBorders>
              <w:top w:val="nil"/>
              <w:left w:val="nil"/>
              <w:bottom w:val="nil"/>
              <w:right w:val="nil"/>
            </w:tcBorders>
            <w:shd w:val="clear" w:color="auto" w:fill="auto"/>
            <w:vAlign w:val="center"/>
            <w:hideMark/>
          </w:tcPr>
          <w:p w14:paraId="65C0B21A"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Tariffs + NTMs + Services</w:t>
            </w:r>
          </w:p>
        </w:tc>
        <w:tc>
          <w:tcPr>
            <w:tcW w:w="1680" w:type="dxa"/>
            <w:tcBorders>
              <w:top w:val="nil"/>
              <w:left w:val="nil"/>
              <w:bottom w:val="nil"/>
              <w:right w:val="nil"/>
            </w:tcBorders>
            <w:shd w:val="clear" w:color="auto" w:fill="auto"/>
            <w:vAlign w:val="center"/>
            <w:hideMark/>
          </w:tcPr>
          <w:p w14:paraId="2C7D8ED3"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Tariffs + NTMs</w:t>
            </w:r>
          </w:p>
        </w:tc>
        <w:tc>
          <w:tcPr>
            <w:tcW w:w="1680" w:type="dxa"/>
            <w:tcBorders>
              <w:top w:val="nil"/>
              <w:left w:val="nil"/>
              <w:bottom w:val="nil"/>
              <w:right w:val="single" w:sz="8" w:space="0" w:color="auto"/>
            </w:tcBorders>
            <w:shd w:val="clear" w:color="auto" w:fill="auto"/>
            <w:vAlign w:val="center"/>
            <w:hideMark/>
          </w:tcPr>
          <w:p w14:paraId="67DD0666" w14:textId="56662884"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Tariffs + NTMs + Services</w:t>
            </w:r>
          </w:p>
        </w:tc>
      </w:tr>
      <w:tr w:rsidR="0020668A" w:rsidRPr="0020668A" w14:paraId="58F40BC9" w14:textId="77777777" w:rsidTr="0020668A">
        <w:trPr>
          <w:trHeight w:val="210"/>
        </w:trPr>
        <w:tc>
          <w:tcPr>
            <w:tcW w:w="1680" w:type="dxa"/>
            <w:tcBorders>
              <w:top w:val="nil"/>
              <w:left w:val="single" w:sz="8" w:space="0" w:color="auto"/>
              <w:bottom w:val="nil"/>
              <w:right w:val="single" w:sz="8" w:space="0" w:color="auto"/>
            </w:tcBorders>
            <w:shd w:val="clear" w:color="000000" w:fill="92D050"/>
            <w:vAlign w:val="center"/>
            <w:hideMark/>
          </w:tcPr>
          <w:p w14:paraId="5665479C"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Impact in 2035</w:t>
            </w:r>
          </w:p>
        </w:tc>
        <w:tc>
          <w:tcPr>
            <w:tcW w:w="1680" w:type="dxa"/>
            <w:tcBorders>
              <w:top w:val="nil"/>
              <w:left w:val="nil"/>
              <w:bottom w:val="nil"/>
              <w:right w:val="nil"/>
            </w:tcBorders>
            <w:shd w:val="clear" w:color="000000" w:fill="92D050"/>
            <w:vAlign w:val="center"/>
            <w:hideMark/>
          </w:tcPr>
          <w:p w14:paraId="06791E2B"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 </w:t>
            </w:r>
          </w:p>
        </w:tc>
        <w:tc>
          <w:tcPr>
            <w:tcW w:w="1680" w:type="dxa"/>
            <w:tcBorders>
              <w:top w:val="nil"/>
              <w:left w:val="nil"/>
              <w:bottom w:val="nil"/>
              <w:right w:val="nil"/>
            </w:tcBorders>
            <w:shd w:val="clear" w:color="000000" w:fill="92D050"/>
            <w:vAlign w:val="center"/>
            <w:hideMark/>
          </w:tcPr>
          <w:p w14:paraId="6F86F9B6"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 </w:t>
            </w:r>
          </w:p>
        </w:tc>
        <w:tc>
          <w:tcPr>
            <w:tcW w:w="1680" w:type="dxa"/>
            <w:tcBorders>
              <w:top w:val="nil"/>
              <w:left w:val="nil"/>
              <w:bottom w:val="nil"/>
              <w:right w:val="nil"/>
            </w:tcBorders>
            <w:shd w:val="clear" w:color="000000" w:fill="92D050"/>
            <w:vAlign w:val="center"/>
            <w:hideMark/>
          </w:tcPr>
          <w:p w14:paraId="2826ADC2"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 </w:t>
            </w:r>
          </w:p>
        </w:tc>
        <w:tc>
          <w:tcPr>
            <w:tcW w:w="1680" w:type="dxa"/>
            <w:tcBorders>
              <w:top w:val="nil"/>
              <w:left w:val="nil"/>
              <w:bottom w:val="nil"/>
              <w:right w:val="single" w:sz="8" w:space="0" w:color="auto"/>
            </w:tcBorders>
            <w:shd w:val="clear" w:color="000000" w:fill="92D050"/>
            <w:vAlign w:val="center"/>
            <w:hideMark/>
          </w:tcPr>
          <w:p w14:paraId="6EE4C204"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 </w:t>
            </w:r>
          </w:p>
        </w:tc>
      </w:tr>
      <w:tr w:rsidR="0020668A" w:rsidRPr="0020668A" w14:paraId="5733293F" w14:textId="77777777" w:rsidTr="0020668A">
        <w:trPr>
          <w:trHeight w:val="210"/>
        </w:trPr>
        <w:tc>
          <w:tcPr>
            <w:tcW w:w="1680" w:type="dxa"/>
            <w:tcBorders>
              <w:top w:val="nil"/>
              <w:left w:val="single" w:sz="8" w:space="0" w:color="auto"/>
              <w:bottom w:val="nil"/>
              <w:right w:val="single" w:sz="8" w:space="0" w:color="auto"/>
            </w:tcBorders>
            <w:shd w:val="clear" w:color="auto" w:fill="auto"/>
            <w:vAlign w:val="center"/>
            <w:hideMark/>
          </w:tcPr>
          <w:p w14:paraId="2575136F" w14:textId="77777777" w:rsidR="0020668A" w:rsidRPr="0020668A" w:rsidRDefault="0020668A" w:rsidP="0020668A">
            <w:pPr>
              <w:jc w:val="right"/>
              <w:rPr>
                <w:rFonts w:eastAsia="Times New Roman" w:cs="Calibri"/>
                <w:color w:val="000000"/>
                <w:sz w:val="16"/>
                <w:szCs w:val="16"/>
              </w:rPr>
            </w:pPr>
            <w:r w:rsidRPr="0020668A">
              <w:rPr>
                <w:rFonts w:eastAsia="Times New Roman" w:cs="Calibri"/>
                <w:color w:val="000000"/>
                <w:sz w:val="16"/>
                <w:szCs w:val="16"/>
              </w:rPr>
              <w:t>- African trade</w:t>
            </w:r>
          </w:p>
        </w:tc>
        <w:tc>
          <w:tcPr>
            <w:tcW w:w="1680" w:type="dxa"/>
            <w:tcBorders>
              <w:top w:val="nil"/>
              <w:left w:val="nil"/>
              <w:bottom w:val="nil"/>
              <w:right w:val="nil"/>
            </w:tcBorders>
            <w:shd w:val="clear" w:color="auto" w:fill="auto"/>
            <w:vAlign w:val="center"/>
            <w:hideMark/>
          </w:tcPr>
          <w:p w14:paraId="17775501"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+29%</w:t>
            </w:r>
          </w:p>
        </w:tc>
        <w:tc>
          <w:tcPr>
            <w:tcW w:w="1680" w:type="dxa"/>
            <w:tcBorders>
              <w:top w:val="nil"/>
              <w:left w:val="nil"/>
              <w:bottom w:val="nil"/>
              <w:right w:val="nil"/>
            </w:tcBorders>
            <w:shd w:val="clear" w:color="auto" w:fill="auto"/>
            <w:vAlign w:val="center"/>
            <w:hideMark/>
          </w:tcPr>
          <w:p w14:paraId="5804CC5F"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+4.9% (2045)</w:t>
            </w:r>
          </w:p>
        </w:tc>
        <w:tc>
          <w:tcPr>
            <w:tcW w:w="1680" w:type="dxa"/>
            <w:tcBorders>
              <w:top w:val="nil"/>
              <w:left w:val="nil"/>
              <w:bottom w:val="nil"/>
              <w:right w:val="nil"/>
            </w:tcBorders>
            <w:shd w:val="clear" w:color="auto" w:fill="auto"/>
            <w:vAlign w:val="center"/>
            <w:hideMark/>
          </w:tcPr>
          <w:p w14:paraId="4B213D84"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+1.3%</w:t>
            </w:r>
          </w:p>
        </w:tc>
        <w:tc>
          <w:tcPr>
            <w:tcW w:w="1680" w:type="dxa"/>
            <w:tcBorders>
              <w:top w:val="nil"/>
              <w:left w:val="nil"/>
              <w:bottom w:val="nil"/>
              <w:right w:val="single" w:sz="8" w:space="0" w:color="auto"/>
            </w:tcBorders>
            <w:shd w:val="clear" w:color="auto" w:fill="auto"/>
            <w:vAlign w:val="center"/>
            <w:hideMark/>
          </w:tcPr>
          <w:p w14:paraId="5541C519"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+3.7%</w:t>
            </w:r>
          </w:p>
        </w:tc>
      </w:tr>
      <w:tr w:rsidR="0020668A" w:rsidRPr="0020668A" w14:paraId="45C335E8" w14:textId="77777777" w:rsidTr="0020668A">
        <w:trPr>
          <w:trHeight w:val="210"/>
        </w:trPr>
        <w:tc>
          <w:tcPr>
            <w:tcW w:w="1680" w:type="dxa"/>
            <w:tcBorders>
              <w:top w:val="nil"/>
              <w:left w:val="single" w:sz="8" w:space="0" w:color="auto"/>
              <w:bottom w:val="nil"/>
              <w:right w:val="single" w:sz="8" w:space="0" w:color="auto"/>
            </w:tcBorders>
            <w:shd w:val="clear" w:color="auto" w:fill="auto"/>
            <w:vAlign w:val="center"/>
            <w:hideMark/>
          </w:tcPr>
          <w:p w14:paraId="60C23592" w14:textId="77777777" w:rsidR="0020668A" w:rsidRPr="0020668A" w:rsidRDefault="0020668A" w:rsidP="0020668A">
            <w:pPr>
              <w:jc w:val="right"/>
              <w:rPr>
                <w:rFonts w:eastAsia="Times New Roman" w:cs="Calibri"/>
                <w:color w:val="000000"/>
                <w:sz w:val="16"/>
                <w:szCs w:val="16"/>
              </w:rPr>
            </w:pPr>
            <w:r w:rsidRPr="0020668A">
              <w:rPr>
                <w:rFonts w:eastAsia="Times New Roman" w:cs="Calibri"/>
                <w:color w:val="000000"/>
                <w:sz w:val="16"/>
                <w:szCs w:val="16"/>
              </w:rPr>
              <w:t>- Intra-African trade</w:t>
            </w:r>
          </w:p>
        </w:tc>
        <w:tc>
          <w:tcPr>
            <w:tcW w:w="1680" w:type="dxa"/>
            <w:tcBorders>
              <w:top w:val="nil"/>
              <w:left w:val="nil"/>
              <w:bottom w:val="nil"/>
              <w:right w:val="nil"/>
            </w:tcBorders>
            <w:shd w:val="clear" w:color="auto" w:fill="auto"/>
            <w:vAlign w:val="center"/>
            <w:hideMark/>
          </w:tcPr>
          <w:p w14:paraId="158DFA28"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+81%</w:t>
            </w:r>
          </w:p>
        </w:tc>
        <w:tc>
          <w:tcPr>
            <w:tcW w:w="1680" w:type="dxa"/>
            <w:tcBorders>
              <w:top w:val="nil"/>
              <w:left w:val="nil"/>
              <w:bottom w:val="nil"/>
              <w:right w:val="nil"/>
            </w:tcBorders>
            <w:shd w:val="clear" w:color="auto" w:fill="auto"/>
            <w:vAlign w:val="center"/>
            <w:hideMark/>
          </w:tcPr>
          <w:p w14:paraId="02C29B64"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+33.8% (2045)</w:t>
            </w:r>
          </w:p>
        </w:tc>
        <w:tc>
          <w:tcPr>
            <w:tcW w:w="1680" w:type="dxa"/>
            <w:tcBorders>
              <w:top w:val="nil"/>
              <w:left w:val="nil"/>
              <w:bottom w:val="nil"/>
              <w:right w:val="nil"/>
            </w:tcBorders>
            <w:shd w:val="clear" w:color="auto" w:fill="auto"/>
            <w:vAlign w:val="center"/>
            <w:hideMark/>
          </w:tcPr>
          <w:p w14:paraId="7ECFEA0C"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+15.3%</w:t>
            </w:r>
          </w:p>
        </w:tc>
        <w:tc>
          <w:tcPr>
            <w:tcW w:w="1680" w:type="dxa"/>
            <w:tcBorders>
              <w:top w:val="nil"/>
              <w:left w:val="nil"/>
              <w:bottom w:val="nil"/>
              <w:right w:val="single" w:sz="8" w:space="0" w:color="auto"/>
            </w:tcBorders>
            <w:shd w:val="clear" w:color="auto" w:fill="auto"/>
            <w:vAlign w:val="center"/>
            <w:hideMark/>
          </w:tcPr>
          <w:p w14:paraId="0952BA56"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+22%</w:t>
            </w:r>
          </w:p>
        </w:tc>
      </w:tr>
      <w:tr w:rsidR="0020668A" w:rsidRPr="0020668A" w14:paraId="6466577E" w14:textId="77777777" w:rsidTr="0020668A">
        <w:trPr>
          <w:trHeight w:val="210"/>
        </w:trPr>
        <w:tc>
          <w:tcPr>
            <w:tcW w:w="1680" w:type="dxa"/>
            <w:tcBorders>
              <w:top w:val="nil"/>
              <w:left w:val="single" w:sz="8" w:space="0" w:color="auto"/>
              <w:bottom w:val="nil"/>
              <w:right w:val="single" w:sz="8" w:space="0" w:color="auto"/>
            </w:tcBorders>
            <w:shd w:val="clear" w:color="auto" w:fill="auto"/>
            <w:vAlign w:val="center"/>
            <w:hideMark/>
          </w:tcPr>
          <w:p w14:paraId="6CF7D5C0" w14:textId="77777777" w:rsidR="0020668A" w:rsidRPr="0020668A" w:rsidRDefault="0020668A" w:rsidP="0020668A">
            <w:pPr>
              <w:jc w:val="right"/>
              <w:rPr>
                <w:rFonts w:eastAsia="Times New Roman" w:cs="Calibri"/>
                <w:color w:val="000000"/>
                <w:sz w:val="16"/>
                <w:szCs w:val="16"/>
              </w:rPr>
            </w:pPr>
            <w:r w:rsidRPr="0020668A">
              <w:rPr>
                <w:rFonts w:eastAsia="Times New Roman" w:cs="Calibri"/>
                <w:color w:val="000000"/>
                <w:sz w:val="16"/>
                <w:szCs w:val="16"/>
              </w:rPr>
              <w:t>- African welfare</w:t>
            </w:r>
          </w:p>
        </w:tc>
        <w:tc>
          <w:tcPr>
            <w:tcW w:w="1680" w:type="dxa"/>
            <w:tcBorders>
              <w:top w:val="nil"/>
              <w:left w:val="nil"/>
              <w:bottom w:val="nil"/>
              <w:right w:val="nil"/>
            </w:tcBorders>
            <w:shd w:val="clear" w:color="auto" w:fill="auto"/>
            <w:vAlign w:val="center"/>
            <w:hideMark/>
          </w:tcPr>
          <w:p w14:paraId="7AD02A19"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+7%</w:t>
            </w:r>
          </w:p>
        </w:tc>
        <w:tc>
          <w:tcPr>
            <w:tcW w:w="1680" w:type="dxa"/>
            <w:tcBorders>
              <w:top w:val="nil"/>
              <w:left w:val="nil"/>
              <w:bottom w:val="nil"/>
              <w:right w:val="nil"/>
            </w:tcBorders>
            <w:shd w:val="clear" w:color="auto" w:fill="auto"/>
            <w:vAlign w:val="center"/>
            <w:hideMark/>
          </w:tcPr>
          <w:p w14:paraId="1EEBEAF5"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+0.4% (2045)</w:t>
            </w:r>
          </w:p>
        </w:tc>
        <w:tc>
          <w:tcPr>
            <w:tcW w:w="1680" w:type="dxa"/>
            <w:tcBorders>
              <w:top w:val="nil"/>
              <w:left w:val="nil"/>
              <w:bottom w:val="nil"/>
              <w:right w:val="nil"/>
            </w:tcBorders>
            <w:shd w:val="clear" w:color="auto" w:fill="auto"/>
            <w:vAlign w:val="center"/>
            <w:hideMark/>
          </w:tcPr>
          <w:p w14:paraId="5BA185CE"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+0.1%</w:t>
            </w:r>
          </w:p>
        </w:tc>
        <w:tc>
          <w:tcPr>
            <w:tcW w:w="1680" w:type="dxa"/>
            <w:tcBorders>
              <w:top w:val="nil"/>
              <w:left w:val="nil"/>
              <w:bottom w:val="nil"/>
              <w:right w:val="single" w:sz="8" w:space="0" w:color="auto"/>
            </w:tcBorders>
            <w:shd w:val="clear" w:color="auto" w:fill="auto"/>
            <w:vAlign w:val="center"/>
            <w:hideMark/>
          </w:tcPr>
          <w:p w14:paraId="5E9710A4"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+0.3%/+0.6% (GDP)</w:t>
            </w:r>
          </w:p>
        </w:tc>
      </w:tr>
      <w:tr w:rsidR="0020668A" w:rsidRPr="0020668A" w14:paraId="08822D73" w14:textId="77777777" w:rsidTr="0020668A">
        <w:trPr>
          <w:trHeight w:val="220"/>
        </w:trPr>
        <w:tc>
          <w:tcPr>
            <w:tcW w:w="1680" w:type="dxa"/>
            <w:tcBorders>
              <w:top w:val="nil"/>
              <w:left w:val="single" w:sz="8" w:space="0" w:color="auto"/>
              <w:bottom w:val="single" w:sz="8" w:space="0" w:color="auto"/>
              <w:right w:val="single" w:sz="8" w:space="0" w:color="auto"/>
            </w:tcBorders>
            <w:shd w:val="clear" w:color="auto" w:fill="auto"/>
            <w:vAlign w:val="center"/>
            <w:hideMark/>
          </w:tcPr>
          <w:p w14:paraId="4537568A" w14:textId="77777777" w:rsidR="0020668A" w:rsidRPr="0020668A" w:rsidRDefault="0020668A" w:rsidP="0020668A">
            <w:pPr>
              <w:jc w:val="right"/>
              <w:rPr>
                <w:rFonts w:eastAsia="Times New Roman" w:cs="Calibri"/>
                <w:color w:val="000000"/>
                <w:sz w:val="16"/>
                <w:szCs w:val="16"/>
              </w:rPr>
            </w:pPr>
            <w:r w:rsidRPr="0020668A">
              <w:rPr>
                <w:rFonts w:eastAsia="Times New Roman" w:cs="Calibri"/>
                <w:color w:val="000000"/>
                <w:sz w:val="16"/>
                <w:szCs w:val="16"/>
              </w:rPr>
              <w:t>- African tariff revenue</w:t>
            </w:r>
          </w:p>
        </w:tc>
        <w:tc>
          <w:tcPr>
            <w:tcW w:w="1680" w:type="dxa"/>
            <w:tcBorders>
              <w:top w:val="nil"/>
              <w:left w:val="nil"/>
              <w:bottom w:val="single" w:sz="8" w:space="0" w:color="auto"/>
              <w:right w:val="nil"/>
            </w:tcBorders>
            <w:shd w:val="clear" w:color="auto" w:fill="auto"/>
            <w:vAlign w:val="center"/>
            <w:hideMark/>
          </w:tcPr>
          <w:p w14:paraId="76FFB6D5"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-0,5%</w:t>
            </w:r>
          </w:p>
        </w:tc>
        <w:tc>
          <w:tcPr>
            <w:tcW w:w="1680" w:type="dxa"/>
            <w:tcBorders>
              <w:top w:val="nil"/>
              <w:left w:val="nil"/>
              <w:bottom w:val="single" w:sz="8" w:space="0" w:color="auto"/>
              <w:right w:val="nil"/>
            </w:tcBorders>
            <w:shd w:val="clear" w:color="auto" w:fill="auto"/>
            <w:vAlign w:val="center"/>
            <w:hideMark/>
          </w:tcPr>
          <w:p w14:paraId="4B160D41"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-7.8%</w:t>
            </w:r>
          </w:p>
        </w:tc>
        <w:tc>
          <w:tcPr>
            <w:tcW w:w="1680" w:type="dxa"/>
            <w:tcBorders>
              <w:top w:val="nil"/>
              <w:left w:val="nil"/>
              <w:bottom w:val="single" w:sz="8" w:space="0" w:color="auto"/>
              <w:right w:val="nil"/>
            </w:tcBorders>
            <w:shd w:val="clear" w:color="auto" w:fill="auto"/>
            <w:vAlign w:val="center"/>
            <w:hideMark/>
          </w:tcPr>
          <w:p w14:paraId="28074477"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-1.1%/+0.3%</w:t>
            </w:r>
          </w:p>
        </w:tc>
        <w:tc>
          <w:tcPr>
            <w:tcW w:w="1680" w:type="dxa"/>
            <w:tcBorders>
              <w:top w:val="nil"/>
              <w:left w:val="nil"/>
              <w:bottom w:val="single" w:sz="8" w:space="0" w:color="auto"/>
              <w:right w:val="single" w:sz="8" w:space="0" w:color="auto"/>
            </w:tcBorders>
            <w:shd w:val="clear" w:color="auto" w:fill="auto"/>
            <w:vAlign w:val="center"/>
            <w:hideMark/>
          </w:tcPr>
          <w:p w14:paraId="39DA5881" w14:textId="77777777" w:rsidR="0020668A" w:rsidRPr="0020668A" w:rsidRDefault="0020668A" w:rsidP="0020668A">
            <w:pPr>
              <w:jc w:val="center"/>
              <w:rPr>
                <w:rFonts w:eastAsia="Times New Roman" w:cs="Calibri"/>
                <w:color w:val="000000"/>
                <w:sz w:val="16"/>
                <w:szCs w:val="16"/>
              </w:rPr>
            </w:pPr>
            <w:r w:rsidRPr="0020668A">
              <w:rPr>
                <w:rFonts w:eastAsia="Times New Roman" w:cs="Calibri"/>
                <w:color w:val="000000"/>
                <w:sz w:val="16"/>
                <w:szCs w:val="16"/>
              </w:rPr>
              <w:t>-8.2%</w:t>
            </w:r>
          </w:p>
        </w:tc>
      </w:tr>
    </w:tbl>
    <w:p w14:paraId="3B53B09A" w14:textId="3B253211" w:rsidR="00D672FC" w:rsidRDefault="00252C42" w:rsidP="00771DA5">
      <w:pPr>
        <w:pStyle w:val="Source"/>
        <w:rPr>
          <w:lang w:val="fr-FR"/>
        </w:rPr>
      </w:pPr>
      <w:r>
        <w:rPr>
          <w:lang w:val="fr-FR"/>
        </w:rPr>
        <w:t xml:space="preserve">Source : </w:t>
      </w:r>
      <w:proofErr w:type="spellStart"/>
      <w:r w:rsidR="00771DA5">
        <w:rPr>
          <w:lang w:val="fr-FR"/>
        </w:rPr>
        <w:t>authors</w:t>
      </w:r>
      <w:proofErr w:type="spellEnd"/>
    </w:p>
    <w:p w14:paraId="79D2F055" w14:textId="709A3E72" w:rsidR="00B31A08" w:rsidRDefault="00B31A08" w:rsidP="00B31A08">
      <w:pPr>
        <w:autoSpaceDE w:val="0"/>
        <w:autoSpaceDN w:val="0"/>
        <w:adjustRightInd w:val="0"/>
      </w:pPr>
      <w:r>
        <w:t xml:space="preserve">A distinctive feature of MIRAGRODEP is its careful treatment of tariff information. In </w:t>
      </w:r>
      <w:r w:rsidR="003A7930">
        <w:t xml:space="preserve">ENVISAGE and MAGNET, tariffs are aggregated from the HS6 lines to the model disaggregation according to a trade-weighted scheme: this significantly underestimates the level of average tariff, but </w:t>
      </w:r>
      <w:r w:rsidR="00951540">
        <w:t xml:space="preserve">this procedure </w:t>
      </w:r>
      <w:r w:rsidR="003A7930">
        <w:t xml:space="preserve">is consistent in terms of tariff revenues. Concerning the evaluation of average protection and its distortive impact, the MIRAGE model adopts a better weighing scheme as the aggregation is based on reference groups’ </w:t>
      </w:r>
      <w:r w:rsidR="00CC518E">
        <w:t>trade weighs</w:t>
      </w:r>
      <w:r w:rsidR="001B155A">
        <w:t xml:space="preserve">: this </w:t>
      </w:r>
      <w:r w:rsidR="00CC518E">
        <w:t>reduce</w:t>
      </w:r>
      <w:r w:rsidR="001B155A">
        <w:t>s</w:t>
      </w:r>
      <w:r w:rsidR="00CC518E">
        <w:t xml:space="preserve"> the endogeneity bias. In this regard MIRAGRODEP is even better as it implements a consistent aggregator approach (</w:t>
      </w:r>
      <w:r w:rsidR="00CC518E" w:rsidRPr="006A17A1">
        <w:t>Laborde,</w:t>
      </w:r>
      <w:r w:rsidR="00CC518E">
        <w:t xml:space="preserve"> </w:t>
      </w:r>
      <w:r w:rsidR="00CC518E" w:rsidRPr="006A17A1">
        <w:t>Martin</w:t>
      </w:r>
      <w:r w:rsidR="00CC518E">
        <w:t xml:space="preserve"> </w:t>
      </w:r>
      <w:r w:rsidR="00CC518E" w:rsidRPr="006A17A1">
        <w:t>and Van der Mensbrugghe, 2017</w:t>
      </w:r>
      <w:r w:rsidR="00CC518E">
        <w:t xml:space="preserve">). </w:t>
      </w:r>
    </w:p>
    <w:p w14:paraId="7CF02ADA" w14:textId="5AD58A42" w:rsidR="00CC518E" w:rsidRDefault="00951540" w:rsidP="00B31A08">
      <w:pPr>
        <w:autoSpaceDE w:val="0"/>
        <w:autoSpaceDN w:val="0"/>
        <w:adjustRightInd w:val="0"/>
      </w:pPr>
      <w:r>
        <w:t>In MIRAGRODEP, t</w:t>
      </w:r>
      <w:r w:rsidR="00CC518E">
        <w:t xml:space="preserve">he careful treatment of tariff information is also present in the selection of excluded and sensitive products. Whereas ENVISAGE, MIRAGE and MAGNET are </w:t>
      </w:r>
      <w:r w:rsidR="00301465">
        <w:t xml:space="preserve">based on a criterion of </w:t>
      </w:r>
      <w:r w:rsidR="00301465">
        <w:lastRenderedPageBreak/>
        <w:t xml:space="preserve">minimization of tariff revenues losses, MIRAGRODEP selects sensitive and excluded products on the basis of a political economy approach where a government </w:t>
      </w:r>
      <w:r w:rsidR="00D43356">
        <w:t xml:space="preserve">is supposed to </w:t>
      </w:r>
      <w:r w:rsidR="00301465">
        <w:t xml:space="preserve">consider </w:t>
      </w:r>
      <w:r w:rsidR="00D43356">
        <w:t xml:space="preserve">both </w:t>
      </w:r>
      <w:r w:rsidR="00301465">
        <w:t xml:space="preserve">the lobbying activities of </w:t>
      </w:r>
      <w:proofErr w:type="gramStart"/>
      <w:r w:rsidR="00301465">
        <w:t>interests</w:t>
      </w:r>
      <w:proofErr w:type="gramEnd"/>
      <w:r w:rsidR="00301465">
        <w:t xml:space="preserve"> groups and the national welfare</w:t>
      </w:r>
      <w:r w:rsidR="00D43356">
        <w:t xml:space="preserve"> in its selection process</w:t>
      </w:r>
      <w:r w:rsidR="00301465">
        <w:t>.</w:t>
      </w:r>
    </w:p>
    <w:p w14:paraId="110FB198" w14:textId="37EC9D63" w:rsidR="00B31A08" w:rsidRPr="0047610D" w:rsidRDefault="00B31A08" w:rsidP="00B31A08">
      <w:pPr>
        <w:autoSpaceDE w:val="0"/>
        <w:autoSpaceDN w:val="0"/>
        <w:adjustRightInd w:val="0"/>
      </w:pPr>
      <w:r w:rsidRPr="00E8276D">
        <w:t xml:space="preserve">At first glance, it appears that the results of these four evaluations differ significantly. The World Bank model gives a welfare gain of 7% for Africa, while the IFPRI model concludes that the gain is 0.1%. </w:t>
      </w:r>
      <w:r w:rsidRPr="0047610D">
        <w:t xml:space="preserve">In fact, the </w:t>
      </w:r>
      <w:r w:rsidR="00951540">
        <w:t>signific</w:t>
      </w:r>
      <w:r w:rsidRPr="0047610D">
        <w:t>ant divergence in these results stems from the fact that they assess different shocks.</w:t>
      </w:r>
    </w:p>
    <w:p w14:paraId="221CC67F" w14:textId="77777777" w:rsidR="00B31A08" w:rsidRDefault="00B31A08" w:rsidP="00B31A08">
      <w:pPr>
        <w:autoSpaceDE w:val="0"/>
        <w:autoSpaceDN w:val="0"/>
        <w:adjustRightInd w:val="0"/>
      </w:pPr>
      <w:r w:rsidRPr="00E8276D">
        <w:t xml:space="preserve">Indeed, the three studies by UNECA-CEPII, IFPRI and JRC give relatively similar results: intra-African trade will grow by 15.3% for the IFPRI study in 2035, and by 22% for JRC. For UNECA-CEPII, the figure is +33.8%, but it is for the year 2045. The welfare and trade gains are close. Tariff revenue losses are very close for UNECA-CEPII and for JRC, less pessimistic for IFPRI but still comparable. </w:t>
      </w:r>
    </w:p>
    <w:p w14:paraId="44F7CB68" w14:textId="77777777" w:rsidR="00B31A08" w:rsidRPr="00E8276D" w:rsidRDefault="00B31A08" w:rsidP="00B31A08">
      <w:pPr>
        <w:autoSpaceDE w:val="0"/>
        <w:autoSpaceDN w:val="0"/>
        <w:adjustRightInd w:val="0"/>
      </w:pPr>
      <w:r>
        <w:t xml:space="preserve">Results from the evaluation of the World Bank are significantly different. It comes from the shock which is evaluated in this study: it includes a tariff liberalization, a removal of trade barriers resulting from </w:t>
      </w:r>
      <w:proofErr w:type="gramStart"/>
      <w:r>
        <w:t>NTMs</w:t>
      </w:r>
      <w:proofErr w:type="gramEnd"/>
      <w:r>
        <w:t xml:space="preserve"> and liberalizing measures adopted in the services sector, but also a Trade Facilitation Agreement (TFA). </w:t>
      </w:r>
    </w:p>
    <w:p w14:paraId="71432361" w14:textId="77777777" w:rsidR="00B31A08" w:rsidRPr="00E8276D" w:rsidRDefault="00B31A08" w:rsidP="00B31A08">
      <w:pPr>
        <w:autoSpaceDE w:val="0"/>
        <w:autoSpaceDN w:val="0"/>
        <w:adjustRightInd w:val="0"/>
      </w:pPr>
      <w:r w:rsidRPr="00397292">
        <w:t>The World Bank's modeling of the TFA agreement is based on an estimate by de Melo</w:t>
      </w:r>
      <w:r>
        <w:t xml:space="preserve">, </w:t>
      </w:r>
      <w:proofErr w:type="spellStart"/>
      <w:r w:rsidRPr="00397292">
        <w:t>Sorgho</w:t>
      </w:r>
      <w:proofErr w:type="spellEnd"/>
      <w:r w:rsidRPr="00397292">
        <w:t xml:space="preserve"> </w:t>
      </w:r>
      <w:r>
        <w:t xml:space="preserve">and Wagner </w:t>
      </w:r>
      <w:r w:rsidRPr="00397292">
        <w:t xml:space="preserve">(2019) of the impact of full implementation of the agreement on trade costs, which is the result of an econometric model regressing the time spent in customs on structural variables, policy variables, and trade facilitation variables, notably on the efficiency of customs procedures. This estimate concludes that full implementation of the trade facilitation agreement would reduce the time spent in customs by 31.8% for Nigeria, 10.9% for Kenya, but only 2.6% for South Africa and 0.3% for Senegal. </w:t>
      </w:r>
      <w:r>
        <w:t>With this reform, o</w:t>
      </w:r>
      <w:r w:rsidRPr="00397292">
        <w:t xml:space="preserve">n average, African countries would see a 7% reduction in trade costs, with no </w:t>
      </w:r>
      <w:r>
        <w:t xml:space="preserve">implementation </w:t>
      </w:r>
      <w:r w:rsidRPr="00397292">
        <w:t xml:space="preserve">cost in return. </w:t>
      </w:r>
      <w:r>
        <w:t>This obviously constitutes a significant shock that largely explains the difference between World Bank’s estimate on one side and the three evaluations by UNECA-CEPII, IFPRI and JRC on the other side.</w:t>
      </w:r>
    </w:p>
    <w:p w14:paraId="040B35C5" w14:textId="73BEF5B0" w:rsidR="00EC27A0" w:rsidRDefault="00205E20" w:rsidP="005476C5">
      <w:pPr>
        <w:autoSpaceDE w:val="0"/>
        <w:autoSpaceDN w:val="0"/>
        <w:adjustRightInd w:val="0"/>
      </w:pPr>
      <w:r>
        <w:t>The methods of including NTMs in the CGE model also differ greatly amongst the four evaluations</w:t>
      </w:r>
      <w:r w:rsidR="008826DB">
        <w:t>. T</w:t>
      </w:r>
      <w:r>
        <w:t>he ENVISAGE and MAGNET</w:t>
      </w:r>
      <w:r w:rsidR="00750342">
        <w:t xml:space="preserve"> </w:t>
      </w:r>
      <w:r>
        <w:t>models use ad valorem equivalents of NTMs which are drawn from the World Bank</w:t>
      </w:r>
      <w:r w:rsidR="008826DB">
        <w:t>,</w:t>
      </w:r>
      <w:r w:rsidR="008826DB">
        <w:rPr>
          <w:rStyle w:val="FootnoteReference"/>
        </w:rPr>
        <w:footnoteReference w:id="20"/>
      </w:r>
      <w:r w:rsidR="008826DB">
        <w:t xml:space="preserve"> based on Kee, </w:t>
      </w:r>
      <w:proofErr w:type="spellStart"/>
      <w:r w:rsidR="008826DB">
        <w:t>Nicita</w:t>
      </w:r>
      <w:proofErr w:type="spellEnd"/>
      <w:r w:rsidR="008826DB">
        <w:t xml:space="preserve"> and </w:t>
      </w:r>
      <w:proofErr w:type="spellStart"/>
      <w:r w:rsidR="008826DB">
        <w:t>Olarreaga</w:t>
      </w:r>
      <w:proofErr w:type="spellEnd"/>
      <w:r w:rsidR="008826DB">
        <w:t xml:space="preserve"> (2009). </w:t>
      </w:r>
      <w:r w:rsidR="00EC27A0">
        <w:t>The Magnet model makes a distinction between technical measures supposed to be cost-generating and modelled as iceberg cost in the model, and non-technical measures supposed to be rent-generating and modelled as ad valorem tariff equivalents.</w:t>
      </w:r>
      <w:r w:rsidR="00F46CB2">
        <w:rPr>
          <w:rStyle w:val="FootnoteReference"/>
        </w:rPr>
        <w:footnoteReference w:id="21"/>
      </w:r>
      <w:r w:rsidR="00EC27A0">
        <w:t xml:space="preserve"> </w:t>
      </w:r>
      <w:r w:rsidR="00DB237A">
        <w:t xml:space="preserve">In the </w:t>
      </w:r>
      <w:r w:rsidR="00951540">
        <w:t xml:space="preserve">ENVISAGE </w:t>
      </w:r>
      <w:r w:rsidR="00DB237A">
        <w:t>model</w:t>
      </w:r>
      <w:r w:rsidR="00951540">
        <w:t>,</w:t>
      </w:r>
      <w:r w:rsidR="00DB237A">
        <w:t xml:space="preserve"> NTMs are implemented as ad valorem tariff equivalent</w:t>
      </w:r>
      <w:r w:rsidR="00184FD2">
        <w:t xml:space="preserve">. In MIRAGRODEP, </w:t>
      </w:r>
      <w:r w:rsidR="007A1A47">
        <w:t xml:space="preserve">Ad Valorem Equivalents of </w:t>
      </w:r>
      <w:r w:rsidR="00184FD2">
        <w:t xml:space="preserve">NTMs </w:t>
      </w:r>
      <w:r w:rsidR="007A1A47">
        <w:t xml:space="preserve">are evaluated according to Bao, </w:t>
      </w:r>
      <w:proofErr w:type="spellStart"/>
      <w:r w:rsidR="007A1A47">
        <w:t>Bouët</w:t>
      </w:r>
      <w:proofErr w:type="spellEnd"/>
      <w:r w:rsidR="007A1A47">
        <w:t xml:space="preserve"> and </w:t>
      </w:r>
      <w:proofErr w:type="spellStart"/>
      <w:r w:rsidR="007A1A47">
        <w:t>Traoré</w:t>
      </w:r>
      <w:proofErr w:type="spellEnd"/>
      <w:r w:rsidR="007A1A47">
        <w:t xml:space="preserve"> </w:t>
      </w:r>
      <w:r w:rsidR="00BF7376">
        <w:t xml:space="preserve">(2021) </w:t>
      </w:r>
      <w:r w:rsidR="007A1A47">
        <w:t xml:space="preserve">and </w:t>
      </w:r>
      <w:r w:rsidR="00184FD2">
        <w:t xml:space="preserve">are </w:t>
      </w:r>
      <w:r w:rsidR="007A1A47">
        <w:t xml:space="preserve">implemented within the model as </w:t>
      </w:r>
      <w:r w:rsidR="00184FD2">
        <w:t xml:space="preserve">a cost borne by </w:t>
      </w:r>
      <w:r w:rsidR="007A1A47">
        <w:t>the exporting sector</w:t>
      </w:r>
      <w:r w:rsidR="00CB609D">
        <w:t>: first</w:t>
      </w:r>
      <w:r w:rsidR="00132230">
        <w:t xml:space="preserve"> respecting</w:t>
      </w:r>
      <w:r w:rsidR="00CB609D">
        <w:t xml:space="preserve"> the NTM </w:t>
      </w:r>
      <w:r w:rsidR="00132230">
        <w:t xml:space="preserve">requests </w:t>
      </w:r>
      <w:r w:rsidR="00CB609D">
        <w:t xml:space="preserve">additional </w:t>
      </w:r>
      <w:r w:rsidR="00750342">
        <w:t xml:space="preserve">value-added for the exporter, second it leads to a payment </w:t>
      </w:r>
      <w:r w:rsidR="00BF7376">
        <w:t xml:space="preserve">of an additional intermediate consumption </w:t>
      </w:r>
      <w:r w:rsidR="00750342">
        <w:t xml:space="preserve">to </w:t>
      </w:r>
      <w:r w:rsidR="00BF7376">
        <w:t xml:space="preserve">the </w:t>
      </w:r>
      <w:r w:rsidR="00750342">
        <w:t>local</w:t>
      </w:r>
      <w:r w:rsidR="00BF7376">
        <w:t xml:space="preserve"> sector of</w:t>
      </w:r>
      <w:r w:rsidR="00750342">
        <w:t xml:space="preserve"> </w:t>
      </w:r>
      <w:r w:rsidR="00BF7376">
        <w:t>b</w:t>
      </w:r>
      <w:r w:rsidR="00750342">
        <w:t>usiness services</w:t>
      </w:r>
      <w:r w:rsidR="007A1A47">
        <w:t xml:space="preserve">. </w:t>
      </w:r>
      <w:r w:rsidR="00BF7376">
        <w:t>Another difference comes from the hypothesis that i</w:t>
      </w:r>
      <w:r w:rsidR="001F376D">
        <w:t>n the MIRAGRODEP evaluation, NTMs only impede trade in goods, whereas in the other three evaluations they impede trade in goods and services.</w:t>
      </w:r>
    </w:p>
    <w:p w14:paraId="41FEE9D0" w14:textId="61599ED6" w:rsidR="00FC04D9" w:rsidRDefault="008826DB" w:rsidP="005476C5">
      <w:pPr>
        <w:autoSpaceDE w:val="0"/>
        <w:autoSpaceDN w:val="0"/>
        <w:adjustRightInd w:val="0"/>
      </w:pPr>
      <w:r>
        <w:t xml:space="preserve">The MAGNET model assumes that the </w:t>
      </w:r>
      <w:proofErr w:type="spellStart"/>
      <w:r>
        <w:t>AfCFTA</w:t>
      </w:r>
      <w:proofErr w:type="spellEnd"/>
      <w:r>
        <w:t xml:space="preserve"> reduces NTMs by 50% in trade in goods and services between African countries, but also reduces NTMs between African and non-African countries by 25%</w:t>
      </w:r>
      <w:r w:rsidR="00EC27A0">
        <w:t xml:space="preserve">: the </w:t>
      </w:r>
      <w:proofErr w:type="spellStart"/>
      <w:r w:rsidR="00EC27A0">
        <w:t>AfCFTA</w:t>
      </w:r>
      <w:proofErr w:type="spellEnd"/>
      <w:r w:rsidR="00EC27A0">
        <w:t xml:space="preserve"> is supposed to result in a greater standardization and harmonization of African products. </w:t>
      </w:r>
      <w:r w:rsidR="00DB237A">
        <w:t xml:space="preserve">The ENVISAGE model makes a similar assumption but the reduction of trade costs benefiting African exporters to </w:t>
      </w:r>
      <w:r w:rsidR="00184FD2">
        <w:t xml:space="preserve">non-African markets is 20%. The MIRAGRODEP model reduces NTMs between African countries by 50% but does not suppose that the </w:t>
      </w:r>
      <w:proofErr w:type="spellStart"/>
      <w:r w:rsidR="00184FD2">
        <w:t>AfCFTA</w:t>
      </w:r>
      <w:proofErr w:type="spellEnd"/>
      <w:r w:rsidR="00184FD2">
        <w:t xml:space="preserve"> will lead to a</w:t>
      </w:r>
      <w:r w:rsidR="00750342">
        <w:t>ny</w:t>
      </w:r>
      <w:r w:rsidR="00184FD2">
        <w:t xml:space="preserve"> reduction of trade costs borne by African exporters towards non-African markets. This is a significant difference as African exports to non-African markets </w:t>
      </w:r>
      <w:r w:rsidR="00132230">
        <w:t xml:space="preserve">are </w:t>
      </w:r>
      <w:r w:rsidR="00184FD2">
        <w:t xml:space="preserve">by far larger than to African markets (see </w:t>
      </w:r>
      <w:r w:rsidR="00184FD2">
        <w:fldChar w:fldCharType="begin"/>
      </w:r>
      <w:r w:rsidR="00184FD2">
        <w:instrText xml:space="preserve"> REF _Ref99362393 \r \h </w:instrText>
      </w:r>
      <w:r w:rsidR="00184FD2">
        <w:fldChar w:fldCharType="separate"/>
      </w:r>
      <w:r w:rsidR="00184FD2">
        <w:t>Figure 1</w:t>
      </w:r>
      <w:r w:rsidR="00184FD2">
        <w:fldChar w:fldCharType="end"/>
      </w:r>
      <w:r w:rsidR="00184FD2">
        <w:t xml:space="preserve">). </w:t>
      </w:r>
    </w:p>
    <w:p w14:paraId="67AEE228" w14:textId="25A6FA2B" w:rsidR="00E91A83" w:rsidRPr="00771DA5" w:rsidRDefault="00BF7376" w:rsidP="005476C5">
      <w:pPr>
        <w:autoSpaceDE w:val="0"/>
        <w:autoSpaceDN w:val="0"/>
        <w:adjustRightInd w:val="0"/>
      </w:pPr>
      <w:r>
        <w:lastRenderedPageBreak/>
        <w:t>In a nutshell, evaluations conducted until now are comparable</w:t>
      </w:r>
      <w:r w:rsidR="009C39D1">
        <w:t xml:space="preserve"> in terms of results when the nature and amplitude of the reform are considered. They conclude that (</w:t>
      </w:r>
      <w:proofErr w:type="spellStart"/>
      <w:r w:rsidR="009C39D1">
        <w:t>i</w:t>
      </w:r>
      <w:proofErr w:type="spellEnd"/>
      <w:r w:rsidR="009C39D1">
        <w:t xml:space="preserve">) the </w:t>
      </w:r>
      <w:proofErr w:type="spellStart"/>
      <w:r w:rsidR="009C39D1">
        <w:t>AfCFTA</w:t>
      </w:r>
      <w:proofErr w:type="spellEnd"/>
      <w:r w:rsidR="009C39D1">
        <w:t xml:space="preserve"> reform will be beneficial for African countries in terms of GDP and trade, with small diversion effects for non-Africa countries; (ii) tariff revenues losses will exist but will be relatively small; (iii) the tariff reform will not deliver substantial benefits while reforming NTMs and trade facilitation will bring larger benefits.</w:t>
      </w:r>
    </w:p>
    <w:p w14:paraId="59A4A6F4" w14:textId="117E2977" w:rsidR="006A4EFA" w:rsidRDefault="00645A28" w:rsidP="00635CAD">
      <w:pPr>
        <w:pStyle w:val="Heading1"/>
      </w:pPr>
      <w:bookmarkStart w:id="4" w:name="_Ref99451218"/>
      <w:r w:rsidRPr="00645A28">
        <w:t>Importance of ICBT in Africa</w:t>
      </w:r>
      <w:bookmarkEnd w:id="4"/>
    </w:p>
    <w:p w14:paraId="0B76EB1F" w14:textId="7EC37E45" w:rsidR="00C61EF3" w:rsidRDefault="00C61EF3" w:rsidP="00A26C86">
      <w:pPr>
        <w:pStyle w:val="Heading2"/>
        <w:numPr>
          <w:ilvl w:val="0"/>
          <w:numId w:val="34"/>
        </w:numPr>
      </w:pPr>
      <w:r>
        <w:t>A typology of ICBT in Africa</w:t>
      </w:r>
    </w:p>
    <w:p w14:paraId="4B574A05" w14:textId="27A02879" w:rsidR="00F93ADC" w:rsidRDefault="00B912FA" w:rsidP="0018376E">
      <w:r w:rsidRPr="00EB7F33">
        <w:t xml:space="preserve">Informal cross border trade is </w:t>
      </w:r>
      <w:r w:rsidR="005D5153" w:rsidRPr="00EB7F33">
        <w:t xml:space="preserve">subject to much confusion in Africa. </w:t>
      </w:r>
      <w:proofErr w:type="gramStart"/>
      <w:r w:rsidR="005D5153" w:rsidRPr="00EB7F33">
        <w:t>Indeed</w:t>
      </w:r>
      <w:proofErr w:type="gramEnd"/>
      <w:r w:rsidR="005D5153" w:rsidRPr="00EB7F33">
        <w:t xml:space="preserve"> the </w:t>
      </w:r>
      <w:r w:rsidR="003F7627" w:rsidRPr="00EB7F33">
        <w:t xml:space="preserve">term refers to multiple </w:t>
      </w:r>
      <w:r w:rsidR="007A00DF" w:rsidRPr="00EB7F33">
        <w:t xml:space="preserve">situations and not all researchers, policy </w:t>
      </w:r>
      <w:proofErr w:type="spellStart"/>
      <w:r w:rsidR="007A00DF" w:rsidRPr="00EB7F33">
        <w:t>anlysts</w:t>
      </w:r>
      <w:proofErr w:type="spellEnd"/>
      <w:r w:rsidR="007A00DF" w:rsidRPr="00EB7F33">
        <w:t xml:space="preserve"> and institutions agree on a common definition. </w:t>
      </w:r>
      <w:proofErr w:type="spellStart"/>
      <w:r w:rsidR="00D610ED" w:rsidRPr="00EB7F33">
        <w:t>Bou</w:t>
      </w:r>
      <w:r w:rsidR="0018376E">
        <w:t>ë</w:t>
      </w:r>
      <w:r w:rsidR="00D610ED" w:rsidRPr="00EB7F33">
        <w:t>t</w:t>
      </w:r>
      <w:proofErr w:type="spellEnd"/>
      <w:r w:rsidR="00D610ED" w:rsidRPr="00EB7F33">
        <w:t>, Ciss</w:t>
      </w:r>
      <w:r w:rsidR="0018376E">
        <w:t>é</w:t>
      </w:r>
      <w:r w:rsidR="00D610ED" w:rsidRPr="00EB7F33">
        <w:t xml:space="preserve"> and </w:t>
      </w:r>
      <w:proofErr w:type="spellStart"/>
      <w:r w:rsidR="00D610ED" w:rsidRPr="00EB7F33">
        <w:t>Traor</w:t>
      </w:r>
      <w:r w:rsidR="0018376E">
        <w:t>é</w:t>
      </w:r>
      <w:proofErr w:type="spellEnd"/>
      <w:r w:rsidR="00D610ED" w:rsidRPr="00EB7F33">
        <w:t xml:space="preserve"> (2020) provides an overview of the various definitions </w:t>
      </w:r>
      <w:r w:rsidR="00EB7F33" w:rsidRPr="00EB7F33">
        <w:t xml:space="preserve">found in the literature. </w:t>
      </w:r>
    </w:p>
    <w:p w14:paraId="4875D378" w14:textId="31A70023" w:rsidR="00DF1804" w:rsidRPr="00EB7F33" w:rsidRDefault="008D3E10" w:rsidP="0018376E">
      <w:r w:rsidRPr="00EB7F33">
        <w:t>For UNCTAD (2019), « informal cross-border trade is trade between neighboring countries conducted by vulnerable, small, unregistered traders. Typically, it is proximity trade involving the move of produce between markets close to the border. The informality refers to the status of the trader (unregistered), not necessarily to the trade itself (captured or unrecorded by the official customs system).”</w:t>
      </w:r>
      <w:r w:rsidRPr="00EB7F33">
        <w:rPr>
          <w:rStyle w:val="FootnoteReference"/>
          <w:rFonts w:ascii="Arial" w:hAnsi="Arial" w:cs="Arial"/>
          <w:sz w:val="20"/>
          <w:szCs w:val="20"/>
        </w:rPr>
        <w:footnoteReference w:id="22"/>
      </w:r>
      <w:r w:rsidRPr="00EB7F33">
        <w:t xml:space="preserve"> Afrika and </w:t>
      </w:r>
      <w:proofErr w:type="spellStart"/>
      <w:r w:rsidRPr="00EB7F33">
        <w:t>Ajumbo</w:t>
      </w:r>
      <w:proofErr w:type="spellEnd"/>
      <w:r w:rsidRPr="00EB7F33">
        <w:t xml:space="preserve"> (2012), with the African Development Bank, define ICBT as “trade in processed or non-processed merchandise which may be legal imports or exports on one side of the border and illicit on the other side and vice-versa, on account of not having been subjected to statutory border formalities such as customs clearance.” (Afrika and </w:t>
      </w:r>
      <w:proofErr w:type="spellStart"/>
      <w:r w:rsidRPr="00EB7F33">
        <w:t>Ajumbo</w:t>
      </w:r>
      <w:proofErr w:type="spellEnd"/>
      <w:r w:rsidRPr="00EB7F33">
        <w:t>, 2012, p.2)</w:t>
      </w:r>
      <w:r w:rsidR="00A8744A">
        <w:t xml:space="preserve">. </w:t>
      </w:r>
      <w:r w:rsidRPr="00EB7F33">
        <w:t xml:space="preserve">For Lesser and </w:t>
      </w:r>
      <w:proofErr w:type="spellStart"/>
      <w:r w:rsidRPr="00EB7F33">
        <w:t>Moisé</w:t>
      </w:r>
      <w:proofErr w:type="spellEnd"/>
      <w:r w:rsidRPr="00EB7F33">
        <w:t xml:space="preserve">-Leeman (2009) with the OECD ICBT is “trade in legitimately produced goods and services, which escapes the regulatory framework set by the government, as such avoiding certain tax and regulatory burdens” (Lesser and </w:t>
      </w:r>
      <w:proofErr w:type="spellStart"/>
      <w:r w:rsidRPr="00EB7F33">
        <w:t>Moisé</w:t>
      </w:r>
      <w:proofErr w:type="spellEnd"/>
      <w:r w:rsidRPr="00EB7F33">
        <w:t>-Leeman, 2009, p.9).</w:t>
      </w:r>
    </w:p>
    <w:p w14:paraId="673E4F1D" w14:textId="77777777" w:rsidR="0018376E" w:rsidRDefault="0043537F" w:rsidP="0018376E">
      <w:r w:rsidRPr="000007E2">
        <w:t xml:space="preserve">From the three definitions above, one can observe that a key point </w:t>
      </w:r>
      <w:r w:rsidR="00CB27D6" w:rsidRPr="000007E2">
        <w:t>explaining the differences between actors is what the term “informal” applies to</w:t>
      </w:r>
      <w:r w:rsidR="002C1418" w:rsidRPr="000007E2">
        <w:t xml:space="preserve">: trade flows or traders. Indeed, </w:t>
      </w:r>
      <w:r w:rsidR="00A8744A">
        <w:t>w</w:t>
      </w:r>
      <w:r w:rsidR="002C1418" w:rsidRPr="000007E2">
        <w:t xml:space="preserve">hile </w:t>
      </w:r>
      <w:r w:rsidR="008D3E10" w:rsidRPr="000007E2">
        <w:t xml:space="preserve">UNCTAD (2019) considers that ICBT is cross-border trade operated by the informal </w:t>
      </w:r>
      <w:r w:rsidR="006C38A5" w:rsidRPr="000007E2">
        <w:t>agents</w:t>
      </w:r>
      <w:r w:rsidR="008D3E10" w:rsidRPr="000007E2">
        <w:t xml:space="preserve">, Afrika and </w:t>
      </w:r>
      <w:proofErr w:type="spellStart"/>
      <w:r w:rsidR="008D3E10" w:rsidRPr="000007E2">
        <w:t>Ajumbo</w:t>
      </w:r>
      <w:proofErr w:type="spellEnd"/>
      <w:r w:rsidR="008D3E10" w:rsidRPr="000007E2">
        <w:t xml:space="preserve"> (2012) and Lesser and </w:t>
      </w:r>
      <w:proofErr w:type="spellStart"/>
      <w:r w:rsidR="008D3E10" w:rsidRPr="000007E2">
        <w:t>Moisé</w:t>
      </w:r>
      <w:proofErr w:type="spellEnd"/>
      <w:r w:rsidR="008D3E10" w:rsidRPr="000007E2">
        <w:t xml:space="preserve">-Leeman (2009) consider that ICBT is trade that escapes statutory border formalities. </w:t>
      </w:r>
      <w:r w:rsidR="00E56717">
        <w:t xml:space="preserve">To sort out </w:t>
      </w:r>
      <w:r w:rsidR="0037788B">
        <w:t xml:space="preserve">the various meanings of the term, </w:t>
      </w:r>
      <w:r w:rsidR="0037788B" w:rsidRPr="000007E2">
        <w:t xml:space="preserve">Lesser and </w:t>
      </w:r>
      <w:proofErr w:type="spellStart"/>
      <w:r w:rsidR="0037788B" w:rsidRPr="000007E2">
        <w:t>Moisé</w:t>
      </w:r>
      <w:proofErr w:type="spellEnd"/>
      <w:r w:rsidR="0037788B" w:rsidRPr="000007E2">
        <w:t>-Leeman (2009)</w:t>
      </w:r>
      <w:r w:rsidR="0037788B">
        <w:t xml:space="preserve"> </w:t>
      </w:r>
      <w:r w:rsidR="004E6DA8">
        <w:t>proposed</w:t>
      </w:r>
      <w:r w:rsidR="0037788B">
        <w:t xml:space="preserve"> a </w:t>
      </w:r>
      <w:r w:rsidR="004E6DA8">
        <w:t xml:space="preserve">useful classification. </w:t>
      </w:r>
      <w:r w:rsidR="00646709">
        <w:t xml:space="preserve">This system </w:t>
      </w:r>
      <w:r w:rsidR="00A64DCC">
        <w:t>consists of the following three letters (</w:t>
      </w:r>
      <w:proofErr w:type="gramStart"/>
      <w:r w:rsidR="00A64DCC">
        <w:t>A,B</w:t>
      </w:r>
      <w:proofErr w:type="gramEnd"/>
      <w:r w:rsidR="00A64DCC">
        <w:t xml:space="preserve">,C) </w:t>
      </w:r>
      <w:r w:rsidR="004465B9">
        <w:t>definitions:</w:t>
      </w:r>
    </w:p>
    <w:p w14:paraId="4CA9CF37" w14:textId="3263FDE3" w:rsidR="008D3E10" w:rsidRPr="0018376E" w:rsidRDefault="004465B9" w:rsidP="0018376E">
      <w:pPr>
        <w:pStyle w:val="ListParagraph"/>
        <w:numPr>
          <w:ilvl w:val="0"/>
          <w:numId w:val="44"/>
        </w:numPr>
      </w:pPr>
      <w:r w:rsidRPr="0018376E">
        <w:rPr>
          <w:b/>
          <w:bCs/>
        </w:rPr>
        <w:t>Definition A</w:t>
      </w:r>
      <w:r w:rsidRPr="0018376E">
        <w:t>:</w:t>
      </w:r>
      <w:r w:rsidRPr="000E6FCE">
        <w:t xml:space="preserve"> </w:t>
      </w:r>
      <w:r w:rsidR="002E46DE">
        <w:t>T</w:t>
      </w:r>
      <w:r w:rsidR="006D2A91" w:rsidRPr="000E6FCE">
        <w:t>his refers to i</w:t>
      </w:r>
      <w:r w:rsidR="008D3E10" w:rsidRPr="000E6FCE">
        <w:t>nformal unregistered traders or firms operating entirely outside the formal economy</w:t>
      </w:r>
      <w:r w:rsidR="006D2A91" w:rsidRPr="000E6FCE">
        <w:t xml:space="preserve">. </w:t>
      </w:r>
      <w:r w:rsidR="00267821" w:rsidRPr="000E6FCE">
        <w:t>A typical e</w:t>
      </w:r>
      <w:r w:rsidR="002222AC" w:rsidRPr="000E6FCE">
        <w:t xml:space="preserve">xample of this type of ICBT are trade </w:t>
      </w:r>
      <w:r w:rsidR="00405057" w:rsidRPr="000E6FCE">
        <w:t xml:space="preserve">in small quantities </w:t>
      </w:r>
      <w:r w:rsidR="00267821" w:rsidRPr="000E6FCE">
        <w:t xml:space="preserve">through a border crossing such that this passage is not subject to control, </w:t>
      </w:r>
      <w:proofErr w:type="gramStart"/>
      <w:r w:rsidR="00267821" w:rsidRPr="000E6FCE">
        <w:t>whether or not</w:t>
      </w:r>
      <w:proofErr w:type="gramEnd"/>
      <w:r w:rsidR="00267821" w:rsidRPr="000E6FCE">
        <w:t xml:space="preserve"> this lack of control is legal. Another example </w:t>
      </w:r>
      <w:r w:rsidR="000E6FCE" w:rsidRPr="000E6FCE">
        <w:t>is informal traders or informal firms operating shipments of a good or several goods through border avoiding official custom posts.</w:t>
      </w:r>
    </w:p>
    <w:p w14:paraId="79A984C3" w14:textId="10CEC184" w:rsidR="00C150AD" w:rsidRPr="0015312D" w:rsidRDefault="002E46DE" w:rsidP="0018376E">
      <w:pPr>
        <w:pStyle w:val="ListParagraph"/>
        <w:numPr>
          <w:ilvl w:val="0"/>
          <w:numId w:val="44"/>
        </w:numPr>
      </w:pPr>
      <w:r w:rsidRPr="0018376E">
        <w:rPr>
          <w:b/>
          <w:bCs/>
        </w:rPr>
        <w:t>Definition B</w:t>
      </w:r>
      <w:r w:rsidRPr="0018376E">
        <w:t xml:space="preserve">: </w:t>
      </w:r>
      <w:r w:rsidR="008D3E10" w:rsidRPr="00223402">
        <w:t>Formal (registered) firms fully</w:t>
      </w:r>
      <w:r w:rsidR="008D3E10" w:rsidRPr="0018376E">
        <w:t xml:space="preserve"> evading trade-related regulations and duties by </w:t>
      </w:r>
      <w:r w:rsidR="008D3E10" w:rsidRPr="00223402">
        <w:t>avoiding official border crossing points</w:t>
      </w:r>
      <w:r w:rsidR="00FB05AD" w:rsidRPr="00223402">
        <w:t xml:space="preserve">. </w:t>
      </w:r>
      <w:r w:rsidR="00664D0F" w:rsidRPr="00223402">
        <w:t>This definition refers to smuggling activities</w:t>
      </w:r>
      <w:r w:rsidR="00D11820" w:rsidRPr="00223402">
        <w:t xml:space="preserve"> </w:t>
      </w:r>
      <w:r w:rsidR="00080420" w:rsidRPr="00223402">
        <w:t xml:space="preserve">by formal </w:t>
      </w:r>
      <w:r w:rsidR="00217920" w:rsidRPr="00223402">
        <w:t>firms and concerning</w:t>
      </w:r>
      <w:r w:rsidR="00080420" w:rsidRPr="00223402">
        <w:t xml:space="preserve"> licit products</w:t>
      </w:r>
      <w:r w:rsidR="00664D0F" w:rsidRPr="00223402">
        <w:t xml:space="preserve">. </w:t>
      </w:r>
      <w:r w:rsidR="00D92EB0" w:rsidRPr="00223402">
        <w:t xml:space="preserve"> </w:t>
      </w:r>
      <w:r w:rsidR="0015312D" w:rsidRPr="0015312D">
        <w:t xml:space="preserve">This type of ICBT is what is often called in the literature the “Bhagwati-Hansen” type of smuggling (Bhagwati and Hansen, 1973). </w:t>
      </w:r>
      <w:r w:rsidR="009F5190" w:rsidRPr="00223402">
        <w:t>A</w:t>
      </w:r>
      <w:r w:rsidR="0015039B" w:rsidRPr="00223402">
        <w:t xml:space="preserve">n illustration of this type of ICBT is given </w:t>
      </w:r>
      <w:r w:rsidR="00C150AD" w:rsidRPr="00223402">
        <w:t xml:space="preserve">by the relationships between Nigeria and Benin: due to restrictions </w:t>
      </w:r>
      <w:r w:rsidR="00223402" w:rsidRPr="00223402">
        <w:t xml:space="preserve">adopted in Nigeria </w:t>
      </w:r>
      <w:r w:rsidR="00C150AD" w:rsidRPr="00223402">
        <w:t>(bans, high import duties, …), price differences on either side of the border are such that firms in the formal sector are ready to take the risk of illegality by bringing their goods across borders not covered by the customs authorities.</w:t>
      </w:r>
      <w:r w:rsidR="00C150AD" w:rsidRPr="0018376E">
        <w:t xml:space="preserve"> </w:t>
      </w:r>
    </w:p>
    <w:p w14:paraId="1693A75D" w14:textId="2173DDCD" w:rsidR="008D3E10" w:rsidRPr="00485DFF" w:rsidRDefault="005D4E7F" w:rsidP="0018376E">
      <w:pPr>
        <w:pStyle w:val="ListParagraph"/>
        <w:numPr>
          <w:ilvl w:val="0"/>
          <w:numId w:val="44"/>
        </w:numPr>
      </w:pPr>
      <w:r w:rsidRPr="0018376E">
        <w:rPr>
          <w:b/>
          <w:bCs/>
        </w:rPr>
        <w:t>Definition C</w:t>
      </w:r>
      <w:r w:rsidRPr="0018376E">
        <w:t>:</w:t>
      </w:r>
      <w:r w:rsidRPr="00485DFF">
        <w:t xml:space="preserve"> </w:t>
      </w:r>
      <w:r w:rsidR="008D3E10" w:rsidRPr="00485DFF">
        <w:t>Formal (registered) firms partially evading trade-related regulations and duties by resorting to illegal practices, such as under-invoicing or declassifying</w:t>
      </w:r>
      <w:r w:rsidR="00446302" w:rsidRPr="00485DFF">
        <w:t>. Here</w:t>
      </w:r>
      <w:r w:rsidR="008067E0" w:rsidRPr="00485DFF">
        <w:t xml:space="preserve">, contrary to definition B where the shipment is not registered by customs officials, </w:t>
      </w:r>
      <w:r w:rsidR="00A33952" w:rsidRPr="00485DFF">
        <w:t xml:space="preserve">here part of the trade is registered </w:t>
      </w:r>
      <w:r w:rsidR="009D4C9E" w:rsidRPr="00485DFF">
        <w:t xml:space="preserve">but traders either </w:t>
      </w:r>
      <w:r w:rsidR="00227A2F" w:rsidRPr="00485DFF">
        <w:t xml:space="preserve">underreport the volume of trade or misclassify the product to benefit from a lower import duty levied on a close substitute. </w:t>
      </w:r>
      <w:r w:rsidR="00467324" w:rsidRPr="00485DFF">
        <w:t xml:space="preserve">This type of trade is prominent </w:t>
      </w:r>
      <w:r w:rsidR="00467324" w:rsidRPr="00485DFF">
        <w:lastRenderedPageBreak/>
        <w:t>in Africa</w:t>
      </w:r>
      <w:r w:rsidR="00AF1B26" w:rsidRPr="00485DFF">
        <w:t xml:space="preserve"> in countries like N</w:t>
      </w:r>
      <w:r w:rsidR="00485DFF" w:rsidRPr="00485DFF">
        <w:t xml:space="preserve">igeria and </w:t>
      </w:r>
      <w:proofErr w:type="gramStart"/>
      <w:r w:rsidR="00485DFF" w:rsidRPr="00485DFF">
        <w:t xml:space="preserve">Kenya </w:t>
      </w:r>
      <w:r w:rsidR="00467324" w:rsidRPr="00485DFF">
        <w:t xml:space="preserve"> (</w:t>
      </w:r>
      <w:proofErr w:type="gramEnd"/>
      <w:r w:rsidR="00467324" w:rsidRPr="00485DFF">
        <w:t xml:space="preserve">see </w:t>
      </w:r>
      <w:proofErr w:type="spellStart"/>
      <w:r w:rsidR="00467324" w:rsidRPr="00485DFF">
        <w:t>Bouët</w:t>
      </w:r>
      <w:proofErr w:type="spellEnd"/>
      <w:r w:rsidR="00467324" w:rsidRPr="00485DFF">
        <w:t xml:space="preserve"> and Roy, 2012) and </w:t>
      </w:r>
      <w:r w:rsidR="00AF1B26" w:rsidRPr="00485DFF">
        <w:t>can be retrieved using mirror trade flows.</w:t>
      </w:r>
    </w:p>
    <w:p w14:paraId="2CD01388" w14:textId="7510D790" w:rsidR="008D3E10" w:rsidRPr="008D3E10" w:rsidRDefault="008B0227" w:rsidP="008D3E10">
      <w:r w:rsidRPr="00934AF8">
        <w:t xml:space="preserve">It is worth noting that overlaps are possible </w:t>
      </w:r>
      <w:r w:rsidR="009A3E4A" w:rsidRPr="00934AF8">
        <w:t xml:space="preserve">between the three definitions above. For </w:t>
      </w:r>
      <w:proofErr w:type="gramStart"/>
      <w:r w:rsidR="009A3E4A" w:rsidRPr="00934AF8">
        <w:t>instance</w:t>
      </w:r>
      <w:proofErr w:type="gramEnd"/>
      <w:r w:rsidR="008D3E10" w:rsidRPr="00934AF8">
        <w:t xml:space="preserve"> smuggling can be operated by formal firms (ICBT definition B) and informal firms or traders: in this case it must be classified with ICBT definition A. </w:t>
      </w:r>
      <w:r w:rsidR="00934AF8" w:rsidRPr="00934AF8">
        <w:t xml:space="preserve">Similarly, </w:t>
      </w:r>
      <w:proofErr w:type="spellStart"/>
      <w:r w:rsidR="00934AF8" w:rsidRPr="00934AF8">
        <w:t>u</w:t>
      </w:r>
      <w:r w:rsidR="008D3E10" w:rsidRPr="00934AF8">
        <w:t>nderinvoicing</w:t>
      </w:r>
      <w:proofErr w:type="spellEnd"/>
      <w:r w:rsidR="008D3E10" w:rsidRPr="00934AF8">
        <w:t xml:space="preserve"> o</w:t>
      </w:r>
      <w:r w:rsidR="00934AF8" w:rsidRPr="00934AF8">
        <w:t>r</w:t>
      </w:r>
      <w:r w:rsidR="008D3E10" w:rsidRPr="00934AF8">
        <w:t xml:space="preserve"> misclassification at the border can be operated by formal firms (ICBT definition C), but it can be also operated by individual informal traders: in this case it must be classified with ICBT definition A.</w:t>
      </w:r>
      <w:r w:rsidR="00934AF8">
        <w:t xml:space="preserve"> In this study, we use various data sources covering all the three types of ICBT. </w:t>
      </w:r>
      <w:proofErr w:type="gramStart"/>
      <w:r w:rsidR="00934AF8">
        <w:t>Therefore</w:t>
      </w:r>
      <w:proofErr w:type="gramEnd"/>
      <w:r w:rsidR="00934AF8">
        <w:t xml:space="preserve"> our definition of ICBT </w:t>
      </w:r>
      <w:r w:rsidR="00E26777">
        <w:t>include all of them.</w:t>
      </w:r>
    </w:p>
    <w:p w14:paraId="407C9295" w14:textId="73B95644" w:rsidR="00C61EF3" w:rsidRDefault="00C61EF3" w:rsidP="00A26C86">
      <w:pPr>
        <w:pStyle w:val="Heading2"/>
        <w:numPr>
          <w:ilvl w:val="0"/>
          <w:numId w:val="14"/>
        </w:numPr>
      </w:pPr>
      <w:r>
        <w:t>Magnitude of the phenomenon</w:t>
      </w:r>
    </w:p>
    <w:p w14:paraId="076CCBFB" w14:textId="77777777" w:rsidR="00CF3E87" w:rsidRPr="00CC3074" w:rsidRDefault="00CF3E87" w:rsidP="00CF3E87">
      <w:pPr>
        <w:rPr>
          <w:color w:val="000000"/>
        </w:rPr>
      </w:pPr>
      <w:r w:rsidRPr="00CC3074">
        <w:rPr>
          <w:color w:val="000000"/>
        </w:rPr>
        <w:t xml:space="preserve">Different initiatives have been developed to monitor informal (or "unregistered") trade in recent years in Africa. </w:t>
      </w:r>
    </w:p>
    <w:p w14:paraId="73DA2370" w14:textId="1F0D12EF" w:rsidR="00CF3E87" w:rsidRPr="003E625F" w:rsidRDefault="00CF3E87" w:rsidP="00CF3E87">
      <w:pPr>
        <w:pStyle w:val="ListParagraph"/>
        <w:widowControl w:val="0"/>
        <w:numPr>
          <w:ilvl w:val="0"/>
          <w:numId w:val="49"/>
        </w:numPr>
        <w:autoSpaceDE w:val="0"/>
        <w:autoSpaceDN w:val="0"/>
        <w:contextualSpacing w:val="0"/>
        <w:rPr>
          <w:color w:val="000000"/>
        </w:rPr>
      </w:pPr>
      <w:r w:rsidRPr="003E625F">
        <w:rPr>
          <w:color w:val="000000"/>
        </w:rPr>
        <w:t xml:space="preserve">In West Africa, CILSS and WACTAF have the only permanent ICBT monitoring system of </w:t>
      </w:r>
      <w:proofErr w:type="spellStart"/>
      <w:r w:rsidRPr="003E625F">
        <w:rPr>
          <w:color w:val="000000"/>
        </w:rPr>
        <w:t>agro</w:t>
      </w:r>
      <w:proofErr w:type="spellEnd"/>
      <w:r w:rsidRPr="003E625F">
        <w:rPr>
          <w:color w:val="000000"/>
        </w:rPr>
        <w:t>-</w:t>
      </w:r>
      <w:proofErr w:type="spellStart"/>
      <w:r w:rsidRPr="003E625F">
        <w:rPr>
          <w:color w:val="000000"/>
        </w:rPr>
        <w:t>sylvo</w:t>
      </w:r>
      <w:proofErr w:type="spellEnd"/>
      <w:r w:rsidRPr="003E625F">
        <w:rPr>
          <w:color w:val="000000"/>
        </w:rPr>
        <w:t xml:space="preserve">-pastoral products and fisheries under its Regional Support Program of Market Access funded by USAID. The data collection activities started in April 2013. Data on 57 products are collected on value and volume of intra-regional agricultural trade on strategic markets and along the major commercial corridors linking Senegal, Mali, Burkina Faso, Benin, Togo, Ghana, Côte d’Ivoire, and Nigeria. This initiative is aimed at collecting information on trade flows along trade corridors in West Africa. </w:t>
      </w:r>
      <w:r w:rsidR="00132230">
        <w:rPr>
          <w:color w:val="000000"/>
        </w:rPr>
        <w:t>The final objective is</w:t>
      </w:r>
      <w:r w:rsidRPr="003E625F">
        <w:rPr>
          <w:color w:val="000000"/>
        </w:rPr>
        <w:t xml:space="preserve"> monitoring the exact value of transactions along </w:t>
      </w:r>
      <w:r w:rsidR="00132230">
        <w:rPr>
          <w:color w:val="000000"/>
        </w:rPr>
        <w:t xml:space="preserve">all </w:t>
      </w:r>
      <w:r w:rsidRPr="003E625F">
        <w:rPr>
          <w:color w:val="000000"/>
        </w:rPr>
        <w:t xml:space="preserve">trade corridors. </w:t>
      </w:r>
      <w:r w:rsidR="00132230">
        <w:rPr>
          <w:color w:val="000000"/>
        </w:rPr>
        <w:t>C</w:t>
      </w:r>
      <w:r w:rsidRPr="003E625F">
        <w:rPr>
          <w:color w:val="000000"/>
        </w:rPr>
        <w:t>omparing these data to formal borders data allows us to have an idea of the magnitude of informal trade. The CILSS approach is characterized by collaboration with Professional Partner Organizations/National Apex Associations to conduct the work. Data are collected by these 10 Apex Associations from 17 countries (15 ECOWAS</w:t>
      </w:r>
      <w:r w:rsidR="00132230">
        <w:rPr>
          <w:color w:val="000000"/>
        </w:rPr>
        <w:t xml:space="preserve"> countries</w:t>
      </w:r>
      <w:r w:rsidRPr="003E625F">
        <w:rPr>
          <w:color w:val="000000"/>
        </w:rPr>
        <w:t xml:space="preserve">, Chad, and Mauritania), which have jointly created the West African Association for Cross-Border Trade in </w:t>
      </w:r>
      <w:proofErr w:type="spellStart"/>
      <w:r w:rsidRPr="003E625F">
        <w:rPr>
          <w:color w:val="000000"/>
        </w:rPr>
        <w:t>Agro</w:t>
      </w:r>
      <w:proofErr w:type="spellEnd"/>
      <w:r w:rsidRPr="003E625F">
        <w:rPr>
          <w:color w:val="000000"/>
        </w:rPr>
        <w:t xml:space="preserve">-forestry-pastoral and Fisheries Products (WACTAF). Each partner organization/association has a focal point per value chain/commodity per country and two data collectors per association per commodity and per strategic market or exit point are selected. Data collection is done in the strategic markets and exit points every market day. </w:t>
      </w:r>
    </w:p>
    <w:p w14:paraId="128E75ED" w14:textId="77777777" w:rsidR="00CF3E87" w:rsidRPr="003E625F" w:rsidRDefault="00CF3E87" w:rsidP="00CF3E87">
      <w:pPr>
        <w:pStyle w:val="ListParagraph"/>
        <w:widowControl w:val="0"/>
        <w:numPr>
          <w:ilvl w:val="0"/>
          <w:numId w:val="49"/>
        </w:numPr>
        <w:autoSpaceDE w:val="0"/>
        <w:autoSpaceDN w:val="0"/>
        <w:contextualSpacing w:val="0"/>
        <w:rPr>
          <w:color w:val="000000"/>
        </w:rPr>
      </w:pPr>
      <w:r w:rsidRPr="003E625F">
        <w:rPr>
          <w:color w:val="000000"/>
        </w:rPr>
        <w:t>Surveys of ICBT in Uganda started in 2005 and are still being carried out. They are operated and financed by the Uganda Bureau of Statistics (</w:t>
      </w:r>
      <w:proofErr w:type="spellStart"/>
      <w:r w:rsidRPr="003E625F">
        <w:rPr>
          <w:color w:val="000000"/>
        </w:rPr>
        <w:t>UBoS</w:t>
      </w:r>
      <w:proofErr w:type="spellEnd"/>
      <w:r w:rsidRPr="003E625F">
        <w:rPr>
          <w:color w:val="000000"/>
        </w:rPr>
        <w:t>) and the Bank of Uganda (</w:t>
      </w:r>
      <w:proofErr w:type="spellStart"/>
      <w:r w:rsidRPr="003E625F">
        <w:rPr>
          <w:color w:val="000000"/>
        </w:rPr>
        <w:t>BoU</w:t>
      </w:r>
      <w:proofErr w:type="spellEnd"/>
      <w:r w:rsidRPr="003E625F">
        <w:rPr>
          <w:color w:val="000000"/>
        </w:rPr>
        <w:t xml:space="preserve">).  The </w:t>
      </w:r>
      <w:proofErr w:type="spellStart"/>
      <w:r w:rsidRPr="003E625F">
        <w:rPr>
          <w:color w:val="000000"/>
        </w:rPr>
        <w:t>UBoS</w:t>
      </w:r>
      <w:proofErr w:type="spellEnd"/>
      <w:r w:rsidRPr="003E625F">
        <w:rPr>
          <w:color w:val="000000"/>
        </w:rPr>
        <w:t xml:space="preserve"> survey aims to assess the volume and value of informal trade between Uganda and its neighbors (DRC, Kenya, Rwanda, South Sudan, and Tanzania). By 2013, the Uganda survey covered 19 border posts and 4 bus terminals; one to two enumerators were stationed at each point to observe trade and, when necessary, to interview traders, clearing agents, and revenue officers. Exports are valued FOB, that is, without inclusion of taxes, transportation, and insurance costs, while imports are valued CIF, that is, cost of insurance and freight included.  </w:t>
      </w:r>
    </w:p>
    <w:p w14:paraId="7E4ED0D9" w14:textId="77777777" w:rsidR="00CF3E87" w:rsidRPr="003E625F" w:rsidRDefault="00CF3E87" w:rsidP="00CF3E87">
      <w:pPr>
        <w:pStyle w:val="ListParagraph"/>
        <w:widowControl w:val="0"/>
        <w:numPr>
          <w:ilvl w:val="0"/>
          <w:numId w:val="49"/>
        </w:numPr>
        <w:autoSpaceDE w:val="0"/>
        <w:autoSpaceDN w:val="0"/>
        <w:contextualSpacing w:val="0"/>
        <w:rPr>
          <w:color w:val="000000"/>
        </w:rPr>
      </w:pPr>
      <w:r w:rsidRPr="003E625F">
        <w:rPr>
          <w:color w:val="000000"/>
        </w:rPr>
        <w:t xml:space="preserve">Many initiatives conducted in the African continent have been of short duration </w:t>
      </w:r>
      <w:r>
        <w:rPr>
          <w:color w:val="000000"/>
        </w:rPr>
        <w:t xml:space="preserve">(Benin, Kenya) </w:t>
      </w:r>
      <w:r w:rsidRPr="003E625F">
        <w:rPr>
          <w:color w:val="000000"/>
        </w:rPr>
        <w:t xml:space="preserve">or the monitoring has been conducted a few border points. Others are operated on a continuous basis (FEWSNET). In terms of methodology, the FEWSNET initiative is probably the closest one to CILSS and WACTAF. In collaboration with local partners, FEWSNET conducts regular analysis of markets and trade of food commodities in Southern and Eastern Africa. In Eastern Africa, within the Food Security and Nutrition Working Group regional platform, the network participates in the monitoring of cross-border trade of 88 food commodities and livestock in 26 cross-border markets in Eastern Africa. The countries covered are Burundi, Djibouti, DRC, Ethiopia, Kenya, Rwanda, Somalia, South Sudan, Sudan, Tanzania, and Uganda; the commodities covered are cash crops like maize, beans, wheat, rice, sorghum, and sesame. In southern Africa, in partnership with the Alliance for Commodity Trade in Eastern and Southern Africa (ACTESA, a specialized agency of COMESA) and World Food </w:t>
      </w:r>
      <w:proofErr w:type="spellStart"/>
      <w:r w:rsidRPr="003E625F">
        <w:rPr>
          <w:color w:val="000000"/>
        </w:rPr>
        <w:t>Programme</w:t>
      </w:r>
      <w:proofErr w:type="spellEnd"/>
      <w:r w:rsidRPr="003E625F">
        <w:rPr>
          <w:color w:val="000000"/>
        </w:rPr>
        <w:t xml:space="preserve"> monitors 29 </w:t>
      </w:r>
      <w:r w:rsidRPr="003E625F">
        <w:rPr>
          <w:color w:val="000000"/>
        </w:rPr>
        <w:lastRenderedPageBreak/>
        <w:t xml:space="preserve">borders points. The countries covered are DRC, Malawi, Mozambique, South Africa, Tanzania, Zambia, and Zimbabwe. </w:t>
      </w:r>
    </w:p>
    <w:p w14:paraId="30AF072D" w14:textId="77777777" w:rsidR="00CF3E87" w:rsidRPr="003E625F" w:rsidRDefault="00CF3E87" w:rsidP="00CF3E87">
      <w:pPr>
        <w:pStyle w:val="ListParagraph"/>
        <w:widowControl w:val="0"/>
        <w:numPr>
          <w:ilvl w:val="0"/>
          <w:numId w:val="49"/>
        </w:numPr>
        <w:autoSpaceDE w:val="0"/>
        <w:autoSpaceDN w:val="0"/>
        <w:contextualSpacing w:val="0"/>
        <w:rPr>
          <w:color w:val="000000"/>
        </w:rPr>
      </w:pPr>
      <w:r w:rsidRPr="003E625F">
        <w:rPr>
          <w:color w:val="000000"/>
        </w:rPr>
        <w:t xml:space="preserve">The other permanent initiative worth mentioning is Rwanda’s. Since a pilot survey done in 2009, the Rwandan government is conducting regular assessment of ICBT at 53 border crossings with its four neighboring countries (Burundi, DRC, Tanzania, and Uganda). </w:t>
      </w:r>
    </w:p>
    <w:p w14:paraId="0CD5DA65" w14:textId="5C4A9401" w:rsidR="00C61EF3" w:rsidRPr="0098618B" w:rsidRDefault="00CF3E87" w:rsidP="00CF3E87">
      <w:pPr>
        <w:rPr>
          <w:color w:val="000000"/>
        </w:rPr>
      </w:pPr>
      <w:r w:rsidRPr="00CC3074">
        <w:rPr>
          <w:color w:val="000000"/>
        </w:rPr>
        <w:t>Although many studies aimed at assessing the magnitude of ICBT in Africa are partial, they all suggest the importance of the unrecorded trade and the figures are large in all surveys. In the case of Benin with all its neighbors (ECENE 2010), informal trade represent</w:t>
      </w:r>
      <w:r>
        <w:rPr>
          <w:color w:val="000000"/>
        </w:rPr>
        <w:t>s</w:t>
      </w:r>
      <w:r w:rsidRPr="00CC3074">
        <w:rPr>
          <w:color w:val="000000"/>
        </w:rPr>
        <w:t xml:space="preserve"> 40 percent of total trade in 20</w:t>
      </w:r>
      <w:r>
        <w:rPr>
          <w:color w:val="000000"/>
        </w:rPr>
        <w:t>10</w:t>
      </w:r>
      <w:r w:rsidRPr="00CC3074">
        <w:rPr>
          <w:color w:val="000000"/>
        </w:rPr>
        <w:t xml:space="preserve">. For its main partner (Nigeria), informal trade represents more than 50 percent of export flows. The same figures hold for imports (57 percent of total import flows were informal). In Rwanda, in 2014, 59 percent of the country exports to its four neighboring countries were informal flows. In Kenya, the 2011 survey conducted by the Kenya National Bureau of Statistics revealed that 25 percent of trade flows with Ethiopia took place through informal channels. </w:t>
      </w:r>
      <w:r>
        <w:rPr>
          <w:color w:val="000000"/>
        </w:rPr>
        <w:t>According to</w:t>
      </w:r>
      <w:r w:rsidRPr="00CC3074">
        <w:rPr>
          <w:color w:val="000000"/>
        </w:rPr>
        <w:t xml:space="preserve"> CILSS and WACTAF</w:t>
      </w:r>
      <w:r>
        <w:rPr>
          <w:color w:val="000000"/>
        </w:rPr>
        <w:t>, t</w:t>
      </w:r>
      <w:r w:rsidRPr="00CC3074">
        <w:rPr>
          <w:color w:val="000000"/>
        </w:rPr>
        <w:t xml:space="preserve">otal maize imports for </w:t>
      </w:r>
      <w:r>
        <w:rPr>
          <w:color w:val="000000"/>
        </w:rPr>
        <w:t xml:space="preserve">7 ECOWAS </w:t>
      </w:r>
      <w:r w:rsidRPr="00CC3074">
        <w:rPr>
          <w:color w:val="000000"/>
        </w:rPr>
        <w:t xml:space="preserve">countries </w:t>
      </w:r>
      <w:r>
        <w:rPr>
          <w:color w:val="000000"/>
        </w:rPr>
        <w:t xml:space="preserve">(Benin, Burkina Faso, Côte d’Ivoire, Ghana, Mali, Nigeria, Togo) </w:t>
      </w:r>
      <w:r w:rsidRPr="00CC3074">
        <w:rPr>
          <w:color w:val="000000"/>
        </w:rPr>
        <w:t>range from US$49,000 to US$7.5 million. When compared to formal transactions as recorded by COMTRADE, the difference is significant for most cases</w:t>
      </w:r>
      <w:r>
        <w:rPr>
          <w:color w:val="000000"/>
        </w:rPr>
        <w:t>: t</w:t>
      </w:r>
      <w:r w:rsidRPr="00CC3074">
        <w:rPr>
          <w:color w:val="000000"/>
        </w:rPr>
        <w:t xml:space="preserve">he ratio between CILSS and WACTAF figures and official </w:t>
      </w:r>
      <w:proofErr w:type="gramStart"/>
      <w:r w:rsidRPr="00CC3074">
        <w:rPr>
          <w:color w:val="000000"/>
        </w:rPr>
        <w:t>ones</w:t>
      </w:r>
      <w:proofErr w:type="gramEnd"/>
      <w:r w:rsidRPr="00CC3074">
        <w:rPr>
          <w:color w:val="000000"/>
        </w:rPr>
        <w:t xml:space="preserve"> ranges from 1.27 for Ghana to 137 for Mali. For cattle, a similar pattern </w:t>
      </w:r>
      <w:r>
        <w:rPr>
          <w:color w:val="000000"/>
        </w:rPr>
        <w:t>is observed</w:t>
      </w:r>
      <w:r w:rsidRPr="00CC3074">
        <w:rPr>
          <w:color w:val="000000"/>
        </w:rPr>
        <w:t xml:space="preserve">. </w:t>
      </w:r>
      <w:r>
        <w:rPr>
          <w:color w:val="000000"/>
        </w:rPr>
        <w:t xml:space="preserve">In </w:t>
      </w:r>
      <w:r w:rsidRPr="00CC3074">
        <w:rPr>
          <w:color w:val="000000"/>
        </w:rPr>
        <w:t>Uganda</w:t>
      </w:r>
      <w:r>
        <w:rPr>
          <w:color w:val="000000"/>
        </w:rPr>
        <w:t>, o</w:t>
      </w:r>
      <w:r w:rsidRPr="00CC3074">
        <w:rPr>
          <w:color w:val="000000"/>
        </w:rPr>
        <w:t xml:space="preserve">ver the 2008–2018 period, informal cross-border exports represented between 14.1 </w:t>
      </w:r>
      <w:proofErr w:type="gramStart"/>
      <w:r w:rsidRPr="00CC3074">
        <w:rPr>
          <w:color w:val="000000"/>
        </w:rPr>
        <w:t>percent  and</w:t>
      </w:r>
      <w:proofErr w:type="gramEnd"/>
      <w:r w:rsidRPr="00CC3074">
        <w:rPr>
          <w:color w:val="000000"/>
        </w:rPr>
        <w:t xml:space="preserve"> 33.7 percent of total Ugandan exports. This share has decreased since 2011, and now ranges between 14 percent and 16 percent of total exports each year.</w:t>
      </w:r>
      <w:r>
        <w:rPr>
          <w:color w:val="000000"/>
        </w:rPr>
        <w:t xml:space="preserve"> </w:t>
      </w:r>
      <w:r w:rsidRPr="00CC3074">
        <w:rPr>
          <w:color w:val="000000"/>
        </w:rPr>
        <w:t>Over the 2008–2019 period, the share of agricultural and fish products in Uganda’s total informal exports has varied in a range of 21 percent to 50 percent, rising to a peak in 2014, and then falling slightly: it is now around between 33 percent and 40 percent.</w:t>
      </w:r>
    </w:p>
    <w:p w14:paraId="0C759F7A" w14:textId="1773C0BF" w:rsidR="00645A28" w:rsidRDefault="00645A28" w:rsidP="003568C9">
      <w:pPr>
        <w:pStyle w:val="Heading1"/>
      </w:pPr>
      <w:bookmarkStart w:id="5" w:name="_Ref99451231"/>
      <w:r w:rsidRPr="00645A28">
        <w:t>The MIRAGRODEP model</w:t>
      </w:r>
      <w:bookmarkEnd w:id="5"/>
      <w:r w:rsidRPr="00645A28">
        <w:t xml:space="preserve"> </w:t>
      </w:r>
    </w:p>
    <w:p w14:paraId="5073A127" w14:textId="0FD71487" w:rsidR="00645A28" w:rsidRDefault="00645A28" w:rsidP="00A26C86">
      <w:pPr>
        <w:pStyle w:val="Heading2"/>
        <w:numPr>
          <w:ilvl w:val="0"/>
          <w:numId w:val="35"/>
        </w:numPr>
      </w:pPr>
      <w:r>
        <w:t xml:space="preserve">Traditional </w:t>
      </w:r>
      <w:r w:rsidRPr="00645A28">
        <w:t xml:space="preserve">version </w:t>
      </w:r>
      <w:r w:rsidR="003568C9">
        <w:t>of MIRAGRODEP</w:t>
      </w:r>
    </w:p>
    <w:p w14:paraId="20BAB657" w14:textId="0CB4CDC9" w:rsidR="0018376E" w:rsidRDefault="0018376E" w:rsidP="0018376E">
      <w:pPr>
        <w:pStyle w:val="Heading3"/>
        <w:numPr>
          <w:ilvl w:val="0"/>
          <w:numId w:val="44"/>
        </w:numPr>
      </w:pPr>
      <w:r>
        <w:t>Main features</w:t>
      </w:r>
    </w:p>
    <w:p w14:paraId="1CEEF50A" w14:textId="3186F03A" w:rsidR="001669EE" w:rsidRPr="00CB7EA3" w:rsidRDefault="001669EE" w:rsidP="0018376E">
      <w:r w:rsidRPr="00CB7EA3">
        <w:t>The study is based on the MIRAGRODEP model</w:t>
      </w:r>
      <w:r w:rsidR="008203FC" w:rsidRPr="00CB7EA3">
        <w:t>. I</w:t>
      </w:r>
      <w:r w:rsidRPr="00CB7EA3">
        <w:t xml:space="preserve">t is a </w:t>
      </w:r>
      <w:r w:rsidR="00343FA0" w:rsidRPr="00CB7EA3">
        <w:t xml:space="preserve">multi-region, multi-sectoral model recursive dynamic </w:t>
      </w:r>
      <w:r w:rsidRPr="00CB7EA3">
        <w:t xml:space="preserve">computable general equilibrium (CGE) model, based on the MIRAGE model (Modelling International Relations under Applied General Equilibrium). MIRAGE was developed at CEPII, in Paris </w:t>
      </w:r>
      <w:r w:rsidR="00337F3C" w:rsidRPr="00CB7EA3">
        <w:t>in the early</w:t>
      </w:r>
      <w:r w:rsidRPr="00CB7EA3">
        <w:t xml:space="preserve"> 200</w:t>
      </w:r>
      <w:r w:rsidR="00337F3C" w:rsidRPr="00CB7EA3">
        <w:t>0s</w:t>
      </w:r>
      <w:r w:rsidRPr="00CB7EA3">
        <w:t xml:space="preserve"> to assess the consequences of trade policy reforms. MIRAGRODEP is an improved version of MIRAGE with a government explicitly represented in each country</w:t>
      </w:r>
      <w:r w:rsidR="00343FA0" w:rsidRPr="00CB7EA3">
        <w:t xml:space="preserve">. </w:t>
      </w:r>
      <w:r w:rsidRPr="00CB7EA3">
        <w:t xml:space="preserve"> The main source of data is the GTAP </w:t>
      </w:r>
      <w:proofErr w:type="gramStart"/>
      <w:r w:rsidRPr="00CB7EA3">
        <w:t>database</w:t>
      </w:r>
      <w:proofErr w:type="gramEnd"/>
      <w:r w:rsidRPr="00CB7EA3">
        <w:t xml:space="preserve"> and the version used for this study is GTAP10</w:t>
      </w:r>
      <w:r w:rsidR="007E311C" w:rsidRPr="00CB7EA3">
        <w:t xml:space="preserve">. </w:t>
      </w:r>
      <w:r w:rsidR="00C35C9E" w:rsidRPr="00CB7EA3">
        <w:t xml:space="preserve">The model </w:t>
      </w:r>
      <w:proofErr w:type="gramStart"/>
      <w:r w:rsidR="00C35C9E" w:rsidRPr="00CB7EA3">
        <w:t>use</w:t>
      </w:r>
      <w:proofErr w:type="gramEnd"/>
      <w:r w:rsidR="00C35C9E" w:rsidRPr="00CB7EA3">
        <w:t xml:space="preserve"> an</w:t>
      </w:r>
      <w:r w:rsidRPr="00CB7EA3">
        <w:t xml:space="preserve"> aggregated </w:t>
      </w:r>
      <w:r w:rsidR="00C35C9E" w:rsidRPr="00CB7EA3">
        <w:t>version of</w:t>
      </w:r>
      <w:r w:rsidRPr="00CB7EA3">
        <w:t xml:space="preserve"> 40 sectors and 22 countries/regions (see below).</w:t>
      </w:r>
    </w:p>
    <w:p w14:paraId="163B42A6" w14:textId="3558B2C5" w:rsidR="001669EE" w:rsidRPr="00CB7EA3" w:rsidRDefault="001669EE" w:rsidP="0018376E">
      <w:r w:rsidRPr="00CB7EA3">
        <w:t xml:space="preserve">The protection data come </w:t>
      </w:r>
      <w:r w:rsidR="00A02B65" w:rsidRPr="00CB7EA3">
        <w:t xml:space="preserve">mainly </w:t>
      </w:r>
      <w:r w:rsidRPr="00CB7EA3">
        <w:t xml:space="preserve">from the </w:t>
      </w:r>
      <w:proofErr w:type="spellStart"/>
      <w:r w:rsidRPr="00CB7EA3">
        <w:t>MAcMAP</w:t>
      </w:r>
      <w:proofErr w:type="spellEnd"/>
      <w:r w:rsidRPr="00CB7EA3">
        <w:t xml:space="preserve"> (Market Access Maps) database, but additional sources</w:t>
      </w:r>
      <w:r w:rsidR="00A02B65" w:rsidRPr="00CB7EA3">
        <w:t xml:space="preserve"> have been used</w:t>
      </w:r>
      <w:r w:rsidR="00C963DC" w:rsidRPr="00CB7EA3">
        <w:t xml:space="preserve"> </w:t>
      </w:r>
      <w:r w:rsidRPr="00CB7EA3">
        <w:t xml:space="preserve">to complete the information, such as </w:t>
      </w:r>
      <w:r w:rsidR="00DC6895" w:rsidRPr="00CB7EA3">
        <w:t>those</w:t>
      </w:r>
      <w:r w:rsidRPr="00CB7EA3">
        <w:t xml:space="preserve"> relating to export taxes.</w:t>
      </w:r>
    </w:p>
    <w:p w14:paraId="7A788EC0" w14:textId="4DC5A13F" w:rsidR="001669EE" w:rsidRPr="00CB7EA3" w:rsidRDefault="001669EE" w:rsidP="0018376E">
      <w:r w:rsidRPr="00CB7EA3">
        <w:t xml:space="preserve">On the supply side in each sector, the production function is a Leontief function of value added and intermediate inputs; </w:t>
      </w:r>
      <w:r w:rsidR="003173BC" w:rsidRPr="00CB7EA3">
        <w:t>To produce</w:t>
      </w:r>
      <w:r w:rsidRPr="00CB7EA3">
        <w:t>, a production unit needs x percent of an aggregate of factors of production (</w:t>
      </w:r>
      <w:proofErr w:type="spellStart"/>
      <w:r w:rsidRPr="00CB7EA3">
        <w:t>labour</w:t>
      </w:r>
      <w:proofErr w:type="spellEnd"/>
      <w:r w:rsidRPr="00CB7EA3">
        <w:t xml:space="preserve">, both unskilled and skilled; capital; land and natural resources) and (1 - x) percent of intermediate inputs. </w:t>
      </w:r>
      <w:r w:rsidR="002A22FF" w:rsidRPr="00CB7EA3">
        <w:t>For</w:t>
      </w:r>
      <w:r w:rsidRPr="00CB7EA3">
        <w:t xml:space="preserve"> intermediate inputs</w:t>
      </w:r>
      <w:r w:rsidR="002A22FF" w:rsidRPr="00CB7EA3">
        <w:t xml:space="preserve">, </w:t>
      </w:r>
      <w:r w:rsidRPr="00CB7EA3">
        <w:t>an aggregate function, with constant elasticity of substitution (CES), of all goods</w:t>
      </w:r>
      <w:r w:rsidR="00B77217" w:rsidRPr="00CB7EA3">
        <w:t>, is used</w:t>
      </w:r>
      <w:r w:rsidRPr="00CB7EA3">
        <w:t xml:space="preserve">: there is therefore always substitutability between two intermediate goods, depending on the relative prices of these goods. Value added is a CES function of unskilled </w:t>
      </w:r>
      <w:proofErr w:type="spellStart"/>
      <w:r w:rsidRPr="00CB7EA3">
        <w:t>labour</w:t>
      </w:r>
      <w:proofErr w:type="spellEnd"/>
      <w:r w:rsidRPr="00CB7EA3">
        <w:t xml:space="preserve">, land, natural resources and a composite factor combining skilled labor and capital. This </w:t>
      </w:r>
      <w:r w:rsidR="00B9443E" w:rsidRPr="00CB7EA3">
        <w:t>specification</w:t>
      </w:r>
      <w:r w:rsidRPr="00CB7EA3">
        <w:t xml:space="preserve"> makes it possible to introduce less substitutability between capital and skilled labor than between these two factors and other factors such as unskilled labor. In this version, we assume that all sectors operate in perfect competition, that there are no fixed </w:t>
      </w:r>
      <w:proofErr w:type="gramStart"/>
      <w:r w:rsidRPr="00CB7EA3">
        <w:t>costs</w:t>
      </w:r>
      <w:proofErr w:type="gramEnd"/>
      <w:r w:rsidRPr="00CB7EA3">
        <w:t xml:space="preserve"> and that price is equal to marginal cost.</w:t>
      </w:r>
    </w:p>
    <w:p w14:paraId="7E0961A5" w14:textId="1B3A592D" w:rsidR="001669EE" w:rsidRPr="00CB7EA3" w:rsidRDefault="001669EE" w:rsidP="0018376E">
      <w:r w:rsidRPr="00CB7EA3">
        <w:t xml:space="preserve">The only factor whose supply is fixed over time is natural resources. The supply of capital is variable from year to year in this dynamic version of the model and varies endogenously. Total investment in an </w:t>
      </w:r>
      <w:r w:rsidRPr="00CB7EA3">
        <w:lastRenderedPageBreak/>
        <w:t xml:space="preserve">economy is determined by macroeconomic equilibrium, which links private savings, public savings, investment and </w:t>
      </w:r>
      <w:r w:rsidR="00D237FF" w:rsidRPr="00CB7EA3">
        <w:t xml:space="preserve">the </w:t>
      </w:r>
      <w:r w:rsidRPr="00CB7EA3">
        <w:t xml:space="preserve">current account balance. Investment in a sector depends on the return to capital in that sector, the price of the capital good and the stock of capital in that sector. The growth rates of the labor supply are set exogenously following the evolution of the labor force. The supply of land is </w:t>
      </w:r>
      <w:proofErr w:type="gramStart"/>
      <w:r w:rsidRPr="00CB7EA3">
        <w:t>endogenous, and</w:t>
      </w:r>
      <w:proofErr w:type="gramEnd"/>
      <w:r w:rsidRPr="00CB7EA3">
        <w:t xml:space="preserve"> varies according to the real remuneration of land.</w:t>
      </w:r>
    </w:p>
    <w:p w14:paraId="48F3E78F" w14:textId="6B72C37C" w:rsidR="001669EE" w:rsidRPr="00CB7EA3" w:rsidRDefault="001669EE" w:rsidP="0018376E">
      <w:r w:rsidRPr="00CB7EA3">
        <w:t>Skilled labor is the only factor that is perfectly mobile. Installed capital and natural resources are specific to each sector. The new capital is allocated among the sectors according to an investment function. Unskilled labor is imperfectly mobile between agricultural and non-agricultural sectors, according to a constant elasticity of transformation</w:t>
      </w:r>
      <w:r w:rsidR="004A77EF" w:rsidRPr="00CB7EA3">
        <w:t xml:space="preserve"> function</w:t>
      </w:r>
      <w:r w:rsidRPr="00CB7EA3">
        <w:t xml:space="preserve">. Land is also imperfectly mobile between agricultural sectors. Capital </w:t>
      </w:r>
      <w:proofErr w:type="gramStart"/>
      <w:r w:rsidRPr="00CB7EA3">
        <w:t>in a given</w:t>
      </w:r>
      <w:proofErr w:type="gramEnd"/>
      <w:r w:rsidRPr="00CB7EA3">
        <w:t xml:space="preserve"> region, regardless of its origin (domestic or foreign), is assumed to be obtained by assembling intermediate inputs in a specific combination. The capital good is the same regardless of the sector.</w:t>
      </w:r>
    </w:p>
    <w:p w14:paraId="50073316" w14:textId="79C992CD" w:rsidR="001669EE" w:rsidRPr="00CB7EA3" w:rsidRDefault="001669EE" w:rsidP="0018376E">
      <w:r w:rsidRPr="00CB7EA3">
        <w:t xml:space="preserve">Demand for final consumption is modeled in each region </w:t>
      </w:r>
      <w:r w:rsidR="002A3E06" w:rsidRPr="00CB7EA3">
        <w:t>through</w:t>
      </w:r>
      <w:r w:rsidRPr="00CB7EA3">
        <w:t xml:space="preserve"> a representative agent whose propensity to save is constant. The income from the factors of production </w:t>
      </w:r>
      <w:r w:rsidR="006311FE" w:rsidRPr="00CB7EA3">
        <w:t>provides</w:t>
      </w:r>
      <w:r w:rsidRPr="00CB7EA3">
        <w:t xml:space="preserve"> the income of this representative agent and allows it to finance final consumption. Its preferences </w:t>
      </w:r>
      <w:r w:rsidR="005043E2" w:rsidRPr="00CB7EA3">
        <w:t>over</w:t>
      </w:r>
      <w:r w:rsidRPr="00CB7EA3">
        <w:t xml:space="preserve"> goods are represented by a LES-CES (Linear Expenditure System-Constant Elasticity of Substitution) function, which implies that final consumption has a non-unitary income elasticity. The sectoral </w:t>
      </w:r>
      <w:proofErr w:type="spellStart"/>
      <w:r w:rsidRPr="00CB7EA3">
        <w:t>subutility</w:t>
      </w:r>
      <w:proofErr w:type="spellEnd"/>
      <w:r w:rsidRPr="00CB7EA3">
        <w:t xml:space="preserve"> function used in MIRAGRODEP is a nesting of four CES-</w:t>
      </w:r>
      <w:proofErr w:type="spellStart"/>
      <w:r w:rsidRPr="00CB7EA3">
        <w:t>Armington</w:t>
      </w:r>
      <w:proofErr w:type="spellEnd"/>
      <w:r w:rsidRPr="00CB7EA3">
        <w:t xml:space="preserve"> functions that defines the origin of goods. The </w:t>
      </w:r>
      <w:proofErr w:type="spellStart"/>
      <w:r w:rsidRPr="00CB7EA3">
        <w:t>Armington</w:t>
      </w:r>
      <w:proofErr w:type="spellEnd"/>
      <w:r w:rsidRPr="00CB7EA3">
        <w:t xml:space="preserve"> hypothesis (</w:t>
      </w:r>
      <w:proofErr w:type="spellStart"/>
      <w:r w:rsidRPr="00CB7EA3">
        <w:t>Armington</w:t>
      </w:r>
      <w:proofErr w:type="spellEnd"/>
      <w:r w:rsidRPr="00CB7EA3">
        <w:t xml:space="preserve"> 1969) captures product differentiation, assuming a differentiation of goods by country of origin. It is a robust way to represent bilateral and inter-industry trade flows. In this study, the </w:t>
      </w:r>
      <w:proofErr w:type="spellStart"/>
      <w:r w:rsidRPr="00CB7EA3">
        <w:t>Armington</w:t>
      </w:r>
      <w:proofErr w:type="spellEnd"/>
      <w:r w:rsidRPr="00CB7EA3">
        <w:t xml:space="preserve"> elasticities are taken from the GTAP10 database (GTAP 2017).</w:t>
      </w:r>
    </w:p>
    <w:p w14:paraId="50EE2742" w14:textId="0907CF95" w:rsidR="004C191B" w:rsidRPr="00CB7EA3" w:rsidRDefault="00DA362F" w:rsidP="0018376E">
      <w:pPr>
        <w:pStyle w:val="Heading3"/>
        <w:numPr>
          <w:ilvl w:val="0"/>
          <w:numId w:val="44"/>
        </w:numPr>
      </w:pPr>
      <w:r w:rsidRPr="00CB7EA3">
        <w:t>Key closures</w:t>
      </w:r>
    </w:p>
    <w:p w14:paraId="64E61EB2" w14:textId="7940F812" w:rsidR="00DD05B7" w:rsidRPr="00CB7EA3" w:rsidRDefault="00DD05B7" w:rsidP="0018376E">
      <w:r w:rsidRPr="00CB7EA3">
        <w:t xml:space="preserve">The model includes three important assumptions: </w:t>
      </w:r>
      <w:r w:rsidR="004E5C49" w:rsidRPr="00CB7EA3">
        <w:t xml:space="preserve">the </w:t>
      </w:r>
      <w:r w:rsidRPr="00CB7EA3">
        <w:t xml:space="preserve">external account closure, </w:t>
      </w:r>
      <w:r w:rsidR="004E5C49" w:rsidRPr="00CB7EA3">
        <w:t xml:space="preserve">the </w:t>
      </w:r>
      <w:r w:rsidRPr="00CB7EA3">
        <w:t xml:space="preserve">government account closure, and </w:t>
      </w:r>
      <w:r w:rsidR="004E5C49" w:rsidRPr="00CB7EA3">
        <w:t xml:space="preserve">the </w:t>
      </w:r>
      <w:r w:rsidRPr="00CB7EA3">
        <w:t xml:space="preserve">private account closure. </w:t>
      </w:r>
    </w:p>
    <w:p w14:paraId="6B3475F1" w14:textId="67D698A9" w:rsidR="00DD05B7" w:rsidRPr="00CB7EA3" w:rsidRDefault="00DD05B7" w:rsidP="0018376E">
      <w:r w:rsidRPr="00CB7EA3">
        <w:t>The private account closure hypothesis relates to the savings-investment</w:t>
      </w:r>
      <w:r w:rsidR="00F84CCF" w:rsidRPr="00CB7EA3">
        <w:t xml:space="preserve"> closure</w:t>
      </w:r>
      <w:r w:rsidRPr="00CB7EA3">
        <w:t>. The MIRAGRODEP model is neoclassical, which means that the marginal propensity to save is constant, so that the change in income leads to a change in saving, which leads to a change in investment.</w:t>
      </w:r>
    </w:p>
    <w:p w14:paraId="569D923D" w14:textId="77777777" w:rsidR="00DD05B7" w:rsidRPr="00CB7EA3" w:rsidRDefault="00DD05B7" w:rsidP="0018376E">
      <w:r w:rsidRPr="00CB7EA3">
        <w:t>The closure of the external account concerns the hypothesis on the current account. In the MIRAGRODEP model, the real exchange rate is adjusted such that the current account balance is stable as a percentage of world GDP.</w:t>
      </w:r>
    </w:p>
    <w:p w14:paraId="76001961" w14:textId="544D26A5" w:rsidR="00DD05B7" w:rsidRPr="00CB7EA3" w:rsidRDefault="00DD05B7" w:rsidP="0018376E">
      <w:r w:rsidRPr="00CB7EA3">
        <w:t>The closure of the public account or the general government account concerns the way in which the public balance is affected when taxes and duties are modified by a reform. The choice made here by the modeler is important</w:t>
      </w:r>
      <w:r w:rsidR="00816EDA" w:rsidRPr="00CB7EA3">
        <w:t xml:space="preserve"> and several options are possible</w:t>
      </w:r>
      <w:r w:rsidRPr="00CB7EA3">
        <w:t xml:space="preserve">. </w:t>
      </w:r>
    </w:p>
    <w:p w14:paraId="7CDA9BAA" w14:textId="5BB730DF" w:rsidR="00DD05B7" w:rsidRDefault="00DD05B7" w:rsidP="0018376E">
      <w:r w:rsidRPr="00CB7EA3">
        <w:t>If the public balance is variable, there may be a crowding-out effect on private investment in the event of an increase in the demand for financing from the public sector. If the public balance is constant because public expenditure adjusts, this can affect the supply of public services and therefore impact the wel</w:t>
      </w:r>
      <w:r w:rsidR="00B7473C" w:rsidRPr="00CB7EA3">
        <w:t>far</w:t>
      </w:r>
      <w:r w:rsidR="00D33720" w:rsidRPr="00CB7EA3">
        <w:t>e</w:t>
      </w:r>
      <w:r w:rsidRPr="00CB7EA3">
        <w:t xml:space="preserve"> of individuals</w:t>
      </w:r>
      <w:r w:rsidR="00D33720" w:rsidRPr="00CB7EA3">
        <w:t>; yet the model does not include</w:t>
      </w:r>
      <w:r w:rsidRPr="00CB7EA3">
        <w:t xml:space="preserve"> the utility function, defined on private consumption, tracing this change. If the public balance is constant and public expenditure per capita is constant, tax compensation is needed for public revenue to be constant. The modeler can then choose a direct tax, which may appear fair, but politically unrealistic, or an indirect tax, which may appear unfair, but politically more realistic.</w:t>
      </w:r>
    </w:p>
    <w:p w14:paraId="6C54258B" w14:textId="5D167046" w:rsidR="009643BD" w:rsidRPr="00CB7EA3" w:rsidRDefault="009643BD" w:rsidP="0018376E">
      <w:r w:rsidRPr="009643BD">
        <w:t xml:space="preserve">In this study, we assume that each government keeps the public balance constant: after a shock that </w:t>
      </w:r>
      <w:r w:rsidR="00EB41AD">
        <w:t>modifies</w:t>
      </w:r>
      <w:r w:rsidRPr="009643BD">
        <w:t xml:space="preserve"> customs duties, a variation in the consumption tax (increase or decrease) is established in order to keep real public expenditure per capita constant, the public budget balance being constant as a percentage of GDP. With this assumption, the level of public services in each country is constant and there is no variation in the public budget balance and therefore no associated crowding out effect on private investment.</w:t>
      </w:r>
    </w:p>
    <w:p w14:paraId="493B2BB3" w14:textId="7C6938D8" w:rsidR="001418B4" w:rsidRPr="00035E89" w:rsidRDefault="00DD05B7" w:rsidP="0018376E">
      <w:r w:rsidRPr="00035E89">
        <w:lastRenderedPageBreak/>
        <w:t xml:space="preserve">A flat per capita tax could have been chosen to achieve this adjustment: such a tax is efficient in the sense that it does not interfere with market mechanisms. In addition, it is useful for measuring an imperfection associated with the reform: the magnitude of the flat tax measures the cost or gain imposed on </w:t>
      </w:r>
      <w:proofErr w:type="gramStart"/>
      <w:r w:rsidRPr="00035E89">
        <w:t>each individual</w:t>
      </w:r>
      <w:proofErr w:type="gramEnd"/>
      <w:r w:rsidRPr="00035E89">
        <w:t xml:space="preserve"> to maintain constant real public expenditure per capita, and therefore the constant supply of </w:t>
      </w:r>
      <w:r w:rsidR="004715D6" w:rsidRPr="00035E89">
        <w:t xml:space="preserve">public </w:t>
      </w:r>
      <w:r w:rsidRPr="00035E89">
        <w:t xml:space="preserve">goods. </w:t>
      </w:r>
      <w:proofErr w:type="gramStart"/>
      <w:r w:rsidRPr="00035E89">
        <w:t>Nevertheless</w:t>
      </w:r>
      <w:proofErr w:type="gramEnd"/>
      <w:r w:rsidRPr="00035E89">
        <w:t xml:space="preserve"> it is politically unrealistic, while a consumption tax is unfair but </w:t>
      </w:r>
      <w:r w:rsidR="009D2449" w:rsidRPr="00035E89">
        <w:t xml:space="preserve">more </w:t>
      </w:r>
      <w:r w:rsidRPr="00035E89">
        <w:t>politically realistic.</w:t>
      </w:r>
    </w:p>
    <w:p w14:paraId="1EB5BF95" w14:textId="0BB33537" w:rsidR="00645A28" w:rsidRDefault="00645A28" w:rsidP="003568C9">
      <w:pPr>
        <w:pStyle w:val="Heading2"/>
      </w:pPr>
      <w:r>
        <w:t xml:space="preserve">MIRAGRODEP </w:t>
      </w:r>
      <w:r w:rsidRPr="00645A28">
        <w:t>with ICBT</w:t>
      </w:r>
    </w:p>
    <w:p w14:paraId="490A5B80" w14:textId="77777777" w:rsidR="00110CDF" w:rsidRDefault="00110CDF" w:rsidP="0018376E"/>
    <w:p w14:paraId="750D274A" w14:textId="1B488A41" w:rsidR="0018376E" w:rsidRDefault="00110CDF" w:rsidP="0018376E">
      <w:r>
        <w:t>[To be developed]</w:t>
      </w:r>
    </w:p>
    <w:p w14:paraId="0B9B342B" w14:textId="77777777" w:rsidR="00110CDF" w:rsidRPr="0018376E" w:rsidRDefault="00110CDF" w:rsidP="0018376E"/>
    <w:p w14:paraId="395FEAA5" w14:textId="3599603B" w:rsidR="00645A28" w:rsidRPr="0018376E" w:rsidRDefault="00645A28" w:rsidP="0018376E">
      <w:pPr>
        <w:pStyle w:val="Heading2"/>
      </w:pPr>
      <w:r w:rsidRPr="0018376E">
        <w:t>Databases on informal trade</w:t>
      </w:r>
    </w:p>
    <w:p w14:paraId="580D9877" w14:textId="14A93773" w:rsidR="00734F6F" w:rsidRPr="00896170" w:rsidRDefault="00896170" w:rsidP="00896170">
      <w:r w:rsidRPr="00CE13BB">
        <w:t xml:space="preserve">For this study we focus on the west Africa region </w:t>
      </w:r>
      <w:r w:rsidR="00E45171" w:rsidRPr="00CE13BB">
        <w:t xml:space="preserve">and our main source of data is ECO-ICBT. </w:t>
      </w:r>
      <w:r w:rsidR="003406C9" w:rsidRPr="00CE13BB">
        <w:t>It is a unique</w:t>
      </w:r>
      <w:r w:rsidR="00826DEB" w:rsidRPr="00CE13BB">
        <w:t xml:space="preserve"> database</w:t>
      </w:r>
      <w:r w:rsidR="003406C9" w:rsidRPr="00CE13BB">
        <w:t xml:space="preserve"> on cross border trade in West </w:t>
      </w:r>
      <w:proofErr w:type="spellStart"/>
      <w:r w:rsidR="003406C9" w:rsidRPr="00CE13BB">
        <w:t>frica</w:t>
      </w:r>
      <w:proofErr w:type="spellEnd"/>
      <w:r w:rsidR="003406C9" w:rsidRPr="00CE13BB">
        <w:t xml:space="preserve"> </w:t>
      </w:r>
      <w:r w:rsidR="00C37414" w:rsidRPr="00CE13BB">
        <w:t xml:space="preserve">(ECOWAS countries </w:t>
      </w:r>
      <w:r w:rsidR="00750405" w:rsidRPr="00CE13BB">
        <w:t xml:space="preserve">and partly in Chad and Mauritania). </w:t>
      </w:r>
      <w:r w:rsidR="005F4499" w:rsidRPr="00CE13BB">
        <w:t>The</w:t>
      </w:r>
      <w:r w:rsidR="00C146E8" w:rsidRPr="00CE13BB">
        <w:t xml:space="preserve">re are </w:t>
      </w:r>
      <w:proofErr w:type="spellStart"/>
      <w:r w:rsidR="00C146E8" w:rsidRPr="00CE13BB">
        <w:t>theoreticaly</w:t>
      </w:r>
      <w:proofErr w:type="spellEnd"/>
      <w:r w:rsidR="00C146E8" w:rsidRPr="00CE13BB">
        <w:t xml:space="preserve"> 67 products (at the HS6 level) monitored by ECO-ICBT</w:t>
      </w:r>
      <w:r w:rsidR="00041666" w:rsidRPr="00CE13BB">
        <w:t xml:space="preserve">. </w:t>
      </w:r>
      <w:proofErr w:type="gramStart"/>
      <w:r w:rsidR="00041666" w:rsidRPr="00CE13BB">
        <w:t>However</w:t>
      </w:r>
      <w:proofErr w:type="gramEnd"/>
      <w:r w:rsidR="00041666" w:rsidRPr="00CE13BB">
        <w:t xml:space="preserve"> as we show later on, not all of these products appear in the database. </w:t>
      </w:r>
      <w:r w:rsidR="00BC3029" w:rsidRPr="00CE13BB">
        <w:t>With initial funding from the United States Agency for International Development (USAID), and now the International Fund for Agricultural Development (IFAD), through FARM-TRAC, and under the leadership of CILSS (</w:t>
      </w:r>
      <w:proofErr w:type="spellStart"/>
      <w:r w:rsidR="00BC3029" w:rsidRPr="00CE13BB">
        <w:t>Comité</w:t>
      </w:r>
      <w:proofErr w:type="spellEnd"/>
      <w:r w:rsidR="00BC3029" w:rsidRPr="00CE13BB">
        <w:t xml:space="preserve"> Inter-</w:t>
      </w:r>
      <w:proofErr w:type="spellStart"/>
      <w:r w:rsidR="00BC3029" w:rsidRPr="00CE13BB">
        <w:t>Etats</w:t>
      </w:r>
      <w:proofErr w:type="spellEnd"/>
      <w:r w:rsidR="00BC3029" w:rsidRPr="00CE13BB">
        <w:t xml:space="preserve"> de </w:t>
      </w:r>
      <w:proofErr w:type="spellStart"/>
      <w:r w:rsidR="00BC3029" w:rsidRPr="00CE13BB">
        <w:t>lutte</w:t>
      </w:r>
      <w:proofErr w:type="spellEnd"/>
      <w:r w:rsidR="00BC3029" w:rsidRPr="00CE13BB">
        <w:t xml:space="preserve"> </w:t>
      </w:r>
      <w:proofErr w:type="spellStart"/>
      <w:r w:rsidR="00BC3029" w:rsidRPr="00CE13BB">
        <w:t>contre</w:t>
      </w:r>
      <w:proofErr w:type="spellEnd"/>
      <w:r w:rsidR="00BC3029" w:rsidRPr="00CE13BB">
        <w:t xml:space="preserve"> la </w:t>
      </w:r>
      <w:proofErr w:type="spellStart"/>
      <w:r w:rsidR="00BC3029" w:rsidRPr="00CE13BB">
        <w:t>sécheresse</w:t>
      </w:r>
      <w:proofErr w:type="spellEnd"/>
      <w:r w:rsidR="00BC3029" w:rsidRPr="00CE13BB">
        <w:t xml:space="preserve"> au Sahel), the data on agricultural and food trade in marketplaces </w:t>
      </w:r>
      <w:r w:rsidR="00707DFF" w:rsidRPr="00CE13BB">
        <w:t xml:space="preserve">is </w:t>
      </w:r>
      <w:r w:rsidR="008165AF" w:rsidRPr="00CE13BB">
        <w:t xml:space="preserve">collected </w:t>
      </w:r>
      <w:r w:rsidR="00BC3029" w:rsidRPr="00CE13BB">
        <w:t>along all trade corridors in the Sahel and West Africa</w:t>
      </w:r>
      <w:r w:rsidR="008165AF" w:rsidRPr="00CE13BB">
        <w:t xml:space="preserve"> </w:t>
      </w:r>
      <w:r w:rsidR="00BC3029" w:rsidRPr="00CE13BB">
        <w:t xml:space="preserve">by the West African Trade Association for Cross-Border Trade in </w:t>
      </w:r>
      <w:proofErr w:type="spellStart"/>
      <w:r w:rsidR="00BC3029" w:rsidRPr="00CE13BB">
        <w:t>Agro</w:t>
      </w:r>
      <w:proofErr w:type="spellEnd"/>
      <w:r w:rsidR="00BC3029" w:rsidRPr="00CE13BB">
        <w:t xml:space="preserve">-Forestry Pastoral and Fisheries Products (WACTAF), in collaboration with </w:t>
      </w:r>
      <w:r w:rsidR="00CE13BB" w:rsidRPr="00CE13BB">
        <w:t>43</w:t>
      </w:r>
      <w:r w:rsidR="00BC3029" w:rsidRPr="00CE13BB">
        <w:t xml:space="preserve"> region’s private organizations. </w:t>
      </w:r>
    </w:p>
    <w:p w14:paraId="689797DE" w14:textId="3AC0EA1B" w:rsidR="004A7154" w:rsidRDefault="004A7154" w:rsidP="003568C9">
      <w:pPr>
        <w:pStyle w:val="Heading2"/>
        <w:rPr>
          <w:lang w:val="fr-FR"/>
        </w:rPr>
      </w:pPr>
      <w:r>
        <w:rPr>
          <w:lang w:val="fr-FR"/>
        </w:rPr>
        <w:t>Scenario</w:t>
      </w:r>
    </w:p>
    <w:p w14:paraId="15E1D18C" w14:textId="625EC2D8" w:rsidR="0018376E" w:rsidRDefault="0018376E" w:rsidP="0018376E">
      <w:pPr>
        <w:rPr>
          <w:lang w:val="fr-FR"/>
        </w:rPr>
      </w:pPr>
    </w:p>
    <w:p w14:paraId="24A0D965" w14:textId="77777777" w:rsidR="00110CDF" w:rsidRDefault="00110CDF" w:rsidP="00110CDF">
      <w:r>
        <w:t>[To be developed]</w:t>
      </w:r>
    </w:p>
    <w:p w14:paraId="6865CE1B" w14:textId="77777777" w:rsidR="00110CDF" w:rsidRPr="0018376E" w:rsidRDefault="00110CDF" w:rsidP="0018376E">
      <w:pPr>
        <w:rPr>
          <w:lang w:val="fr-FR"/>
        </w:rPr>
      </w:pPr>
    </w:p>
    <w:p w14:paraId="2FB993E9" w14:textId="36E6A9F6" w:rsidR="00645A28" w:rsidRPr="00645A28" w:rsidRDefault="004A7154" w:rsidP="003568C9">
      <w:pPr>
        <w:pStyle w:val="Heading1"/>
      </w:pPr>
      <w:bookmarkStart w:id="6" w:name="_Ref99451239"/>
      <w:r>
        <w:t>R</w:t>
      </w:r>
      <w:r w:rsidR="00645A28" w:rsidRPr="00645A28">
        <w:t>esults</w:t>
      </w:r>
      <w:bookmarkEnd w:id="6"/>
    </w:p>
    <w:p w14:paraId="7D6C0E8F" w14:textId="4DD67D04" w:rsidR="00645A28" w:rsidRDefault="00645A28" w:rsidP="003568C9">
      <w:pPr>
        <w:pStyle w:val="Heading2"/>
        <w:numPr>
          <w:ilvl w:val="0"/>
          <w:numId w:val="15"/>
        </w:numPr>
      </w:pPr>
      <w:r w:rsidRPr="0071013E">
        <w:t xml:space="preserve">Comparison </w:t>
      </w:r>
      <w:r w:rsidR="0071013E" w:rsidRPr="0071013E">
        <w:t xml:space="preserve">of macroeconomic results </w:t>
      </w:r>
      <w:r w:rsidRPr="0071013E">
        <w:t>with and without ICBT</w:t>
      </w:r>
    </w:p>
    <w:p w14:paraId="0B17E404" w14:textId="77777777" w:rsidR="007618FF" w:rsidRDefault="007618FF" w:rsidP="00110CDF"/>
    <w:p w14:paraId="49C0CDA2" w14:textId="35EE1E94" w:rsidR="00110CDF" w:rsidRDefault="00110CDF" w:rsidP="00110CDF">
      <w:r>
        <w:t>[To be developed]</w:t>
      </w:r>
    </w:p>
    <w:p w14:paraId="5886DF42" w14:textId="77777777" w:rsidR="007618FF" w:rsidRDefault="007618FF" w:rsidP="00110CDF"/>
    <w:p w14:paraId="3886D6F9" w14:textId="55277017" w:rsidR="0071013E" w:rsidRPr="0071013E" w:rsidRDefault="0071013E" w:rsidP="003568C9">
      <w:pPr>
        <w:pStyle w:val="Heading2"/>
        <w:numPr>
          <w:ilvl w:val="0"/>
          <w:numId w:val="15"/>
        </w:numPr>
      </w:pPr>
      <w:r w:rsidRPr="0071013E">
        <w:t xml:space="preserve">Comparison of </w:t>
      </w:r>
      <w:r>
        <w:t>sectoral</w:t>
      </w:r>
      <w:r w:rsidRPr="0071013E">
        <w:t xml:space="preserve"> results with and without ICBT</w:t>
      </w:r>
    </w:p>
    <w:p w14:paraId="60799891" w14:textId="77777777" w:rsidR="007618FF" w:rsidRDefault="007618FF" w:rsidP="00110CDF">
      <w:bookmarkStart w:id="7" w:name="_Ref99451249"/>
    </w:p>
    <w:p w14:paraId="049DA6CF" w14:textId="33DEDDAD" w:rsidR="00110CDF" w:rsidRDefault="00110CDF" w:rsidP="00110CDF">
      <w:r>
        <w:t>[To be developed]</w:t>
      </w:r>
    </w:p>
    <w:p w14:paraId="07EAF803" w14:textId="77777777" w:rsidR="007618FF" w:rsidRDefault="007618FF" w:rsidP="00110CDF"/>
    <w:p w14:paraId="357777A4" w14:textId="411570BB" w:rsidR="00645A28" w:rsidRDefault="00645A28" w:rsidP="003568C9">
      <w:pPr>
        <w:pStyle w:val="Heading1"/>
      </w:pPr>
      <w:r w:rsidRPr="00645A28">
        <w:t>Conclusion</w:t>
      </w:r>
      <w:bookmarkEnd w:id="7"/>
    </w:p>
    <w:p w14:paraId="6E929DB5" w14:textId="646E43C7" w:rsidR="003568C9" w:rsidRDefault="003568C9" w:rsidP="003568C9">
      <w:pPr>
        <w:pStyle w:val="Heading2"/>
        <w:numPr>
          <w:ilvl w:val="0"/>
          <w:numId w:val="19"/>
        </w:numPr>
      </w:pPr>
      <w:r>
        <w:t>Summary of the chapter</w:t>
      </w:r>
    </w:p>
    <w:p w14:paraId="4A0214C8" w14:textId="77777777" w:rsidR="007618FF" w:rsidRDefault="007618FF" w:rsidP="00110CDF"/>
    <w:p w14:paraId="2F14F658" w14:textId="4CE42482" w:rsidR="00110CDF" w:rsidRDefault="00110CDF" w:rsidP="00110CDF">
      <w:r>
        <w:t>[To be developed]</w:t>
      </w:r>
    </w:p>
    <w:p w14:paraId="67595F9F" w14:textId="77777777" w:rsidR="007618FF" w:rsidRDefault="007618FF" w:rsidP="00110CDF"/>
    <w:p w14:paraId="752B1809" w14:textId="37C88A19" w:rsidR="003568C9" w:rsidRDefault="003568C9" w:rsidP="003568C9">
      <w:pPr>
        <w:pStyle w:val="Heading2"/>
        <w:numPr>
          <w:ilvl w:val="0"/>
          <w:numId w:val="15"/>
        </w:numPr>
      </w:pPr>
      <w:r>
        <w:t>Policy recommendations concerning the AfCFTA, concerning informal trade</w:t>
      </w:r>
    </w:p>
    <w:p w14:paraId="6FA079FF" w14:textId="77777777" w:rsidR="007618FF" w:rsidRDefault="007618FF" w:rsidP="00110CDF"/>
    <w:p w14:paraId="523B48B6" w14:textId="6AB65324" w:rsidR="00110CDF" w:rsidRDefault="00110CDF" w:rsidP="00110CDF">
      <w:r>
        <w:t>[To be developed]</w:t>
      </w:r>
    </w:p>
    <w:p w14:paraId="2366ABCA" w14:textId="34D91B88" w:rsidR="00C12DE2" w:rsidRDefault="00C12DE2" w:rsidP="00C12DE2"/>
    <w:p w14:paraId="4F83F940" w14:textId="5C966226" w:rsidR="00C12DE2" w:rsidRDefault="00C12DE2" w:rsidP="00C12DE2">
      <w:pPr>
        <w:pStyle w:val="Heading1"/>
      </w:pPr>
      <w:r>
        <w:lastRenderedPageBreak/>
        <w:t>References</w:t>
      </w:r>
    </w:p>
    <w:p w14:paraId="14127553" w14:textId="35EB33CF" w:rsidR="006F4546" w:rsidRDefault="006F4546" w:rsidP="0018376E">
      <w:pPr>
        <w:pStyle w:val="Reference"/>
      </w:pPr>
      <w:proofErr w:type="spellStart"/>
      <w:r>
        <w:t>Abrego</w:t>
      </w:r>
      <w:proofErr w:type="spellEnd"/>
      <w:r>
        <w:t xml:space="preserve">, M. L., Amado, M. A., </w:t>
      </w:r>
      <w:proofErr w:type="spellStart"/>
      <w:r>
        <w:t>Gursoy</w:t>
      </w:r>
      <w:proofErr w:type="spellEnd"/>
      <w:r>
        <w:t>, T., Nicholls, G. P., &amp; Perez-</w:t>
      </w:r>
      <w:proofErr w:type="spellStart"/>
      <w:r>
        <w:t>Saiz</w:t>
      </w:r>
      <w:proofErr w:type="spellEnd"/>
      <w:r>
        <w:t>, H. (2019). </w:t>
      </w:r>
      <w:r>
        <w:rPr>
          <w:i/>
          <w:iCs/>
        </w:rPr>
        <w:t xml:space="preserve">The African Continental Free Trade Agreement: welfare gains </w:t>
      </w:r>
      <w:proofErr w:type="gramStart"/>
      <w:r>
        <w:rPr>
          <w:i/>
          <w:iCs/>
        </w:rPr>
        <w:t>estimates</w:t>
      </w:r>
      <w:proofErr w:type="gramEnd"/>
      <w:r>
        <w:rPr>
          <w:i/>
          <w:iCs/>
        </w:rPr>
        <w:t xml:space="preserve"> from a general equilibrium model</w:t>
      </w:r>
      <w:r>
        <w:t>. International Monetary Fund.</w:t>
      </w:r>
    </w:p>
    <w:p w14:paraId="72AD181F" w14:textId="1B2F49CB" w:rsidR="00996AAC" w:rsidRDefault="00996AAC" w:rsidP="0018376E">
      <w:pPr>
        <w:pStyle w:val="Reference"/>
        <w:rPr>
          <w:rFonts w:eastAsiaTheme="minorHAnsi"/>
          <w:kern w:val="0"/>
        </w:rPr>
      </w:pPr>
      <w:r w:rsidRPr="00996AAC">
        <w:rPr>
          <w:rFonts w:eastAsiaTheme="minorHAnsi"/>
          <w:kern w:val="0"/>
        </w:rPr>
        <w:t xml:space="preserve">Afrika, J.-G.K. and </w:t>
      </w:r>
      <w:proofErr w:type="spellStart"/>
      <w:r w:rsidRPr="00996AAC">
        <w:rPr>
          <w:rFonts w:eastAsiaTheme="minorHAnsi"/>
          <w:kern w:val="0"/>
        </w:rPr>
        <w:t>Ajumbo</w:t>
      </w:r>
      <w:proofErr w:type="spellEnd"/>
      <w:r w:rsidRPr="00996AAC">
        <w:rPr>
          <w:rFonts w:eastAsiaTheme="minorHAnsi"/>
          <w:kern w:val="0"/>
        </w:rPr>
        <w:t>, G. 2012. Informal cross-border trade in Africa: Implications and policy recommendations. AfDB Africa Economic Brief, 3(10): 1-13.</w:t>
      </w:r>
    </w:p>
    <w:p w14:paraId="23060428" w14:textId="77777777" w:rsidR="00D34DB6" w:rsidRPr="00734F6F" w:rsidRDefault="00D34DB6" w:rsidP="00D34DB6">
      <w:pPr>
        <w:pStyle w:val="Reference"/>
        <w:rPr>
          <w:rFonts w:eastAsiaTheme="minorHAnsi"/>
          <w:kern w:val="0"/>
        </w:rPr>
      </w:pPr>
      <w:proofErr w:type="spellStart"/>
      <w:r w:rsidRPr="009E66A9">
        <w:rPr>
          <w:rFonts w:eastAsiaTheme="minorHAnsi"/>
          <w:kern w:val="0"/>
        </w:rPr>
        <w:t>Bouët</w:t>
      </w:r>
      <w:proofErr w:type="spellEnd"/>
      <w:r w:rsidRPr="009E66A9">
        <w:rPr>
          <w:rFonts w:eastAsiaTheme="minorHAnsi"/>
          <w:kern w:val="0"/>
        </w:rPr>
        <w:t>, A.,</w:t>
      </w:r>
      <w:r w:rsidRPr="003E2C25">
        <w:rPr>
          <w:rFonts w:eastAsiaTheme="minorHAnsi"/>
          <w:kern w:val="0"/>
        </w:rPr>
        <w:t xml:space="preserve"> Cissé, B., Sy, A., and F. </w:t>
      </w:r>
      <w:proofErr w:type="spellStart"/>
      <w:r w:rsidRPr="003E2C25">
        <w:rPr>
          <w:rFonts w:eastAsiaTheme="minorHAnsi"/>
          <w:kern w:val="0"/>
        </w:rPr>
        <w:t>Traoré</w:t>
      </w:r>
      <w:proofErr w:type="spellEnd"/>
      <w:r w:rsidRPr="003E2C25">
        <w:rPr>
          <w:rFonts w:eastAsiaTheme="minorHAnsi"/>
          <w:kern w:val="0"/>
        </w:rPr>
        <w:t>, 2021, Red tape and corruption along ECOWAS trade corridors, FARM-TRAC Discussion Paper, June.</w:t>
      </w:r>
    </w:p>
    <w:p w14:paraId="27F03E5C" w14:textId="1B539079" w:rsidR="00D34DB6" w:rsidRDefault="00D34DB6" w:rsidP="00D34DB6">
      <w:pPr>
        <w:pStyle w:val="Reference"/>
      </w:pPr>
      <w:proofErr w:type="spellStart"/>
      <w:r w:rsidRPr="009E66A9">
        <w:rPr>
          <w:rFonts w:eastAsiaTheme="minorHAnsi"/>
          <w:kern w:val="0"/>
        </w:rPr>
        <w:t>Bouët</w:t>
      </w:r>
      <w:proofErr w:type="spellEnd"/>
      <w:r w:rsidRPr="009E66A9">
        <w:rPr>
          <w:rFonts w:eastAsiaTheme="minorHAnsi"/>
          <w:kern w:val="0"/>
        </w:rPr>
        <w:t>, A.,</w:t>
      </w:r>
      <w:r w:rsidRPr="003E2C25">
        <w:t xml:space="preserve"> </w:t>
      </w:r>
      <w:r w:rsidRPr="00D64EA1">
        <w:t>Cosnard</w:t>
      </w:r>
      <w:r>
        <w:t>, L.</w:t>
      </w:r>
      <w:proofErr w:type="gramStart"/>
      <w:r>
        <w:t xml:space="preserve">, </w:t>
      </w:r>
      <w:r w:rsidRPr="00D64EA1">
        <w:t xml:space="preserve"> and</w:t>
      </w:r>
      <w:proofErr w:type="gramEnd"/>
      <w:r w:rsidRPr="00D64EA1">
        <w:t xml:space="preserve"> D. Laborde, 2017</w:t>
      </w:r>
      <w:r>
        <w:t>.</w:t>
      </w:r>
      <w:r w:rsidRPr="00D64EA1">
        <w:t xml:space="preserve"> </w:t>
      </w:r>
      <w:r w:rsidRPr="009E66A9">
        <w:rPr>
          <w:rFonts w:eastAsiaTheme="minorHAnsi"/>
          <w:kern w:val="0"/>
        </w:rPr>
        <w:t xml:space="preserve"> </w:t>
      </w:r>
      <w:r w:rsidRPr="00D64EA1">
        <w:t xml:space="preserve">Measuring Trade Integration in Africa, </w:t>
      </w:r>
      <w:r w:rsidRPr="00D64EA1">
        <w:rPr>
          <w:i/>
          <w:iCs/>
        </w:rPr>
        <w:t>Journal of Economic Integration</w:t>
      </w:r>
      <w:r w:rsidRPr="00D64EA1">
        <w:t>, 32(4): 937-977</w:t>
      </w:r>
      <w:r>
        <w:t>.</w:t>
      </w:r>
    </w:p>
    <w:p w14:paraId="6FDA2308" w14:textId="60C79FEA" w:rsidR="009D1974" w:rsidRPr="009D1974" w:rsidRDefault="009D1974" w:rsidP="009D1974">
      <w:pPr>
        <w:pStyle w:val="Reference"/>
        <w:rPr>
          <w:rFonts w:asciiTheme="minorHAnsi" w:hAnsiTheme="minorHAnsi" w:cstheme="minorHAnsi"/>
        </w:rPr>
      </w:pPr>
      <w:proofErr w:type="spellStart"/>
      <w:r w:rsidRPr="009E66A9">
        <w:rPr>
          <w:rFonts w:eastAsiaTheme="minorHAnsi"/>
          <w:kern w:val="0"/>
        </w:rPr>
        <w:t>Bouët</w:t>
      </w:r>
      <w:proofErr w:type="spellEnd"/>
      <w:r w:rsidRPr="009E66A9">
        <w:rPr>
          <w:rFonts w:eastAsiaTheme="minorHAnsi"/>
          <w:kern w:val="0"/>
        </w:rPr>
        <w:t>, A.,</w:t>
      </w:r>
      <w:r w:rsidRPr="003E2C25">
        <w:t xml:space="preserve"> </w:t>
      </w:r>
      <w:r w:rsidRPr="004E099C">
        <w:t xml:space="preserve">and </w:t>
      </w:r>
      <w:r>
        <w:t>L</w:t>
      </w:r>
      <w:r w:rsidRPr="004E099C">
        <w:t>.</w:t>
      </w:r>
      <w:r>
        <w:t>M.</w:t>
      </w:r>
      <w:r w:rsidRPr="004E099C">
        <w:t xml:space="preserve">, </w:t>
      </w:r>
      <w:r>
        <w:t>Sall</w:t>
      </w:r>
      <w:r w:rsidRPr="004E099C">
        <w:t>, 20</w:t>
      </w:r>
      <w:r>
        <w:t>21</w:t>
      </w:r>
      <w:r w:rsidRPr="004E099C">
        <w:t>. Competitivene</w:t>
      </w:r>
      <w:r>
        <w:t xml:space="preserve">ss of African agricultural value chains, </w:t>
      </w:r>
      <w:r w:rsidRPr="009D1974">
        <w:rPr>
          <w:rFonts w:asciiTheme="minorHAnsi" w:hAnsiTheme="minorHAnsi" w:cstheme="minorHAnsi"/>
        </w:rPr>
        <w:t xml:space="preserve">in A. </w:t>
      </w:r>
      <w:proofErr w:type="spellStart"/>
      <w:r w:rsidRPr="009D1974">
        <w:rPr>
          <w:rFonts w:asciiTheme="minorHAnsi" w:hAnsiTheme="minorHAnsi" w:cstheme="minorHAnsi"/>
        </w:rPr>
        <w:t>Bouët</w:t>
      </w:r>
      <w:proofErr w:type="spellEnd"/>
      <w:r w:rsidRPr="009D1974">
        <w:rPr>
          <w:rFonts w:asciiTheme="minorHAnsi" w:hAnsiTheme="minorHAnsi" w:cstheme="minorHAnsi"/>
        </w:rPr>
        <w:t xml:space="preserve">, G. Tadesse and C. Zaki, eds., 2021, </w:t>
      </w:r>
      <w:r w:rsidRPr="009D1974">
        <w:rPr>
          <w:rFonts w:asciiTheme="minorHAnsi" w:hAnsiTheme="minorHAnsi" w:cstheme="minorHAnsi"/>
          <w:i/>
          <w:iCs/>
        </w:rPr>
        <w:t>Africa Agriculture Trade Monitor Report 2021</w:t>
      </w:r>
      <w:r w:rsidRPr="009D1974">
        <w:rPr>
          <w:rFonts w:asciiTheme="minorHAnsi" w:hAnsiTheme="minorHAnsi" w:cstheme="minorHAnsi"/>
        </w:rPr>
        <w:t xml:space="preserve">, Washington, DC: </w:t>
      </w:r>
      <w:proofErr w:type="spellStart"/>
      <w:r>
        <w:rPr>
          <w:rFonts w:asciiTheme="minorHAnsi" w:hAnsiTheme="minorHAnsi" w:cstheme="minorHAnsi"/>
        </w:rPr>
        <w:t>Akademiya</w:t>
      </w:r>
      <w:proofErr w:type="spellEnd"/>
      <w:r>
        <w:rPr>
          <w:rFonts w:asciiTheme="minorHAnsi" w:hAnsiTheme="minorHAnsi" w:cstheme="minorHAnsi"/>
        </w:rPr>
        <w:t xml:space="preserve"> 2063 and </w:t>
      </w:r>
      <w:r w:rsidRPr="009D1974">
        <w:rPr>
          <w:rFonts w:asciiTheme="minorHAnsi" w:hAnsiTheme="minorHAnsi" w:cstheme="minorHAnsi"/>
        </w:rPr>
        <w:t>International Food Policy Research Institute.</w:t>
      </w:r>
    </w:p>
    <w:p w14:paraId="199E2CC2" w14:textId="19E11D70" w:rsidR="009E66A9" w:rsidRDefault="009E66A9" w:rsidP="0018376E">
      <w:pPr>
        <w:pStyle w:val="Reference"/>
        <w:rPr>
          <w:rFonts w:eastAsiaTheme="minorHAnsi"/>
          <w:kern w:val="0"/>
        </w:rPr>
      </w:pPr>
      <w:proofErr w:type="spellStart"/>
      <w:r w:rsidRPr="009E66A9">
        <w:rPr>
          <w:rFonts w:eastAsiaTheme="minorHAnsi"/>
          <w:kern w:val="0"/>
        </w:rPr>
        <w:t>Bouët</w:t>
      </w:r>
      <w:proofErr w:type="spellEnd"/>
      <w:r w:rsidRPr="009E66A9">
        <w:rPr>
          <w:rFonts w:eastAsiaTheme="minorHAnsi"/>
          <w:kern w:val="0"/>
        </w:rPr>
        <w:t>, A., and Roy, D., 2012. Trade protection and tax evasion: Evidence from Kenya, Mauritius, and Nigeria. </w:t>
      </w:r>
      <w:r w:rsidRPr="00734F6F">
        <w:rPr>
          <w:rFonts w:eastAsiaTheme="minorHAnsi"/>
          <w:i/>
          <w:iCs/>
          <w:kern w:val="0"/>
        </w:rPr>
        <w:t>The Journal of International Trade &amp; Economic Development</w:t>
      </w:r>
      <w:r w:rsidRPr="00734F6F">
        <w:rPr>
          <w:rFonts w:eastAsiaTheme="minorHAnsi"/>
          <w:kern w:val="0"/>
        </w:rPr>
        <w:t>, 21(2): 287-320.</w:t>
      </w:r>
    </w:p>
    <w:p w14:paraId="0D316E6A" w14:textId="6E3532CF" w:rsidR="00D52222" w:rsidRPr="00D52222" w:rsidRDefault="00D52222" w:rsidP="0018376E">
      <w:pPr>
        <w:pStyle w:val="Reference"/>
        <w:rPr>
          <w:rFonts w:eastAsiaTheme="minorHAnsi"/>
          <w:kern w:val="0"/>
        </w:rPr>
      </w:pPr>
      <w:r w:rsidRPr="00D52222">
        <w:rPr>
          <w:rFonts w:eastAsiaTheme="minorHAnsi"/>
          <w:kern w:val="0"/>
        </w:rPr>
        <w:t xml:space="preserve">Bhagwati and B. Hansen, 1973. A Theoretical Analysis of Smuggling. </w:t>
      </w:r>
      <w:r w:rsidRPr="00D52222">
        <w:rPr>
          <w:rFonts w:eastAsiaTheme="minorHAnsi"/>
          <w:i/>
          <w:iCs/>
          <w:kern w:val="0"/>
        </w:rPr>
        <w:t>The Quarterly Journal</w:t>
      </w:r>
      <w:r>
        <w:rPr>
          <w:rFonts w:eastAsiaTheme="minorHAnsi"/>
          <w:i/>
          <w:iCs/>
          <w:kern w:val="0"/>
        </w:rPr>
        <w:t xml:space="preserve"> </w:t>
      </w:r>
      <w:r w:rsidRPr="00D52222">
        <w:rPr>
          <w:rFonts w:eastAsiaTheme="minorHAnsi"/>
          <w:i/>
          <w:iCs/>
          <w:kern w:val="0"/>
        </w:rPr>
        <w:t>of</w:t>
      </w:r>
      <w:r>
        <w:rPr>
          <w:rFonts w:eastAsiaTheme="minorHAnsi"/>
          <w:i/>
          <w:iCs/>
          <w:kern w:val="0"/>
        </w:rPr>
        <w:t xml:space="preserve"> </w:t>
      </w:r>
      <w:r w:rsidRPr="00D52222">
        <w:rPr>
          <w:rFonts w:eastAsiaTheme="minorHAnsi"/>
          <w:i/>
          <w:iCs/>
          <w:kern w:val="0"/>
        </w:rPr>
        <w:t>Economics</w:t>
      </w:r>
      <w:r w:rsidRPr="00D52222">
        <w:rPr>
          <w:rFonts w:eastAsiaTheme="minorHAnsi"/>
          <w:kern w:val="0"/>
        </w:rPr>
        <w:t xml:space="preserve">, pages 172-187. </w:t>
      </w:r>
    </w:p>
    <w:p w14:paraId="5D4DB1E3" w14:textId="6B7C699D" w:rsidR="00F062C9" w:rsidRPr="00C215C9" w:rsidRDefault="00F062C9" w:rsidP="0018376E">
      <w:pPr>
        <w:pStyle w:val="Reference"/>
      </w:pPr>
      <w:proofErr w:type="spellStart"/>
      <w:r w:rsidRPr="00F062C9">
        <w:t>Bussolo</w:t>
      </w:r>
      <w:proofErr w:type="spellEnd"/>
      <w:r w:rsidRPr="00F062C9">
        <w:t xml:space="preserve">, Maurizio, De </w:t>
      </w:r>
      <w:proofErr w:type="spellStart"/>
      <w:r w:rsidRPr="00F062C9">
        <w:t>Hoyos</w:t>
      </w:r>
      <w:proofErr w:type="spellEnd"/>
      <w:r w:rsidRPr="00F062C9">
        <w:t xml:space="preserve">, Rafael </w:t>
      </w:r>
      <w:r>
        <w:t xml:space="preserve">and Denis </w:t>
      </w:r>
      <w:r w:rsidRPr="00F062C9">
        <w:t>Med</w:t>
      </w:r>
      <w:r>
        <w:t>vedev</w:t>
      </w:r>
      <w:r w:rsidRPr="00F062C9">
        <w:t>, </w:t>
      </w:r>
      <w:r w:rsidRPr="00F062C9">
        <w:rPr>
          <w:i/>
          <w:iCs/>
        </w:rPr>
        <w:t>et al.</w:t>
      </w:r>
      <w:r w:rsidRPr="00F062C9">
        <w:t> </w:t>
      </w:r>
      <w:r>
        <w:t xml:space="preserve">Economic growth and income distribution: linking macroeconomic models with household survey data at the global level. </w:t>
      </w:r>
      <w:proofErr w:type="gramStart"/>
      <w:r>
        <w:t>In :</w:t>
      </w:r>
      <w:proofErr w:type="gramEnd"/>
      <w:r>
        <w:t> </w:t>
      </w:r>
      <w:r>
        <w:rPr>
          <w:i/>
          <w:iCs/>
        </w:rPr>
        <w:t>International Association for Research in Income and Wealth (IARIW) 30th General Conference, Portoroz, Slovenia, August</w:t>
      </w:r>
      <w:r>
        <w:t xml:space="preserve">. </w:t>
      </w:r>
      <w:r w:rsidRPr="00C215C9">
        <w:t xml:space="preserve">2008. p. 24-30. </w:t>
      </w:r>
    </w:p>
    <w:p w14:paraId="0DAE9089" w14:textId="77777777" w:rsidR="002E4DDA" w:rsidRDefault="002E4DDA" w:rsidP="0018376E">
      <w:pPr>
        <w:pStyle w:val="Reference"/>
      </w:pPr>
      <w:proofErr w:type="spellStart"/>
      <w:r w:rsidRPr="00CE0810">
        <w:t>Costinot</w:t>
      </w:r>
      <w:proofErr w:type="spellEnd"/>
      <w:r w:rsidRPr="00CE0810">
        <w:t xml:space="preserve">, Arnaud, and Andrés Rodríguez-Clare. "Trade theory with numbers: Quantifying the consequences of globalization." </w:t>
      </w:r>
      <w:r w:rsidRPr="002E4DDA">
        <w:t>In </w:t>
      </w:r>
      <w:r w:rsidRPr="002E4DDA">
        <w:rPr>
          <w:i/>
          <w:iCs/>
        </w:rPr>
        <w:t>Handbook of international economics</w:t>
      </w:r>
      <w:r w:rsidRPr="002E4DDA">
        <w:t xml:space="preserve">, vol. 4, pp. 197-261, Elsevier, 2014. </w:t>
      </w:r>
    </w:p>
    <w:p w14:paraId="7EB36921" w14:textId="371DCF82" w:rsidR="004E099C" w:rsidRPr="004E099C" w:rsidRDefault="004E099C" w:rsidP="0018376E">
      <w:pPr>
        <w:pStyle w:val="Reference"/>
      </w:pPr>
      <w:proofErr w:type="spellStart"/>
      <w:r w:rsidRPr="004E099C">
        <w:t>Dedehouanou</w:t>
      </w:r>
      <w:proofErr w:type="spellEnd"/>
      <w:r w:rsidRPr="004E099C">
        <w:t>, S.F.A., Dimaranan, B., and D., Laborde, 2019. Competitivene</w:t>
      </w:r>
      <w:r>
        <w:t xml:space="preserve">ss of African agricultural value chains, in A. </w:t>
      </w:r>
      <w:proofErr w:type="spellStart"/>
      <w:r>
        <w:t>Bouët</w:t>
      </w:r>
      <w:proofErr w:type="spellEnd"/>
      <w:r>
        <w:t xml:space="preserve"> and S. Odjo, 2019, </w:t>
      </w:r>
      <w:r w:rsidR="009D1974" w:rsidRPr="009D1974">
        <w:rPr>
          <w:rFonts w:asciiTheme="minorHAnsi" w:hAnsiTheme="minorHAnsi" w:cstheme="minorHAnsi"/>
          <w:i/>
          <w:iCs/>
        </w:rPr>
        <w:t>Africa Agriculture Trade Monitor Report 20</w:t>
      </w:r>
      <w:r w:rsidR="009D1974">
        <w:rPr>
          <w:rFonts w:asciiTheme="minorHAnsi" w:hAnsiTheme="minorHAnsi" w:cstheme="minorHAnsi"/>
          <w:i/>
          <w:iCs/>
        </w:rPr>
        <w:t>19</w:t>
      </w:r>
      <w:r>
        <w:t>, IFPRI, Washington D.C.</w:t>
      </w:r>
    </w:p>
    <w:p w14:paraId="52AF9173" w14:textId="77777777" w:rsidR="008A0E4C" w:rsidRPr="008A0E4C" w:rsidRDefault="008A0E4C" w:rsidP="008A0E4C">
      <w:r w:rsidRPr="008A0E4C">
        <w:t xml:space="preserve">Fontagné, Lionel, Guimbard, Houssein, et </w:t>
      </w:r>
      <w:proofErr w:type="spellStart"/>
      <w:r w:rsidRPr="008A0E4C">
        <w:t>Orefice</w:t>
      </w:r>
      <w:proofErr w:type="spellEnd"/>
      <w:r w:rsidRPr="008A0E4C">
        <w:t xml:space="preserve">, Gianluca, 2019. Product-level trade elasticities: Worth </w:t>
      </w:r>
      <w:proofErr w:type="spellStart"/>
      <w:r w:rsidRPr="008A0E4C">
        <w:t>weighting</w:t>
      </w:r>
      <w:proofErr w:type="spellEnd"/>
      <w:r w:rsidRPr="008A0E4C">
        <w:t xml:space="preserve"> for. CEPII Working Paper, No 2019-17, August.</w:t>
      </w:r>
    </w:p>
    <w:p w14:paraId="1E1C6CB6" w14:textId="77777777" w:rsidR="00DF1E25" w:rsidRDefault="00DF1E25" w:rsidP="0018376E">
      <w:pPr>
        <w:pStyle w:val="Reference"/>
        <w:rPr>
          <w:lang w:val="fr-FR"/>
        </w:rPr>
      </w:pPr>
      <w:proofErr w:type="spellStart"/>
      <w:r w:rsidRPr="00DF1E25">
        <w:t>Gaarder</w:t>
      </w:r>
      <w:proofErr w:type="spellEnd"/>
      <w:r w:rsidRPr="00DF1E25">
        <w:t>, E., Luke, D., and L. Sommer</w:t>
      </w:r>
      <w:r>
        <w:t xml:space="preserve">, </w:t>
      </w:r>
      <w:r w:rsidRPr="00DF1E25">
        <w:t xml:space="preserve">2021. </w:t>
      </w:r>
      <w:r w:rsidRPr="00DF1E25">
        <w:rPr>
          <w:lang w:val="fr-FR"/>
        </w:rPr>
        <w:t>Vers une estimation préliminaire du commerce transfrontière informel en Afrique,</w:t>
      </w:r>
      <w:r>
        <w:rPr>
          <w:lang w:val="fr-FR"/>
        </w:rPr>
        <w:t xml:space="preserve"> UNECA, </w:t>
      </w:r>
      <w:proofErr w:type="spellStart"/>
      <w:r>
        <w:rPr>
          <w:lang w:val="fr-FR"/>
        </w:rPr>
        <w:t>Addis-Abbaba</w:t>
      </w:r>
      <w:proofErr w:type="spellEnd"/>
      <w:r>
        <w:rPr>
          <w:lang w:val="fr-FR"/>
        </w:rPr>
        <w:t>.</w:t>
      </w:r>
    </w:p>
    <w:p w14:paraId="05380F7E" w14:textId="28068B58" w:rsidR="00C60951" w:rsidRPr="006A17A1" w:rsidRDefault="00C60951" w:rsidP="0018376E">
      <w:pPr>
        <w:pStyle w:val="Reference"/>
      </w:pPr>
      <w:r w:rsidRPr="00C215C9">
        <w:t xml:space="preserve">Jean, S., Laborde, D., and W. Martin. </w:t>
      </w:r>
      <w:r w:rsidRPr="00C60951">
        <w:t xml:space="preserve">"Formulas and flexibility in trade negotiations: Sensitive agricultural products in the World </w:t>
      </w:r>
      <w:r w:rsidRPr="006A17A1">
        <w:t xml:space="preserve">Trade Organization's Doha agenda." </w:t>
      </w:r>
      <w:r w:rsidRPr="006A17A1">
        <w:rPr>
          <w:i/>
          <w:iCs/>
        </w:rPr>
        <w:t>The World Bank Economic Review 24</w:t>
      </w:r>
      <w:r w:rsidRPr="006A17A1">
        <w:t>, no. 3 (2010): 500-</w:t>
      </w:r>
      <w:proofErr w:type="gramStart"/>
      <w:r w:rsidRPr="006A17A1">
        <w:t>519..</w:t>
      </w:r>
      <w:proofErr w:type="gramEnd"/>
    </w:p>
    <w:p w14:paraId="10CE6891" w14:textId="3E7B80D2" w:rsidR="00DA76FB" w:rsidRDefault="00DA76FB" w:rsidP="0018376E">
      <w:pPr>
        <w:pStyle w:val="Reference"/>
      </w:pPr>
      <w:r>
        <w:t xml:space="preserve">Jensen, H. and </w:t>
      </w:r>
      <w:proofErr w:type="spellStart"/>
      <w:r>
        <w:t>Sandrey</w:t>
      </w:r>
      <w:proofErr w:type="spellEnd"/>
      <w:r>
        <w:t>, R. (2015). The Continental Free Trade Area – A GTAP assessment. Stellenbosch, South Africa: Trade Law Centre (</w:t>
      </w:r>
      <w:proofErr w:type="spellStart"/>
      <w:r>
        <w:t>tralac</w:t>
      </w:r>
      <w:proofErr w:type="spellEnd"/>
      <w:r>
        <w:t xml:space="preserve">). </w:t>
      </w:r>
      <w:hyperlink r:id="rId11" w:history="1">
        <w:r w:rsidRPr="008D3E07">
          <w:rPr>
            <w:rStyle w:val="Hyperlink"/>
          </w:rPr>
          <w:t>https://www.tralac.org/publications/article/7287-the-continentalfree-tradearea-a-gtapassessment.html</w:t>
        </w:r>
      </w:hyperlink>
    </w:p>
    <w:p w14:paraId="0ABE17EB" w14:textId="0D29FA4C" w:rsidR="006A17A1" w:rsidRDefault="006A17A1" w:rsidP="0018376E">
      <w:pPr>
        <w:pStyle w:val="Reference"/>
      </w:pPr>
      <w:r w:rsidRPr="006A17A1">
        <w:t xml:space="preserve">Laborde, D., Martin, W. and Van der Mensbrugghe, D., 2017. Measuring the impacts of global trade reform with optimal aggregators of distortions. </w:t>
      </w:r>
      <w:r w:rsidRPr="006A17A1">
        <w:rPr>
          <w:i/>
          <w:iCs/>
        </w:rPr>
        <w:t>Review of International Economics</w:t>
      </w:r>
      <w:r w:rsidRPr="006A17A1">
        <w:t>, 25(2), pp.403-425.</w:t>
      </w:r>
    </w:p>
    <w:p w14:paraId="4DF06933" w14:textId="0FA61F17" w:rsidR="00B10044" w:rsidRDefault="00B10044" w:rsidP="0018376E">
      <w:pPr>
        <w:pStyle w:val="Reference"/>
        <w:rPr>
          <w:rFonts w:eastAsiaTheme="minorHAnsi"/>
          <w:kern w:val="0"/>
        </w:rPr>
      </w:pPr>
      <w:r w:rsidRPr="0047610D">
        <w:rPr>
          <w:rFonts w:eastAsiaTheme="minorHAnsi"/>
          <w:kern w:val="0"/>
        </w:rPr>
        <w:t xml:space="preserve">Lesser, C. and </w:t>
      </w:r>
      <w:proofErr w:type="spellStart"/>
      <w:r w:rsidRPr="0047610D">
        <w:rPr>
          <w:rFonts w:eastAsiaTheme="minorHAnsi"/>
          <w:kern w:val="0"/>
        </w:rPr>
        <w:t>Moisé</w:t>
      </w:r>
      <w:proofErr w:type="spellEnd"/>
      <w:r w:rsidRPr="0047610D">
        <w:rPr>
          <w:rFonts w:eastAsiaTheme="minorHAnsi"/>
          <w:kern w:val="0"/>
        </w:rPr>
        <w:t xml:space="preserve">-Leeman, E. 2009. </w:t>
      </w:r>
      <w:r w:rsidRPr="00B10044">
        <w:rPr>
          <w:rFonts w:eastAsiaTheme="minorHAnsi"/>
          <w:kern w:val="0"/>
        </w:rPr>
        <w:t>Informal cross-border trade and trade facilitation reform in Sub-Saharan Africa. Trade Policy Working Papers No. 86.  Paris: OECD.</w:t>
      </w:r>
    </w:p>
    <w:p w14:paraId="4A6AA8D3" w14:textId="38A1F8BF" w:rsidR="006F20AC" w:rsidRPr="006F20AC" w:rsidRDefault="006F20AC" w:rsidP="0018376E">
      <w:pPr>
        <w:pStyle w:val="Reference"/>
        <w:rPr>
          <w:color w:val="auto"/>
          <w:shd w:val="clear" w:color="auto" w:fill="auto"/>
        </w:rPr>
      </w:pPr>
      <w:r w:rsidRPr="006F20AC">
        <w:rPr>
          <w:color w:val="auto"/>
          <w:shd w:val="clear" w:color="auto" w:fill="auto"/>
        </w:rPr>
        <w:lastRenderedPageBreak/>
        <w:t xml:space="preserve">de Melo J., </w:t>
      </w:r>
      <w:proofErr w:type="spellStart"/>
      <w:r w:rsidRPr="006F20AC">
        <w:rPr>
          <w:color w:val="auto"/>
          <w:shd w:val="clear" w:color="auto" w:fill="auto"/>
        </w:rPr>
        <w:t>Sorgho</w:t>
      </w:r>
      <w:proofErr w:type="spellEnd"/>
      <w:r w:rsidRPr="006F20AC">
        <w:rPr>
          <w:color w:val="auto"/>
          <w:shd w:val="clear" w:color="auto" w:fill="auto"/>
        </w:rPr>
        <w:t xml:space="preserve"> Z., Wagner L. (2021) "Implementing the Trade Facilitation Agreement (TFA): estimates of reduction in time at customs for the United Nations’ vulnerable economies" Ferdi Document de travail P296, </w:t>
      </w:r>
      <w:proofErr w:type="spellStart"/>
      <w:r w:rsidRPr="006F20AC">
        <w:rPr>
          <w:color w:val="auto"/>
          <w:shd w:val="clear" w:color="auto" w:fill="auto"/>
        </w:rPr>
        <w:t>novembre</w:t>
      </w:r>
      <w:proofErr w:type="spellEnd"/>
    </w:p>
    <w:p w14:paraId="149FDE94" w14:textId="5F1E3241" w:rsidR="00DA76FB" w:rsidRDefault="00DA76FB" w:rsidP="0018376E">
      <w:pPr>
        <w:pStyle w:val="Reference"/>
      </w:pPr>
      <w:proofErr w:type="spellStart"/>
      <w:r>
        <w:t>Saygili</w:t>
      </w:r>
      <w:proofErr w:type="spellEnd"/>
      <w:r>
        <w:t xml:space="preserve">, M., Peters, R., and </w:t>
      </w:r>
      <w:proofErr w:type="spellStart"/>
      <w:r>
        <w:t>Knebel</w:t>
      </w:r>
      <w:proofErr w:type="spellEnd"/>
      <w:r>
        <w:t xml:space="preserve"> C. (2018). African Continental Free Trade Area: challenges and opportunities of tariff reduction. UNCTAD Research Paper No. 15. </w:t>
      </w:r>
      <w:hyperlink r:id="rId12" w:history="1">
        <w:r w:rsidRPr="008D3E07">
          <w:rPr>
            <w:rStyle w:val="Hyperlink"/>
          </w:rPr>
          <w:t>https://www.tralac.org/images/docs/12686/african-cfta-challenges-and-opportunities-oftariff-reductions-unctad-february-2018.pdf</w:t>
        </w:r>
      </w:hyperlink>
    </w:p>
    <w:p w14:paraId="1A9CD8A3" w14:textId="74199617" w:rsidR="00D00F3D" w:rsidRDefault="00D00F3D" w:rsidP="0018376E">
      <w:pPr>
        <w:pStyle w:val="Reference"/>
      </w:pPr>
      <w:proofErr w:type="spellStart"/>
      <w:r w:rsidRPr="00A2490F">
        <w:t>Simola</w:t>
      </w:r>
      <w:proofErr w:type="spellEnd"/>
      <w:r w:rsidRPr="00A2490F">
        <w:t xml:space="preserve">, A., Boysen, O., Ferrari, E., </w:t>
      </w:r>
      <w:proofErr w:type="spellStart"/>
      <w:r w:rsidRPr="00A2490F">
        <w:t>Nechifor</w:t>
      </w:r>
      <w:proofErr w:type="spellEnd"/>
      <w:r w:rsidRPr="00A2490F">
        <w:t xml:space="preserve">, V. and Boulanger, P., </w:t>
      </w:r>
      <w:r w:rsidRPr="00A2490F">
        <w:rPr>
          <w:i/>
          <w:iCs/>
        </w:rPr>
        <w:t>Potential effects of the African Continental Free Trade Area (AfCFTA) on African agri-food sectors and food security</w:t>
      </w:r>
      <w:r w:rsidRPr="00A2490F">
        <w:t>, EUR 30804 EN, Publications Office of the European Union, Luxembourg, 2021, ISBN 978-92-76-41024-9, doi:10.2760/531308, JRC126054.</w:t>
      </w:r>
    </w:p>
    <w:p w14:paraId="5FF16E16" w14:textId="50631C0D" w:rsidR="00913CFC" w:rsidRDefault="00913CFC" w:rsidP="0018376E">
      <w:pPr>
        <w:pStyle w:val="Reference"/>
      </w:pPr>
      <w:r>
        <w:t>United Nations Economic Commission for Africa (UNECA)</w:t>
      </w:r>
      <w:r w:rsidR="0035512B">
        <w:t>.</w:t>
      </w:r>
      <w:r>
        <w:t xml:space="preserve"> (</w:t>
      </w:r>
      <w:r w:rsidR="0035512B">
        <w:t xml:space="preserve">2021), </w:t>
      </w:r>
      <w:r w:rsidR="00E27E48" w:rsidRPr="00E27E48">
        <w:t xml:space="preserve">Takeaways from the expected impact of </w:t>
      </w:r>
      <w:proofErr w:type="spellStart"/>
      <w:r w:rsidR="00E27E48" w:rsidRPr="00E27E48">
        <w:t>AfCFTA's</w:t>
      </w:r>
      <w:proofErr w:type="spellEnd"/>
      <w:r w:rsidR="00E27E48" w:rsidRPr="00E27E48">
        <w:t xml:space="preserve"> implementation</w:t>
      </w:r>
      <w:r w:rsidR="00E27E48">
        <w:t xml:space="preserve">, </w:t>
      </w:r>
      <w:r w:rsidR="008D4DDB">
        <w:t>Addis-Ababa</w:t>
      </w:r>
      <w:r w:rsidR="00917966">
        <w:t>:</w:t>
      </w:r>
      <w:r w:rsidR="008E7622">
        <w:t xml:space="preserve"> African Trade Policy Centre. </w:t>
      </w:r>
    </w:p>
    <w:p w14:paraId="5CCF6D61" w14:textId="4529468F" w:rsidR="00697DAC" w:rsidRPr="00C55208" w:rsidRDefault="00514106" w:rsidP="0018376E">
      <w:pPr>
        <w:pStyle w:val="Reference"/>
        <w:rPr>
          <w:rFonts w:asciiTheme="majorBidi" w:hAnsiTheme="majorBidi"/>
          <w:sz w:val="32"/>
          <w:szCs w:val="32"/>
          <w:lang w:val="en-GB"/>
        </w:rPr>
      </w:pPr>
      <w:r>
        <w:t>United Nations Economic Commission for Africa (UNECA). (2018),</w:t>
      </w:r>
      <w:r w:rsidR="00697DAC">
        <w:t xml:space="preserve"> </w:t>
      </w:r>
      <w:r w:rsidR="00697DAC" w:rsidRPr="00697DAC">
        <w:t>A technical assessment of the African Continental Free Trade Area modalities on goods</w:t>
      </w:r>
      <w:r w:rsidR="006948AB">
        <w:t xml:space="preserve">, </w:t>
      </w:r>
      <w:r w:rsidR="00DC31A9">
        <w:t>Addis Ababa</w:t>
      </w:r>
      <w:r w:rsidR="00917966">
        <w:t>:</w:t>
      </w:r>
      <w:r w:rsidR="00917966" w:rsidRPr="00917966">
        <w:t xml:space="preserve"> </w:t>
      </w:r>
      <w:r w:rsidR="00917966">
        <w:t>UNECA.</w:t>
      </w:r>
      <w:r w:rsidR="00DC31A9">
        <w:t xml:space="preserve"> </w:t>
      </w:r>
    </w:p>
    <w:p w14:paraId="5865C6A4" w14:textId="5CF947B7" w:rsidR="000A30A9" w:rsidRPr="004638EF" w:rsidRDefault="000A30A9" w:rsidP="0018376E">
      <w:pPr>
        <w:pStyle w:val="Reference"/>
      </w:pPr>
      <w:r w:rsidRPr="004638EF">
        <w:rPr>
          <w:rFonts w:eastAsia="MinionPro-Regular"/>
        </w:rPr>
        <w:t xml:space="preserve">World Bank. </w:t>
      </w:r>
      <w:r w:rsidR="004638EF">
        <w:rPr>
          <w:rFonts w:eastAsia="MinionPro-Regular"/>
        </w:rPr>
        <w:t xml:space="preserve">(2020). </w:t>
      </w:r>
      <w:r w:rsidRPr="004638EF">
        <w:rPr>
          <w:rFonts w:eastAsia="MinionPro-It"/>
          <w:i/>
          <w:iCs/>
        </w:rPr>
        <w:t xml:space="preserve">The African Continental Free Trade Area: Economic and Distributional Effects. </w:t>
      </w:r>
      <w:r w:rsidRPr="004638EF">
        <w:rPr>
          <w:rFonts w:eastAsia="MinionPro-Regular"/>
        </w:rPr>
        <w:t>Washington, DC: World Bank. doi:10.1596/978-1-4648-1559-1.</w:t>
      </w:r>
    </w:p>
    <w:p w14:paraId="0801FE43" w14:textId="77777777" w:rsidR="00C12DE2" w:rsidRPr="00C12DE2" w:rsidRDefault="00C12DE2" w:rsidP="0018376E">
      <w:pPr>
        <w:pStyle w:val="Reference"/>
      </w:pPr>
    </w:p>
    <w:p w14:paraId="0F9E3F81" w14:textId="77777777" w:rsidR="00E9740F" w:rsidRPr="00645A28" w:rsidRDefault="00E9740F" w:rsidP="0018376E">
      <w:pPr>
        <w:pStyle w:val="Reference"/>
      </w:pPr>
    </w:p>
    <w:sectPr w:rsidR="00E9740F" w:rsidRPr="00645A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AD79B" w14:textId="77777777" w:rsidR="003425BA" w:rsidRDefault="003425BA" w:rsidP="003A0897">
      <w:r>
        <w:separator/>
      </w:r>
    </w:p>
  </w:endnote>
  <w:endnote w:type="continuationSeparator" w:id="0">
    <w:p w14:paraId="714F30EA" w14:textId="77777777" w:rsidR="003425BA" w:rsidRDefault="003425BA" w:rsidP="003A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Roboto Light">
    <w:charset w:val="00"/>
    <w:family w:val="auto"/>
    <w:pitch w:val="variable"/>
    <w:sig w:usb0="E00002FF" w:usb1="5000205B" w:usb2="00000020" w:usb3="00000000" w:csb0="0000019F" w:csb1="00000000"/>
  </w:font>
  <w:font w:name="Garamond">
    <w:panose1 w:val="02020404030301010803"/>
    <w:charset w:val="00"/>
    <w:family w:val="roman"/>
    <w:pitch w:val="variable"/>
    <w:sig w:usb0="00000287" w:usb1="00000000" w:usb2="00000000" w:usb3="00000000" w:csb0="0000009F" w:csb1="00000000"/>
  </w:font>
  <w:font w:name="MinionPro-Regular">
    <w:altName w:val="Yu Gothic"/>
    <w:panose1 w:val="00000000000000000000"/>
    <w:charset w:val="80"/>
    <w:family w:val="roman"/>
    <w:notTrueType/>
    <w:pitch w:val="default"/>
    <w:sig w:usb0="00000001" w:usb1="08070000" w:usb2="00000010" w:usb3="00000000" w:csb0="00020000" w:csb1="00000000"/>
  </w:font>
  <w:font w:name="MinionPro-It">
    <w:altName w:val="Yu Gothic"/>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0D4CB" w14:textId="77777777" w:rsidR="003425BA" w:rsidRDefault="003425BA" w:rsidP="003A0897">
      <w:r>
        <w:separator/>
      </w:r>
    </w:p>
  </w:footnote>
  <w:footnote w:type="continuationSeparator" w:id="0">
    <w:p w14:paraId="7CA73DF7" w14:textId="77777777" w:rsidR="003425BA" w:rsidRDefault="003425BA" w:rsidP="003A0897">
      <w:r>
        <w:continuationSeparator/>
      </w:r>
    </w:p>
  </w:footnote>
  <w:footnote w:id="1">
    <w:p w14:paraId="2EC8F2EB" w14:textId="2E3355C3" w:rsidR="00E4665E" w:rsidRPr="00E4665E" w:rsidRDefault="00E4665E">
      <w:pPr>
        <w:pStyle w:val="FootnoteText"/>
      </w:pPr>
      <w:r>
        <w:rPr>
          <w:rStyle w:val="FootnoteReference"/>
        </w:rPr>
        <w:footnoteRef/>
      </w:r>
      <w:r>
        <w:t xml:space="preserve"> See </w:t>
      </w:r>
      <w:proofErr w:type="spellStart"/>
      <w:r w:rsidRPr="009E66A9">
        <w:rPr>
          <w:rFonts w:eastAsiaTheme="minorHAnsi"/>
        </w:rPr>
        <w:t>Bouët</w:t>
      </w:r>
      <w:proofErr w:type="spellEnd"/>
      <w:r w:rsidRPr="009E66A9">
        <w:rPr>
          <w:rFonts w:eastAsiaTheme="minorHAnsi"/>
        </w:rPr>
        <w:t xml:space="preserve">, </w:t>
      </w:r>
      <w:r w:rsidRPr="00D64EA1">
        <w:t>Cosnard</w:t>
      </w:r>
      <w:r>
        <w:t xml:space="preserve">, </w:t>
      </w:r>
      <w:r w:rsidRPr="00D64EA1">
        <w:t>and Laborde</w:t>
      </w:r>
      <w:r>
        <w:t xml:space="preserve"> (</w:t>
      </w:r>
      <w:r w:rsidRPr="00D64EA1">
        <w:t>2017</w:t>
      </w:r>
      <w:r>
        <w:t xml:space="preserve">) and </w:t>
      </w:r>
      <w:proofErr w:type="spellStart"/>
      <w:r>
        <w:t>Bouët</w:t>
      </w:r>
      <w:proofErr w:type="spellEnd"/>
      <w:r>
        <w:t xml:space="preserve"> et al. (2021).</w:t>
      </w:r>
    </w:p>
  </w:footnote>
  <w:footnote w:id="2">
    <w:p w14:paraId="7A38BC3D" w14:textId="489C501D" w:rsidR="004E099C" w:rsidRPr="009D1974" w:rsidRDefault="004E099C">
      <w:pPr>
        <w:pStyle w:val="FootnoteText"/>
      </w:pPr>
      <w:r>
        <w:rPr>
          <w:rStyle w:val="FootnoteReference"/>
        </w:rPr>
        <w:footnoteRef/>
      </w:r>
      <w:r w:rsidRPr="009D1974">
        <w:t xml:space="preserve"> </w:t>
      </w:r>
      <w:r w:rsidR="009D1974" w:rsidRPr="009D1974">
        <w:t xml:space="preserve">To justify the assertions in this paragraph, see </w:t>
      </w:r>
      <w:proofErr w:type="spellStart"/>
      <w:r w:rsidRPr="009D1974">
        <w:t>Dedehouanou</w:t>
      </w:r>
      <w:proofErr w:type="spellEnd"/>
      <w:r w:rsidRPr="009D1974">
        <w:t xml:space="preserve">, Dimaranan </w:t>
      </w:r>
      <w:r w:rsidR="009D1974" w:rsidRPr="009D1974">
        <w:t>and</w:t>
      </w:r>
      <w:r w:rsidRPr="009D1974">
        <w:t xml:space="preserve"> Laborde (2019), </w:t>
      </w:r>
      <w:proofErr w:type="spellStart"/>
      <w:r w:rsidRPr="009D1974">
        <w:t>ou</w:t>
      </w:r>
      <w:proofErr w:type="spellEnd"/>
      <w:r w:rsidRPr="009D1974">
        <w:t xml:space="preserve"> </w:t>
      </w:r>
      <w:proofErr w:type="spellStart"/>
      <w:r w:rsidRPr="009D1974">
        <w:t>Bouët</w:t>
      </w:r>
      <w:proofErr w:type="spellEnd"/>
      <w:r w:rsidRPr="009D1974">
        <w:t xml:space="preserve"> </w:t>
      </w:r>
      <w:r w:rsidR="009D1974" w:rsidRPr="009D1974">
        <w:t>and</w:t>
      </w:r>
      <w:r w:rsidRPr="009D1974">
        <w:t xml:space="preserve"> Sall (2021). </w:t>
      </w:r>
    </w:p>
  </w:footnote>
  <w:footnote w:id="3">
    <w:p w14:paraId="4AD1BDEE" w14:textId="11080F29" w:rsidR="00E4665E" w:rsidRPr="00E4665E" w:rsidRDefault="00E4665E">
      <w:pPr>
        <w:pStyle w:val="FootnoteText"/>
      </w:pPr>
      <w:r>
        <w:rPr>
          <w:rStyle w:val="FootnoteReference"/>
        </w:rPr>
        <w:footnoteRef/>
      </w:r>
      <w:r>
        <w:t xml:space="preserve"> UNECA is the United Nations Economic Commission for Africa (Addis-</w:t>
      </w:r>
      <w:proofErr w:type="spellStart"/>
      <w:r>
        <w:t>Abbaba</w:t>
      </w:r>
      <w:proofErr w:type="spellEnd"/>
      <w:r>
        <w:t xml:space="preserve">); CEPII is the Centre </w:t>
      </w:r>
      <w:proofErr w:type="spellStart"/>
      <w:r>
        <w:t>d’Etudes</w:t>
      </w:r>
      <w:proofErr w:type="spellEnd"/>
      <w:r>
        <w:t xml:space="preserve"> </w:t>
      </w:r>
      <w:proofErr w:type="spellStart"/>
      <w:r>
        <w:t>Prospectives</w:t>
      </w:r>
      <w:proofErr w:type="spellEnd"/>
      <w:r>
        <w:t xml:space="preserve"> et </w:t>
      </w:r>
      <w:proofErr w:type="spellStart"/>
      <w:r>
        <w:t>d’Informations</w:t>
      </w:r>
      <w:proofErr w:type="spellEnd"/>
      <w:r>
        <w:t xml:space="preserve"> </w:t>
      </w:r>
      <w:proofErr w:type="spellStart"/>
      <w:r>
        <w:t>Internationales</w:t>
      </w:r>
      <w:proofErr w:type="spellEnd"/>
      <w:r>
        <w:t xml:space="preserve"> (Paris); IFPRI is the International Food Policy Research Institute (Washington DC); </w:t>
      </w:r>
      <w:r w:rsidR="008E4C70">
        <w:t>JRC is the Joint Research Centre</w:t>
      </w:r>
      <w:r w:rsidR="009B5FDE">
        <w:t xml:space="preserve"> (</w:t>
      </w:r>
      <w:proofErr w:type="spellStart"/>
      <w:r w:rsidR="009B5FDE">
        <w:t>Bruxelles</w:t>
      </w:r>
      <w:proofErr w:type="spellEnd"/>
      <w:r w:rsidR="009B5FDE">
        <w:t>).</w:t>
      </w:r>
    </w:p>
  </w:footnote>
  <w:footnote w:id="4">
    <w:p w14:paraId="6C38BD7E" w14:textId="3AB24FD0" w:rsidR="004B0030" w:rsidRPr="00C2046F" w:rsidRDefault="004B0030">
      <w:pPr>
        <w:pStyle w:val="FootnoteText"/>
      </w:pPr>
      <w:r>
        <w:rPr>
          <w:rStyle w:val="FootnoteReference"/>
        </w:rPr>
        <w:footnoteRef/>
      </w:r>
      <w:r w:rsidRPr="00C2046F">
        <w:t xml:space="preserve"> </w:t>
      </w:r>
      <w:r w:rsidR="00C2046F" w:rsidRPr="00C2046F">
        <w:t>Let us note that initiatives have been launched to systematically correct the mistakes of the COMTRADE database, like the AATM database which is the reference of</w:t>
      </w:r>
      <w:r w:rsidR="00C2046F">
        <w:t xml:space="preserve"> this report and the BACI database at CEPII</w:t>
      </w:r>
      <w:r w:rsidR="00DF3241" w:rsidRPr="00C2046F">
        <w:t xml:space="preserve">. </w:t>
      </w:r>
    </w:p>
  </w:footnote>
  <w:footnote w:id="5">
    <w:p w14:paraId="008BDD21" w14:textId="49595A8D" w:rsidR="008A0E4C" w:rsidRPr="00045B93" w:rsidRDefault="008A0E4C">
      <w:pPr>
        <w:pStyle w:val="FootnoteText"/>
      </w:pPr>
      <w:r>
        <w:rPr>
          <w:rStyle w:val="FootnoteReference"/>
        </w:rPr>
        <w:footnoteRef/>
      </w:r>
      <w:r w:rsidRPr="00045B93">
        <w:t xml:space="preserve"> </w:t>
      </w:r>
      <w:r w:rsidR="00C2046F" w:rsidRPr="00045B93">
        <w:t xml:space="preserve">See also </w:t>
      </w:r>
      <w:r w:rsidRPr="00045B93">
        <w:t xml:space="preserve">Fontagné, Guimbard, and </w:t>
      </w:r>
      <w:proofErr w:type="spellStart"/>
      <w:r w:rsidRPr="00045B93">
        <w:t>Orefice</w:t>
      </w:r>
      <w:proofErr w:type="spellEnd"/>
      <w:r w:rsidRPr="00045B93">
        <w:t>, 2019</w:t>
      </w:r>
    </w:p>
  </w:footnote>
  <w:footnote w:id="6">
    <w:p w14:paraId="799C45FC" w14:textId="61184909" w:rsidR="00131EFA" w:rsidRPr="00045B93" w:rsidRDefault="00131EFA">
      <w:pPr>
        <w:pStyle w:val="FootnoteText"/>
      </w:pPr>
      <w:r>
        <w:rPr>
          <w:rStyle w:val="FootnoteReference"/>
        </w:rPr>
        <w:footnoteRef/>
      </w:r>
      <w:r w:rsidRPr="00045B93">
        <w:t xml:space="preserve"> </w:t>
      </w:r>
      <w:r w:rsidR="00045B93" w:rsidRPr="00045B93">
        <w:t xml:space="preserve">These statistics have been obtained through calculation operated on CEPII data coming from </w:t>
      </w:r>
      <w:r w:rsidRPr="00045B93">
        <w:t xml:space="preserve">geo_cepii.xlsx </w:t>
      </w:r>
      <w:r w:rsidR="00045B93">
        <w:t xml:space="preserve">and </w:t>
      </w:r>
      <w:r w:rsidRPr="00045B93">
        <w:t xml:space="preserve">dist_cepii.xls </w:t>
      </w:r>
      <w:r w:rsidR="005D0533" w:rsidRPr="00045B93">
        <w:t xml:space="preserve">(http://www.cepii.fr/CEPII/fr/) </w:t>
      </w:r>
      <w:r w:rsidR="00045B93">
        <w:t xml:space="preserve">and </w:t>
      </w:r>
      <w:r w:rsidRPr="00045B93">
        <w:t>Mario Larch</w:t>
      </w:r>
      <w:r w:rsidR="00045B93">
        <w:t xml:space="preserve">’s database on regional trade agreements for </w:t>
      </w:r>
      <w:r w:rsidRPr="00045B93">
        <w:t>2019 (</w:t>
      </w:r>
      <w:hyperlink r:id="rId1" w:history="1">
        <w:r w:rsidRPr="00045B93">
          <w:rPr>
            <w:rStyle w:val="Hyperlink"/>
          </w:rPr>
          <w:t>RTA-Data (uni-bayreuth.de)</w:t>
        </w:r>
      </w:hyperlink>
      <w:r w:rsidRPr="00045B93">
        <w:t>).</w:t>
      </w:r>
      <w:r w:rsidR="005D0533" w:rsidRPr="00045B93">
        <w:t xml:space="preserve"> </w:t>
      </w:r>
    </w:p>
  </w:footnote>
  <w:footnote w:id="7">
    <w:p w14:paraId="31E2DDBF" w14:textId="77777777" w:rsidR="00A34321" w:rsidRDefault="00A34321" w:rsidP="00A34321">
      <w:pPr>
        <w:pStyle w:val="FootnoteText"/>
      </w:pPr>
      <w:r>
        <w:rPr>
          <w:rStyle w:val="FootnoteReference"/>
        </w:rPr>
        <w:footnoteRef/>
      </w:r>
      <w:r>
        <w:t xml:space="preserve"> With the signature of Nigeria and Benin </w:t>
      </w:r>
      <w:r w:rsidRPr="006F1F02">
        <w:rPr>
          <w:bCs/>
        </w:rPr>
        <w:t>at the 12th Extra-Ordinary Summit of Heads of State and Government of the African Union in Niamey on July 7-8, 2019.</w:t>
      </w:r>
      <w:r>
        <w:rPr>
          <w:bCs/>
        </w:rPr>
        <w:t xml:space="preserve"> Eritrea is the only country yet to sign the agreement.</w:t>
      </w:r>
    </w:p>
  </w:footnote>
  <w:footnote w:id="8">
    <w:p w14:paraId="6761C3DF" w14:textId="77777777" w:rsidR="00A34321" w:rsidRPr="003D55B7" w:rsidRDefault="00A34321" w:rsidP="00A34321">
      <w:pPr>
        <w:pStyle w:val="FootnoteText"/>
        <w:rPr>
          <w:rFonts w:cstheme="minorHAnsi"/>
        </w:rPr>
      </w:pPr>
      <w:r w:rsidRPr="00C32252">
        <w:rPr>
          <w:rStyle w:val="FootnoteReference"/>
          <w:rFonts w:cstheme="minorHAnsi"/>
        </w:rPr>
        <w:footnoteRef/>
      </w:r>
      <w:r w:rsidRPr="00C32252">
        <w:rPr>
          <w:rFonts w:cstheme="minorHAnsi"/>
        </w:rPr>
        <w:t xml:space="preserve"> The agreement was set to enter into force 30 days after the 22</w:t>
      </w:r>
      <w:r w:rsidRPr="00C32252">
        <w:rPr>
          <w:rFonts w:cstheme="minorHAnsi"/>
          <w:vertAlign w:val="superscript"/>
        </w:rPr>
        <w:t xml:space="preserve">nd </w:t>
      </w:r>
      <w:r w:rsidRPr="00C32252">
        <w:rPr>
          <w:rFonts w:cstheme="minorHAnsi"/>
        </w:rPr>
        <w:t xml:space="preserve">country has deposited its instrument of ratification. </w:t>
      </w:r>
      <w:r w:rsidRPr="003D55B7">
        <w:rPr>
          <w:rFonts w:cstheme="minorHAnsi"/>
        </w:rPr>
        <w:t xml:space="preserve">This happened on April 29, 2019. </w:t>
      </w:r>
    </w:p>
  </w:footnote>
  <w:footnote w:id="9">
    <w:p w14:paraId="52A5AAFD" w14:textId="2CEB97EF" w:rsidR="001E48E7" w:rsidRPr="001E48E7" w:rsidRDefault="001E48E7">
      <w:pPr>
        <w:pStyle w:val="FootnoteText"/>
      </w:pPr>
      <w:r>
        <w:rPr>
          <w:rStyle w:val="FootnoteReference"/>
        </w:rPr>
        <w:footnoteRef/>
      </w:r>
      <w:r>
        <w:t xml:space="preserve"> </w:t>
      </w:r>
      <w:r w:rsidRPr="00973E82">
        <w:rPr>
          <w:rStyle w:val="FootnoteChar"/>
        </w:rPr>
        <w:t xml:space="preserve">On January 1st, 2022, </w:t>
      </w:r>
      <w:r w:rsidR="00C12A38" w:rsidRPr="00973E82">
        <w:rPr>
          <w:rStyle w:val="FootnoteChar"/>
        </w:rPr>
        <w:t xml:space="preserve">the 14 </w:t>
      </w:r>
      <w:r w:rsidRPr="00973E82">
        <w:rPr>
          <w:rStyle w:val="FootnoteChar"/>
        </w:rPr>
        <w:t xml:space="preserve">countries which have not ratified are Benin, Botswana, Cabo Verde, Comoros, </w:t>
      </w:r>
      <w:r w:rsidR="00A77ADB" w:rsidRPr="00973E82">
        <w:rPr>
          <w:rStyle w:val="FootnoteChar"/>
        </w:rPr>
        <w:t xml:space="preserve">Congo D.R., Guinea-Bissau, Liberia, Libya, Madagascar, Morocco, Mozambique, </w:t>
      </w:r>
      <w:r w:rsidR="00C12A38" w:rsidRPr="00973E82">
        <w:rPr>
          <w:rStyle w:val="FootnoteChar"/>
        </w:rPr>
        <w:t xml:space="preserve">Somalia, South Sudan, and Sudan. </w:t>
      </w:r>
      <w:r w:rsidR="00A77ADB" w:rsidRPr="00973E82">
        <w:rPr>
          <w:rStyle w:val="FootnoteChar"/>
        </w:rPr>
        <w:t>Let us remind that Eritrea has not signed the agreement.</w:t>
      </w:r>
      <w:r w:rsidR="00C12A38" w:rsidRPr="00973E82">
        <w:rPr>
          <w:rStyle w:val="FootnoteChar"/>
        </w:rPr>
        <w:t xml:space="preserve"> The total number of African </w:t>
      </w:r>
      <w:r w:rsidR="003D182A" w:rsidRPr="00973E82">
        <w:rPr>
          <w:rStyle w:val="FootnoteChar"/>
        </w:rPr>
        <w:t>states</w:t>
      </w:r>
      <w:r w:rsidR="00C12A38" w:rsidRPr="00973E82">
        <w:rPr>
          <w:rStyle w:val="FootnoteChar"/>
        </w:rPr>
        <w:t xml:space="preserve"> </w:t>
      </w:r>
      <w:r w:rsidR="003D182A" w:rsidRPr="00973E82">
        <w:rPr>
          <w:rStyle w:val="FootnoteChar"/>
        </w:rPr>
        <w:t>recognized by United Nations</w:t>
      </w:r>
      <w:r w:rsidR="00C73CA0" w:rsidRPr="00973E82">
        <w:rPr>
          <w:rStyle w:val="FootnoteChar"/>
        </w:rPr>
        <w:t xml:space="preserve"> (UN)</w:t>
      </w:r>
      <w:r w:rsidR="003D182A" w:rsidRPr="00973E82">
        <w:rPr>
          <w:rStyle w:val="FootnoteChar"/>
        </w:rPr>
        <w:t xml:space="preserve"> </w:t>
      </w:r>
      <w:r w:rsidR="00C12A38" w:rsidRPr="00973E82">
        <w:rPr>
          <w:rStyle w:val="FootnoteChar"/>
        </w:rPr>
        <w:t xml:space="preserve">is </w:t>
      </w:r>
      <w:r w:rsidR="003D182A" w:rsidRPr="00973E82">
        <w:rPr>
          <w:rStyle w:val="FootnoteChar"/>
        </w:rPr>
        <w:t xml:space="preserve">54, but </w:t>
      </w:r>
      <w:r w:rsidR="00C12A38" w:rsidRPr="00973E82">
        <w:rPr>
          <w:rStyle w:val="FootnoteChar"/>
        </w:rPr>
        <w:t>55</w:t>
      </w:r>
      <w:r w:rsidR="003D182A" w:rsidRPr="00973E82">
        <w:rPr>
          <w:rStyle w:val="FootnoteChar"/>
        </w:rPr>
        <w:t xml:space="preserve"> African countries are member States of the African Union</w:t>
      </w:r>
      <w:r w:rsidR="00C73CA0" w:rsidRPr="00973E82">
        <w:rPr>
          <w:rStyle w:val="FootnoteChar"/>
        </w:rPr>
        <w:t xml:space="preserve"> (AU)</w:t>
      </w:r>
      <w:r w:rsidR="003D182A" w:rsidRPr="00973E82">
        <w:rPr>
          <w:rStyle w:val="FootnoteChar"/>
        </w:rPr>
        <w:t xml:space="preserve">: Saharawi Arab Democratic Republic is a member state of the </w:t>
      </w:r>
      <w:proofErr w:type="gramStart"/>
      <w:r w:rsidR="00C73CA0" w:rsidRPr="00973E82">
        <w:rPr>
          <w:rStyle w:val="FootnoteChar"/>
        </w:rPr>
        <w:t>AU</w:t>
      </w:r>
      <w:r w:rsidR="003D182A" w:rsidRPr="00973E82">
        <w:rPr>
          <w:rStyle w:val="FootnoteChar"/>
        </w:rPr>
        <w:t>, but</w:t>
      </w:r>
      <w:proofErr w:type="gramEnd"/>
      <w:r w:rsidR="003D182A" w:rsidRPr="00973E82">
        <w:rPr>
          <w:rStyle w:val="FootnoteChar"/>
        </w:rPr>
        <w:t xml:space="preserve"> is considered as </w:t>
      </w:r>
      <w:proofErr w:type="spellStart"/>
      <w:r w:rsidR="003D182A" w:rsidRPr="00973E82">
        <w:rPr>
          <w:rStyle w:val="FootnoteChar"/>
        </w:rPr>
        <w:t>non autonomous</w:t>
      </w:r>
      <w:proofErr w:type="spellEnd"/>
      <w:r w:rsidR="003D182A" w:rsidRPr="00973E82">
        <w:rPr>
          <w:rStyle w:val="FootnoteChar"/>
        </w:rPr>
        <w:t xml:space="preserve"> </w:t>
      </w:r>
      <w:r w:rsidR="00C73CA0" w:rsidRPr="00973E82">
        <w:rPr>
          <w:rStyle w:val="FootnoteChar"/>
        </w:rPr>
        <w:t>by UN.</w:t>
      </w:r>
    </w:p>
  </w:footnote>
  <w:footnote w:id="10">
    <w:p w14:paraId="57DACD1A" w14:textId="5116D4E0" w:rsidR="00E345D4" w:rsidRPr="00E345D4" w:rsidRDefault="00E345D4">
      <w:pPr>
        <w:pStyle w:val="FootnoteText"/>
      </w:pPr>
      <w:r>
        <w:rPr>
          <w:rStyle w:val="FootnoteReference"/>
        </w:rPr>
        <w:footnoteRef/>
      </w:r>
      <w:r>
        <w:t xml:space="preserve"> This is a global database describing bilateral production, consumption and intermediate use of commodities and services, but also bilateral trade patterns, and is provided by the Global Trade Analysis Project (</w:t>
      </w:r>
      <w:hyperlink r:id="rId2" w:history="1">
        <w:r w:rsidRPr="002968E8">
          <w:rPr>
            <w:rStyle w:val="Hyperlink"/>
          </w:rPr>
          <w:t>https://www.gtap.agecon.purdue.edu/databases/default.asp</w:t>
        </w:r>
      </w:hyperlink>
      <w:r>
        <w:t>).</w:t>
      </w:r>
    </w:p>
  </w:footnote>
  <w:footnote w:id="11">
    <w:p w14:paraId="47BA73C3" w14:textId="69EF9FEB" w:rsidR="00B62A57" w:rsidRPr="00B62A57" w:rsidRDefault="00B62A57">
      <w:pPr>
        <w:pStyle w:val="FootnoteText"/>
      </w:pPr>
      <w:r>
        <w:rPr>
          <w:rStyle w:val="FootnoteReference"/>
        </w:rPr>
        <w:footnoteRef/>
      </w:r>
      <w:r>
        <w:t xml:space="preserve"> GIDD is a global macro-micro modeling framework connecting a global CGE model with 121 </w:t>
      </w:r>
      <w:proofErr w:type="gramStart"/>
      <w:r>
        <w:t>households</w:t>
      </w:r>
      <w:proofErr w:type="gramEnd"/>
      <w:r>
        <w:t xml:space="preserve"> surveys covering 90 percent of the world population</w:t>
      </w:r>
      <w:r w:rsidR="00F062C9">
        <w:t xml:space="preserve">. See </w:t>
      </w:r>
      <w:proofErr w:type="spellStart"/>
      <w:r w:rsidR="00F062C9">
        <w:t>Bussolo</w:t>
      </w:r>
      <w:proofErr w:type="spellEnd"/>
      <w:r w:rsidR="00F062C9">
        <w:t xml:space="preserve">, De </w:t>
      </w:r>
      <w:proofErr w:type="spellStart"/>
      <w:r w:rsidR="00F062C9">
        <w:t>Hoyos</w:t>
      </w:r>
      <w:proofErr w:type="spellEnd"/>
      <w:r w:rsidR="00F062C9">
        <w:t xml:space="preserve"> and Medvedev (2008).</w:t>
      </w:r>
    </w:p>
  </w:footnote>
  <w:footnote w:id="12">
    <w:p w14:paraId="025CF771" w14:textId="230EF957" w:rsidR="00CA035C" w:rsidRPr="00CA035C" w:rsidRDefault="00CA035C">
      <w:pPr>
        <w:pStyle w:val="FootnoteText"/>
      </w:pPr>
      <w:r>
        <w:rPr>
          <w:rStyle w:val="FootnoteReference"/>
        </w:rPr>
        <w:footnoteRef/>
      </w:r>
      <w:r>
        <w:t xml:space="preserve"> </w:t>
      </w:r>
      <w:r w:rsidR="00F062C9" w:rsidRPr="00252C42">
        <w:rPr>
          <w:rStyle w:val="FootnoteChar"/>
        </w:rPr>
        <w:t>MAcMap-HS6</w:t>
      </w:r>
      <w:r w:rsidRPr="00252C42">
        <w:rPr>
          <w:rStyle w:val="FootnoteChar"/>
        </w:rPr>
        <w:t xml:space="preserve"> provides a disaggregated, exhaustive, and bilateral measurement of applied tariff duties, taking all regional agreements and preferential schemes into account.</w:t>
      </w:r>
      <w:r w:rsidR="00E345D4" w:rsidRPr="00252C42">
        <w:rPr>
          <w:rStyle w:val="FootnoteChar"/>
        </w:rPr>
        <w:t xml:space="preserve"> It is provided by the Centre </w:t>
      </w:r>
      <w:proofErr w:type="spellStart"/>
      <w:r w:rsidR="00E345D4" w:rsidRPr="00252C42">
        <w:rPr>
          <w:rStyle w:val="FootnoteChar"/>
        </w:rPr>
        <w:t>d’Etudes</w:t>
      </w:r>
      <w:proofErr w:type="spellEnd"/>
      <w:r w:rsidR="00E345D4" w:rsidRPr="00252C42">
        <w:rPr>
          <w:rStyle w:val="FootnoteChar"/>
        </w:rPr>
        <w:t xml:space="preserve"> </w:t>
      </w:r>
      <w:proofErr w:type="spellStart"/>
      <w:r w:rsidR="00E345D4" w:rsidRPr="00252C42">
        <w:rPr>
          <w:rStyle w:val="FootnoteChar"/>
        </w:rPr>
        <w:t>Prospectives</w:t>
      </w:r>
      <w:proofErr w:type="spellEnd"/>
      <w:r w:rsidR="00E345D4" w:rsidRPr="00252C42">
        <w:rPr>
          <w:rStyle w:val="FootnoteChar"/>
        </w:rPr>
        <w:t xml:space="preserve"> et </w:t>
      </w:r>
      <w:proofErr w:type="spellStart"/>
      <w:r w:rsidR="00E345D4" w:rsidRPr="00252C42">
        <w:rPr>
          <w:rStyle w:val="FootnoteChar"/>
        </w:rPr>
        <w:t>d’Informations</w:t>
      </w:r>
      <w:proofErr w:type="spellEnd"/>
      <w:r w:rsidR="00E345D4" w:rsidRPr="00252C42">
        <w:rPr>
          <w:rStyle w:val="FootnoteChar"/>
        </w:rPr>
        <w:t xml:space="preserve"> </w:t>
      </w:r>
      <w:proofErr w:type="spellStart"/>
      <w:r w:rsidR="00E345D4" w:rsidRPr="00252C42">
        <w:rPr>
          <w:rStyle w:val="FootnoteChar"/>
        </w:rPr>
        <w:t>Internationales</w:t>
      </w:r>
      <w:proofErr w:type="spellEnd"/>
      <w:r w:rsidR="00E345D4" w:rsidRPr="00252C42">
        <w:rPr>
          <w:rStyle w:val="FootnoteChar"/>
        </w:rPr>
        <w:t xml:space="preserve"> (CEPII) with source data from ITC (UNCTAD-WTO).</w:t>
      </w:r>
    </w:p>
  </w:footnote>
  <w:footnote w:id="13">
    <w:p w14:paraId="2FB96D7C" w14:textId="05CE733F" w:rsidR="00540F16" w:rsidRDefault="00540F16" w:rsidP="00252C42">
      <w:pPr>
        <w:pStyle w:val="Footnote"/>
      </w:pPr>
      <w:r>
        <w:rPr>
          <w:rStyle w:val="FootnoteReference"/>
        </w:rPr>
        <w:footnoteRef/>
      </w:r>
      <w:r>
        <w:t xml:space="preserve"> Djibouti, Ethiopia, Madagascar, Malawi, </w:t>
      </w:r>
      <w:r w:rsidR="006B607F">
        <w:t xml:space="preserve">the Sudan, Zambia and Zimbabwe. </w:t>
      </w:r>
    </w:p>
  </w:footnote>
  <w:footnote w:id="14">
    <w:p w14:paraId="5D9C0636" w14:textId="2AA5240B" w:rsidR="00066586" w:rsidRDefault="00066586">
      <w:pPr>
        <w:pStyle w:val="FootnoteText"/>
      </w:pPr>
      <w:r>
        <w:rPr>
          <w:rStyle w:val="FootnoteReference"/>
        </w:rPr>
        <w:footnoteRef/>
      </w:r>
      <w:r>
        <w:t xml:space="preserve"> </w:t>
      </w:r>
      <w:r w:rsidR="00F062C9">
        <w:t>T</w:t>
      </w:r>
      <w:r w:rsidRPr="00066586">
        <w:t>ourism, transport, communication, financial and business services</w:t>
      </w:r>
    </w:p>
  </w:footnote>
  <w:footnote w:id="15">
    <w:p w14:paraId="3C9078A1" w14:textId="2159BC68" w:rsidR="00A53DDE" w:rsidRDefault="00A53DDE">
      <w:pPr>
        <w:pStyle w:val="FootnoteText"/>
      </w:pPr>
      <w:r>
        <w:rPr>
          <w:rStyle w:val="FootnoteReference"/>
        </w:rPr>
        <w:footnoteRef/>
      </w:r>
      <w:r>
        <w:t xml:space="preserve"> It is worth noting that the NTMs are based on </w:t>
      </w:r>
      <w:r w:rsidR="006F4A0F">
        <w:t xml:space="preserve">previous work by </w:t>
      </w:r>
      <w:proofErr w:type="spellStart"/>
      <w:r w:rsidR="006F4A0F">
        <w:t>Bou</w:t>
      </w:r>
      <w:r w:rsidR="0096534D">
        <w:t>ë</w:t>
      </w:r>
      <w:r w:rsidR="006F4A0F">
        <w:t>t</w:t>
      </w:r>
      <w:proofErr w:type="spellEnd"/>
      <w:r w:rsidR="006F4A0F">
        <w:t xml:space="preserve"> et al. (2020). Data are missing </w:t>
      </w:r>
      <w:r w:rsidR="0044429B">
        <w:t>for most of the African countries</w:t>
      </w:r>
      <w:r w:rsidR="00E11317">
        <w:t xml:space="preserve"> and the reduction is applied to onl</w:t>
      </w:r>
      <w:r w:rsidR="007407DA">
        <w:t xml:space="preserve">y African trading partners. </w:t>
      </w:r>
    </w:p>
  </w:footnote>
  <w:footnote w:id="16">
    <w:p w14:paraId="38D28ACA" w14:textId="2C387A19" w:rsidR="00430ABB" w:rsidRDefault="00430ABB" w:rsidP="00430ABB">
      <w:pPr>
        <w:pStyle w:val="FootnoteText"/>
      </w:pPr>
      <w:r>
        <w:rPr>
          <w:rStyle w:val="FootnoteReference"/>
        </w:rPr>
        <w:footnoteRef/>
      </w:r>
      <w:r>
        <w:t xml:space="preserve"> Djibouti, Ethiopia, Madagascar, Malawi, Sudan, Zambia</w:t>
      </w:r>
      <w:r w:rsidR="00AF6CAF">
        <w:t>,</w:t>
      </w:r>
      <w:r>
        <w:t xml:space="preserve"> and Zimbabwe. </w:t>
      </w:r>
    </w:p>
  </w:footnote>
  <w:footnote w:id="17">
    <w:p w14:paraId="065FB44B" w14:textId="1843C130" w:rsidR="00B902D7" w:rsidRPr="00B902D7" w:rsidRDefault="00B902D7">
      <w:pPr>
        <w:pStyle w:val="FootnoteText"/>
      </w:pPr>
      <w:r>
        <w:rPr>
          <w:rStyle w:val="FootnoteReference"/>
        </w:rPr>
        <w:footnoteRef/>
      </w:r>
      <w:r>
        <w:t xml:space="preserve"> MIRAGE and MIRAGRODEP are based on a Constant Elasticity of Substitution-Linear Expenditure System (LES-CES) utility function, ENVISAGE on an Extended Linear Expenditure System (ELES) function, MAGNET, which is an extension of the GTAP model, on a Constant Difference in Elasticity (CDE) function.</w:t>
      </w:r>
    </w:p>
  </w:footnote>
  <w:footnote w:id="18">
    <w:p w14:paraId="653E5A9F" w14:textId="417961BF" w:rsidR="00E83CB7" w:rsidRPr="00E83CB7" w:rsidRDefault="00E83CB7">
      <w:pPr>
        <w:pStyle w:val="FootnoteText"/>
      </w:pPr>
      <w:r>
        <w:rPr>
          <w:rStyle w:val="FootnoteReference"/>
        </w:rPr>
        <w:footnoteRef/>
      </w:r>
      <w:r>
        <w:t xml:space="preserve"> In MIRAGE and MIRAGRODEP, skilled labor is perfectly mobile whereas unskilled labor is imperfectly mobile based on a Constant Elasticity of Transformation </w:t>
      </w:r>
      <w:r w:rsidR="00742792">
        <w:t xml:space="preserve">(CET) </w:t>
      </w:r>
      <w:r>
        <w:t>function between urban and rural activities</w:t>
      </w:r>
      <w:r w:rsidR="00FF7D1B">
        <w:t xml:space="preserve"> ; in ENVISAGE there is a migration function from rural activities to urban activities and labor is perfectly mobile within each set of activities ; </w:t>
      </w:r>
      <w:r w:rsidR="00742792">
        <w:t xml:space="preserve">MAGNET includes three types of factor markets : unsegmented with perfect mobility, segmented with imperfect mobility according to a CET function, segmented with a dynamic migration function. </w:t>
      </w:r>
    </w:p>
  </w:footnote>
  <w:footnote w:id="19">
    <w:p w14:paraId="2FC5F7A7" w14:textId="38DE2AE2" w:rsidR="00617EA2" w:rsidRPr="00617EA2" w:rsidRDefault="00617EA2">
      <w:pPr>
        <w:pStyle w:val="FootnoteText"/>
      </w:pPr>
      <w:r>
        <w:rPr>
          <w:rStyle w:val="FootnoteReference"/>
        </w:rPr>
        <w:footnoteRef/>
      </w:r>
      <w:r>
        <w:t xml:space="preserve"> In ENVISAGE, MIRAGE and MIRAGRODEP, key elasticities are drawn from the GTAP</w:t>
      </w:r>
      <w:r w:rsidR="001B155A">
        <w:t xml:space="preserve"> </w:t>
      </w:r>
      <w:r>
        <w:t>database. A distinctive feature of MAGNET is that substitution elasticities of the production nesting tree are re-calculated after each run</w:t>
      </w:r>
      <w:r w:rsidR="00290C4A">
        <w:t xml:space="preserve"> depending on the value of cost shares. </w:t>
      </w:r>
      <w:r w:rsidR="00B31A08">
        <w:t>On the demand side, i</w:t>
      </w:r>
      <w:r w:rsidR="00290C4A">
        <w:t>n</w:t>
      </w:r>
      <w:r w:rsidR="00B31A08">
        <w:t xml:space="preserve"> MIRAGRODEP and MAGNET, in</w:t>
      </w:r>
      <w:r w:rsidR="00290C4A">
        <w:t xml:space="preserve">come </w:t>
      </w:r>
      <w:r w:rsidR="00B31A08">
        <w:t xml:space="preserve">and price </w:t>
      </w:r>
      <w:r w:rsidR="00290C4A">
        <w:t xml:space="preserve">elasticities are </w:t>
      </w:r>
      <w:r w:rsidR="00E94433">
        <w:t>re-</w:t>
      </w:r>
      <w:r w:rsidR="00290C4A">
        <w:t>calibrated to account f</w:t>
      </w:r>
      <w:r w:rsidR="00E94433">
        <w:t xml:space="preserve">or the </w:t>
      </w:r>
      <w:r w:rsidR="00B31A08">
        <w:t xml:space="preserve">long-term </w:t>
      </w:r>
      <w:r w:rsidR="00E94433">
        <w:t xml:space="preserve">evolution of real GDP per capita. </w:t>
      </w:r>
    </w:p>
  </w:footnote>
  <w:footnote w:id="20">
    <w:p w14:paraId="09D9D45E" w14:textId="75C432C8" w:rsidR="008826DB" w:rsidRPr="008826DB" w:rsidRDefault="008826DB">
      <w:pPr>
        <w:pStyle w:val="FootnoteText"/>
        <w:rPr>
          <w:lang w:val="fr-FR"/>
        </w:rPr>
      </w:pPr>
      <w:r>
        <w:rPr>
          <w:rStyle w:val="FootnoteReference"/>
        </w:rPr>
        <w:footnoteRef/>
      </w:r>
      <w:r w:rsidRPr="008826DB">
        <w:rPr>
          <w:lang w:val="fr-FR"/>
        </w:rPr>
        <w:t xml:space="preserve"> </w:t>
      </w:r>
      <w:proofErr w:type="gramStart"/>
      <w:r w:rsidRPr="008826DB">
        <w:rPr>
          <w:lang w:val="fr-FR"/>
        </w:rPr>
        <w:t>Source:</w:t>
      </w:r>
      <w:proofErr w:type="gramEnd"/>
      <w:r w:rsidRPr="008826DB">
        <w:rPr>
          <w:lang w:val="fr-FR"/>
        </w:rPr>
        <w:t xml:space="preserve"> https://datacatalog.worldbank.org/dataset/ad-valorem-equivalent-non-tariff-measures.</w:t>
      </w:r>
    </w:p>
  </w:footnote>
  <w:footnote w:id="21">
    <w:p w14:paraId="0CA42E92" w14:textId="6E3DEAC4" w:rsidR="00F46CB2" w:rsidRPr="00F46CB2" w:rsidRDefault="00F46CB2">
      <w:pPr>
        <w:pStyle w:val="FootnoteText"/>
      </w:pPr>
      <w:r>
        <w:rPr>
          <w:rStyle w:val="FootnoteReference"/>
        </w:rPr>
        <w:footnoteRef/>
      </w:r>
      <w:r>
        <w:t xml:space="preserve"> Technical measures are sanitary and phytosanitary measures and technical barriers to trade. Non-technical measures are non-automatic licenses, price-control measures, financial measures, rules of origin, …</w:t>
      </w:r>
    </w:p>
  </w:footnote>
  <w:footnote w:id="22">
    <w:p w14:paraId="62E56642" w14:textId="77777777" w:rsidR="008D3E10" w:rsidRPr="00C25A0A" w:rsidRDefault="008D3E10" w:rsidP="008D3E10">
      <w:pPr>
        <w:pStyle w:val="FootnoteText"/>
      </w:pPr>
      <w:r>
        <w:rPr>
          <w:rStyle w:val="FootnoteReference"/>
        </w:rPr>
        <w:footnoteRef/>
      </w:r>
      <w:r w:rsidRPr="00C25A0A">
        <w:t xml:space="preserve"> </w:t>
      </w:r>
      <w:r>
        <w:t>Extracted from the UNCTAD website</w:t>
      </w:r>
      <w:r w:rsidRPr="00C25A0A">
        <w:t xml:space="preserve"> on February 18</w:t>
      </w:r>
      <w:r w:rsidRPr="00C25A0A">
        <w:rPr>
          <w:vertAlign w:val="superscript"/>
        </w:rPr>
        <w:t>th</w:t>
      </w:r>
      <w:r w:rsidRPr="00C25A0A">
        <w:t>,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748E"/>
    <w:multiLevelType w:val="hybridMultilevel"/>
    <w:tmpl w:val="6004CF3E"/>
    <w:lvl w:ilvl="0" w:tplc="010C716C">
      <w:start w:val="1"/>
      <w:numFmt w:val="bullet"/>
      <w:lvlText w:val="•"/>
      <w:lvlJc w:val="left"/>
      <w:pPr>
        <w:tabs>
          <w:tab w:val="num" w:pos="720"/>
        </w:tabs>
        <w:ind w:left="720" w:hanging="360"/>
      </w:pPr>
      <w:rPr>
        <w:rFonts w:ascii="Arial" w:hAnsi="Arial" w:hint="default"/>
      </w:rPr>
    </w:lvl>
    <w:lvl w:ilvl="1" w:tplc="CFF0BBE2">
      <w:start w:val="1"/>
      <w:numFmt w:val="bullet"/>
      <w:lvlText w:val="•"/>
      <w:lvlJc w:val="left"/>
      <w:pPr>
        <w:tabs>
          <w:tab w:val="num" w:pos="1440"/>
        </w:tabs>
        <w:ind w:left="1440" w:hanging="360"/>
      </w:pPr>
      <w:rPr>
        <w:rFonts w:ascii="Arial" w:hAnsi="Arial" w:hint="default"/>
      </w:rPr>
    </w:lvl>
    <w:lvl w:ilvl="2" w:tplc="424846F4" w:tentative="1">
      <w:start w:val="1"/>
      <w:numFmt w:val="bullet"/>
      <w:lvlText w:val="•"/>
      <w:lvlJc w:val="left"/>
      <w:pPr>
        <w:tabs>
          <w:tab w:val="num" w:pos="2160"/>
        </w:tabs>
        <w:ind w:left="2160" w:hanging="360"/>
      </w:pPr>
      <w:rPr>
        <w:rFonts w:ascii="Arial" w:hAnsi="Arial" w:hint="default"/>
      </w:rPr>
    </w:lvl>
    <w:lvl w:ilvl="3" w:tplc="6A8CD40E" w:tentative="1">
      <w:start w:val="1"/>
      <w:numFmt w:val="bullet"/>
      <w:lvlText w:val="•"/>
      <w:lvlJc w:val="left"/>
      <w:pPr>
        <w:tabs>
          <w:tab w:val="num" w:pos="2880"/>
        </w:tabs>
        <w:ind w:left="2880" w:hanging="360"/>
      </w:pPr>
      <w:rPr>
        <w:rFonts w:ascii="Arial" w:hAnsi="Arial" w:hint="default"/>
      </w:rPr>
    </w:lvl>
    <w:lvl w:ilvl="4" w:tplc="AE5ED834" w:tentative="1">
      <w:start w:val="1"/>
      <w:numFmt w:val="bullet"/>
      <w:lvlText w:val="•"/>
      <w:lvlJc w:val="left"/>
      <w:pPr>
        <w:tabs>
          <w:tab w:val="num" w:pos="3600"/>
        </w:tabs>
        <w:ind w:left="3600" w:hanging="360"/>
      </w:pPr>
      <w:rPr>
        <w:rFonts w:ascii="Arial" w:hAnsi="Arial" w:hint="default"/>
      </w:rPr>
    </w:lvl>
    <w:lvl w:ilvl="5" w:tplc="F2CE531A" w:tentative="1">
      <w:start w:val="1"/>
      <w:numFmt w:val="bullet"/>
      <w:lvlText w:val="•"/>
      <w:lvlJc w:val="left"/>
      <w:pPr>
        <w:tabs>
          <w:tab w:val="num" w:pos="4320"/>
        </w:tabs>
        <w:ind w:left="4320" w:hanging="360"/>
      </w:pPr>
      <w:rPr>
        <w:rFonts w:ascii="Arial" w:hAnsi="Arial" w:hint="default"/>
      </w:rPr>
    </w:lvl>
    <w:lvl w:ilvl="6" w:tplc="7C24141C" w:tentative="1">
      <w:start w:val="1"/>
      <w:numFmt w:val="bullet"/>
      <w:lvlText w:val="•"/>
      <w:lvlJc w:val="left"/>
      <w:pPr>
        <w:tabs>
          <w:tab w:val="num" w:pos="5040"/>
        </w:tabs>
        <w:ind w:left="5040" w:hanging="360"/>
      </w:pPr>
      <w:rPr>
        <w:rFonts w:ascii="Arial" w:hAnsi="Arial" w:hint="default"/>
      </w:rPr>
    </w:lvl>
    <w:lvl w:ilvl="7" w:tplc="EF624C6A" w:tentative="1">
      <w:start w:val="1"/>
      <w:numFmt w:val="bullet"/>
      <w:lvlText w:val="•"/>
      <w:lvlJc w:val="left"/>
      <w:pPr>
        <w:tabs>
          <w:tab w:val="num" w:pos="5760"/>
        </w:tabs>
        <w:ind w:left="5760" w:hanging="360"/>
      </w:pPr>
      <w:rPr>
        <w:rFonts w:ascii="Arial" w:hAnsi="Arial" w:hint="default"/>
      </w:rPr>
    </w:lvl>
    <w:lvl w:ilvl="8" w:tplc="DA36F2B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76181A"/>
    <w:multiLevelType w:val="hybridMultilevel"/>
    <w:tmpl w:val="488E013C"/>
    <w:lvl w:ilvl="0" w:tplc="C7F481F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7C34"/>
    <w:multiLevelType w:val="hybridMultilevel"/>
    <w:tmpl w:val="0248C294"/>
    <w:lvl w:ilvl="0" w:tplc="EFA0652E">
      <w:start w:val="4"/>
      <w:numFmt w:val="bullet"/>
      <w:lvlText w:val="-"/>
      <w:lvlJc w:val="left"/>
      <w:pPr>
        <w:ind w:left="1800" w:hanging="360"/>
      </w:pPr>
      <w:rPr>
        <w:rFonts w:ascii="Calibri Light" w:eastAsiaTheme="majorEastAsia" w:hAnsi="Calibri Light" w:cs="Calibri Light"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0D16495"/>
    <w:multiLevelType w:val="hybridMultilevel"/>
    <w:tmpl w:val="D90E71C0"/>
    <w:lvl w:ilvl="0" w:tplc="292CF79C">
      <w:start w:val="4"/>
      <w:numFmt w:val="bullet"/>
      <w:lvlText w:val="-"/>
      <w:lvlJc w:val="left"/>
      <w:pPr>
        <w:ind w:left="720" w:hanging="360"/>
      </w:pPr>
      <w:rPr>
        <w:rFonts w:ascii="Calibri Light" w:eastAsiaTheme="majorEastAsia"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59763F9"/>
    <w:multiLevelType w:val="multilevel"/>
    <w:tmpl w:val="25DCCDB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08B2432"/>
    <w:multiLevelType w:val="hybridMultilevel"/>
    <w:tmpl w:val="9A846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A1B8D"/>
    <w:multiLevelType w:val="hybridMultilevel"/>
    <w:tmpl w:val="49049706"/>
    <w:lvl w:ilvl="0" w:tplc="41F236DC">
      <w:start w:val="1"/>
      <w:numFmt w:val="bullet"/>
      <w:lvlText w:val=""/>
      <w:lvlJc w:val="left"/>
      <w:pPr>
        <w:tabs>
          <w:tab w:val="num" w:pos="720"/>
        </w:tabs>
        <w:ind w:left="720" w:hanging="360"/>
      </w:pPr>
      <w:rPr>
        <w:rFonts w:ascii="Wingdings" w:hAnsi="Wingdings" w:hint="default"/>
        <w:lang w:val="fr-FR"/>
      </w:rPr>
    </w:lvl>
    <w:lvl w:ilvl="1" w:tplc="45C6100C">
      <w:numFmt w:val="bullet"/>
      <w:lvlText w:val="o"/>
      <w:lvlJc w:val="left"/>
      <w:pPr>
        <w:tabs>
          <w:tab w:val="num" w:pos="1440"/>
        </w:tabs>
        <w:ind w:left="1440" w:hanging="360"/>
      </w:pPr>
      <w:rPr>
        <w:rFonts w:ascii="Courier New" w:hAnsi="Courier New" w:hint="default"/>
      </w:rPr>
    </w:lvl>
    <w:lvl w:ilvl="2" w:tplc="19E4A882">
      <w:start w:val="1"/>
      <w:numFmt w:val="bullet"/>
      <w:lvlText w:val=""/>
      <w:lvlJc w:val="left"/>
      <w:pPr>
        <w:tabs>
          <w:tab w:val="num" w:pos="2160"/>
        </w:tabs>
        <w:ind w:left="2160" w:hanging="360"/>
      </w:pPr>
      <w:rPr>
        <w:rFonts w:ascii="Wingdings" w:hAnsi="Wingdings" w:hint="default"/>
      </w:rPr>
    </w:lvl>
    <w:lvl w:ilvl="3" w:tplc="1EF644DE" w:tentative="1">
      <w:start w:val="1"/>
      <w:numFmt w:val="bullet"/>
      <w:lvlText w:val=""/>
      <w:lvlJc w:val="left"/>
      <w:pPr>
        <w:tabs>
          <w:tab w:val="num" w:pos="2880"/>
        </w:tabs>
        <w:ind w:left="2880" w:hanging="360"/>
      </w:pPr>
      <w:rPr>
        <w:rFonts w:ascii="Wingdings" w:hAnsi="Wingdings" w:hint="default"/>
      </w:rPr>
    </w:lvl>
    <w:lvl w:ilvl="4" w:tplc="6D8C1FD6" w:tentative="1">
      <w:start w:val="1"/>
      <w:numFmt w:val="bullet"/>
      <w:lvlText w:val=""/>
      <w:lvlJc w:val="left"/>
      <w:pPr>
        <w:tabs>
          <w:tab w:val="num" w:pos="3600"/>
        </w:tabs>
        <w:ind w:left="3600" w:hanging="360"/>
      </w:pPr>
      <w:rPr>
        <w:rFonts w:ascii="Wingdings" w:hAnsi="Wingdings" w:hint="default"/>
      </w:rPr>
    </w:lvl>
    <w:lvl w:ilvl="5" w:tplc="9E746086" w:tentative="1">
      <w:start w:val="1"/>
      <w:numFmt w:val="bullet"/>
      <w:lvlText w:val=""/>
      <w:lvlJc w:val="left"/>
      <w:pPr>
        <w:tabs>
          <w:tab w:val="num" w:pos="4320"/>
        </w:tabs>
        <w:ind w:left="4320" w:hanging="360"/>
      </w:pPr>
      <w:rPr>
        <w:rFonts w:ascii="Wingdings" w:hAnsi="Wingdings" w:hint="default"/>
      </w:rPr>
    </w:lvl>
    <w:lvl w:ilvl="6" w:tplc="79B21668" w:tentative="1">
      <w:start w:val="1"/>
      <w:numFmt w:val="bullet"/>
      <w:lvlText w:val=""/>
      <w:lvlJc w:val="left"/>
      <w:pPr>
        <w:tabs>
          <w:tab w:val="num" w:pos="5040"/>
        </w:tabs>
        <w:ind w:left="5040" w:hanging="360"/>
      </w:pPr>
      <w:rPr>
        <w:rFonts w:ascii="Wingdings" w:hAnsi="Wingdings" w:hint="default"/>
      </w:rPr>
    </w:lvl>
    <w:lvl w:ilvl="7" w:tplc="F412F6C2" w:tentative="1">
      <w:start w:val="1"/>
      <w:numFmt w:val="bullet"/>
      <w:lvlText w:val=""/>
      <w:lvlJc w:val="left"/>
      <w:pPr>
        <w:tabs>
          <w:tab w:val="num" w:pos="5760"/>
        </w:tabs>
        <w:ind w:left="5760" w:hanging="360"/>
      </w:pPr>
      <w:rPr>
        <w:rFonts w:ascii="Wingdings" w:hAnsi="Wingdings" w:hint="default"/>
      </w:rPr>
    </w:lvl>
    <w:lvl w:ilvl="8" w:tplc="04A0E1D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773404"/>
    <w:multiLevelType w:val="hybridMultilevel"/>
    <w:tmpl w:val="9A10E148"/>
    <w:lvl w:ilvl="0" w:tplc="9580F4FE">
      <w:start w:val="1"/>
      <w:numFmt w:val="decimal"/>
      <w:pStyle w:val="Table"/>
      <w:lvlText w:val="Table %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503971"/>
    <w:multiLevelType w:val="hybridMultilevel"/>
    <w:tmpl w:val="6C4648BC"/>
    <w:lvl w:ilvl="0" w:tplc="4F142B1E">
      <w:start w:val="1"/>
      <w:numFmt w:val="decimal"/>
      <w:pStyle w:val="Heading1"/>
      <w:lvlText w:val="%1."/>
      <w:lvlJc w:val="left"/>
      <w:pPr>
        <w:ind w:left="360" w:hanging="360"/>
      </w:pPr>
      <w:rPr>
        <w:rFonts w:ascii="Calibri" w:hAnsi="Calibri"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D3514"/>
    <w:multiLevelType w:val="hybridMultilevel"/>
    <w:tmpl w:val="DA8234BA"/>
    <w:lvl w:ilvl="0" w:tplc="80F0F040">
      <w:start w:val="1"/>
      <w:numFmt w:val="decimal"/>
      <w:pStyle w:val="Graph"/>
      <w:lvlText w:val="Figure %1."/>
      <w:lvlJc w:val="left"/>
      <w:pPr>
        <w:ind w:left="720" w:hanging="360"/>
      </w:pPr>
      <w:rPr>
        <w:rFonts w:ascii="Calibri" w:hAnsi="Calibri"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5046A"/>
    <w:multiLevelType w:val="hybridMultilevel"/>
    <w:tmpl w:val="1D441F4A"/>
    <w:lvl w:ilvl="0" w:tplc="1F486A6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236025"/>
    <w:multiLevelType w:val="hybridMultilevel"/>
    <w:tmpl w:val="59CEB4A8"/>
    <w:lvl w:ilvl="0" w:tplc="11C64018">
      <w:numFmt w:val="bullet"/>
      <w:pStyle w:val="Listeclasse"/>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F1DAB"/>
    <w:multiLevelType w:val="hybridMultilevel"/>
    <w:tmpl w:val="D3700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E6068"/>
    <w:multiLevelType w:val="hybridMultilevel"/>
    <w:tmpl w:val="5EC40F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8331827"/>
    <w:multiLevelType w:val="hybridMultilevel"/>
    <w:tmpl w:val="8FBCA2F6"/>
    <w:lvl w:ilvl="0" w:tplc="292CF79C">
      <w:start w:val="4"/>
      <w:numFmt w:val="bullet"/>
      <w:lvlText w:val="-"/>
      <w:lvlJc w:val="left"/>
      <w:pPr>
        <w:ind w:left="720" w:hanging="360"/>
      </w:pPr>
      <w:rPr>
        <w:rFonts w:ascii="Calibri Light" w:eastAsiaTheme="majorEastAsia" w:hAnsi="Calibri Light" w:cs="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BE3194F"/>
    <w:multiLevelType w:val="hybridMultilevel"/>
    <w:tmpl w:val="3E6ABB6A"/>
    <w:lvl w:ilvl="0" w:tplc="934679D4">
      <w:start w:val="2"/>
      <w:numFmt w:val="bullet"/>
      <w:lvlText w:val="-"/>
      <w:lvlJc w:val="left"/>
      <w:pPr>
        <w:ind w:left="927" w:hanging="360"/>
      </w:pPr>
      <w:rPr>
        <w:rFonts w:ascii="Calibri" w:eastAsiaTheme="majorEastAsia"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776094C"/>
    <w:multiLevelType w:val="hybridMultilevel"/>
    <w:tmpl w:val="A4CA5F4C"/>
    <w:lvl w:ilvl="0" w:tplc="292CF79C">
      <w:start w:val="4"/>
      <w:numFmt w:val="bullet"/>
      <w:lvlText w:val="-"/>
      <w:lvlJc w:val="left"/>
      <w:pPr>
        <w:ind w:left="720" w:hanging="360"/>
      </w:pPr>
      <w:rPr>
        <w:rFonts w:ascii="Calibri Light" w:eastAsiaTheme="majorEastAsia"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097748"/>
    <w:multiLevelType w:val="hybridMultilevel"/>
    <w:tmpl w:val="0E842A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A54F50"/>
    <w:multiLevelType w:val="hybridMultilevel"/>
    <w:tmpl w:val="0888BF98"/>
    <w:lvl w:ilvl="0" w:tplc="8A8ED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257761"/>
    <w:multiLevelType w:val="hybridMultilevel"/>
    <w:tmpl w:val="677458A8"/>
    <w:lvl w:ilvl="0" w:tplc="BDB8AF7A">
      <w:start w:val="1"/>
      <w:numFmt w:val="lowerLetter"/>
      <w:pStyle w:val="Heading2"/>
      <w:lvlText w:val="%1."/>
      <w:lvlJc w:val="left"/>
      <w:pPr>
        <w:ind w:left="360" w:hanging="360"/>
      </w:pPr>
      <w:rPr>
        <w:rFonts w:ascii="Calibri" w:hAnsi="Calibri"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918C9"/>
    <w:multiLevelType w:val="hybridMultilevel"/>
    <w:tmpl w:val="17406294"/>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1" w15:restartNumberingAfterBreak="0">
    <w:nsid w:val="67364C60"/>
    <w:multiLevelType w:val="hybridMultilevel"/>
    <w:tmpl w:val="DB1085B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7B6552"/>
    <w:multiLevelType w:val="hybridMultilevel"/>
    <w:tmpl w:val="4764507E"/>
    <w:lvl w:ilvl="0" w:tplc="67C8BE0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876AB9"/>
    <w:multiLevelType w:val="hybridMultilevel"/>
    <w:tmpl w:val="33BAC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09611A"/>
    <w:multiLevelType w:val="hybridMultilevel"/>
    <w:tmpl w:val="56A096D8"/>
    <w:lvl w:ilvl="0" w:tplc="673021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700DD7"/>
    <w:multiLevelType w:val="hybridMultilevel"/>
    <w:tmpl w:val="DA9E5E1A"/>
    <w:lvl w:ilvl="0" w:tplc="1E224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4330957">
    <w:abstractNumId w:val="0"/>
  </w:num>
  <w:num w:numId="2" w16cid:durableId="1580019468">
    <w:abstractNumId w:val="17"/>
  </w:num>
  <w:num w:numId="3" w16cid:durableId="1370566847">
    <w:abstractNumId w:val="19"/>
  </w:num>
  <w:num w:numId="4" w16cid:durableId="2001999324">
    <w:abstractNumId w:val="8"/>
  </w:num>
  <w:num w:numId="5" w16cid:durableId="1259362038">
    <w:abstractNumId w:val="2"/>
  </w:num>
  <w:num w:numId="6" w16cid:durableId="639728742">
    <w:abstractNumId w:val="1"/>
  </w:num>
  <w:num w:numId="7" w16cid:durableId="1285041500">
    <w:abstractNumId w:val="19"/>
  </w:num>
  <w:num w:numId="8" w16cid:durableId="1965773446">
    <w:abstractNumId w:val="16"/>
  </w:num>
  <w:num w:numId="9" w16cid:durableId="1933968808">
    <w:abstractNumId w:val="19"/>
  </w:num>
  <w:num w:numId="10" w16cid:durableId="610162955">
    <w:abstractNumId w:val="8"/>
  </w:num>
  <w:num w:numId="11" w16cid:durableId="78841796">
    <w:abstractNumId w:val="8"/>
  </w:num>
  <w:num w:numId="12" w16cid:durableId="150217532">
    <w:abstractNumId w:val="8"/>
  </w:num>
  <w:num w:numId="13" w16cid:durableId="1147353919">
    <w:abstractNumId w:val="13"/>
  </w:num>
  <w:num w:numId="14" w16cid:durableId="384064846">
    <w:abstractNumId w:val="19"/>
    <w:lvlOverride w:ilvl="0">
      <w:startOverride w:val="1"/>
    </w:lvlOverride>
  </w:num>
  <w:num w:numId="15" w16cid:durableId="2068215761">
    <w:abstractNumId w:val="19"/>
    <w:lvlOverride w:ilvl="0">
      <w:startOverride w:val="1"/>
    </w:lvlOverride>
  </w:num>
  <w:num w:numId="16" w16cid:durableId="1976912873">
    <w:abstractNumId w:val="19"/>
  </w:num>
  <w:num w:numId="17" w16cid:durableId="1113015550">
    <w:abstractNumId w:val="19"/>
  </w:num>
  <w:num w:numId="18" w16cid:durableId="597173453">
    <w:abstractNumId w:val="19"/>
  </w:num>
  <w:num w:numId="19" w16cid:durableId="1274246646">
    <w:abstractNumId w:val="19"/>
    <w:lvlOverride w:ilvl="0">
      <w:startOverride w:val="1"/>
    </w:lvlOverride>
  </w:num>
  <w:num w:numId="20" w16cid:durableId="733432164">
    <w:abstractNumId w:val="20"/>
  </w:num>
  <w:num w:numId="21" w16cid:durableId="1375037570">
    <w:abstractNumId w:val="14"/>
  </w:num>
  <w:num w:numId="22" w16cid:durableId="535897720">
    <w:abstractNumId w:val="3"/>
  </w:num>
  <w:num w:numId="23" w16cid:durableId="48713247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2903557">
    <w:abstractNumId w:val="8"/>
  </w:num>
  <w:num w:numId="25" w16cid:durableId="1655915590">
    <w:abstractNumId w:val="8"/>
  </w:num>
  <w:num w:numId="26" w16cid:durableId="1058095392">
    <w:abstractNumId w:val="19"/>
  </w:num>
  <w:num w:numId="27" w16cid:durableId="983391334">
    <w:abstractNumId w:val="19"/>
  </w:num>
  <w:num w:numId="28" w16cid:durableId="334496116">
    <w:abstractNumId w:val="19"/>
  </w:num>
  <w:num w:numId="29" w16cid:durableId="1656299923">
    <w:abstractNumId w:val="19"/>
  </w:num>
  <w:num w:numId="30" w16cid:durableId="968170529">
    <w:abstractNumId w:val="19"/>
  </w:num>
  <w:num w:numId="31" w16cid:durableId="791897761">
    <w:abstractNumId w:val="19"/>
  </w:num>
  <w:num w:numId="32" w16cid:durableId="96685032">
    <w:abstractNumId w:val="19"/>
  </w:num>
  <w:num w:numId="33" w16cid:durableId="1995838093">
    <w:abstractNumId w:val="19"/>
    <w:lvlOverride w:ilvl="0">
      <w:startOverride w:val="1"/>
    </w:lvlOverride>
  </w:num>
  <w:num w:numId="34" w16cid:durableId="1758747949">
    <w:abstractNumId w:val="19"/>
    <w:lvlOverride w:ilvl="0">
      <w:startOverride w:val="1"/>
    </w:lvlOverride>
  </w:num>
  <w:num w:numId="35" w16cid:durableId="1820000566">
    <w:abstractNumId w:val="19"/>
    <w:lvlOverride w:ilvl="0">
      <w:startOverride w:val="1"/>
    </w:lvlOverride>
  </w:num>
  <w:num w:numId="36" w16cid:durableId="128405101">
    <w:abstractNumId w:val="12"/>
  </w:num>
  <w:num w:numId="37" w16cid:durableId="340667167">
    <w:abstractNumId w:val="23"/>
  </w:num>
  <w:num w:numId="38" w16cid:durableId="1546795102">
    <w:abstractNumId w:val="5"/>
  </w:num>
  <w:num w:numId="39" w16cid:durableId="1333603348">
    <w:abstractNumId w:val="6"/>
  </w:num>
  <w:num w:numId="40" w16cid:durableId="1667440907">
    <w:abstractNumId w:val="10"/>
  </w:num>
  <w:num w:numId="41" w16cid:durableId="1243491155">
    <w:abstractNumId w:val="7"/>
  </w:num>
  <w:num w:numId="42" w16cid:durableId="538710531">
    <w:abstractNumId w:val="18"/>
  </w:num>
  <w:num w:numId="43" w16cid:durableId="984285216">
    <w:abstractNumId w:val="25"/>
  </w:num>
  <w:num w:numId="44" w16cid:durableId="859510303">
    <w:abstractNumId w:val="15"/>
  </w:num>
  <w:num w:numId="45" w16cid:durableId="1029798800">
    <w:abstractNumId w:val="9"/>
  </w:num>
  <w:num w:numId="46" w16cid:durableId="1391267558">
    <w:abstractNumId w:val="11"/>
  </w:num>
  <w:num w:numId="47" w16cid:durableId="1032389667">
    <w:abstractNumId w:val="24"/>
  </w:num>
  <w:num w:numId="48" w16cid:durableId="793444705">
    <w:abstractNumId w:val="21"/>
  </w:num>
  <w:num w:numId="49" w16cid:durableId="11864068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A28"/>
    <w:rsid w:val="000007E2"/>
    <w:rsid w:val="00001B5F"/>
    <w:rsid w:val="00006F94"/>
    <w:rsid w:val="00007AF7"/>
    <w:rsid w:val="0001170A"/>
    <w:rsid w:val="00011B6A"/>
    <w:rsid w:val="00025FEC"/>
    <w:rsid w:val="00035E89"/>
    <w:rsid w:val="00036A05"/>
    <w:rsid w:val="00041666"/>
    <w:rsid w:val="00044703"/>
    <w:rsid w:val="00045B93"/>
    <w:rsid w:val="00055FAD"/>
    <w:rsid w:val="00057394"/>
    <w:rsid w:val="000612DB"/>
    <w:rsid w:val="00063983"/>
    <w:rsid w:val="00066586"/>
    <w:rsid w:val="00066DA2"/>
    <w:rsid w:val="00080420"/>
    <w:rsid w:val="00081EEC"/>
    <w:rsid w:val="00086ED5"/>
    <w:rsid w:val="00087743"/>
    <w:rsid w:val="00091B5C"/>
    <w:rsid w:val="00097648"/>
    <w:rsid w:val="000A0127"/>
    <w:rsid w:val="000A30A9"/>
    <w:rsid w:val="000A4A3A"/>
    <w:rsid w:val="000B573E"/>
    <w:rsid w:val="000C5891"/>
    <w:rsid w:val="000D26F1"/>
    <w:rsid w:val="000E370B"/>
    <w:rsid w:val="000E3A3A"/>
    <w:rsid w:val="000E4A4C"/>
    <w:rsid w:val="000E6FCE"/>
    <w:rsid w:val="000E7CF7"/>
    <w:rsid w:val="000F4448"/>
    <w:rsid w:val="000F4EFF"/>
    <w:rsid w:val="000F513E"/>
    <w:rsid w:val="000F564E"/>
    <w:rsid w:val="000F6B32"/>
    <w:rsid w:val="001050B4"/>
    <w:rsid w:val="00106310"/>
    <w:rsid w:val="00110CDF"/>
    <w:rsid w:val="0011342C"/>
    <w:rsid w:val="00117B27"/>
    <w:rsid w:val="001200E0"/>
    <w:rsid w:val="001216E2"/>
    <w:rsid w:val="001226E6"/>
    <w:rsid w:val="0012467E"/>
    <w:rsid w:val="00125999"/>
    <w:rsid w:val="00131EFA"/>
    <w:rsid w:val="00132230"/>
    <w:rsid w:val="00134240"/>
    <w:rsid w:val="001418B4"/>
    <w:rsid w:val="00142CC2"/>
    <w:rsid w:val="00143CDC"/>
    <w:rsid w:val="00143F42"/>
    <w:rsid w:val="0015039B"/>
    <w:rsid w:val="00151627"/>
    <w:rsid w:val="0015312D"/>
    <w:rsid w:val="00156780"/>
    <w:rsid w:val="00161D87"/>
    <w:rsid w:val="0016407B"/>
    <w:rsid w:val="001669EE"/>
    <w:rsid w:val="001708BD"/>
    <w:rsid w:val="00181D59"/>
    <w:rsid w:val="0018376E"/>
    <w:rsid w:val="0018393F"/>
    <w:rsid w:val="00183BA0"/>
    <w:rsid w:val="001845AD"/>
    <w:rsid w:val="00184FD2"/>
    <w:rsid w:val="001870B8"/>
    <w:rsid w:val="00191415"/>
    <w:rsid w:val="001952DE"/>
    <w:rsid w:val="001A1576"/>
    <w:rsid w:val="001A1B60"/>
    <w:rsid w:val="001A2AB4"/>
    <w:rsid w:val="001A51B5"/>
    <w:rsid w:val="001B155A"/>
    <w:rsid w:val="001B16EE"/>
    <w:rsid w:val="001C3AF8"/>
    <w:rsid w:val="001D4E8D"/>
    <w:rsid w:val="001E48E7"/>
    <w:rsid w:val="001E4B00"/>
    <w:rsid w:val="001F13CD"/>
    <w:rsid w:val="001F1C7D"/>
    <w:rsid w:val="001F376D"/>
    <w:rsid w:val="001F7903"/>
    <w:rsid w:val="00201607"/>
    <w:rsid w:val="0020265E"/>
    <w:rsid w:val="00205233"/>
    <w:rsid w:val="00205E20"/>
    <w:rsid w:val="0020668A"/>
    <w:rsid w:val="0020739D"/>
    <w:rsid w:val="00207830"/>
    <w:rsid w:val="00213850"/>
    <w:rsid w:val="00217920"/>
    <w:rsid w:val="00217BD8"/>
    <w:rsid w:val="00220501"/>
    <w:rsid w:val="002222AC"/>
    <w:rsid w:val="002231DE"/>
    <w:rsid w:val="00223402"/>
    <w:rsid w:val="00227A2F"/>
    <w:rsid w:val="00227C9D"/>
    <w:rsid w:val="002305F4"/>
    <w:rsid w:val="0023746B"/>
    <w:rsid w:val="00237A77"/>
    <w:rsid w:val="00240105"/>
    <w:rsid w:val="00244F67"/>
    <w:rsid w:val="00246292"/>
    <w:rsid w:val="00250B02"/>
    <w:rsid w:val="00252223"/>
    <w:rsid w:val="00252C42"/>
    <w:rsid w:val="00264A8E"/>
    <w:rsid w:val="00267821"/>
    <w:rsid w:val="00270AB2"/>
    <w:rsid w:val="00283E57"/>
    <w:rsid w:val="00285D67"/>
    <w:rsid w:val="00290C4A"/>
    <w:rsid w:val="00292632"/>
    <w:rsid w:val="00292751"/>
    <w:rsid w:val="00293933"/>
    <w:rsid w:val="002A09EC"/>
    <w:rsid w:val="002A0BA0"/>
    <w:rsid w:val="002A22FF"/>
    <w:rsid w:val="002A3E06"/>
    <w:rsid w:val="002A56C9"/>
    <w:rsid w:val="002A66D6"/>
    <w:rsid w:val="002A7737"/>
    <w:rsid w:val="002B26E4"/>
    <w:rsid w:val="002C1418"/>
    <w:rsid w:val="002C3EB4"/>
    <w:rsid w:val="002C612A"/>
    <w:rsid w:val="002D0FAC"/>
    <w:rsid w:val="002E46DE"/>
    <w:rsid w:val="002E4DDA"/>
    <w:rsid w:val="002E6C32"/>
    <w:rsid w:val="002F4F1A"/>
    <w:rsid w:val="00301465"/>
    <w:rsid w:val="00302E22"/>
    <w:rsid w:val="00303237"/>
    <w:rsid w:val="003069D3"/>
    <w:rsid w:val="003173BC"/>
    <w:rsid w:val="0033014B"/>
    <w:rsid w:val="00330D5A"/>
    <w:rsid w:val="00332C53"/>
    <w:rsid w:val="0033326A"/>
    <w:rsid w:val="00337F3C"/>
    <w:rsid w:val="003406C9"/>
    <w:rsid w:val="00340838"/>
    <w:rsid w:val="003425BA"/>
    <w:rsid w:val="00343FA0"/>
    <w:rsid w:val="00347C89"/>
    <w:rsid w:val="0035512B"/>
    <w:rsid w:val="003568C9"/>
    <w:rsid w:val="00362B61"/>
    <w:rsid w:val="003645CD"/>
    <w:rsid w:val="0037187D"/>
    <w:rsid w:val="00371F12"/>
    <w:rsid w:val="00371F9B"/>
    <w:rsid w:val="00374043"/>
    <w:rsid w:val="00374803"/>
    <w:rsid w:val="0037788B"/>
    <w:rsid w:val="00383CBA"/>
    <w:rsid w:val="00385E38"/>
    <w:rsid w:val="00387B13"/>
    <w:rsid w:val="003917E6"/>
    <w:rsid w:val="00397292"/>
    <w:rsid w:val="003A0897"/>
    <w:rsid w:val="003A7930"/>
    <w:rsid w:val="003B14FD"/>
    <w:rsid w:val="003B4EB6"/>
    <w:rsid w:val="003B5FB0"/>
    <w:rsid w:val="003B5FE8"/>
    <w:rsid w:val="003C5824"/>
    <w:rsid w:val="003C64A9"/>
    <w:rsid w:val="003D182A"/>
    <w:rsid w:val="003D1974"/>
    <w:rsid w:val="003D636F"/>
    <w:rsid w:val="003E2C25"/>
    <w:rsid w:val="003E65D6"/>
    <w:rsid w:val="003F01CF"/>
    <w:rsid w:val="003F198C"/>
    <w:rsid w:val="003F4564"/>
    <w:rsid w:val="003F60F4"/>
    <w:rsid w:val="003F7627"/>
    <w:rsid w:val="003F7C3F"/>
    <w:rsid w:val="00405057"/>
    <w:rsid w:val="00407EEB"/>
    <w:rsid w:val="00414355"/>
    <w:rsid w:val="00415BE8"/>
    <w:rsid w:val="00426143"/>
    <w:rsid w:val="004269EE"/>
    <w:rsid w:val="00430ABB"/>
    <w:rsid w:val="0043537F"/>
    <w:rsid w:val="0043672B"/>
    <w:rsid w:val="004415B6"/>
    <w:rsid w:val="00441812"/>
    <w:rsid w:val="0044429B"/>
    <w:rsid w:val="00444CEF"/>
    <w:rsid w:val="00446302"/>
    <w:rsid w:val="004465B9"/>
    <w:rsid w:val="00447600"/>
    <w:rsid w:val="0045148A"/>
    <w:rsid w:val="00461569"/>
    <w:rsid w:val="004638EF"/>
    <w:rsid w:val="00467324"/>
    <w:rsid w:val="004715D6"/>
    <w:rsid w:val="0047610D"/>
    <w:rsid w:val="00481488"/>
    <w:rsid w:val="00485DFF"/>
    <w:rsid w:val="00490710"/>
    <w:rsid w:val="004945F5"/>
    <w:rsid w:val="004A7154"/>
    <w:rsid w:val="004A77EF"/>
    <w:rsid w:val="004B0030"/>
    <w:rsid w:val="004B18F4"/>
    <w:rsid w:val="004B2256"/>
    <w:rsid w:val="004B42D7"/>
    <w:rsid w:val="004C0895"/>
    <w:rsid w:val="004C191B"/>
    <w:rsid w:val="004C297B"/>
    <w:rsid w:val="004C48A6"/>
    <w:rsid w:val="004D16D0"/>
    <w:rsid w:val="004D455E"/>
    <w:rsid w:val="004D7EA5"/>
    <w:rsid w:val="004E0053"/>
    <w:rsid w:val="004E099C"/>
    <w:rsid w:val="004E17C9"/>
    <w:rsid w:val="004E277C"/>
    <w:rsid w:val="004E2AAD"/>
    <w:rsid w:val="004E2AAE"/>
    <w:rsid w:val="004E2D6F"/>
    <w:rsid w:val="004E5C49"/>
    <w:rsid w:val="004E6DA8"/>
    <w:rsid w:val="004F1C8F"/>
    <w:rsid w:val="004F3A37"/>
    <w:rsid w:val="004F7A61"/>
    <w:rsid w:val="0050046E"/>
    <w:rsid w:val="00501A47"/>
    <w:rsid w:val="005043E2"/>
    <w:rsid w:val="005053C2"/>
    <w:rsid w:val="005129F3"/>
    <w:rsid w:val="00514106"/>
    <w:rsid w:val="00517262"/>
    <w:rsid w:val="005175EB"/>
    <w:rsid w:val="00517923"/>
    <w:rsid w:val="00517A0A"/>
    <w:rsid w:val="0052515F"/>
    <w:rsid w:val="00530D95"/>
    <w:rsid w:val="005356E0"/>
    <w:rsid w:val="0053593F"/>
    <w:rsid w:val="005360E8"/>
    <w:rsid w:val="0053690E"/>
    <w:rsid w:val="00537E79"/>
    <w:rsid w:val="00540F16"/>
    <w:rsid w:val="00544527"/>
    <w:rsid w:val="005476C5"/>
    <w:rsid w:val="005617C2"/>
    <w:rsid w:val="00562A0C"/>
    <w:rsid w:val="005633EF"/>
    <w:rsid w:val="005644B4"/>
    <w:rsid w:val="0058600C"/>
    <w:rsid w:val="005926DD"/>
    <w:rsid w:val="00593A5D"/>
    <w:rsid w:val="00593E90"/>
    <w:rsid w:val="005A0F8A"/>
    <w:rsid w:val="005A39D2"/>
    <w:rsid w:val="005B7250"/>
    <w:rsid w:val="005C7F91"/>
    <w:rsid w:val="005D0533"/>
    <w:rsid w:val="005D4E7F"/>
    <w:rsid w:val="005D5153"/>
    <w:rsid w:val="005D642F"/>
    <w:rsid w:val="005E0E25"/>
    <w:rsid w:val="005E4151"/>
    <w:rsid w:val="005F4499"/>
    <w:rsid w:val="006006F6"/>
    <w:rsid w:val="00607566"/>
    <w:rsid w:val="006178D1"/>
    <w:rsid w:val="00617EA2"/>
    <w:rsid w:val="00621B58"/>
    <w:rsid w:val="006308D0"/>
    <w:rsid w:val="006311FE"/>
    <w:rsid w:val="006335A4"/>
    <w:rsid w:val="006357B1"/>
    <w:rsid w:val="00635CAD"/>
    <w:rsid w:val="00637733"/>
    <w:rsid w:val="00640C4C"/>
    <w:rsid w:val="00645A28"/>
    <w:rsid w:val="00646709"/>
    <w:rsid w:val="00655A2D"/>
    <w:rsid w:val="00661D45"/>
    <w:rsid w:val="00663B68"/>
    <w:rsid w:val="00664108"/>
    <w:rsid w:val="00664D0F"/>
    <w:rsid w:val="00664DEA"/>
    <w:rsid w:val="00672EC9"/>
    <w:rsid w:val="0067736B"/>
    <w:rsid w:val="00683F97"/>
    <w:rsid w:val="00691C48"/>
    <w:rsid w:val="006948AB"/>
    <w:rsid w:val="00697DAC"/>
    <w:rsid w:val="006A0276"/>
    <w:rsid w:val="006A17A1"/>
    <w:rsid w:val="006A4B66"/>
    <w:rsid w:val="006A4EFA"/>
    <w:rsid w:val="006A5F7B"/>
    <w:rsid w:val="006B04C5"/>
    <w:rsid w:val="006B2952"/>
    <w:rsid w:val="006B607F"/>
    <w:rsid w:val="006B7223"/>
    <w:rsid w:val="006C3697"/>
    <w:rsid w:val="006C38A5"/>
    <w:rsid w:val="006C39D2"/>
    <w:rsid w:val="006D2A91"/>
    <w:rsid w:val="006D5CE0"/>
    <w:rsid w:val="006E10DB"/>
    <w:rsid w:val="006E1484"/>
    <w:rsid w:val="006E2A61"/>
    <w:rsid w:val="006E3D5C"/>
    <w:rsid w:val="006E703D"/>
    <w:rsid w:val="006F20AC"/>
    <w:rsid w:val="006F4546"/>
    <w:rsid w:val="006F4A0F"/>
    <w:rsid w:val="006F4C0F"/>
    <w:rsid w:val="006F7677"/>
    <w:rsid w:val="007071E4"/>
    <w:rsid w:val="00707BE5"/>
    <w:rsid w:val="00707DFF"/>
    <w:rsid w:val="0071013E"/>
    <w:rsid w:val="00720822"/>
    <w:rsid w:val="00723126"/>
    <w:rsid w:val="007231A5"/>
    <w:rsid w:val="0072565B"/>
    <w:rsid w:val="00727114"/>
    <w:rsid w:val="007276EA"/>
    <w:rsid w:val="00727CB7"/>
    <w:rsid w:val="00730170"/>
    <w:rsid w:val="00734F6F"/>
    <w:rsid w:val="007407DA"/>
    <w:rsid w:val="00742792"/>
    <w:rsid w:val="00743E96"/>
    <w:rsid w:val="00750342"/>
    <w:rsid w:val="00750405"/>
    <w:rsid w:val="00751AB0"/>
    <w:rsid w:val="00757ED3"/>
    <w:rsid w:val="00761378"/>
    <w:rsid w:val="007618FF"/>
    <w:rsid w:val="00764E02"/>
    <w:rsid w:val="00771DA5"/>
    <w:rsid w:val="00774659"/>
    <w:rsid w:val="00777C43"/>
    <w:rsid w:val="007812C7"/>
    <w:rsid w:val="007824D3"/>
    <w:rsid w:val="007846CC"/>
    <w:rsid w:val="00785484"/>
    <w:rsid w:val="00787224"/>
    <w:rsid w:val="00790BC9"/>
    <w:rsid w:val="00790F2C"/>
    <w:rsid w:val="0079595D"/>
    <w:rsid w:val="00796335"/>
    <w:rsid w:val="007A00DF"/>
    <w:rsid w:val="007A1A47"/>
    <w:rsid w:val="007A2700"/>
    <w:rsid w:val="007A3639"/>
    <w:rsid w:val="007A5B74"/>
    <w:rsid w:val="007A7C23"/>
    <w:rsid w:val="007B3186"/>
    <w:rsid w:val="007B582E"/>
    <w:rsid w:val="007C30C4"/>
    <w:rsid w:val="007C66F2"/>
    <w:rsid w:val="007D70EE"/>
    <w:rsid w:val="007E2495"/>
    <w:rsid w:val="007E311C"/>
    <w:rsid w:val="007E4662"/>
    <w:rsid w:val="007E4822"/>
    <w:rsid w:val="008023BC"/>
    <w:rsid w:val="008030A9"/>
    <w:rsid w:val="008067E0"/>
    <w:rsid w:val="00806A77"/>
    <w:rsid w:val="00807B32"/>
    <w:rsid w:val="00814F19"/>
    <w:rsid w:val="008165AF"/>
    <w:rsid w:val="00816EDA"/>
    <w:rsid w:val="008203FC"/>
    <w:rsid w:val="00826DEB"/>
    <w:rsid w:val="00827E27"/>
    <w:rsid w:val="00830A2C"/>
    <w:rsid w:val="00833406"/>
    <w:rsid w:val="0083410F"/>
    <w:rsid w:val="00836859"/>
    <w:rsid w:val="00840586"/>
    <w:rsid w:val="00840DA2"/>
    <w:rsid w:val="0084613E"/>
    <w:rsid w:val="00851C3C"/>
    <w:rsid w:val="00852C67"/>
    <w:rsid w:val="00857505"/>
    <w:rsid w:val="00857A50"/>
    <w:rsid w:val="008650B6"/>
    <w:rsid w:val="00870013"/>
    <w:rsid w:val="008719A6"/>
    <w:rsid w:val="00872BC2"/>
    <w:rsid w:val="00873118"/>
    <w:rsid w:val="008826DB"/>
    <w:rsid w:val="00882C4F"/>
    <w:rsid w:val="00885D8F"/>
    <w:rsid w:val="00895964"/>
    <w:rsid w:val="00895D42"/>
    <w:rsid w:val="00896170"/>
    <w:rsid w:val="008A04BB"/>
    <w:rsid w:val="008A0AB0"/>
    <w:rsid w:val="008A0E4C"/>
    <w:rsid w:val="008A46C1"/>
    <w:rsid w:val="008A4FF7"/>
    <w:rsid w:val="008A7B74"/>
    <w:rsid w:val="008B0227"/>
    <w:rsid w:val="008B5B4C"/>
    <w:rsid w:val="008C6FBF"/>
    <w:rsid w:val="008D3E10"/>
    <w:rsid w:val="008D4DDB"/>
    <w:rsid w:val="008D5789"/>
    <w:rsid w:val="008E4A6C"/>
    <w:rsid w:val="008E4C70"/>
    <w:rsid w:val="008E7622"/>
    <w:rsid w:val="008F001C"/>
    <w:rsid w:val="008F1578"/>
    <w:rsid w:val="008F5850"/>
    <w:rsid w:val="0090319E"/>
    <w:rsid w:val="009040EF"/>
    <w:rsid w:val="00913CFC"/>
    <w:rsid w:val="00917344"/>
    <w:rsid w:val="00917966"/>
    <w:rsid w:val="0092245E"/>
    <w:rsid w:val="00923FA3"/>
    <w:rsid w:val="00934AF8"/>
    <w:rsid w:val="009373C4"/>
    <w:rsid w:val="009426AD"/>
    <w:rsid w:val="00943329"/>
    <w:rsid w:val="00951540"/>
    <w:rsid w:val="00952007"/>
    <w:rsid w:val="00953153"/>
    <w:rsid w:val="0095646C"/>
    <w:rsid w:val="009570E8"/>
    <w:rsid w:val="00957624"/>
    <w:rsid w:val="00963596"/>
    <w:rsid w:val="00963911"/>
    <w:rsid w:val="009643BD"/>
    <w:rsid w:val="0096524F"/>
    <w:rsid w:val="0096534D"/>
    <w:rsid w:val="00973E82"/>
    <w:rsid w:val="00973FC7"/>
    <w:rsid w:val="009760C8"/>
    <w:rsid w:val="00977229"/>
    <w:rsid w:val="0097726E"/>
    <w:rsid w:val="00981D55"/>
    <w:rsid w:val="00984BB0"/>
    <w:rsid w:val="0098618B"/>
    <w:rsid w:val="00990122"/>
    <w:rsid w:val="00996AAC"/>
    <w:rsid w:val="009A1AE0"/>
    <w:rsid w:val="009A3E4A"/>
    <w:rsid w:val="009A4751"/>
    <w:rsid w:val="009B2BE4"/>
    <w:rsid w:val="009B5FDE"/>
    <w:rsid w:val="009C39D1"/>
    <w:rsid w:val="009C5BC2"/>
    <w:rsid w:val="009C7296"/>
    <w:rsid w:val="009D1974"/>
    <w:rsid w:val="009D2449"/>
    <w:rsid w:val="009D4C9E"/>
    <w:rsid w:val="009D5578"/>
    <w:rsid w:val="009E0CFE"/>
    <w:rsid w:val="009E3678"/>
    <w:rsid w:val="009E54D2"/>
    <w:rsid w:val="009E6429"/>
    <w:rsid w:val="009E66A9"/>
    <w:rsid w:val="009F066C"/>
    <w:rsid w:val="009F5190"/>
    <w:rsid w:val="00A01A89"/>
    <w:rsid w:val="00A02B65"/>
    <w:rsid w:val="00A117DD"/>
    <w:rsid w:val="00A15294"/>
    <w:rsid w:val="00A2490F"/>
    <w:rsid w:val="00A24FAE"/>
    <w:rsid w:val="00A2558F"/>
    <w:rsid w:val="00A26C86"/>
    <w:rsid w:val="00A32372"/>
    <w:rsid w:val="00A33952"/>
    <w:rsid w:val="00A34321"/>
    <w:rsid w:val="00A47A56"/>
    <w:rsid w:val="00A50B47"/>
    <w:rsid w:val="00A53DDE"/>
    <w:rsid w:val="00A570D7"/>
    <w:rsid w:val="00A64DCC"/>
    <w:rsid w:val="00A71AD0"/>
    <w:rsid w:val="00A77ADB"/>
    <w:rsid w:val="00A77BCF"/>
    <w:rsid w:val="00A77CDC"/>
    <w:rsid w:val="00A813EA"/>
    <w:rsid w:val="00A83D48"/>
    <w:rsid w:val="00A8744A"/>
    <w:rsid w:val="00AA1FD4"/>
    <w:rsid w:val="00AA216D"/>
    <w:rsid w:val="00AA441D"/>
    <w:rsid w:val="00AA6751"/>
    <w:rsid w:val="00AB47EE"/>
    <w:rsid w:val="00AB6FA1"/>
    <w:rsid w:val="00AD0C27"/>
    <w:rsid w:val="00AD46AD"/>
    <w:rsid w:val="00AD5F96"/>
    <w:rsid w:val="00AD68B7"/>
    <w:rsid w:val="00AD70B4"/>
    <w:rsid w:val="00AE01D1"/>
    <w:rsid w:val="00AE100A"/>
    <w:rsid w:val="00AE1986"/>
    <w:rsid w:val="00AE280A"/>
    <w:rsid w:val="00AF1B26"/>
    <w:rsid w:val="00AF2148"/>
    <w:rsid w:val="00AF6CAF"/>
    <w:rsid w:val="00AF6CFF"/>
    <w:rsid w:val="00B03788"/>
    <w:rsid w:val="00B051BA"/>
    <w:rsid w:val="00B10044"/>
    <w:rsid w:val="00B1224A"/>
    <w:rsid w:val="00B16038"/>
    <w:rsid w:val="00B22388"/>
    <w:rsid w:val="00B22951"/>
    <w:rsid w:val="00B243FC"/>
    <w:rsid w:val="00B2673C"/>
    <w:rsid w:val="00B3058C"/>
    <w:rsid w:val="00B31A08"/>
    <w:rsid w:val="00B47FC6"/>
    <w:rsid w:val="00B540B5"/>
    <w:rsid w:val="00B62A57"/>
    <w:rsid w:val="00B63E26"/>
    <w:rsid w:val="00B63E6E"/>
    <w:rsid w:val="00B70729"/>
    <w:rsid w:val="00B7473C"/>
    <w:rsid w:val="00B7679A"/>
    <w:rsid w:val="00B77217"/>
    <w:rsid w:val="00B800D7"/>
    <w:rsid w:val="00B847AB"/>
    <w:rsid w:val="00B84E29"/>
    <w:rsid w:val="00B902D7"/>
    <w:rsid w:val="00B912FA"/>
    <w:rsid w:val="00B9443E"/>
    <w:rsid w:val="00BA24E0"/>
    <w:rsid w:val="00BB04FD"/>
    <w:rsid w:val="00BB294D"/>
    <w:rsid w:val="00BC0B21"/>
    <w:rsid w:val="00BC3029"/>
    <w:rsid w:val="00BC6EC7"/>
    <w:rsid w:val="00BD2CFA"/>
    <w:rsid w:val="00BD3ABB"/>
    <w:rsid w:val="00BD7235"/>
    <w:rsid w:val="00BE09CE"/>
    <w:rsid w:val="00BE1C5B"/>
    <w:rsid w:val="00BF059C"/>
    <w:rsid w:val="00BF29A9"/>
    <w:rsid w:val="00BF7376"/>
    <w:rsid w:val="00C0518A"/>
    <w:rsid w:val="00C072C8"/>
    <w:rsid w:val="00C12A38"/>
    <w:rsid w:val="00C12DE2"/>
    <w:rsid w:val="00C146E8"/>
    <w:rsid w:val="00C150AD"/>
    <w:rsid w:val="00C15B68"/>
    <w:rsid w:val="00C178D5"/>
    <w:rsid w:val="00C20032"/>
    <w:rsid w:val="00C2046F"/>
    <w:rsid w:val="00C215C9"/>
    <w:rsid w:val="00C25442"/>
    <w:rsid w:val="00C26DC1"/>
    <w:rsid w:val="00C3515D"/>
    <w:rsid w:val="00C35C9E"/>
    <w:rsid w:val="00C37414"/>
    <w:rsid w:val="00C4197C"/>
    <w:rsid w:val="00C52482"/>
    <w:rsid w:val="00C54294"/>
    <w:rsid w:val="00C57435"/>
    <w:rsid w:val="00C60951"/>
    <w:rsid w:val="00C61EF3"/>
    <w:rsid w:val="00C67CC0"/>
    <w:rsid w:val="00C73CA0"/>
    <w:rsid w:val="00C7543E"/>
    <w:rsid w:val="00C8099C"/>
    <w:rsid w:val="00C82A81"/>
    <w:rsid w:val="00C82C0F"/>
    <w:rsid w:val="00C8360D"/>
    <w:rsid w:val="00C874AC"/>
    <w:rsid w:val="00C94AC6"/>
    <w:rsid w:val="00C963DC"/>
    <w:rsid w:val="00CA035C"/>
    <w:rsid w:val="00CA40D4"/>
    <w:rsid w:val="00CA4DB6"/>
    <w:rsid w:val="00CA5E73"/>
    <w:rsid w:val="00CB2608"/>
    <w:rsid w:val="00CB27D6"/>
    <w:rsid w:val="00CB2F1B"/>
    <w:rsid w:val="00CB308D"/>
    <w:rsid w:val="00CB3354"/>
    <w:rsid w:val="00CB609D"/>
    <w:rsid w:val="00CB7EA3"/>
    <w:rsid w:val="00CC2312"/>
    <w:rsid w:val="00CC518E"/>
    <w:rsid w:val="00CC7716"/>
    <w:rsid w:val="00CD0ABF"/>
    <w:rsid w:val="00CD521F"/>
    <w:rsid w:val="00CD5B1D"/>
    <w:rsid w:val="00CE0DC6"/>
    <w:rsid w:val="00CE13BB"/>
    <w:rsid w:val="00CE1924"/>
    <w:rsid w:val="00CE293D"/>
    <w:rsid w:val="00CF0E2A"/>
    <w:rsid w:val="00CF3E87"/>
    <w:rsid w:val="00CF55AB"/>
    <w:rsid w:val="00D00F3D"/>
    <w:rsid w:val="00D11820"/>
    <w:rsid w:val="00D1222B"/>
    <w:rsid w:val="00D12D5B"/>
    <w:rsid w:val="00D14735"/>
    <w:rsid w:val="00D149EE"/>
    <w:rsid w:val="00D2000B"/>
    <w:rsid w:val="00D20030"/>
    <w:rsid w:val="00D207A4"/>
    <w:rsid w:val="00D237FF"/>
    <w:rsid w:val="00D32266"/>
    <w:rsid w:val="00D33720"/>
    <w:rsid w:val="00D34971"/>
    <w:rsid w:val="00D34DB6"/>
    <w:rsid w:val="00D43356"/>
    <w:rsid w:val="00D46699"/>
    <w:rsid w:val="00D46E76"/>
    <w:rsid w:val="00D50377"/>
    <w:rsid w:val="00D52222"/>
    <w:rsid w:val="00D531FD"/>
    <w:rsid w:val="00D54BA7"/>
    <w:rsid w:val="00D60F18"/>
    <w:rsid w:val="00D610ED"/>
    <w:rsid w:val="00D61864"/>
    <w:rsid w:val="00D61F3C"/>
    <w:rsid w:val="00D67280"/>
    <w:rsid w:val="00D672FC"/>
    <w:rsid w:val="00D67BA9"/>
    <w:rsid w:val="00D70542"/>
    <w:rsid w:val="00D7384C"/>
    <w:rsid w:val="00D81638"/>
    <w:rsid w:val="00D84C22"/>
    <w:rsid w:val="00D8651F"/>
    <w:rsid w:val="00D8658A"/>
    <w:rsid w:val="00D867A7"/>
    <w:rsid w:val="00D91D85"/>
    <w:rsid w:val="00D92EB0"/>
    <w:rsid w:val="00DA0FA5"/>
    <w:rsid w:val="00DA362F"/>
    <w:rsid w:val="00DA5B8B"/>
    <w:rsid w:val="00DA76FB"/>
    <w:rsid w:val="00DB237A"/>
    <w:rsid w:val="00DB2501"/>
    <w:rsid w:val="00DC12F5"/>
    <w:rsid w:val="00DC31A9"/>
    <w:rsid w:val="00DC3884"/>
    <w:rsid w:val="00DC6895"/>
    <w:rsid w:val="00DD05B7"/>
    <w:rsid w:val="00DD1624"/>
    <w:rsid w:val="00DD46F6"/>
    <w:rsid w:val="00DD6A66"/>
    <w:rsid w:val="00DE7E4A"/>
    <w:rsid w:val="00DF1804"/>
    <w:rsid w:val="00DF1E25"/>
    <w:rsid w:val="00DF3241"/>
    <w:rsid w:val="00E0127E"/>
    <w:rsid w:val="00E05A65"/>
    <w:rsid w:val="00E11317"/>
    <w:rsid w:val="00E1309D"/>
    <w:rsid w:val="00E1787C"/>
    <w:rsid w:val="00E1792E"/>
    <w:rsid w:val="00E21113"/>
    <w:rsid w:val="00E26777"/>
    <w:rsid w:val="00E27E48"/>
    <w:rsid w:val="00E30575"/>
    <w:rsid w:val="00E345D4"/>
    <w:rsid w:val="00E35AEF"/>
    <w:rsid w:val="00E4505A"/>
    <w:rsid w:val="00E45171"/>
    <w:rsid w:val="00E46018"/>
    <w:rsid w:val="00E4665E"/>
    <w:rsid w:val="00E53C03"/>
    <w:rsid w:val="00E56717"/>
    <w:rsid w:val="00E60A4C"/>
    <w:rsid w:val="00E62212"/>
    <w:rsid w:val="00E63709"/>
    <w:rsid w:val="00E64DC7"/>
    <w:rsid w:val="00E666A3"/>
    <w:rsid w:val="00E805F7"/>
    <w:rsid w:val="00E8276D"/>
    <w:rsid w:val="00E83CB7"/>
    <w:rsid w:val="00E9158B"/>
    <w:rsid w:val="00E91A83"/>
    <w:rsid w:val="00E94433"/>
    <w:rsid w:val="00E95DB2"/>
    <w:rsid w:val="00E9740F"/>
    <w:rsid w:val="00E975B8"/>
    <w:rsid w:val="00E978A8"/>
    <w:rsid w:val="00EA3BFD"/>
    <w:rsid w:val="00EB311F"/>
    <w:rsid w:val="00EB41AD"/>
    <w:rsid w:val="00EB4596"/>
    <w:rsid w:val="00EB7344"/>
    <w:rsid w:val="00EB7F33"/>
    <w:rsid w:val="00EC118A"/>
    <w:rsid w:val="00EC2288"/>
    <w:rsid w:val="00EC27A0"/>
    <w:rsid w:val="00EC5A84"/>
    <w:rsid w:val="00EE082F"/>
    <w:rsid w:val="00EE09BF"/>
    <w:rsid w:val="00EF0334"/>
    <w:rsid w:val="00EF2F4C"/>
    <w:rsid w:val="00EF3696"/>
    <w:rsid w:val="00EF6612"/>
    <w:rsid w:val="00F01B3F"/>
    <w:rsid w:val="00F0254F"/>
    <w:rsid w:val="00F062C9"/>
    <w:rsid w:val="00F223C6"/>
    <w:rsid w:val="00F24FBA"/>
    <w:rsid w:val="00F31EEC"/>
    <w:rsid w:val="00F31FDD"/>
    <w:rsid w:val="00F32CC5"/>
    <w:rsid w:val="00F35B31"/>
    <w:rsid w:val="00F35D4C"/>
    <w:rsid w:val="00F35D7A"/>
    <w:rsid w:val="00F36FBB"/>
    <w:rsid w:val="00F4046E"/>
    <w:rsid w:val="00F40676"/>
    <w:rsid w:val="00F40BB0"/>
    <w:rsid w:val="00F413FB"/>
    <w:rsid w:val="00F44406"/>
    <w:rsid w:val="00F445DA"/>
    <w:rsid w:val="00F46CB2"/>
    <w:rsid w:val="00F53B10"/>
    <w:rsid w:val="00F55B36"/>
    <w:rsid w:val="00F57AE7"/>
    <w:rsid w:val="00F639FC"/>
    <w:rsid w:val="00F6422B"/>
    <w:rsid w:val="00F70F16"/>
    <w:rsid w:val="00F7276B"/>
    <w:rsid w:val="00F84CCF"/>
    <w:rsid w:val="00F85196"/>
    <w:rsid w:val="00F93ADC"/>
    <w:rsid w:val="00F9725A"/>
    <w:rsid w:val="00FA7F12"/>
    <w:rsid w:val="00FB05AD"/>
    <w:rsid w:val="00FB2FAC"/>
    <w:rsid w:val="00FB3271"/>
    <w:rsid w:val="00FB65B0"/>
    <w:rsid w:val="00FC04D9"/>
    <w:rsid w:val="00FC7438"/>
    <w:rsid w:val="00FD4E6B"/>
    <w:rsid w:val="00FE0412"/>
    <w:rsid w:val="00FE5789"/>
    <w:rsid w:val="00FF4718"/>
    <w:rsid w:val="00FF7D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EE340"/>
  <w15:docId w15:val="{84FC6189-6C9F-42E8-B22D-28D99DB7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C42"/>
    <w:pPr>
      <w:spacing w:after="0" w:line="240" w:lineRule="auto"/>
      <w:jc w:val="both"/>
    </w:pPr>
    <w:rPr>
      <w:rFonts w:ascii="Calibri" w:hAnsi="Calibri"/>
    </w:rPr>
  </w:style>
  <w:style w:type="paragraph" w:styleId="Heading1">
    <w:name w:val="heading 1"/>
    <w:basedOn w:val="Normal"/>
    <w:next w:val="Normal"/>
    <w:link w:val="Heading1Char"/>
    <w:uiPriority w:val="9"/>
    <w:qFormat/>
    <w:rsid w:val="00252C42"/>
    <w:pPr>
      <w:keepNext/>
      <w:keepLines/>
      <w:numPr>
        <w:numId w:val="4"/>
      </w:numPr>
      <w:spacing w:before="120" w:after="12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973E82"/>
    <w:pPr>
      <w:keepNext/>
      <w:keepLines/>
      <w:numPr>
        <w:numId w:val="3"/>
      </w:numPr>
      <w:spacing w:before="60" w:after="6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973E82"/>
    <w:pPr>
      <w:keepNext/>
      <w:keepLines/>
      <w:ind w:left="567"/>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C42"/>
    <w:rPr>
      <w:rFonts w:ascii="Calibri" w:eastAsiaTheme="majorEastAsia" w:hAnsi="Calibri" w:cstheme="majorBidi"/>
      <w:b/>
      <w:color w:val="000000" w:themeColor="text1"/>
      <w:szCs w:val="32"/>
    </w:rPr>
  </w:style>
  <w:style w:type="paragraph" w:styleId="ListParagraph">
    <w:name w:val="List Paragraph"/>
    <w:basedOn w:val="Normal"/>
    <w:link w:val="ListParagraphChar"/>
    <w:uiPriority w:val="34"/>
    <w:qFormat/>
    <w:rsid w:val="00645A28"/>
    <w:pPr>
      <w:ind w:left="720"/>
      <w:contextualSpacing/>
    </w:pPr>
  </w:style>
  <w:style w:type="character" w:customStyle="1" w:styleId="Heading2Char">
    <w:name w:val="Heading 2 Char"/>
    <w:basedOn w:val="DefaultParagraphFont"/>
    <w:link w:val="Heading2"/>
    <w:uiPriority w:val="9"/>
    <w:rsid w:val="00973E82"/>
    <w:rPr>
      <w:rFonts w:ascii="Calibri" w:eastAsiaTheme="majorEastAsia" w:hAnsi="Calibri" w:cstheme="majorBidi"/>
      <w:szCs w:val="26"/>
    </w:rPr>
  </w:style>
  <w:style w:type="paragraph" w:styleId="Title">
    <w:name w:val="Title"/>
    <w:basedOn w:val="Normal"/>
    <w:next w:val="Normal"/>
    <w:link w:val="TitleChar"/>
    <w:uiPriority w:val="10"/>
    <w:qFormat/>
    <w:rsid w:val="004A7154"/>
    <w:pPr>
      <w:widowControl w:val="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154"/>
    <w:rPr>
      <w:rFonts w:asciiTheme="majorHAnsi" w:eastAsiaTheme="majorEastAsia" w:hAnsiTheme="majorHAnsi" w:cstheme="majorBidi"/>
      <w:spacing w:val="-10"/>
      <w:kern w:val="28"/>
      <w:sz w:val="56"/>
      <w:szCs w:val="56"/>
    </w:rPr>
  </w:style>
  <w:style w:type="paragraph" w:styleId="Revision">
    <w:name w:val="Revision"/>
    <w:hidden/>
    <w:uiPriority w:val="99"/>
    <w:semiHidden/>
    <w:rsid w:val="00C61EF3"/>
    <w:pPr>
      <w:spacing w:after="0" w:line="240" w:lineRule="auto"/>
    </w:pPr>
  </w:style>
  <w:style w:type="paragraph" w:customStyle="1" w:styleId="gmail-m8156492140097450329msolistparagraph">
    <w:name w:val="gmail-m_8156492140097450329msolistparagraph"/>
    <w:basedOn w:val="Normal"/>
    <w:rsid w:val="00E9740F"/>
    <w:pPr>
      <w:spacing w:before="100" w:beforeAutospacing="1" w:after="100" w:afterAutospacing="1"/>
    </w:pPr>
    <w:rPr>
      <w:rFonts w:cs="Calibri"/>
    </w:rPr>
  </w:style>
  <w:style w:type="table" w:styleId="TableGrid">
    <w:name w:val="Table Grid"/>
    <w:basedOn w:val="TableNormal"/>
    <w:uiPriority w:val="59"/>
    <w:rsid w:val="00E974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974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40F"/>
    <w:rPr>
      <w:rFonts w:ascii="Segoe UI" w:hAnsi="Segoe UI" w:cs="Segoe UI"/>
      <w:sz w:val="18"/>
      <w:szCs w:val="18"/>
    </w:rPr>
  </w:style>
  <w:style w:type="character" w:styleId="CommentReference">
    <w:name w:val="annotation reference"/>
    <w:basedOn w:val="DefaultParagraphFont"/>
    <w:uiPriority w:val="99"/>
    <w:semiHidden/>
    <w:unhideWhenUsed/>
    <w:rsid w:val="001F7903"/>
    <w:rPr>
      <w:sz w:val="16"/>
      <w:szCs w:val="16"/>
    </w:rPr>
  </w:style>
  <w:style w:type="paragraph" w:styleId="CommentText">
    <w:name w:val="annotation text"/>
    <w:basedOn w:val="Normal"/>
    <w:link w:val="CommentTextChar"/>
    <w:uiPriority w:val="99"/>
    <w:semiHidden/>
    <w:unhideWhenUsed/>
    <w:rsid w:val="001F7903"/>
    <w:rPr>
      <w:sz w:val="20"/>
      <w:szCs w:val="20"/>
    </w:rPr>
  </w:style>
  <w:style w:type="character" w:customStyle="1" w:styleId="CommentTextChar">
    <w:name w:val="Comment Text Char"/>
    <w:basedOn w:val="DefaultParagraphFont"/>
    <w:link w:val="CommentText"/>
    <w:uiPriority w:val="99"/>
    <w:semiHidden/>
    <w:rsid w:val="001F7903"/>
    <w:rPr>
      <w:sz w:val="20"/>
      <w:szCs w:val="20"/>
    </w:rPr>
  </w:style>
  <w:style w:type="paragraph" w:styleId="CommentSubject">
    <w:name w:val="annotation subject"/>
    <w:basedOn w:val="CommentText"/>
    <w:next w:val="CommentText"/>
    <w:link w:val="CommentSubjectChar"/>
    <w:uiPriority w:val="99"/>
    <w:semiHidden/>
    <w:unhideWhenUsed/>
    <w:rsid w:val="001F7903"/>
    <w:rPr>
      <w:b/>
      <w:bCs/>
    </w:rPr>
  </w:style>
  <w:style w:type="character" w:customStyle="1" w:styleId="CommentSubjectChar">
    <w:name w:val="Comment Subject Char"/>
    <w:basedOn w:val="CommentTextChar"/>
    <w:link w:val="CommentSubject"/>
    <w:uiPriority w:val="99"/>
    <w:semiHidden/>
    <w:rsid w:val="001F7903"/>
    <w:rPr>
      <w:b/>
      <w:bCs/>
      <w:sz w:val="20"/>
      <w:szCs w:val="20"/>
    </w:rPr>
  </w:style>
  <w:style w:type="paragraph" w:styleId="NormalWeb">
    <w:name w:val="Normal (Web)"/>
    <w:basedOn w:val="Normal"/>
    <w:uiPriority w:val="99"/>
    <w:unhideWhenUsed/>
    <w:rsid w:val="003A0897"/>
    <w:pPr>
      <w:spacing w:before="100" w:beforeAutospacing="1" w:after="100" w:afterAutospacing="1" w:line="276" w:lineRule="auto"/>
    </w:pPr>
    <w:rPr>
      <w:rFonts w:eastAsiaTheme="minorEastAsia"/>
    </w:rPr>
  </w:style>
  <w:style w:type="paragraph" w:styleId="FootnoteText">
    <w:name w:val="footnote text"/>
    <w:aliases w:val="fn,Footnotes,Footnote ak,fn Char,footnote text Char,Footnotes Char,Footnote ak Char,ft,fn cafc,Footnotes Char Char,Footnote Text Char Char,fn Char Char"/>
    <w:basedOn w:val="Normal"/>
    <w:link w:val="FootnoteTextChar"/>
    <w:uiPriority w:val="99"/>
    <w:qFormat/>
    <w:rsid w:val="003A0897"/>
    <w:pPr>
      <w:spacing w:before="90"/>
    </w:pPr>
    <w:rPr>
      <w:rFonts w:eastAsiaTheme="minorEastAsia"/>
      <w:sz w:val="16"/>
    </w:rPr>
  </w:style>
  <w:style w:type="character" w:customStyle="1" w:styleId="FootnoteTextChar">
    <w:name w:val="Footnote Text Char"/>
    <w:aliases w:val="fn Char1,Footnotes Char1,Footnote ak Char1,fn Char Char1,footnote text Char Char,Footnotes Char Char1,Footnote ak Char Char,ft Char,fn cafc Char,Footnotes Char Char Char,Footnote Text Char Char Char,fn Char Char Char"/>
    <w:basedOn w:val="DefaultParagraphFont"/>
    <w:link w:val="FootnoteText"/>
    <w:uiPriority w:val="99"/>
    <w:rsid w:val="003A0897"/>
    <w:rPr>
      <w:rFonts w:eastAsiaTheme="minorEastAsia"/>
      <w:sz w:val="16"/>
    </w:rPr>
  </w:style>
  <w:style w:type="character" w:styleId="FootnoteReference">
    <w:name w:val="footnote reference"/>
    <w:aliases w:val="Footnotes refss,Footnote Reference1,ftref,16 Point,Superscript 6 Point,Error-Fußnotenzeichen5,Error-Fußnotenzeichen6,Error-Fußnotenzeichen3,BVI fnr,Footnotes refss Char,Footnote Reference1 Char,ftref Char,16 Point Char"/>
    <w:basedOn w:val="DefaultParagraphFont"/>
    <w:link w:val="BVIfnrCarattereCharCharCharCarattereCharCharCharCharCharChar1CharCharCharCarattereChar"/>
    <w:uiPriority w:val="99"/>
    <w:qFormat/>
    <w:rsid w:val="003A0897"/>
    <w:rPr>
      <w:vertAlign w:val="superscript"/>
    </w:rPr>
  </w:style>
  <w:style w:type="paragraph" w:styleId="Caption">
    <w:name w:val="caption"/>
    <w:basedOn w:val="Normal"/>
    <w:next w:val="Normal"/>
    <w:uiPriority w:val="12"/>
    <w:qFormat/>
    <w:rsid w:val="003A0897"/>
    <w:pPr>
      <w:keepNext/>
      <w:keepLines/>
      <w:spacing w:before="270" w:after="180" w:line="264" w:lineRule="auto"/>
    </w:pPr>
    <w:rPr>
      <w:rFonts w:asciiTheme="majorHAnsi" w:eastAsiaTheme="majorEastAsia" w:hAnsiTheme="majorHAnsi"/>
      <w:b/>
      <w:iCs/>
      <w:color w:val="70AD47" w:themeColor="accent6"/>
      <w:sz w:val="24"/>
      <w:szCs w:val="18"/>
    </w:rPr>
  </w:style>
  <w:style w:type="table" w:customStyle="1" w:styleId="IFPRITableStyle">
    <w:name w:val="IFPRI Table Style"/>
    <w:basedOn w:val="TableNormal"/>
    <w:uiPriority w:val="99"/>
    <w:rsid w:val="003A0897"/>
    <w:pPr>
      <w:spacing w:after="0" w:line="240" w:lineRule="auto"/>
      <w:jc w:val="center"/>
    </w:pPr>
    <w:rPr>
      <w:rFonts w:eastAsiaTheme="minorEastAsia"/>
      <w:sz w:val="16"/>
    </w:rPr>
    <w:tblPr>
      <w:tblStyleRowBandSize w:val="1"/>
      <w:tblStyleColBandSize w:val="1"/>
      <w:tblBorders>
        <w:bottom w:val="single" w:sz="8" w:space="0" w:color="70AD47" w:themeColor="accent6"/>
      </w:tblBorders>
      <w:tblCellMar>
        <w:top w:w="101" w:type="dxa"/>
        <w:left w:w="115" w:type="dxa"/>
        <w:bottom w:w="101" w:type="dxa"/>
        <w:right w:w="115" w:type="dxa"/>
      </w:tblCellMar>
    </w:tblPr>
    <w:tblStylePr w:type="firstRow">
      <w:pPr>
        <w:jc w:val="center"/>
      </w:pPr>
      <w:rPr>
        <w:rFonts w:asciiTheme="minorHAnsi" w:hAnsiTheme="minorHAnsi"/>
        <w:b/>
        <w:color w:val="FFFFFF" w:themeColor="background1"/>
      </w:rPr>
      <w:tblPr/>
      <w:tcPr>
        <w:shd w:val="clear" w:color="auto" w:fill="70AD47" w:themeFill="accent6"/>
        <w:vAlign w:val="bottom"/>
      </w:tcPr>
    </w:tblStylePr>
    <w:tblStylePr w:type="firstCol">
      <w:pPr>
        <w:jc w:val="left"/>
      </w:pPr>
      <w:rPr>
        <w:b/>
      </w:rPr>
    </w:tblStylePr>
    <w:tblStylePr w:type="band1Horz">
      <w:tblPr/>
      <w:tcPr>
        <w:shd w:val="clear" w:color="auto" w:fill="FAF9F9" w:themeFill="background2" w:themeFillTint="33"/>
      </w:tcPr>
    </w:tblStylePr>
    <w:tblStylePr w:type="nwCell">
      <w:pPr>
        <w:jc w:val="left"/>
      </w:pPr>
      <w:tblPr/>
      <w:tcPr>
        <w:vAlign w:val="bottom"/>
      </w:tcPr>
    </w:tblStylePr>
  </w:style>
  <w:style w:type="paragraph" w:customStyle="1" w:styleId="Default">
    <w:name w:val="Default"/>
    <w:rsid w:val="003A0897"/>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FootnoteReference"/>
    <w:uiPriority w:val="99"/>
    <w:rsid w:val="003A0897"/>
    <w:pPr>
      <w:spacing w:line="240" w:lineRule="exact"/>
    </w:pPr>
    <w:rPr>
      <w:vertAlign w:val="superscript"/>
    </w:rPr>
  </w:style>
  <w:style w:type="character" w:styleId="Emphasis">
    <w:name w:val="Emphasis"/>
    <w:basedOn w:val="DefaultParagraphFont"/>
    <w:uiPriority w:val="20"/>
    <w:qFormat/>
    <w:rsid w:val="00E35AEF"/>
    <w:rPr>
      <w:i/>
      <w:iCs/>
    </w:rPr>
  </w:style>
  <w:style w:type="character" w:styleId="Hyperlink">
    <w:name w:val="Hyperlink"/>
    <w:basedOn w:val="DefaultParagraphFont"/>
    <w:uiPriority w:val="99"/>
    <w:unhideWhenUsed/>
    <w:rsid w:val="00E35AEF"/>
    <w:rPr>
      <w:color w:val="0000FF"/>
      <w:u w:val="single"/>
    </w:rPr>
  </w:style>
  <w:style w:type="paragraph" w:customStyle="1" w:styleId="infohome">
    <w:name w:val="infohome"/>
    <w:basedOn w:val="Normal"/>
    <w:rsid w:val="00AB47E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426AD"/>
    <w:rPr>
      <w:b/>
      <w:bCs/>
    </w:rPr>
  </w:style>
  <w:style w:type="character" w:customStyle="1" w:styleId="A7">
    <w:name w:val="A7"/>
    <w:uiPriority w:val="99"/>
    <w:rsid w:val="00562A0C"/>
    <w:rPr>
      <w:rFonts w:cs="Myriad Pro Light"/>
      <w:color w:val="221E1F"/>
      <w:sz w:val="20"/>
      <w:szCs w:val="20"/>
    </w:rPr>
  </w:style>
  <w:style w:type="paragraph" w:customStyle="1" w:styleId="Pa9">
    <w:name w:val="Pa9"/>
    <w:basedOn w:val="Default"/>
    <w:next w:val="Default"/>
    <w:uiPriority w:val="99"/>
    <w:rsid w:val="00C60951"/>
    <w:pPr>
      <w:spacing w:line="201" w:lineRule="atLeast"/>
    </w:pPr>
    <w:rPr>
      <w:rFonts w:ascii="Roboto Light" w:eastAsiaTheme="minorHAnsi" w:hAnsi="Roboto Light" w:cstheme="minorBidi"/>
      <w:color w:val="auto"/>
      <w:lang w:eastAsia="en-US"/>
    </w:rPr>
  </w:style>
  <w:style w:type="character" w:customStyle="1" w:styleId="A4">
    <w:name w:val="A4"/>
    <w:uiPriority w:val="99"/>
    <w:rsid w:val="00C60951"/>
    <w:rPr>
      <w:rFonts w:cs="Roboto Light"/>
      <w:color w:val="000000"/>
      <w:sz w:val="14"/>
      <w:szCs w:val="14"/>
    </w:rPr>
  </w:style>
  <w:style w:type="paragraph" w:styleId="BodyText">
    <w:name w:val="Body Text"/>
    <w:basedOn w:val="Normal"/>
    <w:link w:val="BodyTextChar"/>
    <w:uiPriority w:val="1"/>
    <w:qFormat/>
    <w:rsid w:val="008D3E10"/>
    <w:pPr>
      <w:widowControl w:val="0"/>
      <w:autoSpaceDE w:val="0"/>
      <w:autoSpaceDN w:val="0"/>
      <w:spacing w:line="480" w:lineRule="auto"/>
      <w:ind w:firstLine="72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8D3E10"/>
    <w:rPr>
      <w:rFonts w:ascii="Times New Roman" w:eastAsia="Times New Roman" w:hAnsi="Times New Roman" w:cs="Times New Roman"/>
    </w:rPr>
  </w:style>
  <w:style w:type="paragraph" w:styleId="ListBullet">
    <w:name w:val="List Bullet"/>
    <w:basedOn w:val="Normal"/>
    <w:link w:val="ListBulletChar"/>
    <w:uiPriority w:val="99"/>
    <w:unhideWhenUsed/>
    <w:qFormat/>
    <w:rsid w:val="00D52222"/>
    <w:pPr>
      <w:spacing w:after="180" w:line="271" w:lineRule="auto"/>
      <w:ind w:left="360" w:hanging="360"/>
    </w:pPr>
    <w:rPr>
      <w:rFonts w:eastAsiaTheme="minorEastAsia"/>
      <w:kern w:val="12"/>
      <w:szCs w:val="20"/>
    </w:rPr>
  </w:style>
  <w:style w:type="character" w:styleId="UnresolvedMention">
    <w:name w:val="Unresolved Mention"/>
    <w:basedOn w:val="DefaultParagraphFont"/>
    <w:uiPriority w:val="99"/>
    <w:semiHidden/>
    <w:unhideWhenUsed/>
    <w:rsid w:val="00E345D4"/>
    <w:rPr>
      <w:color w:val="605E5C"/>
      <w:shd w:val="clear" w:color="auto" w:fill="E1DFDD"/>
    </w:rPr>
  </w:style>
  <w:style w:type="character" w:styleId="FollowedHyperlink">
    <w:name w:val="FollowedHyperlink"/>
    <w:basedOn w:val="DefaultParagraphFont"/>
    <w:uiPriority w:val="99"/>
    <w:semiHidden/>
    <w:unhideWhenUsed/>
    <w:rsid w:val="00DA76FB"/>
    <w:rPr>
      <w:color w:val="954F72" w:themeColor="followedHyperlink"/>
      <w:u w:val="single"/>
    </w:rPr>
  </w:style>
  <w:style w:type="paragraph" w:customStyle="1" w:styleId="Table">
    <w:name w:val="Table"/>
    <w:basedOn w:val="Normal"/>
    <w:link w:val="TableChar"/>
    <w:qFormat/>
    <w:rsid w:val="00A50B47"/>
    <w:pPr>
      <w:numPr>
        <w:numId w:val="41"/>
      </w:numPr>
      <w:autoSpaceDE w:val="0"/>
      <w:autoSpaceDN w:val="0"/>
      <w:adjustRightInd w:val="0"/>
      <w:ind w:left="0" w:firstLine="0"/>
    </w:pPr>
    <w:rPr>
      <w:b/>
    </w:rPr>
  </w:style>
  <w:style w:type="paragraph" w:customStyle="1" w:styleId="Footnote">
    <w:name w:val="Footnote"/>
    <w:basedOn w:val="FootnoteText"/>
    <w:link w:val="FootnoteChar"/>
    <w:qFormat/>
    <w:rsid w:val="00252C42"/>
    <w:rPr>
      <w:sz w:val="18"/>
    </w:rPr>
  </w:style>
  <w:style w:type="character" w:customStyle="1" w:styleId="TableChar">
    <w:name w:val="Table Char"/>
    <w:basedOn w:val="DefaultParagraphFont"/>
    <w:link w:val="Table"/>
    <w:rsid w:val="00A50B47"/>
    <w:rPr>
      <w:b/>
    </w:rPr>
  </w:style>
  <w:style w:type="character" w:customStyle="1" w:styleId="Heading3Char">
    <w:name w:val="Heading 3 Char"/>
    <w:basedOn w:val="DefaultParagraphFont"/>
    <w:link w:val="Heading3"/>
    <w:uiPriority w:val="9"/>
    <w:rsid w:val="00973E82"/>
    <w:rPr>
      <w:rFonts w:ascii="Calibri" w:eastAsiaTheme="majorEastAsia" w:hAnsi="Calibri" w:cstheme="majorBidi"/>
      <w:color w:val="000000" w:themeColor="text1"/>
      <w:szCs w:val="24"/>
    </w:rPr>
  </w:style>
  <w:style w:type="character" w:customStyle="1" w:styleId="FootnoteChar">
    <w:name w:val="Footnote Char"/>
    <w:basedOn w:val="FootnoteTextChar"/>
    <w:link w:val="Footnote"/>
    <w:rsid w:val="00252C42"/>
    <w:rPr>
      <w:rFonts w:ascii="Calibri" w:eastAsiaTheme="minorEastAsia" w:hAnsi="Calibri"/>
      <w:sz w:val="18"/>
    </w:rPr>
  </w:style>
  <w:style w:type="paragraph" w:customStyle="1" w:styleId="Source">
    <w:name w:val="Source"/>
    <w:basedOn w:val="ListParagraph"/>
    <w:link w:val="SourceChar"/>
    <w:qFormat/>
    <w:rsid w:val="00973E82"/>
    <w:pPr>
      <w:autoSpaceDE w:val="0"/>
      <w:autoSpaceDN w:val="0"/>
      <w:adjustRightInd w:val="0"/>
      <w:spacing w:after="120"/>
      <w:ind w:left="0"/>
      <w:jc w:val="left"/>
    </w:pPr>
    <w:rPr>
      <w:rFonts w:cstheme="minorHAnsi"/>
      <w:color w:val="000000"/>
      <w:sz w:val="20"/>
      <w:lang w:eastAsia="ja-JP"/>
    </w:rPr>
  </w:style>
  <w:style w:type="paragraph" w:customStyle="1" w:styleId="Reference">
    <w:name w:val="Reference"/>
    <w:basedOn w:val="ListBullet"/>
    <w:link w:val="ReferenceChar"/>
    <w:qFormat/>
    <w:rsid w:val="0018376E"/>
    <w:pPr>
      <w:spacing w:before="60" w:after="60" w:line="240" w:lineRule="auto"/>
      <w:ind w:left="737" w:hanging="737"/>
      <w:jc w:val="left"/>
    </w:pPr>
    <w:rPr>
      <w:rFonts w:cs="Arial"/>
      <w:color w:val="222222"/>
      <w:shd w:val="clear" w:color="auto" w:fill="FFFFFF"/>
    </w:rPr>
  </w:style>
  <w:style w:type="character" w:customStyle="1" w:styleId="ListParagraphChar">
    <w:name w:val="List Paragraph Char"/>
    <w:basedOn w:val="DefaultParagraphFont"/>
    <w:link w:val="ListParagraph"/>
    <w:uiPriority w:val="34"/>
    <w:rsid w:val="00973E82"/>
    <w:rPr>
      <w:rFonts w:ascii="Calibri" w:hAnsi="Calibri"/>
    </w:rPr>
  </w:style>
  <w:style w:type="character" w:customStyle="1" w:styleId="SourceChar">
    <w:name w:val="Source Char"/>
    <w:basedOn w:val="ListParagraphChar"/>
    <w:link w:val="Source"/>
    <w:rsid w:val="00973E82"/>
    <w:rPr>
      <w:rFonts w:ascii="Calibri" w:hAnsi="Calibri" w:cstheme="minorHAnsi"/>
      <w:color w:val="000000"/>
      <w:sz w:val="20"/>
      <w:lang w:eastAsia="ja-JP"/>
    </w:rPr>
  </w:style>
  <w:style w:type="paragraph" w:styleId="NoSpacing">
    <w:name w:val="No Spacing"/>
    <w:uiPriority w:val="1"/>
    <w:qFormat/>
    <w:rsid w:val="00593A5D"/>
    <w:pPr>
      <w:spacing w:after="0" w:line="240" w:lineRule="auto"/>
      <w:jc w:val="both"/>
    </w:pPr>
    <w:rPr>
      <w:rFonts w:ascii="Calibri" w:hAnsi="Calibri"/>
    </w:rPr>
  </w:style>
  <w:style w:type="character" w:customStyle="1" w:styleId="ListBulletChar">
    <w:name w:val="List Bullet Char"/>
    <w:basedOn w:val="DefaultParagraphFont"/>
    <w:link w:val="ListBullet"/>
    <w:uiPriority w:val="99"/>
    <w:rsid w:val="0018376E"/>
    <w:rPr>
      <w:rFonts w:ascii="Calibri" w:eastAsiaTheme="minorEastAsia" w:hAnsi="Calibri"/>
      <w:kern w:val="12"/>
      <w:szCs w:val="20"/>
    </w:rPr>
  </w:style>
  <w:style w:type="character" w:customStyle="1" w:styleId="ReferenceChar">
    <w:name w:val="Reference Char"/>
    <w:basedOn w:val="ListBulletChar"/>
    <w:link w:val="Reference"/>
    <w:rsid w:val="0018376E"/>
    <w:rPr>
      <w:rFonts w:ascii="Calibri" w:eastAsiaTheme="minorEastAsia" w:hAnsi="Calibri" w:cs="Arial"/>
      <w:color w:val="222222"/>
      <w:kern w:val="12"/>
      <w:szCs w:val="20"/>
    </w:rPr>
  </w:style>
  <w:style w:type="paragraph" w:customStyle="1" w:styleId="Graph">
    <w:name w:val="Graph"/>
    <w:basedOn w:val="Normal"/>
    <w:link w:val="GraphChar"/>
    <w:qFormat/>
    <w:rsid w:val="00001B5F"/>
    <w:pPr>
      <w:numPr>
        <w:numId w:val="45"/>
      </w:numPr>
      <w:spacing w:before="120"/>
      <w:ind w:left="0" w:firstLine="0"/>
      <w:jc w:val="left"/>
    </w:pPr>
    <w:rPr>
      <w:b/>
    </w:rPr>
  </w:style>
  <w:style w:type="character" w:customStyle="1" w:styleId="GraphChar">
    <w:name w:val="Graph Char"/>
    <w:basedOn w:val="DefaultParagraphFont"/>
    <w:link w:val="Graph"/>
    <w:rsid w:val="00001B5F"/>
    <w:rPr>
      <w:rFonts w:ascii="Calibri" w:hAnsi="Calibri"/>
      <w:b/>
    </w:rPr>
  </w:style>
  <w:style w:type="paragraph" w:customStyle="1" w:styleId="Listeclasse">
    <w:name w:val="Liste classée"/>
    <w:basedOn w:val="ListParagraph"/>
    <w:qFormat/>
    <w:rsid w:val="003E2C25"/>
    <w:pPr>
      <w:numPr>
        <w:numId w:val="46"/>
      </w:numPr>
      <w:jc w:val="left"/>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47043">
      <w:bodyDiv w:val="1"/>
      <w:marLeft w:val="0"/>
      <w:marRight w:val="0"/>
      <w:marTop w:val="0"/>
      <w:marBottom w:val="0"/>
      <w:divBdr>
        <w:top w:val="none" w:sz="0" w:space="0" w:color="auto"/>
        <w:left w:val="none" w:sz="0" w:space="0" w:color="auto"/>
        <w:bottom w:val="none" w:sz="0" w:space="0" w:color="auto"/>
        <w:right w:val="none" w:sz="0" w:space="0" w:color="auto"/>
      </w:divBdr>
    </w:div>
    <w:div w:id="561721228">
      <w:bodyDiv w:val="1"/>
      <w:marLeft w:val="0"/>
      <w:marRight w:val="0"/>
      <w:marTop w:val="0"/>
      <w:marBottom w:val="0"/>
      <w:divBdr>
        <w:top w:val="none" w:sz="0" w:space="0" w:color="auto"/>
        <w:left w:val="none" w:sz="0" w:space="0" w:color="auto"/>
        <w:bottom w:val="none" w:sz="0" w:space="0" w:color="auto"/>
        <w:right w:val="none" w:sz="0" w:space="0" w:color="auto"/>
      </w:divBdr>
      <w:divsChild>
        <w:div w:id="1950815553">
          <w:marLeft w:val="1080"/>
          <w:marRight w:val="0"/>
          <w:marTop w:val="100"/>
          <w:marBottom w:val="0"/>
          <w:divBdr>
            <w:top w:val="none" w:sz="0" w:space="0" w:color="auto"/>
            <w:left w:val="none" w:sz="0" w:space="0" w:color="auto"/>
            <w:bottom w:val="none" w:sz="0" w:space="0" w:color="auto"/>
            <w:right w:val="none" w:sz="0" w:space="0" w:color="auto"/>
          </w:divBdr>
        </w:div>
        <w:div w:id="2065564622">
          <w:marLeft w:val="1080"/>
          <w:marRight w:val="0"/>
          <w:marTop w:val="100"/>
          <w:marBottom w:val="0"/>
          <w:divBdr>
            <w:top w:val="none" w:sz="0" w:space="0" w:color="auto"/>
            <w:left w:val="none" w:sz="0" w:space="0" w:color="auto"/>
            <w:bottom w:val="none" w:sz="0" w:space="0" w:color="auto"/>
            <w:right w:val="none" w:sz="0" w:space="0" w:color="auto"/>
          </w:divBdr>
        </w:div>
        <w:div w:id="736828227">
          <w:marLeft w:val="1080"/>
          <w:marRight w:val="0"/>
          <w:marTop w:val="100"/>
          <w:marBottom w:val="0"/>
          <w:divBdr>
            <w:top w:val="none" w:sz="0" w:space="0" w:color="auto"/>
            <w:left w:val="none" w:sz="0" w:space="0" w:color="auto"/>
            <w:bottom w:val="none" w:sz="0" w:space="0" w:color="auto"/>
            <w:right w:val="none" w:sz="0" w:space="0" w:color="auto"/>
          </w:divBdr>
        </w:div>
        <w:div w:id="943463352">
          <w:marLeft w:val="1080"/>
          <w:marRight w:val="0"/>
          <w:marTop w:val="100"/>
          <w:marBottom w:val="0"/>
          <w:divBdr>
            <w:top w:val="none" w:sz="0" w:space="0" w:color="auto"/>
            <w:left w:val="none" w:sz="0" w:space="0" w:color="auto"/>
            <w:bottom w:val="none" w:sz="0" w:space="0" w:color="auto"/>
            <w:right w:val="none" w:sz="0" w:space="0" w:color="auto"/>
          </w:divBdr>
        </w:div>
        <w:div w:id="2109035936">
          <w:marLeft w:val="1080"/>
          <w:marRight w:val="0"/>
          <w:marTop w:val="100"/>
          <w:marBottom w:val="0"/>
          <w:divBdr>
            <w:top w:val="none" w:sz="0" w:space="0" w:color="auto"/>
            <w:left w:val="none" w:sz="0" w:space="0" w:color="auto"/>
            <w:bottom w:val="none" w:sz="0" w:space="0" w:color="auto"/>
            <w:right w:val="none" w:sz="0" w:space="0" w:color="auto"/>
          </w:divBdr>
        </w:div>
        <w:div w:id="301664079">
          <w:marLeft w:val="1080"/>
          <w:marRight w:val="0"/>
          <w:marTop w:val="100"/>
          <w:marBottom w:val="0"/>
          <w:divBdr>
            <w:top w:val="none" w:sz="0" w:space="0" w:color="auto"/>
            <w:left w:val="none" w:sz="0" w:space="0" w:color="auto"/>
            <w:bottom w:val="none" w:sz="0" w:space="0" w:color="auto"/>
            <w:right w:val="none" w:sz="0" w:space="0" w:color="auto"/>
          </w:divBdr>
        </w:div>
        <w:div w:id="1554806770">
          <w:marLeft w:val="1080"/>
          <w:marRight w:val="0"/>
          <w:marTop w:val="100"/>
          <w:marBottom w:val="0"/>
          <w:divBdr>
            <w:top w:val="none" w:sz="0" w:space="0" w:color="auto"/>
            <w:left w:val="none" w:sz="0" w:space="0" w:color="auto"/>
            <w:bottom w:val="none" w:sz="0" w:space="0" w:color="auto"/>
            <w:right w:val="none" w:sz="0" w:space="0" w:color="auto"/>
          </w:divBdr>
        </w:div>
        <w:div w:id="1920021238">
          <w:marLeft w:val="1080"/>
          <w:marRight w:val="0"/>
          <w:marTop w:val="100"/>
          <w:marBottom w:val="0"/>
          <w:divBdr>
            <w:top w:val="none" w:sz="0" w:space="0" w:color="auto"/>
            <w:left w:val="none" w:sz="0" w:space="0" w:color="auto"/>
            <w:bottom w:val="none" w:sz="0" w:space="0" w:color="auto"/>
            <w:right w:val="none" w:sz="0" w:space="0" w:color="auto"/>
          </w:divBdr>
        </w:div>
      </w:divsChild>
    </w:div>
    <w:div w:id="808013300">
      <w:bodyDiv w:val="1"/>
      <w:marLeft w:val="0"/>
      <w:marRight w:val="0"/>
      <w:marTop w:val="0"/>
      <w:marBottom w:val="0"/>
      <w:divBdr>
        <w:top w:val="none" w:sz="0" w:space="0" w:color="auto"/>
        <w:left w:val="none" w:sz="0" w:space="0" w:color="auto"/>
        <w:bottom w:val="none" w:sz="0" w:space="0" w:color="auto"/>
        <w:right w:val="none" w:sz="0" w:space="0" w:color="auto"/>
      </w:divBdr>
    </w:div>
    <w:div w:id="1013994380">
      <w:bodyDiv w:val="1"/>
      <w:marLeft w:val="0"/>
      <w:marRight w:val="0"/>
      <w:marTop w:val="0"/>
      <w:marBottom w:val="0"/>
      <w:divBdr>
        <w:top w:val="none" w:sz="0" w:space="0" w:color="auto"/>
        <w:left w:val="none" w:sz="0" w:space="0" w:color="auto"/>
        <w:bottom w:val="none" w:sz="0" w:space="0" w:color="auto"/>
        <w:right w:val="none" w:sz="0" w:space="0" w:color="auto"/>
      </w:divBdr>
    </w:div>
    <w:div w:id="1042972451">
      <w:bodyDiv w:val="1"/>
      <w:marLeft w:val="0"/>
      <w:marRight w:val="0"/>
      <w:marTop w:val="0"/>
      <w:marBottom w:val="0"/>
      <w:divBdr>
        <w:top w:val="none" w:sz="0" w:space="0" w:color="auto"/>
        <w:left w:val="none" w:sz="0" w:space="0" w:color="auto"/>
        <w:bottom w:val="none" w:sz="0" w:space="0" w:color="auto"/>
        <w:right w:val="none" w:sz="0" w:space="0" w:color="auto"/>
      </w:divBdr>
    </w:div>
    <w:div w:id="135727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alac.org/images/docs/12686/african-cfta-challenges-and-opportunities-oftariff-reductions-unctad-february-2018.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lac.org/publications/article/7287-the-continentalfree-tradearea-a-gtapassessment.html" TargetMode="External"/><Relationship Id="rId5" Type="http://schemas.openxmlformats.org/officeDocument/2006/relationships/webSettings" Target="webSettings.xml"/><Relationship Id="rId10" Type="http://schemas.openxmlformats.org/officeDocument/2006/relationships/hyperlink" Target="https://tradebarriers.africa/hom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tap.agecon.purdue.edu/databases/default.asp" TargetMode="External"/><Relationship Id="rId1" Type="http://schemas.openxmlformats.org/officeDocument/2006/relationships/hyperlink" Target="https://www.ewf.uni-bayreuth.de/en/research/RTA-data/index.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BOUET\Dropbox%20(IFPRI)\Recherche\AATM\AATM%202022\Chapter%205\Data%20General%20base%20AATM\data_Chp5_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'Données finales'!$A$16</c:f>
              <c:strCache>
                <c:ptCount val="1"/>
                <c:pt idx="0">
                  <c:v> Intra-african agr. exports/total African agr. Exports</c:v>
                </c:pt>
              </c:strCache>
            </c:strRef>
          </c:tx>
          <c:spPr>
            <a:ln w="28575" cap="rnd">
              <a:solidFill>
                <a:schemeClr val="accent1"/>
              </a:solidFill>
              <a:round/>
            </a:ln>
            <a:effectLst/>
          </c:spPr>
          <c:marker>
            <c:symbol val="none"/>
          </c:marker>
          <c:cat>
            <c:numRef>
              <c:f>'Données finales'!$B$15:$Q$15</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'Données finales'!$B$16:$Q$16</c:f>
              <c:numCache>
                <c:formatCode>0.0%</c:formatCode>
                <c:ptCount val="16"/>
                <c:pt idx="0">
                  <c:v>0.19513737790018448</c:v>
                </c:pt>
                <c:pt idx="1">
                  <c:v>0.19272434484190024</c:v>
                </c:pt>
                <c:pt idx="2">
                  <c:v>0.20105337365035206</c:v>
                </c:pt>
                <c:pt idx="3">
                  <c:v>0.2036519559394506</c:v>
                </c:pt>
                <c:pt idx="4">
                  <c:v>0.22864685079736749</c:v>
                </c:pt>
                <c:pt idx="5">
                  <c:v>0.2332108257155501</c:v>
                </c:pt>
                <c:pt idx="6">
                  <c:v>0.23304747983088411</c:v>
                </c:pt>
                <c:pt idx="7">
                  <c:v>0.23187521916988305</c:v>
                </c:pt>
                <c:pt idx="8">
                  <c:v>0.25665452746506706</c:v>
                </c:pt>
                <c:pt idx="9">
                  <c:v>0.23203850582066143</c:v>
                </c:pt>
                <c:pt idx="10">
                  <c:v>0.21520077268706403</c:v>
                </c:pt>
                <c:pt idx="11">
                  <c:v>0.20089317479896227</c:v>
                </c:pt>
                <c:pt idx="12">
                  <c:v>0.20866300953434791</c:v>
                </c:pt>
                <c:pt idx="13">
                  <c:v>0.19440922993032408</c:v>
                </c:pt>
                <c:pt idx="14">
                  <c:v>0.1968953426228251</c:v>
                </c:pt>
                <c:pt idx="15">
                  <c:v>0.19441048342086592</c:v>
                </c:pt>
              </c:numCache>
            </c:numRef>
          </c:val>
          <c:smooth val="0"/>
          <c:extLst>
            <c:ext xmlns:c16="http://schemas.microsoft.com/office/drawing/2014/chart" uri="{C3380CC4-5D6E-409C-BE32-E72D297353CC}">
              <c16:uniqueId val="{00000000-2B97-4F26-B528-FC395B4D73A9}"/>
            </c:ext>
          </c:extLst>
        </c:ser>
        <c:ser>
          <c:idx val="1"/>
          <c:order val="1"/>
          <c:tx>
            <c:strRef>
              <c:f>'Données finales'!$A$17</c:f>
              <c:strCache>
                <c:ptCount val="1"/>
                <c:pt idx="0">
                  <c:v> Intra-african agr. imports/total African agr. imports</c:v>
                </c:pt>
              </c:strCache>
            </c:strRef>
          </c:tx>
          <c:spPr>
            <a:ln w="28575" cap="rnd">
              <a:solidFill>
                <a:schemeClr val="accent2"/>
              </a:solidFill>
              <a:round/>
            </a:ln>
            <a:effectLst/>
          </c:spPr>
          <c:marker>
            <c:symbol val="none"/>
          </c:marker>
          <c:cat>
            <c:numRef>
              <c:f>'Données finales'!$B$15:$Q$15</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'Données finales'!$B$17:$Q$17</c:f>
              <c:numCache>
                <c:formatCode>0.0%</c:formatCode>
                <c:ptCount val="16"/>
                <c:pt idx="0">
                  <c:v>0.17256587951066307</c:v>
                </c:pt>
                <c:pt idx="1">
                  <c:v>0.15528867416232697</c:v>
                </c:pt>
                <c:pt idx="2">
                  <c:v>0.14667735291232692</c:v>
                </c:pt>
                <c:pt idx="3">
                  <c:v>0.13830414568802021</c:v>
                </c:pt>
                <c:pt idx="4">
                  <c:v>0.18478951148847358</c:v>
                </c:pt>
                <c:pt idx="5">
                  <c:v>0.17702980487252137</c:v>
                </c:pt>
                <c:pt idx="6">
                  <c:v>0.13706854576749683</c:v>
                </c:pt>
                <c:pt idx="7">
                  <c:v>0.15474868242839013</c:v>
                </c:pt>
                <c:pt idx="8">
                  <c:v>0.17584530890283881</c:v>
                </c:pt>
                <c:pt idx="9">
                  <c:v>0.15001772094400753</c:v>
                </c:pt>
                <c:pt idx="10">
                  <c:v>0.16222306935629457</c:v>
                </c:pt>
                <c:pt idx="11">
                  <c:v>0.152755460153018</c:v>
                </c:pt>
                <c:pt idx="12">
                  <c:v>0.15476422011225235</c:v>
                </c:pt>
                <c:pt idx="13">
                  <c:v>0.14735166633801891</c:v>
                </c:pt>
                <c:pt idx="14">
                  <c:v>0.15275991811640471</c:v>
                </c:pt>
                <c:pt idx="15">
                  <c:v>0.13455812533582567</c:v>
                </c:pt>
              </c:numCache>
            </c:numRef>
          </c:val>
          <c:smooth val="0"/>
          <c:extLst>
            <c:ext xmlns:c16="http://schemas.microsoft.com/office/drawing/2014/chart" uri="{C3380CC4-5D6E-409C-BE32-E72D297353CC}">
              <c16:uniqueId val="{00000001-2B97-4F26-B528-FC395B4D73A9}"/>
            </c:ext>
          </c:extLst>
        </c:ser>
        <c:dLbls>
          <c:showLegendKey val="0"/>
          <c:showVal val="0"/>
          <c:showCatName val="0"/>
          <c:showSerName val="0"/>
          <c:showPercent val="0"/>
          <c:showBubbleSize val="0"/>
        </c:dLbls>
        <c:smooth val="0"/>
        <c:axId val="475912208"/>
        <c:axId val="475915816"/>
      </c:lineChart>
      <c:catAx>
        <c:axId val="47591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915816"/>
        <c:crosses val="autoZero"/>
        <c:auto val="1"/>
        <c:lblAlgn val="ctr"/>
        <c:lblOffset val="100"/>
        <c:noMultiLvlLbl val="0"/>
      </c:catAx>
      <c:valAx>
        <c:axId val="475915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91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1FE65-6F41-4A8F-B5F4-B37244BC4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8782</Words>
  <Characters>50063</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Bouet, Antoine (IFPRI)</dc:creator>
  <cp:keywords/>
  <dc:description/>
  <cp:lastModifiedBy>Bouet, Antoine (IFPRI)</cp:lastModifiedBy>
  <cp:revision>3</cp:revision>
  <dcterms:created xsi:type="dcterms:W3CDTF">2022-04-15T11:33:00Z</dcterms:created>
  <dcterms:modified xsi:type="dcterms:W3CDTF">2022-04-15T11:34:00Z</dcterms:modified>
</cp:coreProperties>
</file>