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B6E7" w14:textId="6810CCB8" w:rsidR="00AC01F6" w:rsidRPr="00CE137E" w:rsidRDefault="00AC01F6" w:rsidP="00E543B4">
      <w:pPr>
        <w:spacing w:line="360" w:lineRule="auto"/>
        <w:jc w:val="center"/>
        <w:rPr>
          <w:rFonts w:asciiTheme="majorBidi" w:hAnsiTheme="majorBidi" w:cstheme="majorBidi"/>
          <w:b/>
          <w:bCs/>
          <w:sz w:val="28"/>
          <w:szCs w:val="28"/>
        </w:rPr>
      </w:pPr>
      <w:r w:rsidRPr="00CE137E">
        <w:rPr>
          <w:rFonts w:asciiTheme="majorBidi" w:hAnsiTheme="majorBidi" w:cstheme="majorBidi"/>
          <w:b/>
          <w:bCs/>
          <w:sz w:val="28"/>
          <w:szCs w:val="28"/>
        </w:rPr>
        <w:t>Determinants of Trade in Value-added in Africa: Implications for AfCFTA</w:t>
      </w:r>
    </w:p>
    <w:p w14:paraId="7DC308FA" w14:textId="4BF4F218" w:rsidR="001C007A" w:rsidRPr="005703D8" w:rsidRDefault="00190621" w:rsidP="0079133E">
      <w:pPr>
        <w:spacing w:line="360" w:lineRule="auto"/>
        <w:jc w:val="center"/>
        <w:rPr>
          <w:rFonts w:asciiTheme="majorBidi" w:hAnsiTheme="majorBidi" w:cstheme="majorBidi"/>
          <w:b/>
          <w:bCs/>
          <w:sz w:val="24"/>
          <w:szCs w:val="24"/>
        </w:rPr>
      </w:pPr>
      <w:r w:rsidRPr="005703D8">
        <w:rPr>
          <w:rFonts w:asciiTheme="majorBidi" w:hAnsiTheme="majorBidi" w:cstheme="majorBidi"/>
          <w:b/>
          <w:bCs/>
          <w:sz w:val="24"/>
          <w:szCs w:val="24"/>
        </w:rPr>
        <w:t>Andrew Mold, Ggombe Kasim Munyegera and Mukwaya Rodgers</w:t>
      </w:r>
      <w:r w:rsidR="0055024F" w:rsidRPr="005703D8">
        <w:rPr>
          <w:rStyle w:val="FootnoteReference"/>
          <w:rFonts w:asciiTheme="majorBidi" w:hAnsiTheme="majorBidi" w:cstheme="majorBidi"/>
          <w:b/>
          <w:bCs/>
          <w:sz w:val="24"/>
          <w:szCs w:val="24"/>
        </w:rPr>
        <w:footnoteReference w:id="1"/>
      </w:r>
    </w:p>
    <w:p w14:paraId="3FA5F575" w14:textId="77777777" w:rsidR="003F64E4" w:rsidRDefault="003F64E4" w:rsidP="00CE137E">
      <w:pPr>
        <w:spacing w:after="120" w:line="240" w:lineRule="auto"/>
        <w:jc w:val="center"/>
        <w:rPr>
          <w:rFonts w:asciiTheme="majorBidi" w:hAnsiTheme="majorBidi" w:cstheme="majorBidi"/>
          <w:b/>
          <w:bCs/>
          <w:sz w:val="24"/>
          <w:szCs w:val="24"/>
        </w:rPr>
      </w:pPr>
    </w:p>
    <w:p w14:paraId="56F43039" w14:textId="6CA2E131" w:rsidR="001C007A" w:rsidRPr="005703D8" w:rsidRDefault="001C007A" w:rsidP="00CE137E">
      <w:pPr>
        <w:spacing w:after="120" w:line="240" w:lineRule="auto"/>
        <w:jc w:val="center"/>
        <w:rPr>
          <w:rFonts w:asciiTheme="majorBidi" w:hAnsiTheme="majorBidi" w:cstheme="majorBidi"/>
          <w:b/>
          <w:bCs/>
          <w:sz w:val="24"/>
          <w:szCs w:val="24"/>
        </w:rPr>
      </w:pPr>
      <w:r w:rsidRPr="005703D8">
        <w:rPr>
          <w:rFonts w:asciiTheme="majorBidi" w:hAnsiTheme="majorBidi" w:cstheme="majorBidi"/>
          <w:b/>
          <w:bCs/>
          <w:sz w:val="24"/>
          <w:szCs w:val="24"/>
        </w:rPr>
        <w:t>Abstract</w:t>
      </w:r>
    </w:p>
    <w:p w14:paraId="4A9B8A03" w14:textId="23422188" w:rsidR="007026EA" w:rsidRPr="005703D8" w:rsidRDefault="001C007A" w:rsidP="0079133E">
      <w:pPr>
        <w:spacing w:line="360" w:lineRule="auto"/>
        <w:jc w:val="both"/>
        <w:rPr>
          <w:rFonts w:asciiTheme="majorBidi" w:hAnsiTheme="majorBidi" w:cstheme="majorBidi"/>
          <w:sz w:val="24"/>
          <w:szCs w:val="24"/>
        </w:rPr>
      </w:pPr>
      <w:r w:rsidRPr="005703D8">
        <w:rPr>
          <w:rFonts w:asciiTheme="majorBidi" w:hAnsiTheme="majorBidi" w:cstheme="majorBidi"/>
          <w:sz w:val="24"/>
          <w:szCs w:val="24"/>
        </w:rPr>
        <w:t xml:space="preserve">Recent literature has stressed that it is not so much how much a country trades that matters, but rather both the degree of value-addition locally and the extent to which an economy is integrated into regional or global value chains. Yet, with a few exceptions (e.g. </w:t>
      </w:r>
      <w:hyperlink r:id="rId11" w:history="1">
        <w:r w:rsidRPr="005703D8">
          <w:rPr>
            <w:rStyle w:val="Hyperlink"/>
            <w:rFonts w:asciiTheme="majorBidi" w:hAnsiTheme="majorBidi" w:cstheme="majorBidi"/>
            <w:sz w:val="24"/>
            <w:szCs w:val="24"/>
          </w:rPr>
          <w:t>de Melo and T</w:t>
        </w:r>
        <w:r w:rsidR="00F55527" w:rsidRPr="005703D8">
          <w:rPr>
            <w:rStyle w:val="Hyperlink"/>
            <w:rFonts w:asciiTheme="majorBidi" w:hAnsiTheme="majorBidi" w:cstheme="majorBidi"/>
            <w:sz w:val="24"/>
            <w:szCs w:val="24"/>
          </w:rPr>
          <w:t>w</w:t>
        </w:r>
        <w:r w:rsidRPr="005703D8">
          <w:rPr>
            <w:rStyle w:val="Hyperlink"/>
            <w:rFonts w:asciiTheme="majorBidi" w:hAnsiTheme="majorBidi" w:cstheme="majorBidi"/>
            <w:sz w:val="24"/>
            <w:szCs w:val="24"/>
          </w:rPr>
          <w:t>um, 2021</w:t>
        </w:r>
      </w:hyperlink>
      <w:r w:rsidR="00F27569">
        <w:rPr>
          <w:rStyle w:val="Hyperlink"/>
          <w:rFonts w:asciiTheme="majorBidi" w:hAnsiTheme="majorBidi" w:cstheme="majorBidi"/>
          <w:sz w:val="24"/>
          <w:szCs w:val="24"/>
        </w:rPr>
        <w:t>, Allard et. al. 2016</w:t>
      </w:r>
      <w:r w:rsidRPr="005703D8">
        <w:rPr>
          <w:rFonts w:asciiTheme="majorBidi" w:hAnsiTheme="majorBidi" w:cstheme="majorBidi"/>
          <w:sz w:val="24"/>
          <w:szCs w:val="24"/>
        </w:rPr>
        <w:t xml:space="preserve">), Africa is relatively under-researched in this field. </w:t>
      </w:r>
      <w:bookmarkStart w:id="0" w:name="_Hlk93122914"/>
      <w:r w:rsidR="002E57D0" w:rsidRPr="005703D8">
        <w:rPr>
          <w:rFonts w:asciiTheme="majorBidi" w:hAnsiTheme="majorBidi" w:cstheme="majorBidi"/>
          <w:sz w:val="24"/>
          <w:szCs w:val="24"/>
        </w:rPr>
        <w:t xml:space="preserve">While </w:t>
      </w:r>
      <w:r w:rsidR="00F27569">
        <w:rPr>
          <w:rFonts w:asciiTheme="majorBidi" w:hAnsiTheme="majorBidi" w:cstheme="majorBidi"/>
          <w:sz w:val="24"/>
          <w:szCs w:val="24"/>
        </w:rPr>
        <w:t xml:space="preserve">over recent decades </w:t>
      </w:r>
      <w:r w:rsidR="002E57D0" w:rsidRPr="005703D8">
        <w:rPr>
          <w:rFonts w:asciiTheme="majorBidi" w:hAnsiTheme="majorBidi" w:cstheme="majorBidi"/>
          <w:sz w:val="24"/>
          <w:szCs w:val="24"/>
        </w:rPr>
        <w:t xml:space="preserve">the continent </w:t>
      </w:r>
      <w:r w:rsidR="00F27569">
        <w:rPr>
          <w:rFonts w:asciiTheme="majorBidi" w:hAnsiTheme="majorBidi" w:cstheme="majorBidi"/>
          <w:sz w:val="24"/>
          <w:szCs w:val="24"/>
        </w:rPr>
        <w:t xml:space="preserve">has </w:t>
      </w:r>
      <w:r w:rsidR="002E57D0" w:rsidRPr="005703D8">
        <w:rPr>
          <w:rFonts w:asciiTheme="majorBidi" w:hAnsiTheme="majorBidi" w:cstheme="majorBidi"/>
          <w:sz w:val="24"/>
          <w:szCs w:val="24"/>
        </w:rPr>
        <w:t>experienced substantial increases in the ratios of exports and imports to GDP and forged new partnerships with emerging markets, its degree of integration in regional and global value chains remains low</w:t>
      </w:r>
      <w:r w:rsidR="00C6640B" w:rsidRPr="005703D8">
        <w:rPr>
          <w:rFonts w:asciiTheme="majorBidi" w:hAnsiTheme="majorBidi" w:cstheme="majorBidi"/>
          <w:sz w:val="24"/>
          <w:szCs w:val="24"/>
        </w:rPr>
        <w:t>, even after accounting for the generally lower levels of development</w:t>
      </w:r>
      <w:r w:rsidR="00D3694E" w:rsidRPr="005703D8">
        <w:rPr>
          <w:rFonts w:asciiTheme="majorBidi" w:hAnsiTheme="majorBidi" w:cstheme="majorBidi"/>
          <w:sz w:val="24"/>
          <w:szCs w:val="24"/>
        </w:rPr>
        <w:t xml:space="preserve"> (</w:t>
      </w:r>
      <w:r w:rsidR="00D13E87" w:rsidRPr="005703D8">
        <w:rPr>
          <w:rFonts w:asciiTheme="majorBidi" w:hAnsiTheme="majorBidi" w:cstheme="majorBidi"/>
          <w:color w:val="222222"/>
          <w:sz w:val="24"/>
          <w:szCs w:val="24"/>
          <w:shd w:val="clear" w:color="auto" w:fill="FFFFFF"/>
          <w:lang w:val="en-US"/>
        </w:rPr>
        <w:t>Allard et al., 2016</w:t>
      </w:r>
      <w:r w:rsidR="00D3694E" w:rsidRPr="005703D8">
        <w:rPr>
          <w:rFonts w:asciiTheme="majorBidi" w:hAnsiTheme="majorBidi" w:cstheme="majorBidi"/>
          <w:sz w:val="24"/>
          <w:szCs w:val="24"/>
        </w:rPr>
        <w:t xml:space="preserve">). </w:t>
      </w:r>
      <w:r w:rsidR="007026EA">
        <w:rPr>
          <w:rFonts w:asciiTheme="majorBidi" w:hAnsiTheme="majorBidi" w:cstheme="majorBidi"/>
          <w:sz w:val="24"/>
          <w:szCs w:val="24"/>
        </w:rPr>
        <w:t>For instance, according to one study (de Melo and Twum, 2021)</w:t>
      </w:r>
      <w:r w:rsidR="00EB57C4" w:rsidRPr="005703D8">
        <w:rPr>
          <w:rFonts w:asciiTheme="majorBidi" w:hAnsiTheme="majorBidi" w:cstheme="majorBidi"/>
          <w:sz w:val="24"/>
          <w:szCs w:val="24"/>
        </w:rPr>
        <w:t xml:space="preserve">, </w:t>
      </w:r>
      <w:r w:rsidR="007026EA">
        <w:rPr>
          <w:rFonts w:asciiTheme="majorBidi" w:hAnsiTheme="majorBidi" w:cstheme="majorBidi"/>
          <w:sz w:val="24"/>
          <w:szCs w:val="24"/>
        </w:rPr>
        <w:t>between</w:t>
      </w:r>
      <w:r w:rsidR="00EB57C4" w:rsidRPr="005703D8">
        <w:rPr>
          <w:rFonts w:asciiTheme="majorBidi" w:hAnsiTheme="majorBidi" w:cstheme="majorBidi"/>
          <w:sz w:val="24"/>
          <w:szCs w:val="24"/>
        </w:rPr>
        <w:t xml:space="preserve"> 0.5% and 3% of trade from Africa</w:t>
      </w:r>
      <w:r w:rsidR="007026EA">
        <w:rPr>
          <w:rFonts w:asciiTheme="majorBidi" w:hAnsiTheme="majorBidi" w:cstheme="majorBidi"/>
          <w:sz w:val="24"/>
          <w:szCs w:val="24"/>
        </w:rPr>
        <w:t>’s</w:t>
      </w:r>
      <w:r w:rsidR="00EB57C4" w:rsidRPr="005703D8">
        <w:rPr>
          <w:rFonts w:asciiTheme="majorBidi" w:hAnsiTheme="majorBidi" w:cstheme="majorBidi"/>
          <w:sz w:val="24"/>
          <w:szCs w:val="24"/>
        </w:rPr>
        <w:t xml:space="preserve"> </w:t>
      </w:r>
      <w:r w:rsidR="00476052">
        <w:rPr>
          <w:rFonts w:asciiTheme="majorBidi" w:hAnsiTheme="majorBidi" w:cstheme="majorBidi"/>
          <w:sz w:val="24"/>
          <w:szCs w:val="24"/>
        </w:rPr>
        <w:t>regional economic blocks</w:t>
      </w:r>
      <w:r w:rsidR="00EB57C4" w:rsidRPr="005703D8">
        <w:rPr>
          <w:rFonts w:asciiTheme="majorBidi" w:hAnsiTheme="majorBidi" w:cstheme="majorBidi"/>
          <w:sz w:val="24"/>
          <w:szCs w:val="24"/>
        </w:rPr>
        <w:t xml:space="preserve"> is integrated in regional value chains, far lower than 17.2% and 4.6% observed in </w:t>
      </w:r>
      <w:r w:rsidR="00EC2BC1" w:rsidRPr="005703D8">
        <w:rPr>
          <w:rFonts w:asciiTheme="majorBidi" w:hAnsiTheme="majorBidi" w:cstheme="majorBidi"/>
          <w:sz w:val="24"/>
          <w:szCs w:val="24"/>
        </w:rPr>
        <w:t xml:space="preserve">the </w:t>
      </w:r>
      <w:r w:rsidR="00EC2BC1" w:rsidRPr="005703D8">
        <w:rPr>
          <w:rFonts w:asciiTheme="majorBidi" w:hAnsiTheme="majorBidi" w:cstheme="majorBidi"/>
          <w:color w:val="000000"/>
          <w:sz w:val="24"/>
          <w:szCs w:val="24"/>
          <w:shd w:val="clear" w:color="auto" w:fill="FFFFFF"/>
        </w:rPr>
        <w:t>Association of Southeast Asian Nations (ASEAN) and the Southern Common Market (MERCOSUR)</w:t>
      </w:r>
      <w:r w:rsidR="00EB57C4" w:rsidRPr="005703D8">
        <w:rPr>
          <w:rFonts w:asciiTheme="majorBidi" w:hAnsiTheme="majorBidi" w:cstheme="majorBidi"/>
          <w:sz w:val="24"/>
          <w:szCs w:val="24"/>
        </w:rPr>
        <w:t xml:space="preserve">, respectively. </w:t>
      </w:r>
      <w:r w:rsidR="00E543B4">
        <w:rPr>
          <w:rFonts w:asciiTheme="majorBidi" w:hAnsiTheme="majorBidi" w:cstheme="majorBidi"/>
          <w:sz w:val="24"/>
          <w:szCs w:val="24"/>
        </w:rPr>
        <w:t>This gap is indicative of the region’s</w:t>
      </w:r>
      <w:r w:rsidR="00107B05" w:rsidRPr="005703D8">
        <w:rPr>
          <w:rFonts w:asciiTheme="majorBidi" w:hAnsiTheme="majorBidi" w:cstheme="majorBidi"/>
          <w:sz w:val="24"/>
          <w:szCs w:val="24"/>
        </w:rPr>
        <w:t xml:space="preserve"> unexploited potential to tap into value chains in selected sectors like manufacturing, </w:t>
      </w:r>
      <w:r w:rsidR="0079133E" w:rsidRPr="005703D8">
        <w:rPr>
          <w:rFonts w:asciiTheme="majorBidi" w:hAnsiTheme="majorBidi" w:cstheme="majorBidi"/>
          <w:sz w:val="24"/>
          <w:szCs w:val="24"/>
        </w:rPr>
        <w:t xml:space="preserve">agriculture and </w:t>
      </w:r>
      <w:r w:rsidR="00107B05" w:rsidRPr="005703D8">
        <w:rPr>
          <w:rFonts w:asciiTheme="majorBidi" w:hAnsiTheme="majorBidi" w:cstheme="majorBidi"/>
          <w:sz w:val="24"/>
          <w:szCs w:val="24"/>
        </w:rPr>
        <w:t>agro-processing, tourism, transport and textiles.</w:t>
      </w:r>
      <w:bookmarkEnd w:id="0"/>
    </w:p>
    <w:p w14:paraId="78B62167" w14:textId="1B287345" w:rsidR="00CC6F7C" w:rsidRDefault="00476052" w:rsidP="007026E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This paper examines the policy and </w:t>
      </w:r>
      <w:r w:rsidR="00E820ED">
        <w:rPr>
          <w:rFonts w:asciiTheme="majorBidi" w:hAnsiTheme="majorBidi" w:cstheme="majorBidi"/>
          <w:sz w:val="24"/>
          <w:szCs w:val="24"/>
        </w:rPr>
        <w:t>non</w:t>
      </w:r>
      <w:r>
        <w:rPr>
          <w:rFonts w:asciiTheme="majorBidi" w:hAnsiTheme="majorBidi" w:cstheme="majorBidi"/>
          <w:sz w:val="24"/>
          <w:szCs w:val="24"/>
        </w:rPr>
        <w:t>-policy determinants of domestic value-added embedded in the exports of African countries, applying country fixed-effects</w:t>
      </w:r>
      <w:r w:rsidR="00063FA3">
        <w:rPr>
          <w:rFonts w:asciiTheme="majorBidi" w:hAnsiTheme="majorBidi" w:cstheme="majorBidi"/>
          <w:sz w:val="24"/>
          <w:szCs w:val="24"/>
        </w:rPr>
        <w:t xml:space="preserve"> regression</w:t>
      </w:r>
      <w:r>
        <w:rPr>
          <w:rFonts w:asciiTheme="majorBidi" w:hAnsiTheme="majorBidi" w:cstheme="majorBidi"/>
          <w:sz w:val="24"/>
          <w:szCs w:val="24"/>
        </w:rPr>
        <w:t xml:space="preserve"> to UNCTAD-EORA data covering the period 1990-2018. </w:t>
      </w:r>
      <w:r w:rsidR="00E543B4">
        <w:rPr>
          <w:rFonts w:asciiTheme="majorBidi" w:hAnsiTheme="majorBidi" w:cstheme="majorBidi"/>
          <w:sz w:val="24"/>
          <w:szCs w:val="24"/>
        </w:rPr>
        <w:t xml:space="preserve">The paper finds </w:t>
      </w:r>
      <w:r w:rsidR="007026EA">
        <w:rPr>
          <w:rFonts w:asciiTheme="majorBidi" w:hAnsiTheme="majorBidi" w:cstheme="majorBidi"/>
          <w:sz w:val="24"/>
          <w:szCs w:val="24"/>
        </w:rPr>
        <w:t>that the main determinants of domestic value-addition are economic size (GDP</w:t>
      </w:r>
      <w:r w:rsidR="007802CD">
        <w:rPr>
          <w:rFonts w:asciiTheme="majorBidi" w:hAnsiTheme="majorBidi" w:cstheme="majorBidi"/>
          <w:sz w:val="24"/>
          <w:szCs w:val="24"/>
        </w:rPr>
        <w:t xml:space="preserve"> and its per capita counterpart</w:t>
      </w:r>
      <w:r w:rsidR="007026EA">
        <w:rPr>
          <w:rFonts w:asciiTheme="majorBidi" w:hAnsiTheme="majorBidi" w:cstheme="majorBidi"/>
          <w:sz w:val="24"/>
          <w:szCs w:val="24"/>
        </w:rPr>
        <w:t>), the average level of tariffs</w:t>
      </w:r>
      <w:r w:rsidR="009C7D36">
        <w:rPr>
          <w:rFonts w:asciiTheme="majorBidi" w:hAnsiTheme="majorBidi" w:cstheme="majorBidi"/>
          <w:sz w:val="24"/>
          <w:szCs w:val="24"/>
        </w:rPr>
        <w:t xml:space="preserve"> and population size</w:t>
      </w:r>
      <w:r w:rsidR="007026EA">
        <w:rPr>
          <w:rFonts w:asciiTheme="majorBidi" w:hAnsiTheme="majorBidi" w:cstheme="majorBidi"/>
          <w:sz w:val="24"/>
          <w:szCs w:val="24"/>
        </w:rPr>
        <w:t xml:space="preserve">. But the econometric results also highlight </w:t>
      </w:r>
      <w:r w:rsidR="00E543B4">
        <w:rPr>
          <w:rFonts w:asciiTheme="majorBidi" w:hAnsiTheme="majorBidi" w:cstheme="majorBidi"/>
          <w:sz w:val="24"/>
          <w:szCs w:val="24"/>
        </w:rPr>
        <w:t xml:space="preserve">differences among countries by resource endowment, with oil-exporting countries leading and land-locked non-resource-intensive countries lagging in domestic value addition. </w:t>
      </w:r>
      <w:r w:rsidR="001C007A" w:rsidRPr="005703D8">
        <w:rPr>
          <w:rFonts w:asciiTheme="majorBidi" w:hAnsiTheme="majorBidi" w:cstheme="majorBidi"/>
          <w:sz w:val="24"/>
          <w:szCs w:val="24"/>
        </w:rPr>
        <w:t>After providing an overview o</w:t>
      </w:r>
      <w:r w:rsidR="007026EA">
        <w:rPr>
          <w:rFonts w:asciiTheme="majorBidi" w:hAnsiTheme="majorBidi" w:cstheme="majorBidi"/>
          <w:sz w:val="24"/>
          <w:szCs w:val="24"/>
        </w:rPr>
        <w:t>f</w:t>
      </w:r>
      <w:r w:rsidR="001C007A" w:rsidRPr="005703D8">
        <w:rPr>
          <w:rFonts w:asciiTheme="majorBidi" w:hAnsiTheme="majorBidi" w:cstheme="majorBidi"/>
          <w:sz w:val="24"/>
          <w:szCs w:val="24"/>
        </w:rPr>
        <w:t xml:space="preserve"> the extent of value-addition </w:t>
      </w:r>
      <w:r w:rsidR="007E41D1" w:rsidRPr="005703D8">
        <w:rPr>
          <w:rFonts w:asciiTheme="majorBidi" w:hAnsiTheme="majorBidi" w:cstheme="majorBidi"/>
          <w:sz w:val="24"/>
          <w:szCs w:val="24"/>
        </w:rPr>
        <w:t xml:space="preserve">in trade </w:t>
      </w:r>
      <w:r w:rsidR="001C007A" w:rsidRPr="005703D8">
        <w:rPr>
          <w:rFonts w:asciiTheme="majorBidi" w:hAnsiTheme="majorBidi" w:cstheme="majorBidi"/>
          <w:sz w:val="24"/>
          <w:szCs w:val="24"/>
        </w:rPr>
        <w:t xml:space="preserve">on the continent, the paper then draws conclusions </w:t>
      </w:r>
      <w:r w:rsidR="00F55527" w:rsidRPr="005703D8">
        <w:rPr>
          <w:rFonts w:asciiTheme="majorBidi" w:hAnsiTheme="majorBidi" w:cstheme="majorBidi"/>
          <w:sz w:val="24"/>
          <w:szCs w:val="24"/>
        </w:rPr>
        <w:t>about</w:t>
      </w:r>
      <w:r w:rsidR="001C007A" w:rsidRPr="005703D8">
        <w:rPr>
          <w:rFonts w:asciiTheme="majorBidi" w:hAnsiTheme="majorBidi" w:cstheme="majorBidi"/>
          <w:sz w:val="24"/>
          <w:szCs w:val="24"/>
        </w:rPr>
        <w:t xml:space="preserve"> </w:t>
      </w:r>
      <w:r w:rsidR="007026EA">
        <w:rPr>
          <w:rFonts w:asciiTheme="majorBidi" w:hAnsiTheme="majorBidi" w:cstheme="majorBidi"/>
          <w:sz w:val="24"/>
          <w:szCs w:val="24"/>
        </w:rPr>
        <w:t>its</w:t>
      </w:r>
      <w:r w:rsidR="001C007A" w:rsidRPr="005703D8">
        <w:rPr>
          <w:rFonts w:asciiTheme="majorBidi" w:hAnsiTheme="majorBidi" w:cstheme="majorBidi"/>
          <w:sz w:val="24"/>
          <w:szCs w:val="24"/>
        </w:rPr>
        <w:t xml:space="preserve"> implications for the</w:t>
      </w:r>
      <w:r w:rsidR="007E41D1" w:rsidRPr="005703D8">
        <w:rPr>
          <w:rFonts w:asciiTheme="majorBidi" w:hAnsiTheme="majorBidi" w:cstheme="majorBidi"/>
          <w:sz w:val="24"/>
          <w:szCs w:val="24"/>
        </w:rPr>
        <w:t xml:space="preserve"> effective implementation of the</w:t>
      </w:r>
      <w:r w:rsidR="001C007A" w:rsidRPr="005703D8">
        <w:rPr>
          <w:rFonts w:asciiTheme="majorBidi" w:hAnsiTheme="majorBidi" w:cstheme="majorBidi"/>
          <w:sz w:val="24"/>
          <w:szCs w:val="24"/>
        </w:rPr>
        <w:t xml:space="preserve"> AfCFTA.</w:t>
      </w:r>
    </w:p>
    <w:p w14:paraId="0DCD78DC" w14:textId="700B3326" w:rsidR="001C007A" w:rsidRPr="005703D8" w:rsidRDefault="001C007A" w:rsidP="000D5256">
      <w:pPr>
        <w:spacing w:line="360" w:lineRule="auto"/>
        <w:jc w:val="both"/>
        <w:rPr>
          <w:rFonts w:asciiTheme="majorBidi" w:hAnsiTheme="majorBidi" w:cstheme="majorBidi"/>
          <w:sz w:val="24"/>
          <w:szCs w:val="24"/>
        </w:rPr>
      </w:pPr>
      <w:r w:rsidRPr="005703D8">
        <w:rPr>
          <w:rFonts w:asciiTheme="majorBidi" w:hAnsiTheme="majorBidi" w:cstheme="majorBidi"/>
          <w:sz w:val="24"/>
          <w:szCs w:val="24"/>
        </w:rPr>
        <w:t xml:space="preserve"> </w:t>
      </w:r>
    </w:p>
    <w:p w14:paraId="02661E5C" w14:textId="52FDAEAF" w:rsidR="00E10C1F" w:rsidRPr="00E10C1F" w:rsidRDefault="0067636C" w:rsidP="00CE137E">
      <w:pPr>
        <w:spacing w:after="120" w:line="240" w:lineRule="auto"/>
        <w:jc w:val="both"/>
        <w:rPr>
          <w:rFonts w:asciiTheme="majorBidi" w:hAnsiTheme="majorBidi" w:cstheme="majorBidi"/>
          <w:i/>
          <w:iCs/>
          <w:sz w:val="23"/>
          <w:szCs w:val="23"/>
          <w:lang w:val="en-US"/>
        </w:rPr>
      </w:pPr>
      <w:r w:rsidRPr="00E10C1F">
        <w:rPr>
          <w:rFonts w:asciiTheme="majorBidi" w:hAnsiTheme="majorBidi" w:cstheme="majorBidi"/>
          <w:i/>
          <w:iCs/>
          <w:sz w:val="23"/>
          <w:szCs w:val="23"/>
          <w:lang w:val="en-US"/>
        </w:rPr>
        <w:t>Keywords:</w:t>
      </w:r>
      <w:r w:rsidR="00E10C1F" w:rsidRPr="00E10C1F">
        <w:rPr>
          <w:rFonts w:asciiTheme="majorBidi" w:hAnsiTheme="majorBidi" w:cstheme="majorBidi"/>
          <w:i/>
          <w:iCs/>
          <w:sz w:val="23"/>
          <w:szCs w:val="23"/>
          <w:lang w:val="en-US"/>
        </w:rPr>
        <w:t xml:space="preserve"> Domestic value added, value-added in exports, global value chains, Africa.</w:t>
      </w:r>
    </w:p>
    <w:p w14:paraId="4851267E" w14:textId="58EADFE5" w:rsidR="007026EA" w:rsidRPr="00CE137E" w:rsidRDefault="00B747EC" w:rsidP="00CE137E">
      <w:pPr>
        <w:spacing w:line="360" w:lineRule="auto"/>
        <w:jc w:val="both"/>
        <w:rPr>
          <w:rFonts w:asciiTheme="majorBidi" w:eastAsiaTheme="minorEastAsia" w:hAnsiTheme="majorBidi" w:cstheme="majorBidi"/>
          <w:b/>
          <w:bCs/>
          <w:sz w:val="23"/>
          <w:szCs w:val="23"/>
          <w:lang w:val="fr-FR" w:eastAsia="zh-CN"/>
        </w:rPr>
      </w:pPr>
      <w:r w:rsidRPr="00E10C1F">
        <w:rPr>
          <w:rFonts w:asciiTheme="majorBidi" w:hAnsiTheme="majorBidi" w:cstheme="majorBidi"/>
          <w:i/>
          <w:iCs/>
          <w:sz w:val="23"/>
          <w:szCs w:val="23"/>
          <w:lang w:val="fr-FR"/>
        </w:rPr>
        <w:t xml:space="preserve">JEL Classifications: F13, F14, F15, </w:t>
      </w:r>
      <w:r w:rsidR="00E10C1F" w:rsidRPr="00E10C1F">
        <w:rPr>
          <w:rFonts w:asciiTheme="majorBidi" w:hAnsiTheme="majorBidi" w:cstheme="majorBidi"/>
          <w:i/>
          <w:iCs/>
          <w:sz w:val="23"/>
          <w:szCs w:val="23"/>
          <w:lang w:val="fr-FR"/>
        </w:rPr>
        <w:t>N17, N77</w:t>
      </w:r>
      <w:r w:rsidR="007026EA" w:rsidRPr="00CE137E">
        <w:rPr>
          <w:rFonts w:asciiTheme="majorBidi" w:hAnsiTheme="majorBidi" w:cstheme="majorBidi"/>
          <w:b/>
          <w:bCs/>
          <w:sz w:val="23"/>
          <w:szCs w:val="23"/>
          <w:lang w:val="fr-FR"/>
        </w:rPr>
        <w:br w:type="page"/>
      </w:r>
    </w:p>
    <w:p w14:paraId="22851D89" w14:textId="4C0A75AC" w:rsidR="00AA4275" w:rsidRPr="003D2F21" w:rsidRDefault="00AA4275" w:rsidP="003D2F21">
      <w:pPr>
        <w:pStyle w:val="ListParagraph"/>
        <w:numPr>
          <w:ilvl w:val="0"/>
          <w:numId w:val="2"/>
        </w:numPr>
        <w:spacing w:line="360" w:lineRule="auto"/>
        <w:jc w:val="both"/>
        <w:rPr>
          <w:rFonts w:asciiTheme="majorBidi" w:hAnsiTheme="majorBidi" w:cstheme="majorBidi"/>
          <w:b/>
          <w:bCs/>
          <w:sz w:val="23"/>
          <w:szCs w:val="23"/>
        </w:rPr>
      </w:pPr>
      <w:r w:rsidRPr="003D2F21">
        <w:rPr>
          <w:rFonts w:asciiTheme="majorBidi" w:hAnsiTheme="majorBidi" w:cstheme="majorBidi"/>
          <w:b/>
          <w:bCs/>
          <w:sz w:val="23"/>
          <w:szCs w:val="23"/>
        </w:rPr>
        <w:lastRenderedPageBreak/>
        <w:t>Introduction</w:t>
      </w:r>
    </w:p>
    <w:p w14:paraId="77101A96" w14:textId="1B546048" w:rsidR="001A0A33" w:rsidRDefault="00F62AD8" w:rsidP="00285EDF">
      <w:pPr>
        <w:spacing w:line="480" w:lineRule="auto"/>
        <w:ind w:firstLine="720"/>
        <w:jc w:val="both"/>
        <w:rPr>
          <w:rFonts w:asciiTheme="majorBidi" w:hAnsiTheme="majorBidi" w:cstheme="majorBidi"/>
          <w:sz w:val="24"/>
          <w:szCs w:val="24"/>
        </w:rPr>
      </w:pPr>
      <w:r w:rsidRPr="00285EDF">
        <w:rPr>
          <w:rFonts w:asciiTheme="majorBidi" w:hAnsiTheme="majorBidi" w:cstheme="majorBidi"/>
          <w:sz w:val="24"/>
          <w:szCs w:val="24"/>
        </w:rPr>
        <w:t>External sector performance –</w:t>
      </w:r>
      <w:r w:rsidR="00C828AC">
        <w:rPr>
          <w:rFonts w:asciiTheme="majorBidi" w:hAnsiTheme="majorBidi" w:cstheme="majorBidi"/>
          <w:sz w:val="24"/>
          <w:szCs w:val="24"/>
        </w:rPr>
        <w:t xml:space="preserve"> reflected in </w:t>
      </w:r>
      <w:r w:rsidRPr="00285EDF">
        <w:rPr>
          <w:rFonts w:asciiTheme="majorBidi" w:hAnsiTheme="majorBidi" w:cstheme="majorBidi"/>
          <w:sz w:val="24"/>
          <w:szCs w:val="24"/>
        </w:rPr>
        <w:t>the share of exports and imports in GDP – is one of the main measures of a country’s growth and structural transformation (</w:t>
      </w:r>
      <w:r w:rsidR="006E70E9" w:rsidRPr="00285EDF">
        <w:rPr>
          <w:rFonts w:asciiTheme="majorBidi" w:hAnsiTheme="majorBidi" w:cstheme="majorBidi"/>
          <w:sz w:val="24"/>
          <w:szCs w:val="24"/>
        </w:rPr>
        <w:t>Ahmed et al., 2011</w:t>
      </w:r>
      <w:r w:rsidR="002910B1" w:rsidRPr="00285EDF">
        <w:rPr>
          <w:rFonts w:asciiTheme="majorBidi" w:hAnsiTheme="majorBidi" w:cstheme="majorBidi"/>
          <w:sz w:val="24"/>
          <w:szCs w:val="24"/>
        </w:rPr>
        <w:t>; Gabriele et al., 2006; Ram, 1985</w:t>
      </w:r>
      <w:r w:rsidRPr="00285EDF">
        <w:rPr>
          <w:rFonts w:asciiTheme="majorBidi" w:hAnsiTheme="majorBidi" w:cstheme="majorBidi"/>
          <w:sz w:val="24"/>
          <w:szCs w:val="24"/>
        </w:rPr>
        <w:t xml:space="preserve">). </w:t>
      </w:r>
      <w:r w:rsidR="0010113E" w:rsidRPr="00285EDF">
        <w:rPr>
          <w:rFonts w:asciiTheme="majorBidi" w:hAnsiTheme="majorBidi" w:cstheme="majorBidi"/>
          <w:sz w:val="24"/>
          <w:szCs w:val="24"/>
        </w:rPr>
        <w:t xml:space="preserve">Recent literature has </w:t>
      </w:r>
      <w:r w:rsidR="000810FA" w:rsidRPr="00285EDF">
        <w:rPr>
          <w:rFonts w:asciiTheme="majorBidi" w:hAnsiTheme="majorBidi" w:cstheme="majorBidi"/>
          <w:sz w:val="24"/>
          <w:szCs w:val="24"/>
        </w:rPr>
        <w:t xml:space="preserve">however </w:t>
      </w:r>
      <w:r w:rsidR="0010113E" w:rsidRPr="00285EDF">
        <w:rPr>
          <w:rFonts w:asciiTheme="majorBidi" w:hAnsiTheme="majorBidi" w:cstheme="majorBidi"/>
          <w:sz w:val="24"/>
          <w:szCs w:val="24"/>
        </w:rPr>
        <w:t xml:space="preserve">stressed that it is not so much how much a country trades that matters, but rather both the degree of value-addition locally and the extent to which an economy is integrated into regional </w:t>
      </w:r>
      <w:r w:rsidR="000810FA" w:rsidRPr="00285EDF">
        <w:rPr>
          <w:rFonts w:asciiTheme="majorBidi" w:hAnsiTheme="majorBidi" w:cstheme="majorBidi"/>
          <w:sz w:val="24"/>
          <w:szCs w:val="24"/>
        </w:rPr>
        <w:t>and/</w:t>
      </w:r>
      <w:r w:rsidR="0010113E" w:rsidRPr="00285EDF">
        <w:rPr>
          <w:rFonts w:asciiTheme="majorBidi" w:hAnsiTheme="majorBidi" w:cstheme="majorBidi"/>
          <w:sz w:val="24"/>
          <w:szCs w:val="24"/>
        </w:rPr>
        <w:t>or global value chains</w:t>
      </w:r>
      <w:r w:rsidR="000810FA" w:rsidRPr="00285EDF">
        <w:rPr>
          <w:rFonts w:asciiTheme="majorBidi" w:hAnsiTheme="majorBidi" w:cstheme="majorBidi"/>
          <w:sz w:val="24"/>
          <w:szCs w:val="24"/>
        </w:rPr>
        <w:t xml:space="preserve"> (</w:t>
      </w:r>
      <w:r w:rsidR="005E46D7" w:rsidRPr="00285EDF">
        <w:rPr>
          <w:rFonts w:asciiTheme="majorBidi" w:hAnsiTheme="majorBidi" w:cstheme="majorBidi"/>
          <w:sz w:val="24"/>
          <w:szCs w:val="24"/>
        </w:rPr>
        <w:t>Johnson, 2014</w:t>
      </w:r>
      <w:r w:rsidR="0008311D" w:rsidRPr="00285EDF">
        <w:rPr>
          <w:rFonts w:asciiTheme="majorBidi" w:hAnsiTheme="majorBidi" w:cstheme="majorBidi"/>
          <w:sz w:val="24"/>
          <w:szCs w:val="24"/>
        </w:rPr>
        <w:t>; Johnson and Noguera, 2012</w:t>
      </w:r>
      <w:r w:rsidR="003276D9" w:rsidRPr="00285EDF">
        <w:rPr>
          <w:rFonts w:asciiTheme="majorBidi" w:hAnsiTheme="majorBidi" w:cstheme="majorBidi"/>
          <w:sz w:val="24"/>
          <w:szCs w:val="24"/>
        </w:rPr>
        <w:t>; Njike, 2021</w:t>
      </w:r>
      <w:r w:rsidR="000810FA" w:rsidRPr="00285EDF">
        <w:rPr>
          <w:rFonts w:asciiTheme="majorBidi" w:hAnsiTheme="majorBidi" w:cstheme="majorBidi"/>
          <w:sz w:val="24"/>
          <w:szCs w:val="24"/>
        </w:rPr>
        <w:t xml:space="preserve">). </w:t>
      </w:r>
      <w:r w:rsidR="00C828AC">
        <w:rPr>
          <w:rFonts w:asciiTheme="majorBidi" w:hAnsiTheme="majorBidi" w:cstheme="majorBidi"/>
          <w:sz w:val="24"/>
          <w:szCs w:val="24"/>
        </w:rPr>
        <w:t>Aggregate figures for exports and imports</w:t>
      </w:r>
      <w:r w:rsidR="00F27569">
        <w:rPr>
          <w:rFonts w:asciiTheme="majorBidi" w:hAnsiTheme="majorBidi" w:cstheme="majorBidi"/>
          <w:sz w:val="24"/>
          <w:szCs w:val="24"/>
        </w:rPr>
        <w:t xml:space="preserve"> </w:t>
      </w:r>
      <w:r w:rsidR="00C828AC">
        <w:rPr>
          <w:rFonts w:asciiTheme="majorBidi" w:hAnsiTheme="majorBidi" w:cstheme="majorBidi"/>
          <w:sz w:val="24"/>
          <w:szCs w:val="24"/>
        </w:rPr>
        <w:t xml:space="preserve"> are further understood to be compromised by</w:t>
      </w:r>
      <w:r w:rsidR="00732BDD">
        <w:rPr>
          <w:rFonts w:asciiTheme="majorBidi" w:hAnsiTheme="majorBidi" w:cstheme="majorBidi"/>
          <w:sz w:val="24"/>
          <w:szCs w:val="24"/>
        </w:rPr>
        <w:t xml:space="preserve"> </w:t>
      </w:r>
      <w:r w:rsidR="00C828AC">
        <w:rPr>
          <w:rFonts w:asciiTheme="majorBidi" w:hAnsiTheme="majorBidi" w:cstheme="majorBidi"/>
          <w:sz w:val="24"/>
          <w:szCs w:val="24"/>
        </w:rPr>
        <w:t>‘</w:t>
      </w:r>
      <w:r w:rsidR="001A0A33">
        <w:rPr>
          <w:rFonts w:asciiTheme="majorBidi" w:hAnsiTheme="majorBidi" w:cstheme="majorBidi"/>
          <w:sz w:val="24"/>
          <w:szCs w:val="24"/>
        </w:rPr>
        <w:t>double counting</w:t>
      </w:r>
      <w:r w:rsidR="00C828AC">
        <w:rPr>
          <w:rFonts w:asciiTheme="majorBidi" w:hAnsiTheme="majorBidi" w:cstheme="majorBidi"/>
          <w:sz w:val="24"/>
          <w:szCs w:val="24"/>
        </w:rPr>
        <w:t>’</w:t>
      </w:r>
      <w:r w:rsidR="001A0A33">
        <w:rPr>
          <w:rFonts w:asciiTheme="majorBidi" w:hAnsiTheme="majorBidi" w:cstheme="majorBidi"/>
          <w:sz w:val="24"/>
          <w:szCs w:val="24"/>
        </w:rPr>
        <w:t>, a problem partly accountable for the declining trend of the value-added to gross exports ratio.</w:t>
      </w:r>
      <w:r w:rsidR="00F27569">
        <w:rPr>
          <w:rStyle w:val="FootnoteReference"/>
          <w:rFonts w:asciiTheme="majorBidi" w:hAnsiTheme="majorBidi" w:cstheme="majorBidi"/>
          <w:sz w:val="24"/>
          <w:szCs w:val="24"/>
        </w:rPr>
        <w:footnoteReference w:id="2"/>
      </w:r>
      <w:r w:rsidR="001A0A33">
        <w:rPr>
          <w:rFonts w:asciiTheme="majorBidi" w:hAnsiTheme="majorBidi" w:cstheme="majorBidi"/>
          <w:sz w:val="24"/>
          <w:szCs w:val="24"/>
        </w:rPr>
        <w:t xml:space="preserve"> </w:t>
      </w:r>
    </w:p>
    <w:p w14:paraId="387C1109" w14:textId="440C5FEE" w:rsidR="0003413D" w:rsidRPr="00285EDF" w:rsidRDefault="005F01C2" w:rsidP="00285EDF">
      <w:pPr>
        <w:spacing w:line="480" w:lineRule="auto"/>
        <w:ind w:firstLine="720"/>
        <w:jc w:val="both"/>
        <w:rPr>
          <w:rFonts w:asciiTheme="majorBidi" w:hAnsiTheme="majorBidi" w:cstheme="majorBidi"/>
          <w:sz w:val="24"/>
          <w:szCs w:val="24"/>
        </w:rPr>
      </w:pPr>
      <w:r w:rsidRPr="00285EDF">
        <w:rPr>
          <w:rFonts w:asciiTheme="majorBidi" w:hAnsiTheme="majorBidi" w:cstheme="majorBidi"/>
          <w:sz w:val="24"/>
          <w:szCs w:val="24"/>
        </w:rPr>
        <w:t>The concept of trade in value-added – as opposed to gross exports and imports – is increasingly gaining popularity</w:t>
      </w:r>
      <w:r w:rsidR="0003413D" w:rsidRPr="00285EDF">
        <w:rPr>
          <w:rFonts w:asciiTheme="majorBidi" w:hAnsiTheme="majorBidi" w:cstheme="majorBidi"/>
          <w:sz w:val="24"/>
          <w:szCs w:val="24"/>
        </w:rPr>
        <w:t xml:space="preserve"> in international trade discourse, as one of the key measures of a country’s engagement in global value chains (GVC)</w:t>
      </w:r>
      <w:r w:rsidRPr="00285EDF">
        <w:rPr>
          <w:rFonts w:asciiTheme="majorBidi" w:hAnsiTheme="majorBidi" w:cstheme="majorBidi"/>
          <w:sz w:val="24"/>
          <w:szCs w:val="24"/>
        </w:rPr>
        <w:t>.</w:t>
      </w:r>
      <w:r w:rsidR="00D9150B" w:rsidRPr="00285EDF">
        <w:rPr>
          <w:rFonts w:asciiTheme="majorBidi" w:hAnsiTheme="majorBidi" w:cstheme="majorBidi"/>
          <w:sz w:val="24"/>
          <w:szCs w:val="24"/>
        </w:rPr>
        <w:t xml:space="preserve"> Existing studies have highlighted the salience of value addition in trade and participation in value chains as an option for developing countries – including Africa – to reduce their reliance on the export of primary products (Dollar et al., 2019).</w:t>
      </w:r>
      <w:r w:rsidR="00EC4BF1">
        <w:rPr>
          <w:rFonts w:asciiTheme="majorBidi" w:hAnsiTheme="majorBidi" w:cstheme="majorBidi"/>
          <w:sz w:val="24"/>
          <w:szCs w:val="24"/>
        </w:rPr>
        <w:t xml:space="preserve"> </w:t>
      </w:r>
      <w:r w:rsidR="000331EF">
        <w:rPr>
          <w:rFonts w:asciiTheme="majorBidi" w:hAnsiTheme="majorBidi" w:cstheme="majorBidi"/>
          <w:sz w:val="24"/>
          <w:szCs w:val="24"/>
        </w:rPr>
        <w:t xml:space="preserve">Moreover, </w:t>
      </w:r>
      <w:r w:rsidR="004A6406">
        <w:rPr>
          <w:rFonts w:asciiTheme="majorBidi" w:hAnsiTheme="majorBidi" w:cstheme="majorBidi"/>
          <w:sz w:val="24"/>
          <w:szCs w:val="24"/>
        </w:rPr>
        <w:t xml:space="preserve">in principle, greater </w:t>
      </w:r>
      <w:r w:rsidR="00902858">
        <w:rPr>
          <w:rFonts w:asciiTheme="majorBidi" w:hAnsiTheme="majorBidi" w:cstheme="majorBidi"/>
          <w:sz w:val="24"/>
          <w:szCs w:val="24"/>
        </w:rPr>
        <w:t xml:space="preserve">participation in global production networks could stimulate faster export growth and </w:t>
      </w:r>
      <w:r w:rsidR="00A5621F">
        <w:rPr>
          <w:rFonts w:asciiTheme="majorBidi" w:hAnsiTheme="majorBidi" w:cstheme="majorBidi"/>
          <w:sz w:val="24"/>
          <w:szCs w:val="24"/>
        </w:rPr>
        <w:t>t</w:t>
      </w:r>
      <w:r w:rsidR="004A6406">
        <w:rPr>
          <w:rFonts w:asciiTheme="majorBidi" w:hAnsiTheme="majorBidi" w:cstheme="majorBidi"/>
          <w:sz w:val="24"/>
          <w:szCs w:val="24"/>
        </w:rPr>
        <w:t>h</w:t>
      </w:r>
      <w:r w:rsidR="00A5621F">
        <w:rPr>
          <w:rFonts w:asciiTheme="majorBidi" w:hAnsiTheme="majorBidi" w:cstheme="majorBidi"/>
          <w:sz w:val="24"/>
          <w:szCs w:val="24"/>
        </w:rPr>
        <w:t>e domestic generation of export-induced growth</w:t>
      </w:r>
      <w:r w:rsidR="00A0339A">
        <w:rPr>
          <w:rFonts w:asciiTheme="majorBidi" w:hAnsiTheme="majorBidi" w:cstheme="majorBidi"/>
          <w:sz w:val="24"/>
          <w:szCs w:val="24"/>
        </w:rPr>
        <w:t xml:space="preserve"> (</w:t>
      </w:r>
      <w:r w:rsidR="00A0339A" w:rsidRPr="00A0339A">
        <w:rPr>
          <w:rFonts w:asciiTheme="majorBidi" w:hAnsiTheme="majorBidi" w:cstheme="majorBidi"/>
          <w:sz w:val="24"/>
          <w:szCs w:val="24"/>
        </w:rPr>
        <w:t>Durongkaveroj, 2021</w:t>
      </w:r>
      <w:r w:rsidR="00A0339A">
        <w:rPr>
          <w:rFonts w:asciiTheme="majorBidi" w:hAnsiTheme="majorBidi" w:cstheme="majorBidi"/>
          <w:sz w:val="24"/>
          <w:szCs w:val="24"/>
        </w:rPr>
        <w:t>).</w:t>
      </w:r>
    </w:p>
    <w:p w14:paraId="46E98C9B" w14:textId="6B28BC2C" w:rsidR="00AA4275" w:rsidRPr="00285EDF" w:rsidRDefault="0003413D" w:rsidP="00A27783">
      <w:pPr>
        <w:spacing w:line="480" w:lineRule="auto"/>
        <w:ind w:firstLine="720"/>
        <w:jc w:val="both"/>
        <w:rPr>
          <w:rFonts w:asciiTheme="majorBidi" w:hAnsiTheme="majorBidi" w:cstheme="majorBidi"/>
          <w:sz w:val="24"/>
          <w:szCs w:val="24"/>
        </w:rPr>
      </w:pPr>
      <w:r w:rsidRPr="00285EDF">
        <w:rPr>
          <w:rFonts w:asciiTheme="majorBidi" w:hAnsiTheme="majorBidi" w:cstheme="majorBidi"/>
          <w:sz w:val="24"/>
          <w:szCs w:val="24"/>
        </w:rPr>
        <w:t>Several studies have</w:t>
      </w:r>
      <w:r w:rsidR="004A6406">
        <w:rPr>
          <w:rFonts w:asciiTheme="majorBidi" w:hAnsiTheme="majorBidi" w:cstheme="majorBidi"/>
          <w:sz w:val="24"/>
          <w:szCs w:val="24"/>
        </w:rPr>
        <w:t xml:space="preserve"> been</w:t>
      </w:r>
      <w:r w:rsidRPr="00285EDF">
        <w:rPr>
          <w:rFonts w:asciiTheme="majorBidi" w:hAnsiTheme="majorBidi" w:cstheme="majorBidi"/>
          <w:sz w:val="24"/>
          <w:szCs w:val="24"/>
        </w:rPr>
        <w:t xml:space="preserve"> undertaken to unpack the extent</w:t>
      </w:r>
      <w:r w:rsidR="00CB4810" w:rsidRPr="00285EDF">
        <w:rPr>
          <w:rFonts w:asciiTheme="majorBidi" w:hAnsiTheme="majorBidi" w:cstheme="majorBidi"/>
          <w:sz w:val="24"/>
          <w:szCs w:val="24"/>
        </w:rPr>
        <w:t xml:space="preserve"> of GVC involvement at the country</w:t>
      </w:r>
      <w:r w:rsidR="007105D8" w:rsidRPr="00285EDF">
        <w:rPr>
          <w:rFonts w:asciiTheme="majorBidi" w:hAnsiTheme="majorBidi" w:cstheme="majorBidi"/>
          <w:sz w:val="24"/>
          <w:szCs w:val="24"/>
        </w:rPr>
        <w:t xml:space="preserve"> and sector/industry level</w:t>
      </w:r>
      <w:r w:rsidR="00D95EE3" w:rsidRPr="00285EDF">
        <w:rPr>
          <w:rFonts w:asciiTheme="majorBidi" w:hAnsiTheme="majorBidi" w:cstheme="majorBidi"/>
          <w:sz w:val="24"/>
          <w:szCs w:val="24"/>
        </w:rPr>
        <w:t xml:space="preserve">. </w:t>
      </w:r>
      <w:r w:rsidR="00766D97">
        <w:rPr>
          <w:rFonts w:asciiTheme="majorBidi" w:hAnsiTheme="majorBidi" w:cstheme="majorBidi"/>
          <w:sz w:val="24"/>
          <w:szCs w:val="24"/>
        </w:rPr>
        <w:t xml:space="preserve">Two strands </w:t>
      </w:r>
      <w:r w:rsidR="00FA5806">
        <w:rPr>
          <w:rFonts w:asciiTheme="majorBidi" w:hAnsiTheme="majorBidi" w:cstheme="majorBidi"/>
          <w:sz w:val="24"/>
          <w:szCs w:val="24"/>
        </w:rPr>
        <w:t xml:space="preserve">in the literature </w:t>
      </w:r>
      <w:r w:rsidR="00766D97">
        <w:rPr>
          <w:rFonts w:asciiTheme="majorBidi" w:hAnsiTheme="majorBidi" w:cstheme="majorBidi"/>
          <w:sz w:val="24"/>
          <w:szCs w:val="24"/>
        </w:rPr>
        <w:t>emerge from the existing body of studies on global value chain participation and trade in value-added</w:t>
      </w:r>
      <w:r w:rsidR="00D95EE3" w:rsidRPr="00285EDF">
        <w:rPr>
          <w:rFonts w:asciiTheme="majorBidi" w:hAnsiTheme="majorBidi" w:cstheme="majorBidi"/>
          <w:sz w:val="24"/>
          <w:szCs w:val="24"/>
        </w:rPr>
        <w:t xml:space="preserve">. The first strand </w:t>
      </w:r>
      <w:r w:rsidR="005012A6" w:rsidRPr="00285EDF">
        <w:rPr>
          <w:rFonts w:asciiTheme="majorBidi" w:hAnsiTheme="majorBidi" w:cstheme="majorBidi"/>
          <w:sz w:val="24"/>
          <w:szCs w:val="24"/>
        </w:rPr>
        <w:t xml:space="preserve">entails </w:t>
      </w:r>
      <w:r w:rsidR="004A6406">
        <w:rPr>
          <w:rFonts w:asciiTheme="majorBidi" w:hAnsiTheme="majorBidi" w:cstheme="majorBidi"/>
          <w:sz w:val="24"/>
          <w:szCs w:val="24"/>
        </w:rPr>
        <w:t xml:space="preserve">the </w:t>
      </w:r>
      <w:r w:rsidR="0059116E" w:rsidRPr="00285EDF">
        <w:rPr>
          <w:rFonts w:asciiTheme="majorBidi" w:hAnsiTheme="majorBidi" w:cstheme="majorBidi"/>
          <w:sz w:val="24"/>
          <w:szCs w:val="24"/>
        </w:rPr>
        <w:t>elaboration of methodological approaches</w:t>
      </w:r>
      <w:r w:rsidR="008B1E92">
        <w:rPr>
          <w:rFonts w:asciiTheme="majorBidi" w:hAnsiTheme="majorBidi" w:cstheme="majorBidi"/>
          <w:sz w:val="24"/>
          <w:szCs w:val="24"/>
        </w:rPr>
        <w:t xml:space="preserve"> to measuring value-added trade and/or GVC engagement</w:t>
      </w:r>
      <w:r w:rsidR="0059116E" w:rsidRPr="00285EDF">
        <w:rPr>
          <w:rFonts w:asciiTheme="majorBidi" w:hAnsiTheme="majorBidi" w:cstheme="majorBidi"/>
          <w:sz w:val="24"/>
          <w:szCs w:val="24"/>
        </w:rPr>
        <w:t xml:space="preserve"> </w:t>
      </w:r>
      <w:r w:rsidR="00C1626C" w:rsidRPr="00285EDF">
        <w:rPr>
          <w:rFonts w:asciiTheme="majorBidi" w:hAnsiTheme="majorBidi" w:cstheme="majorBidi"/>
          <w:sz w:val="24"/>
          <w:szCs w:val="24"/>
        </w:rPr>
        <w:t>(Belotti</w:t>
      </w:r>
      <w:r w:rsidR="00EC3FC4" w:rsidRPr="00285EDF">
        <w:rPr>
          <w:rFonts w:asciiTheme="majorBidi" w:hAnsiTheme="majorBidi" w:cstheme="majorBidi"/>
          <w:sz w:val="24"/>
          <w:szCs w:val="24"/>
        </w:rPr>
        <w:t xml:space="preserve"> et al.</w:t>
      </w:r>
      <w:r w:rsidR="00C1626C" w:rsidRPr="00285EDF">
        <w:rPr>
          <w:rFonts w:asciiTheme="majorBidi" w:hAnsiTheme="majorBidi" w:cstheme="majorBidi"/>
          <w:sz w:val="24"/>
          <w:szCs w:val="24"/>
        </w:rPr>
        <w:t>, 2020</w:t>
      </w:r>
      <w:r w:rsidR="00EC3FC4" w:rsidRPr="00285EDF">
        <w:rPr>
          <w:rFonts w:asciiTheme="majorBidi" w:hAnsiTheme="majorBidi" w:cstheme="majorBidi"/>
          <w:sz w:val="24"/>
          <w:szCs w:val="24"/>
        </w:rPr>
        <w:t>; Timmer et al., 2015</w:t>
      </w:r>
      <w:r w:rsidR="00C1626C" w:rsidRPr="00285EDF">
        <w:rPr>
          <w:rFonts w:asciiTheme="majorBidi" w:hAnsiTheme="majorBidi" w:cstheme="majorBidi"/>
          <w:sz w:val="24"/>
          <w:szCs w:val="24"/>
        </w:rPr>
        <w:t>)</w:t>
      </w:r>
      <w:r w:rsidR="008B1E92">
        <w:rPr>
          <w:rFonts w:asciiTheme="majorBidi" w:hAnsiTheme="majorBidi" w:cstheme="majorBidi"/>
          <w:sz w:val="24"/>
          <w:szCs w:val="24"/>
        </w:rPr>
        <w:t xml:space="preserve">. </w:t>
      </w:r>
      <w:r w:rsidR="00BE3873">
        <w:rPr>
          <w:rFonts w:asciiTheme="majorBidi" w:hAnsiTheme="majorBidi" w:cstheme="majorBidi"/>
          <w:sz w:val="24"/>
          <w:szCs w:val="24"/>
        </w:rPr>
        <w:t xml:space="preserve">This literature further examines the </w:t>
      </w:r>
      <w:r w:rsidR="005012A6" w:rsidRPr="00285EDF">
        <w:rPr>
          <w:rFonts w:asciiTheme="majorBidi" w:hAnsiTheme="majorBidi" w:cstheme="majorBidi"/>
          <w:sz w:val="24"/>
          <w:szCs w:val="24"/>
        </w:rPr>
        <w:t xml:space="preserve">patterns and trends of GVC </w:t>
      </w:r>
      <w:r w:rsidR="008B1E92">
        <w:rPr>
          <w:rFonts w:asciiTheme="majorBidi" w:hAnsiTheme="majorBidi" w:cstheme="majorBidi"/>
          <w:sz w:val="24"/>
          <w:szCs w:val="24"/>
        </w:rPr>
        <w:lastRenderedPageBreak/>
        <w:t>involvement</w:t>
      </w:r>
      <w:r w:rsidR="005012A6" w:rsidRPr="00285EDF">
        <w:rPr>
          <w:rFonts w:asciiTheme="majorBidi" w:hAnsiTheme="majorBidi" w:cstheme="majorBidi"/>
          <w:sz w:val="24"/>
          <w:szCs w:val="24"/>
        </w:rPr>
        <w:t xml:space="preserve"> and trade in value-added, often with a regional perspective (</w:t>
      </w:r>
      <w:r w:rsidR="0059116E" w:rsidRPr="00285EDF">
        <w:rPr>
          <w:rFonts w:asciiTheme="majorBidi" w:hAnsiTheme="majorBidi" w:cstheme="majorBidi"/>
          <w:sz w:val="24"/>
          <w:szCs w:val="24"/>
        </w:rPr>
        <w:t>Biesebroeck and Mensah</w:t>
      </w:r>
      <w:r w:rsidR="00C1626C" w:rsidRPr="00285EDF">
        <w:rPr>
          <w:rFonts w:asciiTheme="majorBidi" w:hAnsiTheme="majorBidi" w:cstheme="majorBidi"/>
          <w:sz w:val="24"/>
          <w:szCs w:val="24"/>
        </w:rPr>
        <w:t>,</w:t>
      </w:r>
      <w:r w:rsidR="0059116E" w:rsidRPr="00285EDF">
        <w:rPr>
          <w:rFonts w:asciiTheme="majorBidi" w:hAnsiTheme="majorBidi" w:cstheme="majorBidi"/>
          <w:sz w:val="24"/>
          <w:szCs w:val="24"/>
        </w:rPr>
        <w:t xml:space="preserve"> 2019; Alard et al., 2016</w:t>
      </w:r>
      <w:r w:rsidR="005012A6" w:rsidRPr="00285EDF">
        <w:rPr>
          <w:rFonts w:asciiTheme="majorBidi" w:hAnsiTheme="majorBidi" w:cstheme="majorBidi"/>
          <w:sz w:val="24"/>
          <w:szCs w:val="24"/>
        </w:rPr>
        <w:t>).</w:t>
      </w:r>
      <w:r w:rsidR="007105D8" w:rsidRPr="00285EDF">
        <w:rPr>
          <w:rFonts w:asciiTheme="majorBidi" w:hAnsiTheme="majorBidi" w:cstheme="majorBidi"/>
          <w:sz w:val="24"/>
          <w:szCs w:val="24"/>
        </w:rPr>
        <w:t xml:space="preserve"> </w:t>
      </w:r>
      <w:r w:rsidR="00743E9A">
        <w:rPr>
          <w:rFonts w:asciiTheme="majorBidi" w:hAnsiTheme="majorBidi" w:cstheme="majorBidi"/>
          <w:sz w:val="24"/>
          <w:szCs w:val="24"/>
        </w:rPr>
        <w:t>A number of</w:t>
      </w:r>
      <w:r w:rsidR="003C6607" w:rsidRPr="00285EDF">
        <w:rPr>
          <w:rFonts w:asciiTheme="majorBidi" w:hAnsiTheme="majorBidi" w:cstheme="majorBidi"/>
          <w:sz w:val="24"/>
          <w:szCs w:val="24"/>
        </w:rPr>
        <w:t xml:space="preserve"> </w:t>
      </w:r>
      <w:r w:rsidR="00CE2C33">
        <w:rPr>
          <w:rFonts w:asciiTheme="majorBidi" w:hAnsiTheme="majorBidi" w:cstheme="majorBidi"/>
          <w:sz w:val="24"/>
          <w:szCs w:val="24"/>
        </w:rPr>
        <w:t>observations</w:t>
      </w:r>
      <w:r w:rsidR="003C6607" w:rsidRPr="00285EDF">
        <w:rPr>
          <w:rFonts w:asciiTheme="majorBidi" w:hAnsiTheme="majorBidi" w:cstheme="majorBidi"/>
          <w:sz w:val="24"/>
          <w:szCs w:val="24"/>
        </w:rPr>
        <w:t xml:space="preserve"> </w:t>
      </w:r>
      <w:r w:rsidR="00F36220">
        <w:rPr>
          <w:rFonts w:asciiTheme="majorBidi" w:hAnsiTheme="majorBidi" w:cstheme="majorBidi"/>
          <w:sz w:val="24"/>
          <w:szCs w:val="24"/>
        </w:rPr>
        <w:t>emerge from the literature</w:t>
      </w:r>
      <w:r w:rsidR="00743E9A">
        <w:rPr>
          <w:rFonts w:asciiTheme="majorBidi" w:hAnsiTheme="majorBidi" w:cstheme="majorBidi"/>
          <w:sz w:val="24"/>
          <w:szCs w:val="24"/>
        </w:rPr>
        <w:t xml:space="preserve"> – some of which are </w:t>
      </w:r>
      <w:r w:rsidR="00CE2C33">
        <w:rPr>
          <w:rFonts w:asciiTheme="majorBidi" w:hAnsiTheme="majorBidi" w:cstheme="majorBidi"/>
          <w:sz w:val="24"/>
          <w:szCs w:val="24"/>
        </w:rPr>
        <w:t xml:space="preserve"> First</w:t>
      </w:r>
      <w:r w:rsidR="00464C46">
        <w:rPr>
          <w:rFonts w:asciiTheme="majorBidi" w:hAnsiTheme="majorBidi" w:cstheme="majorBidi"/>
          <w:sz w:val="24"/>
          <w:szCs w:val="24"/>
        </w:rPr>
        <w:t>ly</w:t>
      </w:r>
      <w:r w:rsidR="003C6607" w:rsidRPr="00285EDF">
        <w:rPr>
          <w:rFonts w:asciiTheme="majorBidi" w:hAnsiTheme="majorBidi" w:cstheme="majorBidi"/>
          <w:sz w:val="24"/>
          <w:szCs w:val="24"/>
        </w:rPr>
        <w:t>,</w:t>
      </w:r>
      <w:r w:rsidR="00464C46">
        <w:rPr>
          <w:rFonts w:asciiTheme="majorBidi" w:hAnsiTheme="majorBidi" w:cstheme="majorBidi"/>
          <w:sz w:val="24"/>
          <w:szCs w:val="24"/>
        </w:rPr>
        <w:t xml:space="preserve"> </w:t>
      </w:r>
      <w:r w:rsidR="00743E9A">
        <w:rPr>
          <w:rFonts w:asciiTheme="majorBidi" w:hAnsiTheme="majorBidi" w:cstheme="majorBidi"/>
          <w:sz w:val="24"/>
          <w:szCs w:val="24"/>
        </w:rPr>
        <w:t xml:space="preserve"> according to a study by </w:t>
      </w:r>
      <w:r w:rsidR="00743E9A">
        <w:rPr>
          <w:rFonts w:asciiTheme="majorBidi" w:hAnsiTheme="majorBidi" w:cstheme="majorBidi"/>
          <w:sz w:val="24"/>
          <w:szCs w:val="24"/>
        </w:rPr>
        <w:t xml:space="preserve">Van </w:t>
      </w:r>
      <w:r w:rsidR="00743E9A" w:rsidRPr="00285EDF">
        <w:rPr>
          <w:rFonts w:asciiTheme="majorBidi" w:hAnsiTheme="majorBidi" w:cstheme="majorBidi"/>
          <w:sz w:val="24"/>
          <w:szCs w:val="24"/>
        </w:rPr>
        <w:t>Biesebroeck and Mensah</w:t>
      </w:r>
      <w:r w:rsidR="00743E9A">
        <w:rPr>
          <w:rFonts w:asciiTheme="majorBidi" w:hAnsiTheme="majorBidi" w:cstheme="majorBidi"/>
          <w:sz w:val="24"/>
          <w:szCs w:val="24"/>
        </w:rPr>
        <w:t xml:space="preserve"> (</w:t>
      </w:r>
      <w:r w:rsidR="00743E9A">
        <w:rPr>
          <w:rFonts w:asciiTheme="majorBidi" w:hAnsiTheme="majorBidi" w:cstheme="majorBidi"/>
          <w:sz w:val="24"/>
          <w:szCs w:val="24"/>
        </w:rPr>
        <w:t>2019</w:t>
      </w:r>
      <w:r w:rsidR="00743E9A">
        <w:rPr>
          <w:rFonts w:asciiTheme="majorBidi" w:hAnsiTheme="majorBidi" w:cstheme="majorBidi"/>
          <w:sz w:val="24"/>
          <w:szCs w:val="24"/>
        </w:rPr>
        <w:t>)</w:t>
      </w:r>
      <w:r w:rsidR="004A6406">
        <w:rPr>
          <w:rFonts w:asciiTheme="majorBidi" w:hAnsiTheme="majorBidi" w:cstheme="majorBidi"/>
          <w:sz w:val="24"/>
          <w:szCs w:val="24"/>
        </w:rPr>
        <w:t xml:space="preserve"> </w:t>
      </w:r>
      <w:r w:rsidR="00743E9A">
        <w:rPr>
          <w:rFonts w:asciiTheme="majorBidi" w:hAnsiTheme="majorBidi" w:cstheme="majorBidi"/>
          <w:sz w:val="24"/>
          <w:szCs w:val="24"/>
        </w:rPr>
        <w:t xml:space="preserve">which </w:t>
      </w:r>
      <w:r w:rsidR="004A6406">
        <w:rPr>
          <w:rFonts w:asciiTheme="majorBidi" w:hAnsiTheme="majorBidi" w:cstheme="majorBidi"/>
          <w:sz w:val="24"/>
          <w:szCs w:val="24"/>
        </w:rPr>
        <w:t>compar</w:t>
      </w:r>
      <w:r w:rsidR="00743E9A">
        <w:rPr>
          <w:rFonts w:asciiTheme="majorBidi" w:hAnsiTheme="majorBidi" w:cstheme="majorBidi"/>
          <w:sz w:val="24"/>
          <w:szCs w:val="24"/>
        </w:rPr>
        <w:t>es</w:t>
      </w:r>
      <w:r w:rsidR="004A6406">
        <w:rPr>
          <w:rFonts w:asciiTheme="majorBidi" w:hAnsiTheme="majorBidi" w:cstheme="majorBidi"/>
          <w:sz w:val="24"/>
          <w:szCs w:val="24"/>
        </w:rPr>
        <w:t xml:space="preserve"> sourcing patterns </w:t>
      </w:r>
      <w:r w:rsidR="00743E9A">
        <w:rPr>
          <w:rFonts w:asciiTheme="majorBidi" w:hAnsiTheme="majorBidi" w:cstheme="majorBidi"/>
          <w:sz w:val="24"/>
          <w:szCs w:val="24"/>
        </w:rPr>
        <w:t xml:space="preserve">in Africa </w:t>
      </w:r>
      <w:r w:rsidR="004A6406">
        <w:rPr>
          <w:rFonts w:asciiTheme="majorBidi" w:hAnsiTheme="majorBidi" w:cstheme="majorBidi"/>
          <w:sz w:val="24"/>
          <w:szCs w:val="24"/>
        </w:rPr>
        <w:t>between MNEs and small domestic firms</w:t>
      </w:r>
      <w:r w:rsidR="004A6406">
        <w:rPr>
          <w:rFonts w:asciiTheme="majorBidi" w:hAnsiTheme="majorBidi" w:cstheme="majorBidi"/>
          <w:sz w:val="24"/>
          <w:szCs w:val="24"/>
        </w:rPr>
        <w:t xml:space="preserve">, multinational enterprises (MNEs) </w:t>
      </w:r>
      <w:r w:rsidR="00743E9A">
        <w:rPr>
          <w:rFonts w:asciiTheme="majorBidi" w:hAnsiTheme="majorBidi" w:cstheme="majorBidi"/>
          <w:sz w:val="24"/>
          <w:szCs w:val="24"/>
        </w:rPr>
        <w:t xml:space="preserve">rely </w:t>
      </w:r>
      <w:r w:rsidR="004A6406">
        <w:rPr>
          <w:rFonts w:asciiTheme="majorBidi" w:hAnsiTheme="majorBidi" w:cstheme="majorBidi"/>
          <w:sz w:val="24"/>
          <w:szCs w:val="24"/>
        </w:rPr>
        <w:t xml:space="preserve">heavily on domestic sourcing, </w:t>
      </w:r>
      <w:r w:rsidR="004A6406">
        <w:rPr>
          <w:rFonts w:asciiTheme="majorBidi" w:hAnsiTheme="majorBidi" w:cstheme="majorBidi"/>
          <w:sz w:val="24"/>
          <w:szCs w:val="24"/>
        </w:rPr>
        <w:t xml:space="preserve">while </w:t>
      </w:r>
      <w:r w:rsidR="004A6406">
        <w:rPr>
          <w:rFonts w:asciiTheme="majorBidi" w:hAnsiTheme="majorBidi" w:cstheme="majorBidi"/>
          <w:sz w:val="24"/>
          <w:szCs w:val="24"/>
        </w:rPr>
        <w:t>the</w:t>
      </w:r>
      <w:r w:rsidR="00743E9A">
        <w:rPr>
          <w:rFonts w:asciiTheme="majorBidi" w:hAnsiTheme="majorBidi" w:cstheme="majorBidi"/>
          <w:sz w:val="24"/>
          <w:szCs w:val="24"/>
        </w:rPr>
        <w:t xml:space="preserve"> domestic firms </w:t>
      </w:r>
      <w:r w:rsidR="004A6406">
        <w:rPr>
          <w:rFonts w:asciiTheme="majorBidi" w:hAnsiTheme="majorBidi" w:cstheme="majorBidi"/>
          <w:sz w:val="24"/>
          <w:szCs w:val="24"/>
        </w:rPr>
        <w:t>import less of their intermediate inputs</w:t>
      </w:r>
      <w:r w:rsidR="00743E9A">
        <w:rPr>
          <w:rFonts w:asciiTheme="majorBidi" w:hAnsiTheme="majorBidi" w:cstheme="majorBidi"/>
          <w:sz w:val="24"/>
          <w:szCs w:val="24"/>
        </w:rPr>
        <w:t xml:space="preserve">. </w:t>
      </w:r>
      <w:r w:rsidR="004934DE">
        <w:rPr>
          <w:rFonts w:asciiTheme="majorBidi" w:hAnsiTheme="majorBidi" w:cstheme="majorBidi"/>
          <w:sz w:val="24"/>
          <w:szCs w:val="24"/>
        </w:rPr>
        <w:t xml:space="preserve">. </w:t>
      </w:r>
      <w:r w:rsidR="00031D14" w:rsidRPr="00285EDF">
        <w:rPr>
          <w:rFonts w:asciiTheme="majorBidi" w:hAnsiTheme="majorBidi" w:cstheme="majorBidi"/>
          <w:sz w:val="24"/>
          <w:szCs w:val="24"/>
        </w:rPr>
        <w:t xml:space="preserve">Another stylized fact </w:t>
      </w:r>
      <w:r w:rsidR="00743E9A">
        <w:rPr>
          <w:rFonts w:asciiTheme="majorBidi" w:hAnsiTheme="majorBidi" w:cstheme="majorBidi"/>
          <w:sz w:val="24"/>
          <w:szCs w:val="24"/>
        </w:rPr>
        <w:t xml:space="preserve">emerging from the literature </w:t>
      </w:r>
      <w:r w:rsidR="00031D14" w:rsidRPr="00285EDF">
        <w:rPr>
          <w:rFonts w:asciiTheme="majorBidi" w:hAnsiTheme="majorBidi" w:cstheme="majorBidi"/>
          <w:sz w:val="24"/>
          <w:szCs w:val="24"/>
        </w:rPr>
        <w:t>is the positive correlation or complementarity between foreign and domestic value added in exports, for example in Latin Amer</w:t>
      </w:r>
      <w:r w:rsidR="00375F1A">
        <w:rPr>
          <w:rFonts w:asciiTheme="majorBidi" w:hAnsiTheme="majorBidi" w:cstheme="majorBidi"/>
          <w:sz w:val="24"/>
          <w:szCs w:val="24"/>
        </w:rPr>
        <w:t>ica</w:t>
      </w:r>
      <w:r w:rsidR="00031D14" w:rsidRPr="00285EDF">
        <w:rPr>
          <w:rFonts w:asciiTheme="majorBidi" w:hAnsiTheme="majorBidi" w:cstheme="majorBidi"/>
          <w:sz w:val="24"/>
          <w:szCs w:val="24"/>
        </w:rPr>
        <w:t xml:space="preserve"> (Assamoi et al., 2019) and South-east Asia (Lopez, 2016)</w:t>
      </w:r>
      <w:r w:rsidR="000D5256">
        <w:rPr>
          <w:rFonts w:asciiTheme="majorBidi" w:hAnsiTheme="majorBidi" w:cstheme="majorBidi"/>
          <w:sz w:val="24"/>
          <w:szCs w:val="24"/>
        </w:rPr>
        <w:t>, implying a common set of factors that drive</w:t>
      </w:r>
      <w:r w:rsidR="00DE51FE">
        <w:rPr>
          <w:rFonts w:asciiTheme="majorBidi" w:hAnsiTheme="majorBidi" w:cstheme="majorBidi"/>
          <w:sz w:val="24"/>
          <w:szCs w:val="24"/>
        </w:rPr>
        <w:t xml:space="preserve"> both </w:t>
      </w:r>
      <w:r w:rsidR="008E4A93">
        <w:rPr>
          <w:rFonts w:asciiTheme="majorBidi" w:hAnsiTheme="majorBidi" w:cstheme="majorBidi"/>
          <w:sz w:val="24"/>
          <w:szCs w:val="24"/>
        </w:rPr>
        <w:t xml:space="preserve">domestic and foreign value addition in </w:t>
      </w:r>
      <w:r w:rsidR="00DE51FE">
        <w:rPr>
          <w:rFonts w:asciiTheme="majorBidi" w:hAnsiTheme="majorBidi" w:cstheme="majorBidi"/>
          <w:sz w:val="24"/>
          <w:szCs w:val="24"/>
        </w:rPr>
        <w:t>its</w:t>
      </w:r>
      <w:r w:rsidR="008E4A93">
        <w:rPr>
          <w:rFonts w:asciiTheme="majorBidi" w:hAnsiTheme="majorBidi" w:cstheme="majorBidi"/>
          <w:sz w:val="24"/>
          <w:szCs w:val="24"/>
        </w:rPr>
        <w:t xml:space="preserve"> exports.</w:t>
      </w:r>
      <w:r w:rsidR="00A0352C">
        <w:rPr>
          <w:rFonts w:asciiTheme="majorBidi" w:hAnsiTheme="majorBidi" w:cstheme="majorBidi"/>
          <w:sz w:val="24"/>
          <w:szCs w:val="24"/>
        </w:rPr>
        <w:t xml:space="preserve"> </w:t>
      </w:r>
      <w:r w:rsidR="00034FD0">
        <w:rPr>
          <w:rFonts w:asciiTheme="majorBidi" w:hAnsiTheme="majorBidi" w:cstheme="majorBidi"/>
          <w:sz w:val="24"/>
          <w:szCs w:val="24"/>
        </w:rPr>
        <w:t>Thirdly, the domestic value addition of a country tends to decline over time with increasing levels of development</w:t>
      </w:r>
      <w:r w:rsidR="000D5256">
        <w:rPr>
          <w:rFonts w:asciiTheme="majorBidi" w:hAnsiTheme="majorBidi" w:cstheme="majorBidi"/>
          <w:sz w:val="24"/>
          <w:szCs w:val="24"/>
        </w:rPr>
        <w:t xml:space="preserve">, </w:t>
      </w:r>
      <w:r w:rsidR="00AC64EC">
        <w:rPr>
          <w:rFonts w:asciiTheme="majorBidi" w:hAnsiTheme="majorBidi" w:cstheme="majorBidi"/>
          <w:sz w:val="24"/>
          <w:szCs w:val="24"/>
        </w:rPr>
        <w:t xml:space="preserve">indicative of </w:t>
      </w:r>
      <w:r w:rsidR="000D5256">
        <w:rPr>
          <w:rFonts w:asciiTheme="majorBidi" w:hAnsiTheme="majorBidi" w:cstheme="majorBidi"/>
          <w:sz w:val="24"/>
          <w:szCs w:val="24"/>
        </w:rPr>
        <w:t>a greater</w:t>
      </w:r>
      <w:r w:rsidR="00A676C6">
        <w:rPr>
          <w:rFonts w:asciiTheme="majorBidi" w:hAnsiTheme="majorBidi" w:cstheme="majorBidi"/>
          <w:sz w:val="24"/>
          <w:szCs w:val="24"/>
        </w:rPr>
        <w:t xml:space="preserve"> engagement of hi</w:t>
      </w:r>
      <w:r w:rsidR="002B3EC1">
        <w:rPr>
          <w:rFonts w:asciiTheme="majorBidi" w:hAnsiTheme="majorBidi" w:cstheme="majorBidi"/>
          <w:sz w:val="24"/>
          <w:szCs w:val="24"/>
        </w:rPr>
        <w:t xml:space="preserve">gh-skilled foreign firms </w:t>
      </w:r>
      <w:r w:rsidR="00A676C6">
        <w:rPr>
          <w:rFonts w:asciiTheme="majorBidi" w:hAnsiTheme="majorBidi" w:cstheme="majorBidi"/>
          <w:sz w:val="24"/>
          <w:szCs w:val="24"/>
        </w:rPr>
        <w:t>in value-addi</w:t>
      </w:r>
      <w:r w:rsidR="00A27783">
        <w:rPr>
          <w:rFonts w:asciiTheme="majorBidi" w:hAnsiTheme="majorBidi" w:cstheme="majorBidi"/>
          <w:sz w:val="24"/>
          <w:szCs w:val="24"/>
        </w:rPr>
        <w:t>tion</w:t>
      </w:r>
      <w:r w:rsidR="00A676C6">
        <w:rPr>
          <w:rFonts w:asciiTheme="majorBidi" w:hAnsiTheme="majorBidi" w:cstheme="majorBidi"/>
          <w:sz w:val="24"/>
          <w:szCs w:val="24"/>
        </w:rPr>
        <w:t xml:space="preserve"> </w:t>
      </w:r>
      <w:r w:rsidR="002B3EC1">
        <w:rPr>
          <w:rFonts w:asciiTheme="majorBidi" w:hAnsiTheme="majorBidi" w:cstheme="majorBidi"/>
          <w:sz w:val="24"/>
          <w:szCs w:val="24"/>
        </w:rPr>
        <w:t xml:space="preserve">activities in </w:t>
      </w:r>
      <w:r w:rsidR="00A27783">
        <w:rPr>
          <w:rFonts w:asciiTheme="majorBidi" w:hAnsiTheme="majorBidi" w:cstheme="majorBidi"/>
          <w:sz w:val="24"/>
          <w:szCs w:val="24"/>
        </w:rPr>
        <w:t xml:space="preserve">the </w:t>
      </w:r>
      <w:r w:rsidR="002B3EC1">
        <w:rPr>
          <w:rFonts w:asciiTheme="majorBidi" w:hAnsiTheme="majorBidi" w:cstheme="majorBidi"/>
          <w:sz w:val="24"/>
          <w:szCs w:val="24"/>
        </w:rPr>
        <w:t>upper streams of global value chains (Caraballo and Jiang, 2016).</w:t>
      </w:r>
      <w:r w:rsidR="009D6FFA">
        <w:rPr>
          <w:rFonts w:asciiTheme="majorBidi" w:hAnsiTheme="majorBidi" w:cstheme="majorBidi"/>
          <w:sz w:val="24"/>
          <w:szCs w:val="24"/>
        </w:rPr>
        <w:t xml:space="preserve"> </w:t>
      </w:r>
      <w:r w:rsidR="00A27783">
        <w:rPr>
          <w:rFonts w:asciiTheme="majorBidi" w:hAnsiTheme="majorBidi" w:cstheme="majorBidi"/>
          <w:sz w:val="24"/>
          <w:szCs w:val="24"/>
        </w:rPr>
        <w:t>Finally, a</w:t>
      </w:r>
      <w:r w:rsidR="00166B6C">
        <w:rPr>
          <w:rFonts w:asciiTheme="majorBidi" w:hAnsiTheme="majorBidi" w:cstheme="majorBidi"/>
          <w:sz w:val="24"/>
          <w:szCs w:val="24"/>
        </w:rPr>
        <w:t xml:space="preserve">fter </w:t>
      </w:r>
      <w:r w:rsidR="00AC64EC">
        <w:rPr>
          <w:rFonts w:asciiTheme="majorBidi" w:hAnsiTheme="majorBidi" w:cstheme="majorBidi"/>
          <w:sz w:val="24"/>
          <w:szCs w:val="24"/>
        </w:rPr>
        <w:t xml:space="preserve">the </w:t>
      </w:r>
      <w:r w:rsidR="00166B6C">
        <w:rPr>
          <w:rFonts w:asciiTheme="majorBidi" w:hAnsiTheme="majorBidi" w:cstheme="majorBidi"/>
          <w:sz w:val="24"/>
          <w:szCs w:val="24"/>
        </w:rPr>
        <w:t xml:space="preserve">1990s, the increasing </w:t>
      </w:r>
      <w:r w:rsidR="00A27783">
        <w:rPr>
          <w:rFonts w:asciiTheme="majorBidi" w:hAnsiTheme="majorBidi" w:cstheme="majorBidi"/>
          <w:sz w:val="24"/>
          <w:szCs w:val="24"/>
        </w:rPr>
        <w:t xml:space="preserve">liberalisation and </w:t>
      </w:r>
      <w:r w:rsidR="00166B6C">
        <w:rPr>
          <w:rFonts w:asciiTheme="majorBidi" w:hAnsiTheme="majorBidi" w:cstheme="majorBidi"/>
          <w:sz w:val="24"/>
          <w:szCs w:val="24"/>
        </w:rPr>
        <w:t>globalization</w:t>
      </w:r>
      <w:r w:rsidR="00A27783">
        <w:rPr>
          <w:rFonts w:asciiTheme="majorBidi" w:hAnsiTheme="majorBidi" w:cstheme="majorBidi"/>
          <w:sz w:val="24"/>
          <w:szCs w:val="24"/>
        </w:rPr>
        <w:t xml:space="preserve"> </w:t>
      </w:r>
      <w:r w:rsidR="00166B6C">
        <w:rPr>
          <w:rFonts w:asciiTheme="majorBidi" w:hAnsiTheme="majorBidi" w:cstheme="majorBidi"/>
          <w:sz w:val="24"/>
          <w:szCs w:val="24"/>
        </w:rPr>
        <w:t>of the world economy</w:t>
      </w:r>
      <w:r w:rsidR="00A27783">
        <w:rPr>
          <w:rFonts w:asciiTheme="majorBidi" w:hAnsiTheme="majorBidi" w:cstheme="majorBidi"/>
          <w:sz w:val="24"/>
          <w:szCs w:val="24"/>
        </w:rPr>
        <w:t xml:space="preserve"> resulted in a reduction </w:t>
      </w:r>
      <w:r w:rsidR="00166B6C">
        <w:rPr>
          <w:rFonts w:asciiTheme="majorBidi" w:hAnsiTheme="majorBidi" w:cstheme="majorBidi"/>
          <w:sz w:val="24"/>
          <w:szCs w:val="24"/>
        </w:rPr>
        <w:t xml:space="preserve"> not only the trade cost but </w:t>
      </w:r>
      <w:r w:rsidR="00A27783">
        <w:rPr>
          <w:rFonts w:asciiTheme="majorBidi" w:hAnsiTheme="majorBidi" w:cstheme="majorBidi"/>
          <w:sz w:val="24"/>
          <w:szCs w:val="24"/>
        </w:rPr>
        <w:t>also the increasing</w:t>
      </w:r>
      <w:r w:rsidR="00166B6C">
        <w:rPr>
          <w:rFonts w:asciiTheme="majorBidi" w:hAnsiTheme="majorBidi" w:cstheme="majorBidi"/>
          <w:sz w:val="24"/>
          <w:szCs w:val="24"/>
        </w:rPr>
        <w:t xml:space="preserve"> substitution of </w:t>
      </w:r>
      <w:r w:rsidR="00AC64EC">
        <w:rPr>
          <w:rFonts w:asciiTheme="majorBidi" w:hAnsiTheme="majorBidi" w:cstheme="majorBidi"/>
          <w:sz w:val="24"/>
          <w:szCs w:val="24"/>
        </w:rPr>
        <w:t>domestic with foreign</w:t>
      </w:r>
      <w:r w:rsidR="00166B6C">
        <w:rPr>
          <w:rFonts w:asciiTheme="majorBidi" w:hAnsiTheme="majorBidi" w:cstheme="majorBidi"/>
          <w:sz w:val="24"/>
          <w:szCs w:val="24"/>
        </w:rPr>
        <w:t xml:space="preserve"> suppliers, leading to declining value added </w:t>
      </w:r>
      <w:r w:rsidR="00A27783">
        <w:rPr>
          <w:rFonts w:asciiTheme="majorBidi" w:hAnsiTheme="majorBidi" w:cstheme="majorBidi"/>
          <w:sz w:val="24"/>
          <w:szCs w:val="24"/>
        </w:rPr>
        <w:t xml:space="preserve">at the national level </w:t>
      </w:r>
      <w:r w:rsidR="00166B6C">
        <w:rPr>
          <w:rFonts w:asciiTheme="majorBidi" w:hAnsiTheme="majorBidi" w:cstheme="majorBidi"/>
          <w:sz w:val="24"/>
          <w:szCs w:val="24"/>
        </w:rPr>
        <w:t>(Johnson and Noguera, 2014).</w:t>
      </w:r>
      <w:r w:rsidR="004722C0">
        <w:rPr>
          <w:rStyle w:val="FootnoteReference"/>
          <w:rFonts w:asciiTheme="majorBidi" w:hAnsiTheme="majorBidi" w:cstheme="majorBidi"/>
          <w:sz w:val="24"/>
          <w:szCs w:val="24"/>
        </w:rPr>
        <w:footnoteReference w:id="3"/>
      </w:r>
      <w:r w:rsidR="0001116B">
        <w:rPr>
          <w:rFonts w:asciiTheme="majorBidi" w:hAnsiTheme="majorBidi" w:cstheme="majorBidi"/>
          <w:sz w:val="24"/>
          <w:szCs w:val="24"/>
        </w:rPr>
        <w:t xml:space="preserve"> </w:t>
      </w:r>
      <w:r w:rsidR="00A27783">
        <w:rPr>
          <w:rFonts w:asciiTheme="majorBidi" w:hAnsiTheme="majorBidi" w:cstheme="majorBidi"/>
          <w:sz w:val="24"/>
          <w:szCs w:val="24"/>
        </w:rPr>
        <w:t xml:space="preserve"> </w:t>
      </w:r>
    </w:p>
    <w:p w14:paraId="4A2B1D33" w14:textId="0E38B4CD" w:rsidR="009E3E17" w:rsidRDefault="003C701B" w:rsidP="009E3E17">
      <w:pPr>
        <w:spacing w:line="480" w:lineRule="auto"/>
        <w:ind w:firstLine="720"/>
        <w:jc w:val="both"/>
        <w:rPr>
          <w:rFonts w:asciiTheme="majorBidi" w:hAnsiTheme="majorBidi" w:cstheme="majorBidi"/>
          <w:sz w:val="24"/>
          <w:szCs w:val="24"/>
        </w:rPr>
      </w:pPr>
      <w:r w:rsidRPr="00285EDF">
        <w:rPr>
          <w:rFonts w:asciiTheme="majorBidi" w:hAnsiTheme="majorBidi" w:cstheme="majorBidi"/>
          <w:sz w:val="24"/>
          <w:szCs w:val="24"/>
        </w:rPr>
        <w:t xml:space="preserve">The second </w:t>
      </w:r>
      <w:r w:rsidR="00A27783">
        <w:rPr>
          <w:rFonts w:asciiTheme="majorBidi" w:hAnsiTheme="majorBidi" w:cstheme="majorBidi"/>
          <w:sz w:val="24"/>
          <w:szCs w:val="24"/>
        </w:rPr>
        <w:t xml:space="preserve">strand in the </w:t>
      </w:r>
      <w:r w:rsidRPr="00285EDF">
        <w:rPr>
          <w:rFonts w:asciiTheme="majorBidi" w:hAnsiTheme="majorBidi" w:cstheme="majorBidi"/>
          <w:sz w:val="24"/>
          <w:szCs w:val="24"/>
        </w:rPr>
        <w:t>literature empirically estimates the determinants of trade in value-added and GVC engagement at the country and/or sector levels</w:t>
      </w:r>
      <w:r w:rsidR="007F3AE2" w:rsidRPr="00285EDF">
        <w:rPr>
          <w:rFonts w:asciiTheme="majorBidi" w:hAnsiTheme="majorBidi" w:cstheme="majorBidi"/>
          <w:sz w:val="24"/>
          <w:szCs w:val="24"/>
        </w:rPr>
        <w:t>.</w:t>
      </w:r>
      <w:r w:rsidR="00503F55" w:rsidRPr="00285EDF">
        <w:rPr>
          <w:rFonts w:asciiTheme="majorBidi" w:hAnsiTheme="majorBidi" w:cstheme="majorBidi"/>
          <w:sz w:val="24"/>
          <w:szCs w:val="24"/>
        </w:rPr>
        <w:t xml:space="preserve"> </w:t>
      </w:r>
      <w:r w:rsidR="007E2684">
        <w:rPr>
          <w:rFonts w:asciiTheme="majorBidi" w:hAnsiTheme="majorBidi" w:cstheme="majorBidi"/>
          <w:sz w:val="24"/>
          <w:szCs w:val="24"/>
        </w:rPr>
        <w:t xml:space="preserve">These </w:t>
      </w:r>
      <w:r w:rsidR="00A27783">
        <w:rPr>
          <w:rFonts w:asciiTheme="majorBidi" w:hAnsiTheme="majorBidi" w:cstheme="majorBidi"/>
          <w:sz w:val="24"/>
          <w:szCs w:val="24"/>
        </w:rPr>
        <w:t xml:space="preserve">determinants </w:t>
      </w:r>
      <w:r w:rsidR="007E2684">
        <w:rPr>
          <w:rFonts w:asciiTheme="majorBidi" w:hAnsiTheme="majorBidi" w:cstheme="majorBidi"/>
          <w:sz w:val="24"/>
          <w:szCs w:val="24"/>
        </w:rPr>
        <w:t xml:space="preserve">are broadly categorized into structural factors on the one hand and policy and institutional factors on the other. </w:t>
      </w:r>
      <w:r w:rsidR="00503F55" w:rsidRPr="00285EDF">
        <w:rPr>
          <w:rFonts w:asciiTheme="majorBidi" w:hAnsiTheme="majorBidi" w:cstheme="majorBidi"/>
          <w:sz w:val="24"/>
          <w:szCs w:val="24"/>
        </w:rPr>
        <w:t xml:space="preserve">The </w:t>
      </w:r>
      <w:r w:rsidR="007E2684">
        <w:rPr>
          <w:rFonts w:asciiTheme="majorBidi" w:hAnsiTheme="majorBidi" w:cstheme="majorBidi"/>
          <w:sz w:val="24"/>
          <w:szCs w:val="24"/>
        </w:rPr>
        <w:t xml:space="preserve">structural </w:t>
      </w:r>
      <w:r w:rsidR="00503F55" w:rsidRPr="00285EDF">
        <w:rPr>
          <w:rFonts w:asciiTheme="majorBidi" w:hAnsiTheme="majorBidi" w:cstheme="majorBidi"/>
          <w:sz w:val="24"/>
          <w:szCs w:val="24"/>
        </w:rPr>
        <w:t xml:space="preserve">factors found to augment domestic value addition </w:t>
      </w:r>
      <w:r w:rsidR="007E2684">
        <w:rPr>
          <w:rFonts w:asciiTheme="majorBidi" w:hAnsiTheme="majorBidi" w:cstheme="majorBidi"/>
          <w:sz w:val="24"/>
          <w:szCs w:val="24"/>
        </w:rPr>
        <w:t>include GDP</w:t>
      </w:r>
      <w:r w:rsidR="00303519">
        <w:rPr>
          <w:rFonts w:asciiTheme="majorBidi" w:hAnsiTheme="majorBidi" w:cstheme="majorBidi"/>
          <w:sz w:val="24"/>
          <w:szCs w:val="24"/>
        </w:rPr>
        <w:t xml:space="preserve"> per capita</w:t>
      </w:r>
      <w:r w:rsidR="007E2684">
        <w:rPr>
          <w:rFonts w:asciiTheme="majorBidi" w:hAnsiTheme="majorBidi" w:cstheme="majorBidi"/>
          <w:sz w:val="24"/>
          <w:szCs w:val="24"/>
        </w:rPr>
        <w:t xml:space="preserve"> (</w:t>
      </w:r>
      <w:r w:rsidR="004F062C" w:rsidRPr="00303519">
        <w:rPr>
          <w:rFonts w:asciiTheme="majorBidi" w:hAnsiTheme="majorBidi" w:cstheme="majorBidi"/>
          <w:sz w:val="24"/>
          <w:szCs w:val="24"/>
        </w:rPr>
        <w:t>Alard</w:t>
      </w:r>
      <w:r w:rsidR="00303519" w:rsidRPr="00303519">
        <w:rPr>
          <w:rFonts w:asciiTheme="majorBidi" w:hAnsiTheme="majorBidi" w:cstheme="majorBidi"/>
          <w:sz w:val="24"/>
          <w:szCs w:val="24"/>
        </w:rPr>
        <w:t xml:space="preserve"> et al., 2016</w:t>
      </w:r>
      <w:r w:rsidR="007E2684">
        <w:rPr>
          <w:rFonts w:asciiTheme="majorBidi" w:hAnsiTheme="majorBidi" w:cstheme="majorBidi"/>
          <w:sz w:val="24"/>
          <w:szCs w:val="24"/>
        </w:rPr>
        <w:t xml:space="preserve">); the degree of </w:t>
      </w:r>
      <w:r w:rsidR="00503F55" w:rsidRPr="00285EDF">
        <w:rPr>
          <w:rFonts w:asciiTheme="majorBidi" w:hAnsiTheme="majorBidi" w:cstheme="majorBidi"/>
          <w:sz w:val="24"/>
          <w:szCs w:val="24"/>
        </w:rPr>
        <w:t>capital intensity in the production process (Kee and Tang, 2016; Yu and Luo, 2018)</w:t>
      </w:r>
      <w:r w:rsidR="007E2684">
        <w:rPr>
          <w:rFonts w:asciiTheme="majorBidi" w:hAnsiTheme="majorBidi" w:cstheme="majorBidi"/>
          <w:sz w:val="24"/>
          <w:szCs w:val="24"/>
        </w:rPr>
        <w:t>;</w:t>
      </w:r>
      <w:r w:rsidR="00503F55" w:rsidRPr="00285EDF">
        <w:rPr>
          <w:rFonts w:asciiTheme="majorBidi" w:hAnsiTheme="majorBidi" w:cstheme="majorBidi"/>
          <w:sz w:val="24"/>
          <w:szCs w:val="24"/>
        </w:rPr>
        <w:t xml:space="preserve"> foreign ownership, where a </w:t>
      </w:r>
      <w:r w:rsidR="00A27783">
        <w:rPr>
          <w:rFonts w:asciiTheme="majorBidi" w:hAnsiTheme="majorBidi" w:cstheme="majorBidi"/>
          <w:sz w:val="24"/>
          <w:szCs w:val="24"/>
        </w:rPr>
        <w:t>greater presesnce</w:t>
      </w:r>
      <w:r w:rsidR="00503F55" w:rsidRPr="00285EDF">
        <w:rPr>
          <w:rFonts w:asciiTheme="majorBidi" w:hAnsiTheme="majorBidi" w:cstheme="majorBidi"/>
          <w:sz w:val="24"/>
          <w:szCs w:val="24"/>
        </w:rPr>
        <w:t xml:space="preserve"> of MNEs </w:t>
      </w:r>
      <w:r w:rsidR="007E2684">
        <w:rPr>
          <w:rFonts w:asciiTheme="majorBidi" w:hAnsiTheme="majorBidi" w:cstheme="majorBidi"/>
          <w:sz w:val="24"/>
          <w:szCs w:val="24"/>
        </w:rPr>
        <w:t>translate</w:t>
      </w:r>
      <w:r w:rsidR="00A27783">
        <w:rPr>
          <w:rFonts w:asciiTheme="majorBidi" w:hAnsiTheme="majorBidi" w:cstheme="majorBidi"/>
          <w:sz w:val="24"/>
          <w:szCs w:val="24"/>
        </w:rPr>
        <w:t>s</w:t>
      </w:r>
      <w:r w:rsidR="00503F55" w:rsidRPr="00285EDF">
        <w:rPr>
          <w:rFonts w:asciiTheme="majorBidi" w:hAnsiTheme="majorBidi" w:cstheme="majorBidi"/>
          <w:sz w:val="24"/>
          <w:szCs w:val="24"/>
        </w:rPr>
        <w:t xml:space="preserve"> into higher domestic value</w:t>
      </w:r>
      <w:r w:rsidR="00A27783">
        <w:rPr>
          <w:rFonts w:asciiTheme="majorBidi" w:hAnsiTheme="majorBidi" w:cstheme="majorBidi"/>
          <w:sz w:val="24"/>
          <w:szCs w:val="24"/>
        </w:rPr>
        <w:t>-</w:t>
      </w:r>
      <w:r w:rsidR="00503F55" w:rsidRPr="00285EDF">
        <w:rPr>
          <w:rFonts w:asciiTheme="majorBidi" w:hAnsiTheme="majorBidi" w:cstheme="majorBidi"/>
          <w:sz w:val="24"/>
          <w:szCs w:val="24"/>
        </w:rPr>
        <w:t>added embedded in exports (Fernandes et al., 2020)</w:t>
      </w:r>
      <w:r w:rsidR="007E2684">
        <w:rPr>
          <w:rFonts w:asciiTheme="majorBidi" w:hAnsiTheme="majorBidi" w:cstheme="majorBidi"/>
          <w:sz w:val="24"/>
          <w:szCs w:val="24"/>
        </w:rPr>
        <w:t>;</w:t>
      </w:r>
      <w:r w:rsidR="00503F55" w:rsidRPr="00285EDF">
        <w:rPr>
          <w:rFonts w:asciiTheme="majorBidi" w:hAnsiTheme="majorBidi" w:cstheme="majorBidi"/>
          <w:sz w:val="24"/>
          <w:szCs w:val="24"/>
        </w:rPr>
        <w:t xml:space="preserve"> labo</w:t>
      </w:r>
      <w:r w:rsidR="00A27783">
        <w:rPr>
          <w:rFonts w:asciiTheme="majorBidi" w:hAnsiTheme="majorBidi" w:cstheme="majorBidi"/>
          <w:sz w:val="24"/>
          <w:szCs w:val="24"/>
        </w:rPr>
        <w:t>u</w:t>
      </w:r>
      <w:r w:rsidR="00503F55" w:rsidRPr="00285EDF">
        <w:rPr>
          <w:rFonts w:asciiTheme="majorBidi" w:hAnsiTheme="majorBidi" w:cstheme="majorBidi"/>
          <w:sz w:val="24"/>
          <w:szCs w:val="24"/>
        </w:rPr>
        <w:t>r intensity, where sectors with higher skills are associated with higher value added (Aggarwal et al., 2021; Barrie</w:t>
      </w:r>
      <w:r w:rsidR="00A27783">
        <w:rPr>
          <w:rFonts w:asciiTheme="majorBidi" w:hAnsiTheme="majorBidi" w:cstheme="majorBidi"/>
          <w:sz w:val="24"/>
          <w:szCs w:val="24"/>
        </w:rPr>
        <w:t>n</w:t>
      </w:r>
      <w:r w:rsidR="00503F55" w:rsidRPr="00285EDF">
        <w:rPr>
          <w:rFonts w:asciiTheme="majorBidi" w:hAnsiTheme="majorBidi" w:cstheme="majorBidi"/>
          <w:sz w:val="24"/>
          <w:szCs w:val="24"/>
        </w:rPr>
        <w:t xml:space="preserve">tos et al., 2011). </w:t>
      </w:r>
      <w:r w:rsidR="007E2684">
        <w:rPr>
          <w:rFonts w:asciiTheme="majorBidi" w:hAnsiTheme="majorBidi" w:cstheme="majorBidi"/>
          <w:sz w:val="24"/>
          <w:szCs w:val="24"/>
        </w:rPr>
        <w:t xml:space="preserve">Whereas FDI </w:t>
      </w:r>
      <w:r w:rsidR="007E2684">
        <w:rPr>
          <w:rFonts w:asciiTheme="majorBidi" w:hAnsiTheme="majorBidi" w:cstheme="majorBidi"/>
          <w:sz w:val="24"/>
          <w:szCs w:val="24"/>
        </w:rPr>
        <w:lastRenderedPageBreak/>
        <w:t xml:space="preserve">inflow </w:t>
      </w:r>
      <w:r w:rsidR="009E3E17">
        <w:rPr>
          <w:rFonts w:asciiTheme="majorBidi" w:hAnsiTheme="majorBidi" w:cstheme="majorBidi"/>
          <w:sz w:val="24"/>
          <w:szCs w:val="24"/>
        </w:rPr>
        <w:t>has</w:t>
      </w:r>
      <w:r w:rsidR="007E2684">
        <w:rPr>
          <w:rFonts w:asciiTheme="majorBidi" w:hAnsiTheme="majorBidi" w:cstheme="majorBidi"/>
          <w:sz w:val="24"/>
          <w:szCs w:val="24"/>
        </w:rPr>
        <w:t xml:space="preserve"> been cited as </w:t>
      </w:r>
      <w:r w:rsidR="009E3E17">
        <w:rPr>
          <w:rFonts w:asciiTheme="majorBidi" w:hAnsiTheme="majorBidi" w:cstheme="majorBidi"/>
          <w:sz w:val="24"/>
          <w:szCs w:val="24"/>
        </w:rPr>
        <w:t xml:space="preserve">a potential </w:t>
      </w:r>
      <w:r w:rsidR="007E2684">
        <w:rPr>
          <w:rFonts w:asciiTheme="majorBidi" w:hAnsiTheme="majorBidi" w:cstheme="majorBidi"/>
          <w:sz w:val="24"/>
          <w:szCs w:val="24"/>
        </w:rPr>
        <w:t>enabler of domestic value addition</w:t>
      </w:r>
      <w:r w:rsidR="00FA10E2">
        <w:rPr>
          <w:rFonts w:asciiTheme="majorBidi" w:hAnsiTheme="majorBidi" w:cstheme="majorBidi"/>
          <w:sz w:val="24"/>
          <w:szCs w:val="24"/>
        </w:rPr>
        <w:t>,</w:t>
      </w:r>
      <w:r w:rsidR="00FE6646">
        <w:rPr>
          <w:rFonts w:asciiTheme="majorBidi" w:hAnsiTheme="majorBidi" w:cstheme="majorBidi"/>
          <w:sz w:val="24"/>
          <w:szCs w:val="24"/>
        </w:rPr>
        <w:t xml:space="preserve"> especially by increasing the variety of domestically available inputs</w:t>
      </w:r>
      <w:r w:rsidR="007E2684">
        <w:rPr>
          <w:rFonts w:asciiTheme="majorBidi" w:hAnsiTheme="majorBidi" w:cstheme="majorBidi"/>
          <w:sz w:val="24"/>
          <w:szCs w:val="24"/>
        </w:rPr>
        <w:t xml:space="preserve"> (</w:t>
      </w:r>
      <w:r w:rsidR="00FE6646" w:rsidRPr="00B54D15">
        <w:rPr>
          <w:rFonts w:asciiTheme="majorBidi" w:hAnsiTheme="majorBidi" w:cstheme="majorBidi"/>
          <w:sz w:val="24"/>
          <w:szCs w:val="24"/>
        </w:rPr>
        <w:t>Kee and Tang, 2016</w:t>
      </w:r>
      <w:r w:rsidR="007E2684" w:rsidRPr="00B54D15">
        <w:rPr>
          <w:rFonts w:asciiTheme="majorBidi" w:hAnsiTheme="majorBidi" w:cstheme="majorBidi"/>
          <w:sz w:val="24"/>
          <w:szCs w:val="24"/>
        </w:rPr>
        <w:t xml:space="preserve">), the </w:t>
      </w:r>
      <w:r w:rsidR="00981F77">
        <w:rPr>
          <w:rFonts w:asciiTheme="majorBidi" w:hAnsiTheme="majorBidi" w:cstheme="majorBidi"/>
          <w:sz w:val="24"/>
          <w:szCs w:val="24"/>
        </w:rPr>
        <w:t xml:space="preserve">enabling effect varies by sector/subsector, with the FDI impact on value addition </w:t>
      </w:r>
      <w:r w:rsidR="009E3E17">
        <w:rPr>
          <w:rFonts w:asciiTheme="majorBidi" w:hAnsiTheme="majorBidi" w:cstheme="majorBidi"/>
          <w:sz w:val="24"/>
          <w:szCs w:val="24"/>
        </w:rPr>
        <w:t xml:space="preserve">found to be </w:t>
      </w:r>
      <w:r w:rsidR="00981F77">
        <w:rPr>
          <w:rFonts w:asciiTheme="majorBidi" w:hAnsiTheme="majorBidi" w:cstheme="majorBidi"/>
          <w:sz w:val="24"/>
          <w:szCs w:val="24"/>
        </w:rPr>
        <w:t xml:space="preserve">stronger in sectors with higher levels of skills, as is the case with India’s </w:t>
      </w:r>
      <w:r w:rsidR="005C14CD" w:rsidRPr="00285EDF">
        <w:rPr>
          <w:rFonts w:asciiTheme="majorBidi" w:hAnsiTheme="majorBidi" w:cstheme="majorBidi"/>
          <w:sz w:val="24"/>
          <w:szCs w:val="24"/>
        </w:rPr>
        <w:t>manufacturing sector</w:t>
      </w:r>
      <w:r w:rsidR="00F220A9" w:rsidRPr="00285EDF">
        <w:rPr>
          <w:rFonts w:asciiTheme="majorBidi" w:hAnsiTheme="majorBidi" w:cstheme="majorBidi"/>
          <w:sz w:val="24"/>
          <w:szCs w:val="24"/>
        </w:rPr>
        <w:t xml:space="preserve"> (Aggarwal et al., 2021). </w:t>
      </w:r>
      <w:r w:rsidR="009E3E17">
        <w:rPr>
          <w:rFonts w:asciiTheme="majorBidi" w:hAnsiTheme="majorBidi" w:cstheme="majorBidi"/>
          <w:sz w:val="24"/>
          <w:szCs w:val="24"/>
        </w:rPr>
        <w:t>The share of manufactured exports in total exports is found to be significantly negatively correlated with value-added in gross exports ratio, partly because of the relatively high foreign content in the manufacturing sector (Johnson, 2014).</w:t>
      </w:r>
    </w:p>
    <w:p w14:paraId="2E170CA7" w14:textId="1B03EC2E" w:rsidR="00623E8C" w:rsidRDefault="009E3E17" w:rsidP="008B330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Policy and institutional factors that </w:t>
      </w:r>
      <w:r w:rsidR="005E72CE" w:rsidRPr="00285EDF">
        <w:rPr>
          <w:rFonts w:asciiTheme="majorBidi" w:hAnsiTheme="majorBidi" w:cstheme="majorBidi"/>
          <w:sz w:val="24"/>
          <w:szCs w:val="24"/>
        </w:rPr>
        <w:t xml:space="preserve">enhance </w:t>
      </w:r>
      <w:r w:rsidR="00245020">
        <w:rPr>
          <w:rFonts w:asciiTheme="majorBidi" w:hAnsiTheme="majorBidi" w:cstheme="majorBidi"/>
          <w:sz w:val="24"/>
          <w:szCs w:val="24"/>
        </w:rPr>
        <w:t>domestic value addition in a country’s exports</w:t>
      </w:r>
      <w:r w:rsidR="005E72CE" w:rsidRPr="00285EDF">
        <w:rPr>
          <w:rFonts w:asciiTheme="majorBidi" w:hAnsiTheme="majorBidi" w:cstheme="majorBidi"/>
          <w:sz w:val="24"/>
          <w:szCs w:val="24"/>
        </w:rPr>
        <w:t xml:space="preserve"> include rule of law (Assamoi et al., 2019), insinuating that </w:t>
      </w:r>
      <w:r w:rsidR="00546E52">
        <w:rPr>
          <w:rFonts w:asciiTheme="majorBidi" w:hAnsiTheme="majorBidi" w:cstheme="majorBidi"/>
          <w:sz w:val="24"/>
          <w:szCs w:val="24"/>
        </w:rPr>
        <w:t>‘</w:t>
      </w:r>
      <w:r w:rsidR="005E72CE" w:rsidRPr="00285EDF">
        <w:rPr>
          <w:rFonts w:asciiTheme="majorBidi" w:hAnsiTheme="majorBidi" w:cstheme="majorBidi"/>
          <w:sz w:val="24"/>
          <w:szCs w:val="24"/>
        </w:rPr>
        <w:t>good</w:t>
      </w:r>
      <w:r w:rsidR="00546E52">
        <w:rPr>
          <w:rFonts w:asciiTheme="majorBidi" w:hAnsiTheme="majorBidi" w:cstheme="majorBidi"/>
          <w:sz w:val="24"/>
          <w:szCs w:val="24"/>
        </w:rPr>
        <w:t>’</w:t>
      </w:r>
      <w:r w:rsidR="005E72CE" w:rsidRPr="00285EDF">
        <w:rPr>
          <w:rFonts w:asciiTheme="majorBidi" w:hAnsiTheme="majorBidi" w:cstheme="majorBidi"/>
          <w:sz w:val="24"/>
          <w:szCs w:val="24"/>
        </w:rPr>
        <w:t xml:space="preserve"> institutions stimulate the domestic production of intermediates </w:t>
      </w:r>
      <w:r w:rsidR="00A94FD8" w:rsidRPr="00285EDF">
        <w:rPr>
          <w:rFonts w:asciiTheme="majorBidi" w:hAnsiTheme="majorBidi" w:cstheme="majorBidi"/>
          <w:sz w:val="24"/>
          <w:szCs w:val="24"/>
        </w:rPr>
        <w:t>(Daniel</w:t>
      </w:r>
      <w:r w:rsidR="00457D59">
        <w:rPr>
          <w:rFonts w:asciiTheme="majorBidi" w:hAnsiTheme="majorBidi" w:cstheme="majorBidi"/>
          <w:sz w:val="24"/>
          <w:szCs w:val="24"/>
        </w:rPr>
        <w:t>,</w:t>
      </w:r>
      <w:r w:rsidR="00A94FD8" w:rsidRPr="00285EDF">
        <w:rPr>
          <w:rFonts w:asciiTheme="majorBidi" w:hAnsiTheme="majorBidi" w:cstheme="majorBidi"/>
          <w:sz w:val="24"/>
          <w:szCs w:val="24"/>
        </w:rPr>
        <w:t xml:space="preserve"> 2014)</w:t>
      </w:r>
      <w:r w:rsidR="005E72CE" w:rsidRPr="00285EDF">
        <w:rPr>
          <w:rFonts w:asciiTheme="majorBidi" w:hAnsiTheme="majorBidi" w:cstheme="majorBidi"/>
          <w:sz w:val="24"/>
          <w:szCs w:val="24"/>
        </w:rPr>
        <w:t xml:space="preserve">. </w:t>
      </w:r>
      <w:r w:rsidR="00AD2556">
        <w:rPr>
          <w:rFonts w:asciiTheme="majorBidi" w:hAnsiTheme="majorBidi" w:cstheme="majorBidi"/>
          <w:sz w:val="24"/>
          <w:szCs w:val="24"/>
        </w:rPr>
        <w:t>The average level of tariffs</w:t>
      </w:r>
      <w:r w:rsidR="00546E52">
        <w:rPr>
          <w:rFonts w:asciiTheme="majorBidi" w:hAnsiTheme="majorBidi" w:cstheme="majorBidi"/>
          <w:sz w:val="24"/>
          <w:szCs w:val="24"/>
        </w:rPr>
        <w:t>,</w:t>
      </w:r>
      <w:r w:rsidR="00AD2556">
        <w:rPr>
          <w:rFonts w:asciiTheme="majorBidi" w:hAnsiTheme="majorBidi" w:cstheme="majorBidi"/>
          <w:sz w:val="24"/>
          <w:szCs w:val="24"/>
        </w:rPr>
        <w:t xml:space="preserve"> on the other hand</w:t>
      </w:r>
      <w:r w:rsidR="00546E52">
        <w:rPr>
          <w:rFonts w:asciiTheme="majorBidi" w:hAnsiTheme="majorBidi" w:cstheme="majorBidi"/>
          <w:sz w:val="24"/>
          <w:szCs w:val="24"/>
        </w:rPr>
        <w:t>,</w:t>
      </w:r>
      <w:r w:rsidR="00AD2556">
        <w:rPr>
          <w:rFonts w:asciiTheme="majorBidi" w:hAnsiTheme="majorBidi" w:cstheme="majorBidi"/>
          <w:sz w:val="24"/>
          <w:szCs w:val="24"/>
        </w:rPr>
        <w:t xml:space="preserve"> has been documented to be a hinderance to domestic value addition. </w:t>
      </w:r>
      <w:r w:rsidR="00B000BA">
        <w:rPr>
          <w:rFonts w:asciiTheme="majorBidi" w:hAnsiTheme="majorBidi" w:cstheme="majorBidi"/>
          <w:sz w:val="24"/>
          <w:szCs w:val="24"/>
        </w:rPr>
        <w:t>This is partly attributed to the restrictive effects of tariffs with regards to access to essential productive inputs and technologies (</w:t>
      </w:r>
      <w:r w:rsidR="00321B2D" w:rsidRPr="00321B2D">
        <w:rPr>
          <w:rFonts w:asciiTheme="majorBidi" w:hAnsiTheme="majorBidi" w:cstheme="majorBidi"/>
          <w:sz w:val="24"/>
          <w:szCs w:val="24"/>
        </w:rPr>
        <w:t>Cadot and Gourdon, 2016; Halpern et al., 2015</w:t>
      </w:r>
      <w:r w:rsidR="00410F90">
        <w:rPr>
          <w:rFonts w:asciiTheme="majorBidi" w:hAnsiTheme="majorBidi" w:cstheme="majorBidi"/>
          <w:sz w:val="24"/>
          <w:szCs w:val="24"/>
        </w:rPr>
        <w:t xml:space="preserve">; </w:t>
      </w:r>
      <w:r w:rsidR="00410F90" w:rsidRPr="006324C8">
        <w:rPr>
          <w:rFonts w:asciiTheme="majorBidi" w:hAnsiTheme="majorBidi" w:cstheme="majorBidi"/>
          <w:sz w:val="24"/>
          <w:szCs w:val="24"/>
        </w:rPr>
        <w:t>Kee and Tang, 2016</w:t>
      </w:r>
      <w:r w:rsidR="00B000BA">
        <w:rPr>
          <w:rFonts w:asciiTheme="majorBidi" w:hAnsiTheme="majorBidi" w:cstheme="majorBidi"/>
          <w:sz w:val="24"/>
          <w:szCs w:val="24"/>
        </w:rPr>
        <w:t>).</w:t>
      </w:r>
      <w:r w:rsidR="00E04BB0">
        <w:rPr>
          <w:rFonts w:asciiTheme="majorBidi" w:hAnsiTheme="majorBidi" w:cstheme="majorBidi"/>
          <w:sz w:val="24"/>
          <w:szCs w:val="24"/>
        </w:rPr>
        <w:t xml:space="preserve"> </w:t>
      </w:r>
      <w:r w:rsidR="006B7C8C">
        <w:rPr>
          <w:rFonts w:asciiTheme="majorBidi" w:hAnsiTheme="majorBidi" w:cstheme="majorBidi"/>
          <w:sz w:val="24"/>
          <w:szCs w:val="24"/>
        </w:rPr>
        <w:t xml:space="preserve"> </w:t>
      </w:r>
      <w:r w:rsidR="004952C8" w:rsidRPr="00B3077D">
        <w:rPr>
          <w:rFonts w:asciiTheme="majorBidi" w:hAnsiTheme="majorBidi" w:cstheme="majorBidi"/>
          <w:sz w:val="24"/>
          <w:szCs w:val="24"/>
        </w:rPr>
        <w:t>This claim is verified in the descriptive analysis section of this paper</w:t>
      </w:r>
      <w:r w:rsidR="008B3300" w:rsidRPr="00B3077D">
        <w:rPr>
          <w:rFonts w:asciiTheme="majorBidi" w:hAnsiTheme="majorBidi" w:cstheme="majorBidi"/>
          <w:sz w:val="24"/>
          <w:szCs w:val="24"/>
        </w:rPr>
        <w:t xml:space="preserve"> (Figure </w:t>
      </w:r>
      <w:r w:rsidR="00B3077D" w:rsidRPr="00B3077D">
        <w:rPr>
          <w:rFonts w:asciiTheme="majorBidi" w:hAnsiTheme="majorBidi" w:cstheme="majorBidi"/>
          <w:sz w:val="24"/>
          <w:szCs w:val="24"/>
        </w:rPr>
        <w:t>12</w:t>
      </w:r>
      <w:r w:rsidR="008B3300" w:rsidRPr="00B3077D">
        <w:rPr>
          <w:rFonts w:asciiTheme="majorBidi" w:hAnsiTheme="majorBidi" w:cstheme="majorBidi"/>
          <w:sz w:val="24"/>
          <w:szCs w:val="24"/>
        </w:rPr>
        <w:t>).</w:t>
      </w:r>
    </w:p>
    <w:p w14:paraId="231B28AB" w14:textId="5972BA98" w:rsidR="00CA198D" w:rsidRPr="00285EDF" w:rsidRDefault="006017AF" w:rsidP="00C75122">
      <w:pPr>
        <w:spacing w:line="480" w:lineRule="auto"/>
        <w:ind w:firstLine="720"/>
        <w:jc w:val="both"/>
        <w:rPr>
          <w:rFonts w:asciiTheme="majorBidi" w:hAnsiTheme="majorBidi" w:cstheme="majorBidi"/>
          <w:sz w:val="28"/>
          <w:szCs w:val="28"/>
        </w:rPr>
      </w:pPr>
      <w:r w:rsidRPr="00285EDF">
        <w:rPr>
          <w:rFonts w:asciiTheme="majorBidi" w:hAnsiTheme="majorBidi" w:cstheme="majorBidi"/>
          <w:sz w:val="24"/>
          <w:szCs w:val="24"/>
        </w:rPr>
        <w:t xml:space="preserve">A critical gap in the literature is the </w:t>
      </w:r>
      <w:r w:rsidR="00166BC7" w:rsidRPr="00285EDF">
        <w:rPr>
          <w:rFonts w:asciiTheme="majorBidi" w:hAnsiTheme="majorBidi" w:cstheme="majorBidi"/>
          <w:sz w:val="24"/>
          <w:szCs w:val="24"/>
        </w:rPr>
        <w:t xml:space="preserve">disproportionate focus on developed countries and a </w:t>
      </w:r>
      <w:r w:rsidR="00546E52">
        <w:rPr>
          <w:rFonts w:asciiTheme="majorBidi" w:hAnsiTheme="majorBidi" w:cstheme="majorBidi"/>
          <w:sz w:val="24"/>
          <w:szCs w:val="24"/>
        </w:rPr>
        <w:t xml:space="preserve">reduced number </w:t>
      </w:r>
      <w:r w:rsidR="00166BC7" w:rsidRPr="00285EDF">
        <w:rPr>
          <w:rFonts w:asciiTheme="majorBidi" w:hAnsiTheme="majorBidi" w:cstheme="majorBidi"/>
          <w:sz w:val="24"/>
          <w:szCs w:val="24"/>
        </w:rPr>
        <w:t>of developing countries</w:t>
      </w:r>
      <w:r w:rsidR="00546E52">
        <w:rPr>
          <w:rFonts w:asciiTheme="majorBidi" w:hAnsiTheme="majorBidi" w:cstheme="majorBidi"/>
          <w:sz w:val="24"/>
          <w:szCs w:val="24"/>
        </w:rPr>
        <w:t>,</w:t>
      </w:r>
      <w:r w:rsidR="00166BC7" w:rsidRPr="00285EDF">
        <w:rPr>
          <w:rFonts w:asciiTheme="majorBidi" w:hAnsiTheme="majorBidi" w:cstheme="majorBidi"/>
          <w:sz w:val="24"/>
          <w:szCs w:val="24"/>
        </w:rPr>
        <w:t xml:space="preserve"> with less attention given to Africa</w:t>
      </w:r>
      <w:r w:rsidR="00D56C82" w:rsidRPr="00285EDF">
        <w:rPr>
          <w:rFonts w:asciiTheme="majorBidi" w:hAnsiTheme="majorBidi" w:cstheme="majorBidi"/>
          <w:sz w:val="24"/>
          <w:szCs w:val="24"/>
        </w:rPr>
        <w:t xml:space="preserve">, a gap </w:t>
      </w:r>
      <w:r w:rsidR="00546E52">
        <w:rPr>
          <w:rFonts w:asciiTheme="majorBidi" w:hAnsiTheme="majorBidi" w:cstheme="majorBidi"/>
          <w:sz w:val="24"/>
          <w:szCs w:val="24"/>
        </w:rPr>
        <w:t>compounded</w:t>
      </w:r>
      <w:r w:rsidR="00D56C82" w:rsidRPr="00285EDF">
        <w:rPr>
          <w:rFonts w:asciiTheme="majorBidi" w:hAnsiTheme="majorBidi" w:cstheme="majorBidi"/>
          <w:sz w:val="24"/>
          <w:szCs w:val="24"/>
        </w:rPr>
        <w:t xml:space="preserve"> </w:t>
      </w:r>
      <w:r w:rsidR="00546E52">
        <w:rPr>
          <w:rFonts w:asciiTheme="majorBidi" w:hAnsiTheme="majorBidi" w:cstheme="majorBidi"/>
          <w:sz w:val="24"/>
          <w:szCs w:val="24"/>
        </w:rPr>
        <w:t>by</w:t>
      </w:r>
      <w:r w:rsidR="00D56C82" w:rsidRPr="00285EDF">
        <w:rPr>
          <w:rFonts w:asciiTheme="majorBidi" w:hAnsiTheme="majorBidi" w:cstheme="majorBidi"/>
          <w:sz w:val="24"/>
          <w:szCs w:val="24"/>
        </w:rPr>
        <w:t xml:space="preserve"> the limited representation of the continent in GVC databases</w:t>
      </w:r>
      <w:r w:rsidR="00166BC7" w:rsidRPr="00285EDF">
        <w:rPr>
          <w:rFonts w:asciiTheme="majorBidi" w:hAnsiTheme="majorBidi" w:cstheme="majorBidi"/>
          <w:sz w:val="24"/>
          <w:szCs w:val="24"/>
        </w:rPr>
        <w:t xml:space="preserve">. </w:t>
      </w:r>
      <w:r w:rsidR="007000B8" w:rsidRPr="00285EDF">
        <w:rPr>
          <w:rFonts w:asciiTheme="majorBidi" w:hAnsiTheme="majorBidi" w:cstheme="majorBidi"/>
          <w:sz w:val="24"/>
          <w:szCs w:val="24"/>
        </w:rPr>
        <w:t>While African economies have become more open over time</w:t>
      </w:r>
      <w:r w:rsidR="00490FF7" w:rsidRPr="00285EDF">
        <w:rPr>
          <w:rFonts w:asciiTheme="majorBidi" w:hAnsiTheme="majorBidi" w:cstheme="majorBidi"/>
          <w:sz w:val="24"/>
          <w:szCs w:val="24"/>
        </w:rPr>
        <w:t xml:space="preserve"> and developed </w:t>
      </w:r>
      <w:r w:rsidR="00546E52">
        <w:rPr>
          <w:rFonts w:asciiTheme="majorBidi" w:hAnsiTheme="majorBidi" w:cstheme="majorBidi"/>
          <w:sz w:val="24"/>
          <w:szCs w:val="24"/>
        </w:rPr>
        <w:t xml:space="preserve">new trading </w:t>
      </w:r>
      <w:r w:rsidR="00490FF7" w:rsidRPr="00285EDF">
        <w:rPr>
          <w:rFonts w:asciiTheme="majorBidi" w:hAnsiTheme="majorBidi" w:cstheme="majorBidi"/>
          <w:sz w:val="24"/>
          <w:szCs w:val="24"/>
        </w:rPr>
        <w:t>partnerships</w:t>
      </w:r>
      <w:r w:rsidR="00546E52">
        <w:rPr>
          <w:rFonts w:asciiTheme="majorBidi" w:hAnsiTheme="majorBidi" w:cstheme="majorBidi"/>
          <w:sz w:val="24"/>
          <w:szCs w:val="24"/>
        </w:rPr>
        <w:t>,</w:t>
      </w:r>
      <w:r w:rsidR="00490FF7" w:rsidRPr="00285EDF">
        <w:rPr>
          <w:rFonts w:asciiTheme="majorBidi" w:hAnsiTheme="majorBidi" w:cstheme="majorBidi"/>
          <w:sz w:val="24"/>
          <w:szCs w:val="24"/>
        </w:rPr>
        <w:t xml:space="preserve"> </w:t>
      </w:r>
      <w:r w:rsidR="0001458F" w:rsidRPr="00285EDF">
        <w:rPr>
          <w:rFonts w:asciiTheme="majorBidi" w:hAnsiTheme="majorBidi" w:cstheme="majorBidi"/>
          <w:sz w:val="24"/>
          <w:szCs w:val="24"/>
        </w:rPr>
        <w:t xml:space="preserve">especially </w:t>
      </w:r>
      <w:r w:rsidR="00490FF7" w:rsidRPr="00285EDF">
        <w:rPr>
          <w:rFonts w:asciiTheme="majorBidi" w:hAnsiTheme="majorBidi" w:cstheme="majorBidi"/>
          <w:sz w:val="24"/>
          <w:szCs w:val="24"/>
        </w:rPr>
        <w:t xml:space="preserve">with </w:t>
      </w:r>
      <w:r w:rsidR="00546E52">
        <w:rPr>
          <w:rFonts w:asciiTheme="majorBidi" w:hAnsiTheme="majorBidi" w:cstheme="majorBidi"/>
          <w:sz w:val="24"/>
          <w:szCs w:val="24"/>
        </w:rPr>
        <w:t>the e</w:t>
      </w:r>
      <w:r w:rsidR="00490FF7" w:rsidRPr="00285EDF">
        <w:rPr>
          <w:rFonts w:asciiTheme="majorBidi" w:hAnsiTheme="majorBidi" w:cstheme="majorBidi"/>
          <w:sz w:val="24"/>
          <w:szCs w:val="24"/>
        </w:rPr>
        <w:t>merging market</w:t>
      </w:r>
      <w:r w:rsidR="00546E52">
        <w:rPr>
          <w:rFonts w:asciiTheme="majorBidi" w:hAnsiTheme="majorBidi" w:cstheme="majorBidi"/>
          <w:sz w:val="24"/>
          <w:szCs w:val="24"/>
        </w:rPr>
        <w:t>s</w:t>
      </w:r>
      <w:r w:rsidR="007000B8" w:rsidRPr="00285EDF">
        <w:rPr>
          <w:rFonts w:asciiTheme="majorBidi" w:hAnsiTheme="majorBidi" w:cstheme="majorBidi"/>
          <w:sz w:val="24"/>
          <w:szCs w:val="24"/>
        </w:rPr>
        <w:t>, the continent’s degree of integration in regional and global value chains remains very low (</w:t>
      </w:r>
      <w:r w:rsidR="00C76F0F" w:rsidRPr="00285EDF">
        <w:rPr>
          <w:rFonts w:asciiTheme="majorBidi" w:hAnsiTheme="majorBidi" w:cstheme="majorBidi"/>
          <w:sz w:val="24"/>
          <w:szCs w:val="24"/>
        </w:rPr>
        <w:t>Alard et al., 2016</w:t>
      </w:r>
      <w:r w:rsidR="007000B8" w:rsidRPr="00285EDF">
        <w:rPr>
          <w:rFonts w:asciiTheme="majorBidi" w:hAnsiTheme="majorBidi" w:cstheme="majorBidi"/>
          <w:sz w:val="24"/>
          <w:szCs w:val="24"/>
        </w:rPr>
        <w:t>).</w:t>
      </w:r>
      <w:r w:rsidRPr="00285EDF">
        <w:rPr>
          <w:rFonts w:asciiTheme="majorBidi" w:hAnsiTheme="majorBidi" w:cstheme="majorBidi"/>
          <w:sz w:val="24"/>
          <w:szCs w:val="24"/>
        </w:rPr>
        <w:t xml:space="preserve"> </w:t>
      </w:r>
      <w:r w:rsidR="00A20584" w:rsidRPr="00285EDF">
        <w:rPr>
          <w:rFonts w:asciiTheme="majorBidi" w:hAnsiTheme="majorBidi" w:cstheme="majorBidi"/>
          <w:sz w:val="24"/>
          <w:szCs w:val="24"/>
        </w:rPr>
        <w:t xml:space="preserve">The continent’s average </w:t>
      </w:r>
      <w:r w:rsidR="00A20584" w:rsidRPr="000131B7">
        <w:rPr>
          <w:rFonts w:asciiTheme="majorBidi" w:hAnsiTheme="majorBidi" w:cstheme="majorBidi"/>
          <w:i/>
          <w:iCs/>
          <w:sz w:val="24"/>
          <w:szCs w:val="24"/>
        </w:rPr>
        <w:t>centrality</w:t>
      </w:r>
      <w:r w:rsidR="000A64B3">
        <w:rPr>
          <w:rStyle w:val="FootnoteReference"/>
          <w:rFonts w:asciiTheme="majorBidi" w:hAnsiTheme="majorBidi" w:cstheme="majorBidi"/>
          <w:i/>
          <w:iCs/>
          <w:sz w:val="24"/>
          <w:szCs w:val="24"/>
        </w:rPr>
        <w:footnoteReference w:id="4"/>
      </w:r>
      <w:r w:rsidR="00A20584" w:rsidRPr="000131B7">
        <w:rPr>
          <w:rFonts w:asciiTheme="majorBidi" w:hAnsiTheme="majorBidi" w:cstheme="majorBidi"/>
          <w:i/>
          <w:iCs/>
          <w:sz w:val="24"/>
          <w:szCs w:val="24"/>
        </w:rPr>
        <w:t xml:space="preserve"> </w:t>
      </w:r>
      <w:r w:rsidR="00A04C6C" w:rsidRPr="00285EDF">
        <w:rPr>
          <w:rFonts w:asciiTheme="majorBidi" w:hAnsiTheme="majorBidi" w:cstheme="majorBidi"/>
          <w:sz w:val="24"/>
          <w:szCs w:val="24"/>
        </w:rPr>
        <w:t>level is just half that of other emerging and developing countries</w:t>
      </w:r>
      <w:r w:rsidR="00546E52">
        <w:rPr>
          <w:rFonts w:asciiTheme="majorBidi" w:hAnsiTheme="majorBidi" w:cstheme="majorBidi"/>
          <w:sz w:val="24"/>
          <w:szCs w:val="24"/>
        </w:rPr>
        <w:t>,</w:t>
      </w:r>
      <w:r w:rsidR="001D7B62" w:rsidRPr="00285EDF">
        <w:rPr>
          <w:rFonts w:asciiTheme="majorBidi" w:hAnsiTheme="majorBidi" w:cstheme="majorBidi"/>
          <w:sz w:val="24"/>
          <w:szCs w:val="24"/>
        </w:rPr>
        <w:t xml:space="preserve"> even after controlling </w:t>
      </w:r>
      <w:r w:rsidR="001163FA">
        <w:rPr>
          <w:rFonts w:asciiTheme="majorBidi" w:hAnsiTheme="majorBidi" w:cstheme="majorBidi"/>
          <w:sz w:val="24"/>
          <w:szCs w:val="24"/>
        </w:rPr>
        <w:t xml:space="preserve">for </w:t>
      </w:r>
      <w:r w:rsidR="001163FA">
        <w:t xml:space="preserve">, </w:t>
      </w:r>
      <w:r w:rsidR="001163FA" w:rsidRPr="00785137">
        <w:rPr>
          <w:rFonts w:asciiTheme="majorBidi" w:hAnsiTheme="majorBidi" w:cstheme="majorBidi"/>
          <w:sz w:val="24"/>
          <w:szCs w:val="24"/>
        </w:rPr>
        <w:t>after controlling for size, level of development, cultural ties, and geographical conditions.</w:t>
      </w:r>
      <w:r w:rsidR="001D7B62" w:rsidRPr="00285EDF">
        <w:rPr>
          <w:rFonts w:asciiTheme="majorBidi" w:hAnsiTheme="majorBidi" w:cstheme="majorBidi"/>
          <w:sz w:val="24"/>
          <w:szCs w:val="24"/>
        </w:rPr>
        <w:t xml:space="preserve"> (Alard et al., 2016).</w:t>
      </w:r>
      <w:r w:rsidR="00A04C6C" w:rsidRPr="00285EDF">
        <w:rPr>
          <w:rFonts w:asciiTheme="majorBidi" w:hAnsiTheme="majorBidi" w:cstheme="majorBidi"/>
          <w:sz w:val="24"/>
          <w:szCs w:val="24"/>
        </w:rPr>
        <w:t xml:space="preserve"> </w:t>
      </w:r>
      <w:r w:rsidR="001D7B62" w:rsidRPr="00285EDF">
        <w:rPr>
          <w:rFonts w:asciiTheme="majorBidi" w:hAnsiTheme="majorBidi" w:cstheme="majorBidi"/>
          <w:sz w:val="24"/>
          <w:szCs w:val="24"/>
        </w:rPr>
        <w:t>Indeed,</w:t>
      </w:r>
      <w:r w:rsidR="00A04C6C" w:rsidRPr="00285EDF">
        <w:rPr>
          <w:rFonts w:asciiTheme="majorBidi" w:hAnsiTheme="majorBidi" w:cstheme="majorBidi"/>
          <w:sz w:val="24"/>
          <w:szCs w:val="24"/>
        </w:rPr>
        <w:t xml:space="preserve"> </w:t>
      </w:r>
      <w:r w:rsidR="00546E52">
        <w:rPr>
          <w:rFonts w:asciiTheme="majorBidi" w:hAnsiTheme="majorBidi" w:cstheme="majorBidi"/>
          <w:sz w:val="24"/>
          <w:szCs w:val="24"/>
        </w:rPr>
        <w:t xml:space="preserve">according to one study </w:t>
      </w:r>
      <w:r w:rsidR="00546E52" w:rsidRPr="00285EDF">
        <w:rPr>
          <w:rFonts w:asciiTheme="majorBidi" w:hAnsiTheme="majorBidi" w:cstheme="majorBidi"/>
          <w:sz w:val="24"/>
          <w:szCs w:val="24"/>
        </w:rPr>
        <w:t xml:space="preserve">(de Mello and Twun, </w:t>
      </w:r>
      <w:r w:rsidR="00546E52" w:rsidRPr="00285EDF">
        <w:rPr>
          <w:rFonts w:asciiTheme="majorBidi" w:hAnsiTheme="majorBidi" w:cstheme="majorBidi"/>
          <w:sz w:val="24"/>
          <w:szCs w:val="24"/>
        </w:rPr>
        <w:lastRenderedPageBreak/>
        <w:t>2021</w:t>
      </w:r>
      <w:r w:rsidR="00546E52">
        <w:rPr>
          <w:rFonts w:asciiTheme="majorBidi" w:hAnsiTheme="majorBidi" w:cstheme="majorBidi"/>
          <w:sz w:val="24"/>
          <w:szCs w:val="24"/>
        </w:rPr>
        <w:t xml:space="preserve">), </w:t>
      </w:r>
      <w:r w:rsidR="00A04C6C" w:rsidRPr="00285EDF">
        <w:rPr>
          <w:rFonts w:asciiTheme="majorBidi" w:hAnsiTheme="majorBidi" w:cstheme="majorBidi"/>
          <w:sz w:val="24"/>
          <w:szCs w:val="24"/>
        </w:rPr>
        <w:t xml:space="preserve">only between 0.5% and 3% of </w:t>
      </w:r>
      <w:r w:rsidR="00546E52">
        <w:rPr>
          <w:rFonts w:asciiTheme="majorBidi" w:hAnsiTheme="majorBidi" w:cstheme="majorBidi"/>
          <w:sz w:val="24"/>
          <w:szCs w:val="24"/>
        </w:rPr>
        <w:t xml:space="preserve">all </w:t>
      </w:r>
      <w:r w:rsidR="00A04C6C" w:rsidRPr="00285EDF">
        <w:rPr>
          <w:rFonts w:asciiTheme="majorBidi" w:hAnsiTheme="majorBidi" w:cstheme="majorBidi"/>
          <w:sz w:val="24"/>
          <w:szCs w:val="24"/>
        </w:rPr>
        <w:t>trade from Africa</w:t>
      </w:r>
      <w:r w:rsidR="00546E52">
        <w:rPr>
          <w:rFonts w:asciiTheme="majorBidi" w:hAnsiTheme="majorBidi" w:cstheme="majorBidi"/>
          <w:sz w:val="24"/>
          <w:szCs w:val="24"/>
        </w:rPr>
        <w:t xml:space="preserve"> regional economic communities </w:t>
      </w:r>
      <w:r w:rsidR="00A04C6C" w:rsidRPr="00285EDF">
        <w:rPr>
          <w:rFonts w:asciiTheme="majorBidi" w:hAnsiTheme="majorBidi" w:cstheme="majorBidi"/>
          <w:sz w:val="24"/>
          <w:szCs w:val="24"/>
        </w:rPr>
        <w:t>is integrated in regional value chains, far lower than 17.2% and 4.6% observed in ASEAN and MERCOSUR, respectively</w:t>
      </w:r>
      <w:r w:rsidR="001D7B62" w:rsidRPr="00285EDF">
        <w:rPr>
          <w:rFonts w:asciiTheme="majorBidi" w:hAnsiTheme="majorBidi" w:cstheme="majorBidi"/>
          <w:sz w:val="24"/>
          <w:szCs w:val="24"/>
        </w:rPr>
        <w:t>)</w:t>
      </w:r>
      <w:r w:rsidR="00A04C6C" w:rsidRPr="00285EDF">
        <w:rPr>
          <w:rFonts w:asciiTheme="majorBidi" w:hAnsiTheme="majorBidi" w:cstheme="majorBidi"/>
          <w:sz w:val="24"/>
          <w:szCs w:val="24"/>
        </w:rPr>
        <w:t xml:space="preserve">. </w:t>
      </w:r>
      <w:r w:rsidR="00281ED8" w:rsidRPr="00285EDF">
        <w:rPr>
          <w:rFonts w:asciiTheme="majorBidi" w:hAnsiTheme="majorBidi" w:cstheme="majorBidi"/>
          <w:sz w:val="24"/>
          <w:szCs w:val="24"/>
        </w:rPr>
        <w:t>With this gap, the region clearly has unexploited potential to tap into value chains in selected sectors like manufacturing, agriculture and agro-processing, tourism, transport and textiles (Alard et al., 2016)</w:t>
      </w:r>
      <w:r w:rsidR="00DD7288">
        <w:rPr>
          <w:rFonts w:asciiTheme="majorBidi" w:hAnsiTheme="majorBidi" w:cstheme="majorBidi"/>
          <w:sz w:val="24"/>
          <w:szCs w:val="24"/>
        </w:rPr>
        <w:t>. Indeed, greater involvement in value chains could increase the</w:t>
      </w:r>
      <w:r w:rsidR="001D7B62" w:rsidRPr="00285EDF">
        <w:rPr>
          <w:rFonts w:asciiTheme="majorBidi" w:hAnsiTheme="majorBidi" w:cstheme="majorBidi"/>
          <w:sz w:val="24"/>
          <w:szCs w:val="24"/>
        </w:rPr>
        <w:t xml:space="preserve"> potential benefits </w:t>
      </w:r>
      <w:r w:rsidR="00DD7288">
        <w:rPr>
          <w:rFonts w:asciiTheme="majorBidi" w:hAnsiTheme="majorBidi" w:cstheme="majorBidi"/>
          <w:sz w:val="24"/>
          <w:szCs w:val="24"/>
        </w:rPr>
        <w:t xml:space="preserve">accruing to Africa countries from trading under </w:t>
      </w:r>
      <w:r w:rsidR="001D7B62" w:rsidRPr="00285EDF">
        <w:rPr>
          <w:rFonts w:asciiTheme="majorBidi" w:hAnsiTheme="majorBidi" w:cstheme="majorBidi"/>
          <w:sz w:val="24"/>
          <w:szCs w:val="24"/>
        </w:rPr>
        <w:t>the African Continental Free Trade Area (AfCFTA)</w:t>
      </w:r>
      <w:r w:rsidR="00281ED8" w:rsidRPr="00285EDF">
        <w:rPr>
          <w:rFonts w:asciiTheme="majorBidi" w:hAnsiTheme="majorBidi" w:cstheme="majorBidi"/>
          <w:sz w:val="24"/>
          <w:szCs w:val="24"/>
        </w:rPr>
        <w:t xml:space="preserve"> (de Mello and Twun, 2021)</w:t>
      </w:r>
      <w:r w:rsidR="001D7B62" w:rsidRPr="00285EDF">
        <w:rPr>
          <w:rFonts w:asciiTheme="majorBidi" w:hAnsiTheme="majorBidi" w:cstheme="majorBidi"/>
          <w:sz w:val="24"/>
          <w:szCs w:val="24"/>
        </w:rPr>
        <w:t>.</w:t>
      </w:r>
      <w:r w:rsidR="001D7B62" w:rsidRPr="00285EDF">
        <w:rPr>
          <w:rFonts w:asciiTheme="majorBidi" w:hAnsiTheme="majorBidi" w:cstheme="majorBidi"/>
          <w:sz w:val="28"/>
          <w:szCs w:val="28"/>
        </w:rPr>
        <w:t xml:space="preserve"> </w:t>
      </w:r>
    </w:p>
    <w:p w14:paraId="3D39A5FD" w14:textId="63064D19" w:rsidR="00132330" w:rsidRDefault="00502E3F" w:rsidP="00C75122">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This paper examines the policy and non-policy determinants of domestic value-added embedded in the exports of African countries, applying country fixed-effects regression to UNCTAD-EORA data covering the period 1990-2018.</w:t>
      </w:r>
      <w:r w:rsidR="00600F10" w:rsidRPr="00285EDF">
        <w:rPr>
          <w:rFonts w:asciiTheme="majorBidi" w:hAnsiTheme="majorBidi" w:cstheme="majorBidi"/>
          <w:sz w:val="24"/>
          <w:szCs w:val="24"/>
        </w:rPr>
        <w:t xml:space="preserve"> After providing an overview o</w:t>
      </w:r>
      <w:r w:rsidR="001E3E3B">
        <w:rPr>
          <w:rFonts w:asciiTheme="majorBidi" w:hAnsiTheme="majorBidi" w:cstheme="majorBidi"/>
          <w:sz w:val="24"/>
          <w:szCs w:val="24"/>
        </w:rPr>
        <w:t>f</w:t>
      </w:r>
      <w:r w:rsidR="00600F10" w:rsidRPr="00285EDF">
        <w:rPr>
          <w:rFonts w:asciiTheme="majorBidi" w:hAnsiTheme="majorBidi" w:cstheme="majorBidi"/>
          <w:sz w:val="24"/>
          <w:szCs w:val="24"/>
        </w:rPr>
        <w:t xml:space="preserve"> the extent of value-addition</w:t>
      </w:r>
      <w:r w:rsidR="00791889" w:rsidRPr="00285EDF">
        <w:rPr>
          <w:rFonts w:asciiTheme="majorBidi" w:hAnsiTheme="majorBidi" w:cstheme="majorBidi"/>
          <w:sz w:val="24"/>
          <w:szCs w:val="24"/>
        </w:rPr>
        <w:t xml:space="preserve"> </w:t>
      </w:r>
      <w:r w:rsidR="001E3E3B">
        <w:rPr>
          <w:rFonts w:asciiTheme="majorBidi" w:hAnsiTheme="majorBidi" w:cstheme="majorBidi"/>
          <w:sz w:val="24"/>
          <w:szCs w:val="24"/>
        </w:rPr>
        <w:t xml:space="preserve">embedded in exports </w:t>
      </w:r>
      <w:r w:rsidR="00791889" w:rsidRPr="00285EDF">
        <w:rPr>
          <w:rFonts w:asciiTheme="majorBidi" w:hAnsiTheme="majorBidi" w:cstheme="majorBidi"/>
          <w:sz w:val="24"/>
          <w:szCs w:val="24"/>
        </w:rPr>
        <w:t xml:space="preserve">and empirically estimating </w:t>
      </w:r>
      <w:r w:rsidR="001E3E3B">
        <w:rPr>
          <w:rFonts w:asciiTheme="majorBidi" w:hAnsiTheme="majorBidi" w:cstheme="majorBidi"/>
          <w:sz w:val="24"/>
          <w:szCs w:val="24"/>
        </w:rPr>
        <w:t>its</w:t>
      </w:r>
      <w:r w:rsidR="00791889" w:rsidRPr="00285EDF">
        <w:rPr>
          <w:rFonts w:asciiTheme="majorBidi" w:hAnsiTheme="majorBidi" w:cstheme="majorBidi"/>
          <w:sz w:val="24"/>
          <w:szCs w:val="24"/>
        </w:rPr>
        <w:t xml:space="preserve"> </w:t>
      </w:r>
      <w:r w:rsidR="0056613D" w:rsidRPr="00285EDF">
        <w:rPr>
          <w:rFonts w:asciiTheme="majorBidi" w:hAnsiTheme="majorBidi" w:cstheme="majorBidi"/>
          <w:sz w:val="24"/>
          <w:szCs w:val="24"/>
        </w:rPr>
        <w:t>determinants</w:t>
      </w:r>
      <w:r w:rsidR="001E3E3B">
        <w:rPr>
          <w:rFonts w:asciiTheme="majorBidi" w:hAnsiTheme="majorBidi" w:cstheme="majorBidi"/>
          <w:sz w:val="24"/>
          <w:szCs w:val="24"/>
        </w:rPr>
        <w:t>,</w:t>
      </w:r>
      <w:r w:rsidR="0056613D" w:rsidRPr="00285EDF">
        <w:rPr>
          <w:rFonts w:asciiTheme="majorBidi" w:hAnsiTheme="majorBidi" w:cstheme="majorBidi"/>
          <w:sz w:val="24"/>
          <w:szCs w:val="24"/>
        </w:rPr>
        <w:t xml:space="preserve"> </w:t>
      </w:r>
      <w:r w:rsidR="00600F10" w:rsidRPr="00285EDF">
        <w:rPr>
          <w:rFonts w:asciiTheme="majorBidi" w:hAnsiTheme="majorBidi" w:cstheme="majorBidi"/>
          <w:sz w:val="24"/>
          <w:szCs w:val="24"/>
        </w:rPr>
        <w:t xml:space="preserve">the paper draws conclusions </w:t>
      </w:r>
      <w:r w:rsidR="001E3E3B">
        <w:rPr>
          <w:rFonts w:asciiTheme="majorBidi" w:hAnsiTheme="majorBidi" w:cstheme="majorBidi"/>
          <w:sz w:val="24"/>
          <w:szCs w:val="24"/>
        </w:rPr>
        <w:t>and highlights</w:t>
      </w:r>
      <w:r w:rsidR="00600F10" w:rsidRPr="00285EDF">
        <w:rPr>
          <w:rFonts w:asciiTheme="majorBidi" w:hAnsiTheme="majorBidi" w:cstheme="majorBidi"/>
          <w:sz w:val="24"/>
          <w:szCs w:val="24"/>
        </w:rPr>
        <w:t xml:space="preserve"> implications for the effective implementation of the AfCFTA. </w:t>
      </w:r>
      <w:r w:rsidR="007943C4" w:rsidRPr="00285EDF">
        <w:rPr>
          <w:rFonts w:asciiTheme="majorBidi" w:hAnsiTheme="majorBidi" w:cstheme="majorBidi"/>
          <w:sz w:val="24"/>
          <w:szCs w:val="24"/>
        </w:rPr>
        <w:t xml:space="preserve">The rest of the paper is organized as follows: Section 2 describes the datasets from which the key variables are constructed and provides a basic descriptive analysis of the main variables of interest. </w:t>
      </w:r>
      <w:r w:rsidR="00BC6BDA" w:rsidRPr="00285EDF">
        <w:rPr>
          <w:rFonts w:asciiTheme="majorBidi" w:hAnsiTheme="majorBidi" w:cstheme="majorBidi"/>
          <w:sz w:val="24"/>
          <w:szCs w:val="24"/>
        </w:rPr>
        <w:t xml:space="preserve">The methodology/empirical strategy used in estimating the determinants of </w:t>
      </w:r>
      <w:r w:rsidR="001E3E3B">
        <w:rPr>
          <w:rFonts w:asciiTheme="majorBidi" w:hAnsiTheme="majorBidi" w:cstheme="majorBidi"/>
          <w:sz w:val="24"/>
          <w:szCs w:val="24"/>
        </w:rPr>
        <w:t>value-added in exports</w:t>
      </w:r>
      <w:r w:rsidR="00BC6BDA" w:rsidRPr="00285EDF">
        <w:rPr>
          <w:rFonts w:asciiTheme="majorBidi" w:hAnsiTheme="majorBidi" w:cstheme="majorBidi"/>
          <w:sz w:val="24"/>
          <w:szCs w:val="24"/>
        </w:rPr>
        <w:t xml:space="preserve"> is elaborated in Section 3 while econometric results are presented and discussed in Section 4. Finally, Section 5 concludes the paper and highlights implications </w:t>
      </w:r>
      <w:r w:rsidR="00AD3B50">
        <w:rPr>
          <w:rFonts w:asciiTheme="majorBidi" w:hAnsiTheme="majorBidi" w:cstheme="majorBidi"/>
          <w:sz w:val="24"/>
          <w:szCs w:val="24"/>
        </w:rPr>
        <w:t xml:space="preserve">of the findings </w:t>
      </w:r>
      <w:r w:rsidR="00BC6BDA" w:rsidRPr="00285EDF">
        <w:rPr>
          <w:rFonts w:asciiTheme="majorBidi" w:hAnsiTheme="majorBidi" w:cstheme="majorBidi"/>
          <w:sz w:val="24"/>
          <w:szCs w:val="24"/>
        </w:rPr>
        <w:t xml:space="preserve">for the implementation of the AfCFTA. </w:t>
      </w:r>
    </w:p>
    <w:p w14:paraId="141B71D9" w14:textId="03C8AC4D" w:rsidR="00C9058D" w:rsidRPr="00C75122" w:rsidRDefault="00C9058D" w:rsidP="00C75122">
      <w:pPr>
        <w:spacing w:line="480" w:lineRule="auto"/>
        <w:jc w:val="both"/>
        <w:rPr>
          <w:rFonts w:asciiTheme="majorBidi" w:hAnsiTheme="majorBidi" w:cstheme="majorBidi"/>
          <w:sz w:val="24"/>
          <w:szCs w:val="24"/>
        </w:rPr>
      </w:pPr>
    </w:p>
    <w:p w14:paraId="143EA7C4" w14:textId="23808282" w:rsidR="00AA4275" w:rsidRPr="005703D8" w:rsidRDefault="003D2F21" w:rsidP="005703D8">
      <w:pPr>
        <w:pStyle w:val="ListParagraph"/>
        <w:numPr>
          <w:ilvl w:val="0"/>
          <w:numId w:val="2"/>
        </w:numPr>
        <w:spacing w:line="480" w:lineRule="auto"/>
        <w:jc w:val="both"/>
        <w:rPr>
          <w:rFonts w:asciiTheme="majorBidi" w:hAnsiTheme="majorBidi" w:cstheme="majorBidi"/>
          <w:b/>
          <w:bCs/>
          <w:sz w:val="24"/>
          <w:szCs w:val="24"/>
        </w:rPr>
      </w:pPr>
      <w:r w:rsidRPr="005703D8">
        <w:rPr>
          <w:rFonts w:asciiTheme="majorBidi" w:hAnsiTheme="majorBidi" w:cstheme="majorBidi"/>
          <w:b/>
          <w:bCs/>
          <w:sz w:val="24"/>
          <w:szCs w:val="24"/>
        </w:rPr>
        <w:t>Data and summary statistics</w:t>
      </w:r>
    </w:p>
    <w:p w14:paraId="537AF7CB" w14:textId="4FA5910D" w:rsidR="00292D5D" w:rsidRPr="005703D8" w:rsidRDefault="00292D5D" w:rsidP="00285EDF">
      <w:pPr>
        <w:spacing w:line="480" w:lineRule="auto"/>
        <w:ind w:firstLine="720"/>
        <w:jc w:val="both"/>
        <w:rPr>
          <w:rFonts w:asciiTheme="majorBidi" w:hAnsiTheme="majorBidi" w:cstheme="majorBidi"/>
          <w:sz w:val="24"/>
          <w:szCs w:val="24"/>
        </w:rPr>
      </w:pPr>
      <w:r w:rsidRPr="005703D8">
        <w:rPr>
          <w:rFonts w:asciiTheme="majorBidi" w:hAnsiTheme="majorBidi" w:cstheme="majorBidi"/>
          <w:sz w:val="24"/>
          <w:szCs w:val="24"/>
        </w:rPr>
        <w:t>This study uses a combination of datasets from different sources. Th</w:t>
      </w:r>
      <w:r w:rsidR="00A91BFE" w:rsidRPr="005703D8">
        <w:rPr>
          <w:rFonts w:asciiTheme="majorBidi" w:hAnsiTheme="majorBidi" w:cstheme="majorBidi"/>
          <w:sz w:val="24"/>
          <w:szCs w:val="24"/>
        </w:rPr>
        <w:t xml:space="preserve">e dependent variables on value added are </w:t>
      </w:r>
      <w:r w:rsidR="00E726AF">
        <w:rPr>
          <w:rFonts w:asciiTheme="majorBidi" w:hAnsiTheme="majorBidi" w:cstheme="majorBidi"/>
          <w:sz w:val="24"/>
          <w:szCs w:val="24"/>
        </w:rPr>
        <w:t>obtained</w:t>
      </w:r>
      <w:r w:rsidR="00A91BFE" w:rsidRPr="005703D8">
        <w:rPr>
          <w:rFonts w:asciiTheme="majorBidi" w:hAnsiTheme="majorBidi" w:cstheme="majorBidi"/>
          <w:sz w:val="24"/>
          <w:szCs w:val="24"/>
        </w:rPr>
        <w:t xml:space="preserve"> from </w:t>
      </w:r>
      <w:r w:rsidR="00E726AF">
        <w:rPr>
          <w:rFonts w:asciiTheme="majorBidi" w:hAnsiTheme="majorBidi" w:cstheme="majorBidi"/>
          <w:sz w:val="24"/>
          <w:szCs w:val="24"/>
        </w:rPr>
        <w:t>UNCTAD-EORA d</w:t>
      </w:r>
      <w:r w:rsidR="00A91BFE" w:rsidRPr="005703D8">
        <w:rPr>
          <w:rFonts w:asciiTheme="majorBidi" w:hAnsiTheme="majorBidi" w:cstheme="majorBidi"/>
          <w:sz w:val="24"/>
          <w:szCs w:val="24"/>
        </w:rPr>
        <w:t>atabase</w:t>
      </w:r>
      <w:r w:rsidR="00E726AF">
        <w:rPr>
          <w:rFonts w:asciiTheme="majorBidi" w:hAnsiTheme="majorBidi" w:cstheme="majorBidi"/>
          <w:sz w:val="24"/>
          <w:szCs w:val="24"/>
        </w:rPr>
        <w:t>. C</w:t>
      </w:r>
      <w:r w:rsidR="00A91BFE" w:rsidRPr="005703D8">
        <w:rPr>
          <w:rFonts w:asciiTheme="majorBidi" w:hAnsiTheme="majorBidi" w:cstheme="majorBidi"/>
          <w:sz w:val="24"/>
          <w:szCs w:val="24"/>
        </w:rPr>
        <w:t xml:space="preserve">ovariates </w:t>
      </w:r>
      <w:r w:rsidR="00E726AF">
        <w:rPr>
          <w:rFonts w:asciiTheme="majorBidi" w:hAnsiTheme="majorBidi" w:cstheme="majorBidi"/>
          <w:sz w:val="24"/>
          <w:szCs w:val="24"/>
        </w:rPr>
        <w:t>include</w:t>
      </w:r>
      <w:r w:rsidR="00A91BFE" w:rsidRPr="005703D8">
        <w:rPr>
          <w:rFonts w:asciiTheme="majorBidi" w:hAnsiTheme="majorBidi" w:cstheme="majorBidi"/>
          <w:sz w:val="24"/>
          <w:szCs w:val="24"/>
        </w:rPr>
        <w:t xml:space="preserve"> </w:t>
      </w:r>
      <w:r w:rsidR="00E726AF" w:rsidRPr="005703D8">
        <w:rPr>
          <w:rFonts w:asciiTheme="majorBidi" w:hAnsiTheme="majorBidi" w:cstheme="majorBidi"/>
          <w:sz w:val="24"/>
          <w:szCs w:val="24"/>
        </w:rPr>
        <w:t>macroeconomic indicators from the World Bank’s World Development Indicators</w:t>
      </w:r>
      <w:r w:rsidR="00E726AF">
        <w:rPr>
          <w:rFonts w:asciiTheme="majorBidi" w:hAnsiTheme="majorBidi" w:cstheme="majorBidi"/>
          <w:sz w:val="24"/>
          <w:szCs w:val="24"/>
        </w:rPr>
        <w:t xml:space="preserve"> (WDI) and IMF databases, </w:t>
      </w:r>
      <w:r w:rsidR="00A91BFE" w:rsidRPr="005703D8">
        <w:rPr>
          <w:rFonts w:asciiTheme="majorBidi" w:hAnsiTheme="majorBidi" w:cstheme="majorBidi"/>
          <w:sz w:val="24"/>
          <w:szCs w:val="24"/>
        </w:rPr>
        <w:t xml:space="preserve">labor productivity indicators from ILOSTAT productivity database </w:t>
      </w:r>
      <w:r w:rsidR="00E726AF">
        <w:rPr>
          <w:rFonts w:asciiTheme="majorBidi" w:hAnsiTheme="majorBidi" w:cstheme="majorBidi"/>
          <w:sz w:val="24"/>
          <w:szCs w:val="24"/>
        </w:rPr>
        <w:t>and governance indicators from the World Governance Indicators (WGI) of the World Bank.</w:t>
      </w:r>
    </w:p>
    <w:p w14:paraId="6A6D7C3D" w14:textId="480E67F5" w:rsidR="0062040E" w:rsidRPr="00CE137E" w:rsidRDefault="005611A6" w:rsidP="00AD5FBA">
      <w:pPr>
        <w:spacing w:line="480" w:lineRule="auto"/>
        <w:jc w:val="both"/>
        <w:rPr>
          <w:rFonts w:asciiTheme="majorBidi" w:hAnsiTheme="majorBidi" w:cstheme="majorBidi"/>
          <w:sz w:val="24"/>
          <w:szCs w:val="24"/>
        </w:rPr>
      </w:pPr>
      <w:r w:rsidRPr="005703D8">
        <w:rPr>
          <w:rFonts w:asciiTheme="majorBidi" w:hAnsiTheme="majorBidi" w:cstheme="majorBidi"/>
          <w:b/>
          <w:bCs/>
          <w:i/>
          <w:iCs/>
          <w:sz w:val="24"/>
          <w:szCs w:val="24"/>
          <w:u w:val="single"/>
        </w:rPr>
        <w:lastRenderedPageBreak/>
        <w:t>Value added data</w:t>
      </w:r>
      <w:r w:rsidR="00AC353D" w:rsidRPr="005703D8">
        <w:rPr>
          <w:rFonts w:asciiTheme="majorBidi" w:hAnsiTheme="majorBidi" w:cstheme="majorBidi"/>
          <w:b/>
          <w:bCs/>
          <w:i/>
          <w:iCs/>
          <w:sz w:val="24"/>
          <w:szCs w:val="24"/>
        </w:rPr>
        <w:t xml:space="preserve"> </w:t>
      </w:r>
      <w:r w:rsidR="0038681C" w:rsidRPr="005703D8">
        <w:rPr>
          <w:rFonts w:asciiTheme="majorBidi" w:hAnsiTheme="majorBidi" w:cstheme="majorBidi"/>
          <w:sz w:val="24"/>
          <w:szCs w:val="24"/>
        </w:rPr>
        <w:t xml:space="preserve">used in this study are drawn from the </w:t>
      </w:r>
      <w:r w:rsidR="007E55B4" w:rsidRPr="005703D8">
        <w:rPr>
          <w:rFonts w:asciiTheme="majorBidi" w:hAnsiTheme="majorBidi" w:cstheme="majorBidi"/>
          <w:sz w:val="24"/>
          <w:szCs w:val="24"/>
        </w:rPr>
        <w:t>UNCTAD-EORA</w:t>
      </w:r>
      <w:r w:rsidR="0038681C" w:rsidRPr="005703D8">
        <w:rPr>
          <w:rFonts w:asciiTheme="majorBidi" w:hAnsiTheme="majorBidi" w:cstheme="majorBidi"/>
          <w:sz w:val="24"/>
          <w:szCs w:val="24"/>
        </w:rPr>
        <w:t xml:space="preserve"> database</w:t>
      </w:r>
      <w:r w:rsidR="006D6AB6" w:rsidRPr="005703D8">
        <w:rPr>
          <w:rFonts w:asciiTheme="majorBidi" w:hAnsiTheme="majorBidi" w:cstheme="majorBidi"/>
          <w:sz w:val="24"/>
          <w:szCs w:val="24"/>
        </w:rPr>
        <w:t xml:space="preserve"> containing multi-regional input-output (MRIO) tables</w:t>
      </w:r>
      <w:r w:rsidR="0038681C" w:rsidRPr="005703D8">
        <w:rPr>
          <w:rFonts w:asciiTheme="majorBidi" w:hAnsiTheme="majorBidi" w:cstheme="majorBidi"/>
          <w:sz w:val="24"/>
          <w:szCs w:val="24"/>
        </w:rPr>
        <w:t xml:space="preserve"> (</w:t>
      </w:r>
      <w:r w:rsidR="006D6AB6" w:rsidRPr="005703D8">
        <w:rPr>
          <w:rFonts w:asciiTheme="majorBidi" w:hAnsiTheme="majorBidi" w:cstheme="majorBidi"/>
          <w:sz w:val="24"/>
          <w:szCs w:val="24"/>
        </w:rPr>
        <w:t>Lenzen et al. 2013</w:t>
      </w:r>
      <w:r w:rsidR="0038681C" w:rsidRPr="005703D8">
        <w:rPr>
          <w:rFonts w:asciiTheme="majorBidi" w:hAnsiTheme="majorBidi" w:cstheme="majorBidi"/>
          <w:sz w:val="24"/>
          <w:szCs w:val="24"/>
        </w:rPr>
        <w:t xml:space="preserve">). </w:t>
      </w:r>
      <w:r w:rsidR="009D02B4" w:rsidRPr="005703D8">
        <w:rPr>
          <w:rFonts w:asciiTheme="majorBidi" w:hAnsiTheme="majorBidi" w:cstheme="majorBidi"/>
          <w:sz w:val="24"/>
          <w:szCs w:val="24"/>
        </w:rPr>
        <w:t xml:space="preserve">Alternative databases that could be used </w:t>
      </w:r>
      <w:r w:rsidR="0062040E" w:rsidRPr="005703D8">
        <w:rPr>
          <w:rFonts w:asciiTheme="majorBidi" w:hAnsiTheme="majorBidi" w:cstheme="majorBidi"/>
          <w:sz w:val="24"/>
          <w:szCs w:val="24"/>
        </w:rPr>
        <w:t xml:space="preserve">as sources of value-added variables include the World Input-Output Database – WIOD (Timmer et al. 2015) and OECD Trade in Value-added (TiVA) database (OECD, 2018). However, </w:t>
      </w:r>
      <w:r w:rsidR="009E4C22">
        <w:rPr>
          <w:rFonts w:asciiTheme="majorBidi" w:hAnsiTheme="majorBidi" w:cstheme="majorBidi"/>
          <w:sz w:val="24"/>
          <w:szCs w:val="24"/>
        </w:rPr>
        <w:t>the limited geographical scop</w:t>
      </w:r>
      <w:r w:rsidR="00DD3B67">
        <w:rPr>
          <w:rFonts w:asciiTheme="majorBidi" w:hAnsiTheme="majorBidi" w:cstheme="majorBidi"/>
          <w:sz w:val="24"/>
          <w:szCs w:val="24"/>
        </w:rPr>
        <w:t>e</w:t>
      </w:r>
      <w:r w:rsidR="009E4C22">
        <w:rPr>
          <w:rFonts w:asciiTheme="majorBidi" w:hAnsiTheme="majorBidi" w:cstheme="majorBidi"/>
          <w:sz w:val="24"/>
          <w:szCs w:val="24"/>
        </w:rPr>
        <w:t xml:space="preserve"> covered by these </w:t>
      </w:r>
      <w:r w:rsidR="00DD3B67">
        <w:rPr>
          <w:rFonts w:asciiTheme="majorBidi" w:hAnsiTheme="majorBidi" w:cstheme="majorBidi"/>
          <w:sz w:val="24"/>
          <w:szCs w:val="24"/>
        </w:rPr>
        <w:t>databases</w:t>
      </w:r>
      <w:r w:rsidR="0062040E" w:rsidRPr="005703D8">
        <w:rPr>
          <w:rFonts w:asciiTheme="majorBidi" w:hAnsiTheme="majorBidi" w:cstheme="majorBidi"/>
          <w:sz w:val="24"/>
          <w:szCs w:val="24"/>
        </w:rPr>
        <w:t>, critically excluding developing countries in general and Africa in particular (</w:t>
      </w:r>
      <w:r w:rsidR="00C33F9D" w:rsidRPr="005703D8">
        <w:rPr>
          <w:rFonts w:asciiTheme="majorBidi" w:hAnsiTheme="majorBidi" w:cstheme="majorBidi"/>
          <w:sz w:val="24"/>
          <w:szCs w:val="24"/>
        </w:rPr>
        <w:t>Casella et al., 2019</w:t>
      </w:r>
      <w:r w:rsidR="0062040E" w:rsidRPr="005703D8">
        <w:rPr>
          <w:rFonts w:asciiTheme="majorBidi" w:hAnsiTheme="majorBidi" w:cstheme="majorBidi"/>
          <w:sz w:val="24"/>
          <w:szCs w:val="24"/>
        </w:rPr>
        <w:t>)</w:t>
      </w:r>
      <w:r w:rsidR="00DD3B67">
        <w:rPr>
          <w:rFonts w:asciiTheme="majorBidi" w:hAnsiTheme="majorBidi" w:cstheme="majorBidi"/>
          <w:sz w:val="24"/>
          <w:szCs w:val="24"/>
        </w:rPr>
        <w:t xml:space="preserve"> make it less ideal for analysis contextualized to this region</w:t>
      </w:r>
      <w:r w:rsidR="0062040E" w:rsidRPr="005703D8">
        <w:rPr>
          <w:rFonts w:asciiTheme="majorBidi" w:hAnsiTheme="majorBidi" w:cstheme="majorBidi"/>
          <w:sz w:val="24"/>
          <w:szCs w:val="24"/>
        </w:rPr>
        <w:t>.</w:t>
      </w:r>
      <w:r w:rsidR="00C33F9D" w:rsidRPr="005703D8">
        <w:rPr>
          <w:rFonts w:asciiTheme="majorBidi" w:hAnsiTheme="majorBidi" w:cstheme="majorBidi"/>
          <w:sz w:val="24"/>
          <w:szCs w:val="24"/>
        </w:rPr>
        <w:t xml:space="preserve"> </w:t>
      </w:r>
      <w:r w:rsidR="00C7730C" w:rsidRPr="005703D8">
        <w:rPr>
          <w:rFonts w:asciiTheme="majorBidi" w:hAnsiTheme="majorBidi" w:cstheme="majorBidi"/>
          <w:sz w:val="24"/>
          <w:szCs w:val="24"/>
        </w:rPr>
        <w:t>With a coverage of 189 countries and “Rest of the world”, the UNCTAD-EORA database provides a good source of value-added data for Africa</w:t>
      </w:r>
      <w:r w:rsidR="00291D1A">
        <w:rPr>
          <w:rFonts w:asciiTheme="majorBidi" w:hAnsiTheme="majorBidi" w:cstheme="majorBidi"/>
          <w:sz w:val="24"/>
          <w:szCs w:val="24"/>
        </w:rPr>
        <w:t>.</w:t>
      </w:r>
      <w:r w:rsidR="00C7730C" w:rsidRPr="005703D8">
        <w:rPr>
          <w:rFonts w:asciiTheme="majorBidi" w:hAnsiTheme="majorBidi" w:cstheme="majorBidi"/>
          <w:sz w:val="24"/>
          <w:szCs w:val="24"/>
        </w:rPr>
        <w:t xml:space="preserve"> </w:t>
      </w:r>
      <w:r w:rsidR="00C7730C" w:rsidRPr="00CE137E">
        <w:rPr>
          <w:rFonts w:asciiTheme="majorBidi" w:hAnsiTheme="majorBidi" w:cstheme="majorBidi"/>
          <w:sz w:val="24"/>
          <w:szCs w:val="24"/>
        </w:rPr>
        <w:t>An additional advantage relative to other databases is that</w:t>
      </w:r>
      <w:r w:rsidR="00BE0028" w:rsidRPr="00CE137E">
        <w:rPr>
          <w:rFonts w:asciiTheme="majorBidi" w:hAnsiTheme="majorBidi" w:cstheme="majorBidi"/>
          <w:sz w:val="24"/>
          <w:szCs w:val="24"/>
        </w:rPr>
        <w:t xml:space="preserve"> b</w:t>
      </w:r>
      <w:r w:rsidR="009401AE" w:rsidRPr="00CE137E">
        <w:rPr>
          <w:rFonts w:asciiTheme="majorBidi" w:hAnsiTheme="majorBidi" w:cstheme="majorBidi"/>
          <w:sz w:val="24"/>
          <w:szCs w:val="24"/>
        </w:rPr>
        <w:t>y nowcasting data for 2016-2018, the database addresses the time lag of two to three years between the latest data and the time of analysis, a weakness in the WiOD, TiVA and previous version of the UNCTAD-EORA databases (Casella et al., 2019)</w:t>
      </w:r>
      <w:r w:rsidR="00AD5FBA" w:rsidRPr="00CE137E">
        <w:rPr>
          <w:rFonts w:asciiTheme="majorBidi" w:hAnsiTheme="majorBidi" w:cstheme="majorBidi"/>
          <w:sz w:val="24"/>
          <w:szCs w:val="24"/>
        </w:rPr>
        <w:t xml:space="preserve">. </w:t>
      </w:r>
      <w:r w:rsidR="00AD5FBA" w:rsidRPr="00CE137E" w:rsidDel="00AD5FBA">
        <w:rPr>
          <w:rFonts w:asciiTheme="majorBidi" w:hAnsiTheme="majorBidi" w:cstheme="majorBidi"/>
          <w:sz w:val="24"/>
          <w:szCs w:val="24"/>
        </w:rPr>
        <w:t xml:space="preserve"> </w:t>
      </w:r>
    </w:p>
    <w:p w14:paraId="49D459F4" w14:textId="05EE1349" w:rsidR="008B46FE" w:rsidRPr="005703D8" w:rsidRDefault="008B46FE" w:rsidP="00285EDF">
      <w:pPr>
        <w:spacing w:line="480" w:lineRule="auto"/>
        <w:ind w:firstLine="720"/>
        <w:jc w:val="both"/>
        <w:rPr>
          <w:rFonts w:asciiTheme="majorBidi" w:hAnsiTheme="majorBidi" w:cstheme="majorBidi"/>
          <w:sz w:val="24"/>
          <w:szCs w:val="24"/>
        </w:rPr>
      </w:pPr>
      <w:r w:rsidRPr="005703D8">
        <w:rPr>
          <w:rFonts w:asciiTheme="majorBidi" w:hAnsiTheme="majorBidi" w:cstheme="majorBidi"/>
          <w:sz w:val="24"/>
          <w:szCs w:val="24"/>
        </w:rPr>
        <w:t>The database provides actual data for the period 1990-2017 and projected data for 2018</w:t>
      </w:r>
      <w:r w:rsidR="004E3E2F" w:rsidRPr="005703D8">
        <w:rPr>
          <w:rFonts w:asciiTheme="majorBidi" w:hAnsiTheme="majorBidi" w:cstheme="majorBidi"/>
          <w:sz w:val="24"/>
          <w:szCs w:val="24"/>
        </w:rPr>
        <w:t xml:space="preserve">. </w:t>
      </w:r>
      <w:r w:rsidR="007D2A4D" w:rsidRPr="005703D8">
        <w:rPr>
          <w:rFonts w:asciiTheme="majorBidi" w:hAnsiTheme="majorBidi" w:cstheme="majorBidi"/>
          <w:sz w:val="24"/>
          <w:szCs w:val="24"/>
        </w:rPr>
        <w:t>The</w:t>
      </w:r>
      <w:r w:rsidR="008B3F2B" w:rsidRPr="005703D8">
        <w:rPr>
          <w:rFonts w:asciiTheme="majorBidi" w:hAnsiTheme="majorBidi" w:cstheme="majorBidi"/>
          <w:sz w:val="24"/>
          <w:szCs w:val="24"/>
        </w:rPr>
        <w:t xml:space="preserve"> UNCTAD-EORA database provides three</w:t>
      </w:r>
      <w:r w:rsidR="00C22507" w:rsidRPr="005703D8">
        <w:rPr>
          <w:rFonts w:asciiTheme="majorBidi" w:hAnsiTheme="majorBidi" w:cstheme="majorBidi"/>
          <w:sz w:val="24"/>
          <w:szCs w:val="24"/>
        </w:rPr>
        <w:t xml:space="preserve"> </w:t>
      </w:r>
      <w:r w:rsidR="008B3F2B" w:rsidRPr="005703D8">
        <w:rPr>
          <w:rFonts w:asciiTheme="majorBidi" w:hAnsiTheme="majorBidi" w:cstheme="majorBidi"/>
          <w:sz w:val="24"/>
          <w:szCs w:val="24"/>
        </w:rPr>
        <w:t>ma</w:t>
      </w:r>
      <w:r w:rsidR="003C6FCB">
        <w:rPr>
          <w:rFonts w:asciiTheme="majorBidi" w:hAnsiTheme="majorBidi" w:cstheme="majorBidi"/>
          <w:sz w:val="24"/>
          <w:szCs w:val="24"/>
        </w:rPr>
        <w:t>i</w:t>
      </w:r>
      <w:r w:rsidR="008B3F2B" w:rsidRPr="005703D8">
        <w:rPr>
          <w:rFonts w:asciiTheme="majorBidi" w:hAnsiTheme="majorBidi" w:cstheme="majorBidi"/>
          <w:sz w:val="24"/>
          <w:szCs w:val="24"/>
        </w:rPr>
        <w:t>n</w:t>
      </w:r>
      <w:r w:rsidR="007D2A4D" w:rsidRPr="005703D8">
        <w:rPr>
          <w:rFonts w:asciiTheme="majorBidi" w:hAnsiTheme="majorBidi" w:cstheme="majorBidi"/>
          <w:sz w:val="24"/>
          <w:szCs w:val="24"/>
        </w:rPr>
        <w:t xml:space="preserve"> GVC indicators: </w:t>
      </w:r>
      <w:r w:rsidR="00AE4830" w:rsidRPr="005703D8">
        <w:rPr>
          <w:rFonts w:asciiTheme="majorBidi" w:hAnsiTheme="majorBidi" w:cstheme="majorBidi"/>
          <w:sz w:val="24"/>
          <w:szCs w:val="24"/>
        </w:rPr>
        <w:t>foreign value added embedded in a country’s exports</w:t>
      </w:r>
      <w:r w:rsidR="00B30B98">
        <w:rPr>
          <w:rFonts w:asciiTheme="majorBidi" w:hAnsiTheme="majorBidi" w:cstheme="majorBidi"/>
          <w:sz w:val="24"/>
          <w:szCs w:val="24"/>
        </w:rPr>
        <w:t xml:space="preserve"> (FVA),</w:t>
      </w:r>
      <w:r w:rsidR="00AE4830" w:rsidRPr="005703D8">
        <w:rPr>
          <w:rFonts w:asciiTheme="majorBidi" w:hAnsiTheme="majorBidi" w:cstheme="majorBidi"/>
          <w:sz w:val="24"/>
          <w:szCs w:val="24"/>
        </w:rPr>
        <w:t xml:space="preserve"> domestic value added embedded in a country’s exports</w:t>
      </w:r>
      <w:r w:rsidR="00B30B98">
        <w:rPr>
          <w:rFonts w:asciiTheme="majorBidi" w:hAnsiTheme="majorBidi" w:cstheme="majorBidi"/>
          <w:sz w:val="24"/>
          <w:szCs w:val="24"/>
        </w:rPr>
        <w:t xml:space="preserve"> (DVA), and indirect value-added</w:t>
      </w:r>
      <w:r w:rsidR="00AE4830" w:rsidRPr="005703D8">
        <w:rPr>
          <w:rFonts w:asciiTheme="majorBidi" w:hAnsiTheme="majorBidi" w:cstheme="majorBidi"/>
          <w:sz w:val="24"/>
          <w:szCs w:val="24"/>
        </w:rPr>
        <w:t xml:space="preserve"> </w:t>
      </w:r>
      <w:r w:rsidR="00B30B98">
        <w:rPr>
          <w:rFonts w:asciiTheme="majorBidi" w:hAnsiTheme="majorBidi" w:cstheme="majorBidi"/>
          <w:sz w:val="24"/>
          <w:szCs w:val="24"/>
        </w:rPr>
        <w:t xml:space="preserve">or </w:t>
      </w:r>
      <w:r w:rsidR="008B3F2B" w:rsidRPr="005703D8">
        <w:rPr>
          <w:rFonts w:asciiTheme="majorBidi" w:hAnsiTheme="majorBidi" w:cstheme="majorBidi"/>
          <w:sz w:val="24"/>
          <w:szCs w:val="24"/>
        </w:rPr>
        <w:t>domestic value added embedded in other countries’ exports</w:t>
      </w:r>
      <w:r w:rsidR="00B30B98">
        <w:rPr>
          <w:rFonts w:asciiTheme="majorBidi" w:hAnsiTheme="majorBidi" w:cstheme="majorBidi"/>
          <w:sz w:val="24"/>
          <w:szCs w:val="24"/>
        </w:rPr>
        <w:t xml:space="preserve"> (DVX)</w:t>
      </w:r>
      <w:r w:rsidR="008B3F2B" w:rsidRPr="005703D8">
        <w:rPr>
          <w:rFonts w:asciiTheme="majorBidi" w:hAnsiTheme="majorBidi" w:cstheme="majorBidi"/>
          <w:sz w:val="24"/>
          <w:szCs w:val="24"/>
        </w:rPr>
        <w:t xml:space="preserve">. </w:t>
      </w:r>
      <w:r w:rsidR="00B748F7" w:rsidRPr="005703D8">
        <w:rPr>
          <w:rFonts w:asciiTheme="majorBidi" w:hAnsiTheme="majorBidi" w:cstheme="majorBidi"/>
          <w:sz w:val="24"/>
          <w:szCs w:val="24"/>
        </w:rPr>
        <w:t>As illustrated in Koopman et al. (2014), the overall GVC participation of a country can be easily computed from a combination of the three main GVC indicators</w:t>
      </w:r>
      <w:r w:rsidR="00837A43">
        <w:rPr>
          <w:rFonts w:asciiTheme="majorBidi" w:hAnsiTheme="majorBidi" w:cstheme="majorBidi"/>
          <w:sz w:val="24"/>
          <w:szCs w:val="24"/>
        </w:rPr>
        <w:t>, which is also provided alongside the three main value-added indicators in the UNCTAD-EORA database</w:t>
      </w:r>
      <w:r w:rsidR="00B748F7" w:rsidRPr="005703D8">
        <w:rPr>
          <w:rFonts w:asciiTheme="majorBidi" w:hAnsiTheme="majorBidi" w:cstheme="majorBidi"/>
          <w:sz w:val="24"/>
          <w:szCs w:val="24"/>
        </w:rPr>
        <w:t xml:space="preserve">. </w:t>
      </w:r>
      <w:r w:rsidR="000D409A" w:rsidRPr="005703D8">
        <w:rPr>
          <w:rFonts w:asciiTheme="majorBidi" w:hAnsiTheme="majorBidi" w:cstheme="majorBidi"/>
          <w:sz w:val="24"/>
          <w:szCs w:val="24"/>
        </w:rPr>
        <w:t xml:space="preserve">This </w:t>
      </w:r>
      <w:r w:rsidR="00843D03">
        <w:rPr>
          <w:rFonts w:asciiTheme="majorBidi" w:hAnsiTheme="majorBidi" w:cstheme="majorBidi"/>
          <w:sz w:val="24"/>
          <w:szCs w:val="24"/>
        </w:rPr>
        <w:t>thus</w:t>
      </w:r>
      <w:r w:rsidR="000D409A" w:rsidRPr="005703D8">
        <w:rPr>
          <w:rFonts w:asciiTheme="majorBidi" w:hAnsiTheme="majorBidi" w:cstheme="majorBidi"/>
          <w:sz w:val="24"/>
          <w:szCs w:val="24"/>
        </w:rPr>
        <w:t xml:space="preserve"> enables the analysis of not only value-addition by domestic firms and multinational enterprises (MNEs) but also the </w:t>
      </w:r>
      <w:r w:rsidR="00457AF7">
        <w:rPr>
          <w:rFonts w:asciiTheme="majorBidi" w:hAnsiTheme="majorBidi" w:cstheme="majorBidi"/>
          <w:sz w:val="24"/>
          <w:szCs w:val="24"/>
        </w:rPr>
        <w:t>overall extent of</w:t>
      </w:r>
      <w:r w:rsidR="000D409A" w:rsidRPr="005703D8">
        <w:rPr>
          <w:rFonts w:asciiTheme="majorBidi" w:hAnsiTheme="majorBidi" w:cstheme="majorBidi"/>
          <w:sz w:val="24"/>
          <w:szCs w:val="24"/>
        </w:rPr>
        <w:t xml:space="preserve"> participation </w:t>
      </w:r>
      <w:r w:rsidR="00F776F8">
        <w:rPr>
          <w:rFonts w:asciiTheme="majorBidi" w:hAnsiTheme="majorBidi" w:cstheme="majorBidi"/>
          <w:sz w:val="24"/>
          <w:szCs w:val="24"/>
        </w:rPr>
        <w:t xml:space="preserve">of countries </w:t>
      </w:r>
      <w:r w:rsidR="000D409A" w:rsidRPr="005703D8">
        <w:rPr>
          <w:rFonts w:asciiTheme="majorBidi" w:hAnsiTheme="majorBidi" w:cstheme="majorBidi"/>
          <w:sz w:val="24"/>
          <w:szCs w:val="24"/>
        </w:rPr>
        <w:t xml:space="preserve">in global value chains. </w:t>
      </w:r>
      <w:r w:rsidR="00D4044C" w:rsidRPr="005703D8">
        <w:rPr>
          <w:rFonts w:asciiTheme="majorBidi" w:hAnsiTheme="majorBidi" w:cstheme="majorBidi"/>
          <w:sz w:val="24"/>
          <w:szCs w:val="24"/>
        </w:rPr>
        <w:t>Although this paper focuses on domestic value added in a country’s exports, the other indicators are als</w:t>
      </w:r>
      <w:r w:rsidR="00843D03">
        <w:rPr>
          <w:rFonts w:asciiTheme="majorBidi" w:hAnsiTheme="majorBidi" w:cstheme="majorBidi"/>
          <w:sz w:val="24"/>
          <w:szCs w:val="24"/>
        </w:rPr>
        <w:t>o analysed</w:t>
      </w:r>
      <w:r w:rsidR="00C22507" w:rsidRPr="005703D8">
        <w:rPr>
          <w:rFonts w:asciiTheme="majorBidi" w:hAnsiTheme="majorBidi" w:cstheme="majorBidi"/>
          <w:sz w:val="24"/>
          <w:szCs w:val="24"/>
        </w:rPr>
        <w:t xml:space="preserve"> to </w:t>
      </w:r>
      <w:r w:rsidR="00DB7570" w:rsidRPr="005703D8">
        <w:rPr>
          <w:rFonts w:asciiTheme="majorBidi" w:hAnsiTheme="majorBidi" w:cstheme="majorBidi"/>
          <w:sz w:val="24"/>
          <w:szCs w:val="24"/>
        </w:rPr>
        <w:t>enrich</w:t>
      </w:r>
      <w:r w:rsidR="00C22507" w:rsidRPr="005703D8">
        <w:rPr>
          <w:rFonts w:asciiTheme="majorBidi" w:hAnsiTheme="majorBidi" w:cstheme="majorBidi"/>
          <w:sz w:val="24"/>
          <w:szCs w:val="24"/>
        </w:rPr>
        <w:t xml:space="preserve"> the narrative around trade in value-added</w:t>
      </w:r>
      <w:r w:rsidR="00D4044C" w:rsidRPr="005703D8">
        <w:rPr>
          <w:rFonts w:asciiTheme="majorBidi" w:hAnsiTheme="majorBidi" w:cstheme="majorBidi"/>
          <w:sz w:val="24"/>
          <w:szCs w:val="24"/>
        </w:rPr>
        <w:t>.</w:t>
      </w:r>
      <w:r w:rsidR="00B748F7" w:rsidRPr="005703D8">
        <w:rPr>
          <w:rFonts w:asciiTheme="majorBidi" w:hAnsiTheme="majorBidi" w:cstheme="majorBidi"/>
          <w:sz w:val="24"/>
          <w:szCs w:val="24"/>
        </w:rPr>
        <w:t xml:space="preserve"> </w:t>
      </w:r>
    </w:p>
    <w:p w14:paraId="44821788" w14:textId="74EC31AF" w:rsidR="005611A6" w:rsidRPr="005703D8" w:rsidRDefault="005611A6" w:rsidP="005703D8">
      <w:pPr>
        <w:spacing w:line="480" w:lineRule="auto"/>
        <w:jc w:val="both"/>
        <w:rPr>
          <w:rFonts w:asciiTheme="majorBidi" w:hAnsiTheme="majorBidi" w:cstheme="majorBidi"/>
          <w:sz w:val="24"/>
          <w:szCs w:val="24"/>
        </w:rPr>
      </w:pPr>
      <w:r w:rsidRPr="005703D8">
        <w:rPr>
          <w:rFonts w:asciiTheme="majorBidi" w:hAnsiTheme="majorBidi" w:cstheme="majorBidi"/>
          <w:b/>
          <w:bCs/>
          <w:i/>
          <w:iCs/>
          <w:sz w:val="24"/>
          <w:szCs w:val="24"/>
          <w:u w:val="single"/>
        </w:rPr>
        <w:t>Labor productivity</w:t>
      </w:r>
      <w:r w:rsidRPr="005703D8">
        <w:rPr>
          <w:rFonts w:asciiTheme="majorBidi" w:hAnsiTheme="majorBidi" w:cstheme="majorBidi"/>
          <w:b/>
          <w:bCs/>
          <w:i/>
          <w:iCs/>
          <w:sz w:val="24"/>
          <w:szCs w:val="24"/>
        </w:rPr>
        <w:t xml:space="preserve"> </w:t>
      </w:r>
      <w:r w:rsidRPr="005703D8">
        <w:rPr>
          <w:rFonts w:asciiTheme="majorBidi" w:hAnsiTheme="majorBidi" w:cstheme="majorBidi"/>
          <w:sz w:val="24"/>
          <w:szCs w:val="24"/>
        </w:rPr>
        <w:t>indicators</w:t>
      </w:r>
      <w:r w:rsidRPr="005703D8">
        <w:rPr>
          <w:rFonts w:asciiTheme="majorBidi" w:hAnsiTheme="majorBidi" w:cstheme="majorBidi"/>
          <w:b/>
          <w:bCs/>
          <w:i/>
          <w:iCs/>
          <w:color w:val="FF0000"/>
          <w:sz w:val="24"/>
          <w:szCs w:val="24"/>
        </w:rPr>
        <w:t xml:space="preserve"> </w:t>
      </w:r>
      <w:r w:rsidRPr="005703D8">
        <w:rPr>
          <w:rFonts w:asciiTheme="majorBidi" w:hAnsiTheme="majorBidi" w:cstheme="majorBidi"/>
          <w:sz w:val="24"/>
          <w:szCs w:val="24"/>
        </w:rPr>
        <w:t xml:space="preserve">are </w:t>
      </w:r>
      <w:r w:rsidR="00470CC0">
        <w:rPr>
          <w:rFonts w:asciiTheme="majorBidi" w:hAnsiTheme="majorBidi" w:cstheme="majorBidi"/>
          <w:sz w:val="24"/>
          <w:szCs w:val="24"/>
        </w:rPr>
        <w:t>obtained</w:t>
      </w:r>
      <w:r w:rsidRPr="005703D8">
        <w:rPr>
          <w:rFonts w:asciiTheme="majorBidi" w:hAnsiTheme="majorBidi" w:cstheme="majorBidi"/>
          <w:sz w:val="24"/>
          <w:szCs w:val="24"/>
        </w:rPr>
        <w:t xml:space="preserve"> from the </w:t>
      </w:r>
      <w:hyperlink r:id="rId12" w:history="1">
        <w:r w:rsidRPr="005703D8">
          <w:rPr>
            <w:rStyle w:val="Hyperlink"/>
            <w:rFonts w:asciiTheme="majorBidi" w:hAnsiTheme="majorBidi" w:cstheme="majorBidi"/>
            <w:sz w:val="24"/>
            <w:szCs w:val="24"/>
          </w:rPr>
          <w:t>ILOSTATA labour productivity database</w:t>
        </w:r>
      </w:hyperlink>
      <w:r w:rsidRPr="005703D8">
        <w:rPr>
          <w:rFonts w:asciiTheme="majorBidi" w:hAnsiTheme="majorBidi" w:cstheme="majorBidi"/>
          <w:sz w:val="24"/>
          <w:szCs w:val="24"/>
        </w:rPr>
        <w:t xml:space="preserve"> updated February 2022.</w:t>
      </w:r>
      <w:r w:rsidR="007B7FDD" w:rsidRPr="005703D8">
        <w:rPr>
          <w:rFonts w:asciiTheme="majorBidi" w:hAnsiTheme="majorBidi" w:cstheme="majorBidi"/>
          <w:sz w:val="24"/>
          <w:szCs w:val="24"/>
        </w:rPr>
        <w:t xml:space="preserve"> </w:t>
      </w:r>
      <w:r w:rsidR="00470CC0">
        <w:rPr>
          <w:rFonts w:asciiTheme="majorBidi" w:hAnsiTheme="majorBidi" w:cstheme="majorBidi"/>
          <w:sz w:val="24"/>
          <w:szCs w:val="24"/>
        </w:rPr>
        <w:t>The database provides</w:t>
      </w:r>
      <w:r w:rsidR="007B7FDD" w:rsidRPr="005703D8">
        <w:rPr>
          <w:rFonts w:asciiTheme="majorBidi" w:hAnsiTheme="majorBidi" w:cstheme="majorBidi"/>
          <w:sz w:val="24"/>
          <w:szCs w:val="24"/>
        </w:rPr>
        <w:t xml:space="preserve"> alternative measures of labour productivity </w:t>
      </w:r>
      <w:r w:rsidR="00470CC0">
        <w:rPr>
          <w:rFonts w:asciiTheme="majorBidi" w:hAnsiTheme="majorBidi" w:cstheme="majorBidi"/>
          <w:sz w:val="24"/>
          <w:szCs w:val="24"/>
        </w:rPr>
        <w:t>which include</w:t>
      </w:r>
      <w:r w:rsidR="007B7FDD" w:rsidRPr="005703D8">
        <w:rPr>
          <w:rFonts w:asciiTheme="majorBidi" w:hAnsiTheme="majorBidi" w:cstheme="majorBidi"/>
          <w:sz w:val="24"/>
          <w:szCs w:val="24"/>
        </w:rPr>
        <w:t xml:space="preserve"> output per worker </w:t>
      </w:r>
      <w:r w:rsidR="00470CC0">
        <w:rPr>
          <w:rFonts w:asciiTheme="majorBidi" w:hAnsiTheme="majorBidi" w:cstheme="majorBidi"/>
          <w:sz w:val="24"/>
          <w:szCs w:val="24"/>
        </w:rPr>
        <w:t xml:space="preserve">expressed </w:t>
      </w:r>
      <w:r w:rsidR="007B7FDD" w:rsidRPr="005703D8">
        <w:rPr>
          <w:rFonts w:asciiTheme="majorBidi" w:hAnsiTheme="majorBidi" w:cstheme="majorBidi"/>
          <w:sz w:val="24"/>
          <w:szCs w:val="24"/>
        </w:rPr>
        <w:t xml:space="preserve">in international 2017 dollars </w:t>
      </w:r>
      <w:r w:rsidR="00470CC0">
        <w:rPr>
          <w:rFonts w:asciiTheme="majorBidi" w:hAnsiTheme="majorBidi" w:cstheme="majorBidi"/>
          <w:sz w:val="24"/>
          <w:szCs w:val="24"/>
        </w:rPr>
        <w:t xml:space="preserve">and measured </w:t>
      </w:r>
      <w:r w:rsidR="007B7FDD" w:rsidRPr="005703D8">
        <w:rPr>
          <w:rFonts w:asciiTheme="majorBidi" w:hAnsiTheme="majorBidi" w:cstheme="majorBidi"/>
          <w:sz w:val="24"/>
          <w:szCs w:val="24"/>
        </w:rPr>
        <w:t xml:space="preserve">in purchasing power parity </w:t>
      </w:r>
      <w:r w:rsidR="007B7FDD" w:rsidRPr="005703D8">
        <w:rPr>
          <w:rFonts w:asciiTheme="majorBidi" w:hAnsiTheme="majorBidi" w:cstheme="majorBidi"/>
          <w:sz w:val="24"/>
          <w:szCs w:val="24"/>
        </w:rPr>
        <w:lastRenderedPageBreak/>
        <w:t xml:space="preserve">(PPP); output per worker measured in constant 2010 dollars; and growth rate </w:t>
      </w:r>
      <w:r w:rsidR="00470CC0">
        <w:rPr>
          <w:rFonts w:asciiTheme="majorBidi" w:hAnsiTheme="majorBidi" w:cstheme="majorBidi"/>
          <w:sz w:val="24"/>
          <w:szCs w:val="24"/>
        </w:rPr>
        <w:t xml:space="preserve">(percent) </w:t>
      </w:r>
      <w:r w:rsidR="007B7FDD" w:rsidRPr="005703D8">
        <w:rPr>
          <w:rFonts w:asciiTheme="majorBidi" w:hAnsiTheme="majorBidi" w:cstheme="majorBidi"/>
          <w:sz w:val="24"/>
          <w:szCs w:val="24"/>
        </w:rPr>
        <w:t xml:space="preserve">of output per worker in international PPP dollars. </w:t>
      </w:r>
    </w:p>
    <w:p w14:paraId="5F97CC11" w14:textId="760B6F76" w:rsidR="00365BE6" w:rsidRDefault="00365BE6" w:rsidP="005703D8">
      <w:pPr>
        <w:spacing w:line="480" w:lineRule="auto"/>
        <w:jc w:val="both"/>
        <w:rPr>
          <w:rFonts w:asciiTheme="majorBidi" w:hAnsiTheme="majorBidi" w:cstheme="majorBidi"/>
          <w:sz w:val="24"/>
          <w:szCs w:val="24"/>
        </w:rPr>
      </w:pPr>
      <w:r w:rsidRPr="005703D8">
        <w:rPr>
          <w:rFonts w:asciiTheme="majorBidi" w:hAnsiTheme="majorBidi" w:cstheme="majorBidi"/>
          <w:b/>
          <w:bCs/>
          <w:i/>
          <w:iCs/>
          <w:sz w:val="24"/>
          <w:szCs w:val="24"/>
          <w:u w:val="single"/>
        </w:rPr>
        <w:t xml:space="preserve">Macroeconomic </w:t>
      </w:r>
      <w:r w:rsidR="002729F6">
        <w:rPr>
          <w:rFonts w:asciiTheme="majorBidi" w:hAnsiTheme="majorBidi" w:cstheme="majorBidi"/>
          <w:b/>
          <w:bCs/>
          <w:i/>
          <w:iCs/>
          <w:sz w:val="24"/>
          <w:szCs w:val="24"/>
          <w:u w:val="single"/>
        </w:rPr>
        <w:t xml:space="preserve">and trade </w:t>
      </w:r>
      <w:r w:rsidRPr="005703D8">
        <w:rPr>
          <w:rFonts w:asciiTheme="majorBidi" w:hAnsiTheme="majorBidi" w:cstheme="majorBidi"/>
          <w:b/>
          <w:bCs/>
          <w:i/>
          <w:iCs/>
          <w:sz w:val="24"/>
          <w:szCs w:val="24"/>
          <w:u w:val="single"/>
        </w:rPr>
        <w:t>indicators</w:t>
      </w:r>
      <w:r w:rsidR="002910DD" w:rsidRPr="005703D8">
        <w:rPr>
          <w:rFonts w:asciiTheme="majorBidi" w:hAnsiTheme="majorBidi" w:cstheme="majorBidi"/>
          <w:sz w:val="24"/>
          <w:szCs w:val="24"/>
        </w:rPr>
        <w:t xml:space="preserve"> are obtained from the WDI database of the </w:t>
      </w:r>
      <w:r w:rsidR="00317076">
        <w:rPr>
          <w:rFonts w:asciiTheme="majorBidi" w:hAnsiTheme="majorBidi" w:cstheme="majorBidi"/>
          <w:sz w:val="24"/>
          <w:szCs w:val="24"/>
        </w:rPr>
        <w:t>W</w:t>
      </w:r>
      <w:r w:rsidR="002910DD" w:rsidRPr="005703D8">
        <w:rPr>
          <w:rFonts w:asciiTheme="majorBidi" w:hAnsiTheme="majorBidi" w:cstheme="majorBidi"/>
          <w:sz w:val="24"/>
          <w:szCs w:val="24"/>
        </w:rPr>
        <w:t xml:space="preserve">orld </w:t>
      </w:r>
      <w:r w:rsidR="00317076">
        <w:rPr>
          <w:rFonts w:asciiTheme="majorBidi" w:hAnsiTheme="majorBidi" w:cstheme="majorBidi"/>
          <w:sz w:val="24"/>
          <w:szCs w:val="24"/>
        </w:rPr>
        <w:t>B</w:t>
      </w:r>
      <w:r w:rsidR="002910DD" w:rsidRPr="005703D8">
        <w:rPr>
          <w:rFonts w:asciiTheme="majorBidi" w:hAnsiTheme="majorBidi" w:cstheme="majorBidi"/>
          <w:sz w:val="24"/>
          <w:szCs w:val="24"/>
        </w:rPr>
        <w:t>ank</w:t>
      </w:r>
      <w:r w:rsidR="00A6139B" w:rsidRPr="005703D8">
        <w:rPr>
          <w:rFonts w:asciiTheme="majorBidi" w:hAnsiTheme="majorBidi" w:cstheme="majorBidi"/>
          <w:sz w:val="24"/>
          <w:szCs w:val="24"/>
        </w:rPr>
        <w:t xml:space="preserve"> </w:t>
      </w:r>
      <w:r w:rsidR="00DA1C00">
        <w:rPr>
          <w:rFonts w:asciiTheme="majorBidi" w:hAnsiTheme="majorBidi" w:cstheme="majorBidi"/>
          <w:sz w:val="24"/>
          <w:szCs w:val="24"/>
        </w:rPr>
        <w:t xml:space="preserve">and IMF databases. These are </w:t>
      </w:r>
      <w:r w:rsidR="002910DD" w:rsidRPr="005703D8">
        <w:rPr>
          <w:rFonts w:asciiTheme="majorBidi" w:hAnsiTheme="majorBidi" w:cstheme="majorBidi"/>
          <w:sz w:val="24"/>
          <w:szCs w:val="24"/>
        </w:rPr>
        <w:t>used to control for inter-country differences in economic size</w:t>
      </w:r>
      <w:r w:rsidR="00DA1C00">
        <w:rPr>
          <w:rFonts w:asciiTheme="majorBidi" w:hAnsiTheme="majorBidi" w:cstheme="majorBidi"/>
          <w:sz w:val="24"/>
          <w:szCs w:val="24"/>
        </w:rPr>
        <w:t>,</w:t>
      </w:r>
      <w:r w:rsidR="002910DD" w:rsidRPr="005703D8">
        <w:rPr>
          <w:rFonts w:asciiTheme="majorBidi" w:hAnsiTheme="majorBidi" w:cstheme="majorBidi"/>
          <w:sz w:val="24"/>
          <w:szCs w:val="24"/>
        </w:rPr>
        <w:t xml:space="preserve"> macroeconomic </w:t>
      </w:r>
      <w:r w:rsidR="00DA1C00">
        <w:rPr>
          <w:rFonts w:asciiTheme="majorBidi" w:hAnsiTheme="majorBidi" w:cstheme="majorBidi"/>
          <w:sz w:val="24"/>
          <w:szCs w:val="24"/>
        </w:rPr>
        <w:t xml:space="preserve">and trade </w:t>
      </w:r>
      <w:r w:rsidR="002910DD" w:rsidRPr="005703D8">
        <w:rPr>
          <w:rFonts w:asciiTheme="majorBidi" w:hAnsiTheme="majorBidi" w:cstheme="majorBidi"/>
          <w:sz w:val="24"/>
          <w:szCs w:val="24"/>
        </w:rPr>
        <w:t xml:space="preserve">performance </w:t>
      </w:r>
      <w:r w:rsidR="00DA1C00">
        <w:rPr>
          <w:rFonts w:asciiTheme="majorBidi" w:hAnsiTheme="majorBidi" w:cstheme="majorBidi"/>
          <w:sz w:val="24"/>
          <w:szCs w:val="24"/>
        </w:rPr>
        <w:t xml:space="preserve">as well as policy contexts that </w:t>
      </w:r>
      <w:r w:rsidR="002910DD" w:rsidRPr="005703D8">
        <w:rPr>
          <w:rFonts w:asciiTheme="majorBidi" w:hAnsiTheme="majorBidi" w:cstheme="majorBidi"/>
          <w:sz w:val="24"/>
          <w:szCs w:val="24"/>
        </w:rPr>
        <w:t xml:space="preserve">could influence domestic value </w:t>
      </w:r>
      <w:r w:rsidR="00DA1C00">
        <w:rPr>
          <w:rFonts w:asciiTheme="majorBidi" w:hAnsiTheme="majorBidi" w:cstheme="majorBidi"/>
          <w:sz w:val="24"/>
          <w:szCs w:val="24"/>
        </w:rPr>
        <w:t>addition</w:t>
      </w:r>
      <w:r w:rsidR="002910DD" w:rsidRPr="005703D8">
        <w:rPr>
          <w:rFonts w:asciiTheme="majorBidi" w:hAnsiTheme="majorBidi" w:cstheme="majorBidi"/>
          <w:sz w:val="24"/>
          <w:szCs w:val="24"/>
        </w:rPr>
        <w:t xml:space="preserve">. </w:t>
      </w:r>
      <w:r w:rsidR="00A6139B" w:rsidRPr="005703D8">
        <w:rPr>
          <w:rFonts w:asciiTheme="majorBidi" w:hAnsiTheme="majorBidi" w:cstheme="majorBidi"/>
          <w:sz w:val="24"/>
          <w:szCs w:val="24"/>
        </w:rPr>
        <w:t xml:space="preserve">These include: </w:t>
      </w:r>
      <w:r w:rsidR="004D1FFC" w:rsidRPr="005703D8">
        <w:rPr>
          <w:rFonts w:asciiTheme="majorBidi" w:hAnsiTheme="majorBidi" w:cstheme="majorBidi"/>
          <w:sz w:val="24"/>
          <w:szCs w:val="24"/>
        </w:rPr>
        <w:t xml:space="preserve">Gross Domestic Product in </w:t>
      </w:r>
      <w:r w:rsidR="004D1FFC">
        <w:rPr>
          <w:rFonts w:asciiTheme="majorBidi" w:hAnsiTheme="majorBidi" w:cstheme="majorBidi"/>
          <w:sz w:val="24"/>
          <w:szCs w:val="24"/>
        </w:rPr>
        <w:t>constant (2015)</w:t>
      </w:r>
      <w:r w:rsidR="004D1FFC" w:rsidRPr="005703D8">
        <w:rPr>
          <w:rFonts w:asciiTheme="majorBidi" w:hAnsiTheme="majorBidi" w:cstheme="majorBidi"/>
          <w:sz w:val="24"/>
          <w:szCs w:val="24"/>
        </w:rPr>
        <w:t xml:space="preserve"> US Dollars</w:t>
      </w:r>
      <w:r w:rsidR="004D1FFC">
        <w:rPr>
          <w:rStyle w:val="FootnoteReference"/>
          <w:rFonts w:asciiTheme="majorBidi" w:hAnsiTheme="majorBidi" w:cstheme="majorBidi"/>
          <w:sz w:val="24"/>
          <w:szCs w:val="24"/>
        </w:rPr>
        <w:footnoteReference w:id="5"/>
      </w:r>
      <w:r w:rsidR="00A6139B" w:rsidRPr="005703D8">
        <w:rPr>
          <w:rFonts w:asciiTheme="majorBidi" w:hAnsiTheme="majorBidi" w:cstheme="majorBidi"/>
          <w:sz w:val="24"/>
          <w:szCs w:val="24"/>
        </w:rPr>
        <w:t xml:space="preserve">; ratio (percentage) of foreign direct investment net inflow to GDP; </w:t>
      </w:r>
      <w:r w:rsidR="000A1BC9">
        <w:rPr>
          <w:rFonts w:asciiTheme="majorBidi" w:hAnsiTheme="majorBidi" w:cstheme="majorBidi"/>
          <w:sz w:val="24"/>
          <w:szCs w:val="24"/>
        </w:rPr>
        <w:t xml:space="preserve">the simple average of tariffs (percent) applied to all products; </w:t>
      </w:r>
      <w:r w:rsidR="00DA1C00">
        <w:rPr>
          <w:rFonts w:asciiTheme="majorBidi" w:hAnsiTheme="majorBidi" w:cstheme="majorBidi"/>
          <w:sz w:val="24"/>
          <w:szCs w:val="24"/>
        </w:rPr>
        <w:t xml:space="preserve">and </w:t>
      </w:r>
      <w:r w:rsidR="00A6139B" w:rsidRPr="005703D8">
        <w:rPr>
          <w:rFonts w:asciiTheme="majorBidi" w:hAnsiTheme="majorBidi" w:cstheme="majorBidi"/>
          <w:sz w:val="24"/>
          <w:szCs w:val="24"/>
        </w:rPr>
        <w:t>the relative shares (percent) of both exports and imports in GDP.</w:t>
      </w:r>
      <w:r w:rsidR="002729F6">
        <w:rPr>
          <w:rFonts w:asciiTheme="majorBidi" w:hAnsiTheme="majorBidi" w:cstheme="majorBidi"/>
          <w:sz w:val="24"/>
          <w:szCs w:val="24"/>
        </w:rPr>
        <w:t xml:space="preserve"> The share of manufactured exports in total exports is obtained from the TCdata360, an initiative of the World Bank Group’s </w:t>
      </w:r>
      <w:r w:rsidR="002729F6" w:rsidRPr="002729F6">
        <w:rPr>
          <w:rFonts w:asciiTheme="majorBidi" w:hAnsiTheme="majorBidi" w:cstheme="majorBidi"/>
          <w:sz w:val="24"/>
          <w:szCs w:val="24"/>
        </w:rPr>
        <w:t>Macroeconomics, Trade &amp; Investment Global Practice.</w:t>
      </w:r>
      <w:r w:rsidR="002729F6">
        <w:rPr>
          <w:rStyle w:val="FootnoteReference"/>
          <w:rFonts w:asciiTheme="majorBidi" w:hAnsiTheme="majorBidi" w:cstheme="majorBidi"/>
          <w:sz w:val="24"/>
          <w:szCs w:val="24"/>
        </w:rPr>
        <w:footnoteReference w:id="6"/>
      </w:r>
      <w:r w:rsidR="00DA1C00">
        <w:rPr>
          <w:rFonts w:asciiTheme="majorBidi" w:hAnsiTheme="majorBidi" w:cstheme="majorBidi"/>
          <w:sz w:val="24"/>
          <w:szCs w:val="24"/>
        </w:rPr>
        <w:t xml:space="preserve"> </w:t>
      </w:r>
      <w:r w:rsidR="00763C5C">
        <w:rPr>
          <w:rFonts w:asciiTheme="majorBidi" w:hAnsiTheme="majorBidi" w:cstheme="majorBidi"/>
          <w:sz w:val="24"/>
          <w:szCs w:val="24"/>
        </w:rPr>
        <w:t>The ratio of</w:t>
      </w:r>
      <w:r w:rsidR="00DA1C00">
        <w:rPr>
          <w:rFonts w:asciiTheme="majorBidi" w:hAnsiTheme="majorBidi" w:cstheme="majorBidi"/>
          <w:sz w:val="24"/>
          <w:szCs w:val="24"/>
        </w:rPr>
        <w:t xml:space="preserve"> investment to GDP obtained from the IMF database</w:t>
      </w:r>
      <w:r w:rsidR="007B2483">
        <w:rPr>
          <w:rFonts w:asciiTheme="majorBidi" w:hAnsiTheme="majorBidi" w:cstheme="majorBidi"/>
          <w:sz w:val="24"/>
          <w:szCs w:val="24"/>
        </w:rPr>
        <w:t xml:space="preserve"> for use as an indicator of the general level of in a country</w:t>
      </w:r>
      <w:r w:rsidR="00DA1C00">
        <w:rPr>
          <w:rFonts w:asciiTheme="majorBidi" w:hAnsiTheme="majorBidi" w:cstheme="majorBidi"/>
          <w:sz w:val="24"/>
          <w:szCs w:val="24"/>
        </w:rPr>
        <w:t>.</w:t>
      </w:r>
      <w:r w:rsidR="000A1BC9">
        <w:rPr>
          <w:rFonts w:asciiTheme="majorBidi" w:hAnsiTheme="majorBidi" w:cstheme="majorBidi"/>
          <w:sz w:val="24"/>
          <w:szCs w:val="24"/>
        </w:rPr>
        <w:t xml:space="preserve"> </w:t>
      </w:r>
    </w:p>
    <w:p w14:paraId="775D0B69" w14:textId="1E937ED6" w:rsidR="00AF48CA" w:rsidRDefault="00AF48CA" w:rsidP="005703D8">
      <w:pPr>
        <w:spacing w:line="480" w:lineRule="auto"/>
        <w:jc w:val="both"/>
        <w:rPr>
          <w:rFonts w:asciiTheme="majorBidi" w:hAnsiTheme="majorBidi" w:cstheme="majorBidi"/>
          <w:sz w:val="24"/>
          <w:szCs w:val="24"/>
        </w:rPr>
      </w:pPr>
      <w:r w:rsidRPr="001B5CEE">
        <w:rPr>
          <w:rFonts w:asciiTheme="majorBidi" w:hAnsiTheme="majorBidi" w:cstheme="majorBidi"/>
          <w:b/>
          <w:bCs/>
          <w:i/>
          <w:iCs/>
          <w:sz w:val="24"/>
          <w:szCs w:val="24"/>
          <w:u w:val="single"/>
        </w:rPr>
        <w:t>Rule of law</w:t>
      </w:r>
      <w:r w:rsidR="006B2C38">
        <w:rPr>
          <w:rFonts w:asciiTheme="majorBidi" w:hAnsiTheme="majorBidi" w:cstheme="majorBidi"/>
          <w:sz w:val="24"/>
          <w:szCs w:val="24"/>
        </w:rPr>
        <w:t xml:space="preserve"> is obtained from the </w:t>
      </w:r>
      <w:r w:rsidR="001B5CEE">
        <w:rPr>
          <w:rFonts w:asciiTheme="majorBidi" w:hAnsiTheme="majorBidi" w:cstheme="majorBidi"/>
          <w:sz w:val="24"/>
          <w:szCs w:val="24"/>
        </w:rPr>
        <w:t>Worldwide Governance Indicators (WGI).</w:t>
      </w:r>
      <w:r w:rsidR="001B5CEE">
        <w:rPr>
          <w:rStyle w:val="FootnoteReference"/>
          <w:rFonts w:asciiTheme="majorBidi" w:hAnsiTheme="majorBidi" w:cstheme="majorBidi"/>
          <w:sz w:val="24"/>
          <w:szCs w:val="24"/>
        </w:rPr>
        <w:footnoteReference w:id="7"/>
      </w:r>
    </w:p>
    <w:p w14:paraId="1B758F1E" w14:textId="77777777" w:rsidR="002F1CA8" w:rsidRPr="005703D8" w:rsidRDefault="002F1CA8" w:rsidP="005703D8">
      <w:pPr>
        <w:spacing w:line="480" w:lineRule="auto"/>
        <w:jc w:val="both"/>
        <w:rPr>
          <w:rFonts w:asciiTheme="majorBidi" w:hAnsiTheme="majorBidi" w:cstheme="majorBidi"/>
          <w:sz w:val="24"/>
          <w:szCs w:val="24"/>
        </w:rPr>
      </w:pPr>
    </w:p>
    <w:p w14:paraId="5EFE7551" w14:textId="77777777" w:rsidR="00B203C9" w:rsidRDefault="00B203C9">
      <w:pPr>
        <w:rPr>
          <w:rFonts w:asciiTheme="majorBidi" w:eastAsiaTheme="minorEastAsia" w:hAnsiTheme="majorBidi" w:cstheme="majorBidi"/>
          <w:b/>
          <w:bCs/>
          <w:sz w:val="24"/>
          <w:szCs w:val="24"/>
          <w:lang w:val="en-US" w:eastAsia="zh-CN"/>
        </w:rPr>
      </w:pPr>
      <w:r>
        <w:rPr>
          <w:rFonts w:asciiTheme="majorBidi" w:hAnsiTheme="majorBidi" w:cstheme="majorBidi"/>
          <w:b/>
          <w:bCs/>
          <w:sz w:val="24"/>
          <w:szCs w:val="24"/>
        </w:rPr>
        <w:br w:type="page"/>
      </w:r>
    </w:p>
    <w:p w14:paraId="56B48881" w14:textId="5A252B64" w:rsidR="00AC353D" w:rsidRPr="005703D8" w:rsidRDefault="00AC353D" w:rsidP="005703D8">
      <w:pPr>
        <w:pStyle w:val="ListParagraph"/>
        <w:numPr>
          <w:ilvl w:val="0"/>
          <w:numId w:val="2"/>
        </w:numPr>
        <w:spacing w:line="480" w:lineRule="auto"/>
        <w:jc w:val="both"/>
        <w:rPr>
          <w:rFonts w:asciiTheme="majorBidi" w:hAnsiTheme="majorBidi" w:cstheme="majorBidi"/>
          <w:b/>
          <w:bCs/>
          <w:color w:val="FF0000"/>
          <w:sz w:val="24"/>
          <w:szCs w:val="24"/>
        </w:rPr>
      </w:pPr>
      <w:r w:rsidRPr="005703D8">
        <w:rPr>
          <w:rFonts w:asciiTheme="majorBidi" w:hAnsiTheme="majorBidi" w:cstheme="majorBidi"/>
          <w:b/>
          <w:bCs/>
          <w:sz w:val="24"/>
          <w:szCs w:val="24"/>
        </w:rPr>
        <w:lastRenderedPageBreak/>
        <w:t>Empirical strategy</w:t>
      </w:r>
    </w:p>
    <w:p w14:paraId="59BA007C" w14:textId="7D55487D" w:rsidR="00AA4275" w:rsidRPr="005703D8" w:rsidRDefault="006966C4" w:rsidP="00285EDF">
      <w:pPr>
        <w:spacing w:line="480" w:lineRule="auto"/>
        <w:ind w:firstLine="720"/>
        <w:jc w:val="both"/>
        <w:rPr>
          <w:rFonts w:asciiTheme="majorBidi" w:hAnsiTheme="majorBidi" w:cstheme="majorBidi"/>
          <w:sz w:val="24"/>
          <w:szCs w:val="24"/>
        </w:rPr>
      </w:pPr>
      <w:r w:rsidRPr="005703D8">
        <w:rPr>
          <w:rFonts w:asciiTheme="majorBidi" w:hAnsiTheme="majorBidi" w:cstheme="majorBidi"/>
          <w:sz w:val="24"/>
          <w:szCs w:val="24"/>
        </w:rPr>
        <w:t xml:space="preserve">We estimate </w:t>
      </w:r>
      <w:r w:rsidR="009B2B24">
        <w:rPr>
          <w:rFonts w:asciiTheme="majorBidi" w:hAnsiTheme="majorBidi" w:cstheme="majorBidi"/>
          <w:sz w:val="24"/>
          <w:szCs w:val="24"/>
        </w:rPr>
        <w:t xml:space="preserve">(separately) </w:t>
      </w:r>
      <w:r w:rsidRPr="005703D8">
        <w:rPr>
          <w:rFonts w:asciiTheme="majorBidi" w:hAnsiTheme="majorBidi" w:cstheme="majorBidi"/>
          <w:sz w:val="24"/>
          <w:szCs w:val="24"/>
        </w:rPr>
        <w:t xml:space="preserve">the determinants of </w:t>
      </w:r>
      <w:r w:rsidR="009B2B24">
        <w:rPr>
          <w:rFonts w:asciiTheme="majorBidi" w:hAnsiTheme="majorBidi" w:cstheme="majorBidi"/>
          <w:sz w:val="24"/>
          <w:szCs w:val="24"/>
        </w:rPr>
        <w:t>value</w:t>
      </w:r>
      <w:r w:rsidR="00C27CBE">
        <w:rPr>
          <w:rFonts w:asciiTheme="majorBidi" w:hAnsiTheme="majorBidi" w:cstheme="majorBidi"/>
          <w:sz w:val="24"/>
          <w:szCs w:val="24"/>
        </w:rPr>
        <w:t xml:space="preserve">-added </w:t>
      </w:r>
      <w:r w:rsidR="009B2B24">
        <w:rPr>
          <w:rFonts w:asciiTheme="majorBidi" w:hAnsiTheme="majorBidi" w:cstheme="majorBidi"/>
          <w:sz w:val="24"/>
          <w:szCs w:val="24"/>
        </w:rPr>
        <w:t xml:space="preserve">and overall value chain participation </w:t>
      </w:r>
      <w:r w:rsidRPr="005703D8">
        <w:rPr>
          <w:rFonts w:asciiTheme="majorBidi" w:hAnsiTheme="majorBidi" w:cstheme="majorBidi"/>
          <w:sz w:val="24"/>
          <w:szCs w:val="24"/>
        </w:rPr>
        <w:t>using simple econometric panel data models:</w:t>
      </w:r>
    </w:p>
    <w:p w14:paraId="74694E9E" w14:textId="548C4929" w:rsidR="006966C4" w:rsidRPr="005703D8" w:rsidRDefault="00602AE5" w:rsidP="005703D8">
      <w:pPr>
        <w:spacing w:line="480" w:lineRule="auto"/>
        <w:jc w:val="both"/>
        <w:rPr>
          <w:rFonts w:asciiTheme="majorBidi" w:eastAsiaTheme="minorEastAsia" w:hAnsiTheme="majorBidi" w:cstheme="majorBidi"/>
          <w:sz w:val="24"/>
          <w:szCs w:val="24"/>
        </w:rPr>
      </w:pPr>
      <m:oMathPara>
        <m:oMath>
          <m:r>
            <w:rPr>
              <w:rFonts w:ascii="Cambria Math" w:hAnsi="Cambria Math" w:cstheme="majorBidi"/>
              <w:sz w:val="24"/>
              <w:szCs w:val="24"/>
            </w:rPr>
            <m:t>log</m:t>
          </m:r>
          <m:sSub>
            <m:sSubPr>
              <m:ctrlPr>
                <w:rPr>
                  <w:rFonts w:ascii="Cambria Math" w:hAnsi="Cambria Math" w:cstheme="majorBidi"/>
                  <w:i/>
                  <w:sz w:val="24"/>
                  <w:szCs w:val="24"/>
                </w:rPr>
              </m:ctrlPr>
            </m:sSubPr>
            <m:e>
              <m:r>
                <w:rPr>
                  <w:rFonts w:ascii="Cambria Math" w:hAnsi="Cambria Math" w:cstheme="majorBidi"/>
                  <w:sz w:val="24"/>
                  <w:szCs w:val="24"/>
                </w:rPr>
                <m:t>VALUE_ADDED</m:t>
              </m:r>
            </m:e>
            <m:sub>
              <m:r>
                <w:rPr>
                  <w:rFonts w:ascii="Cambria Math" w:hAnsi="Cambria Math" w:cstheme="majorBidi"/>
                  <w:sz w:val="24"/>
                  <w:szCs w:val="24"/>
                </w:rPr>
                <m:t>it</m:t>
              </m:r>
            </m:sub>
          </m:sSub>
          <m:r>
            <w:rPr>
              <w:rFonts w:ascii="Cambria Math" w:hAnsi="Cambria Math" w:cstheme="majorBidi"/>
              <w:sz w:val="24"/>
              <w:szCs w:val="24"/>
            </w:rPr>
            <m:t>=α+β</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it</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m:rPr>
                  <m:scr m:val="script"/>
                </m:rPr>
                <w:rPr>
                  <w:rFonts w:ascii="Cambria Math" w:hAnsi="Cambria Math" w:cstheme="majorBidi"/>
                  <w:sz w:val="24"/>
                  <w:szCs w:val="24"/>
                </w:rPr>
                <m:t>E</m:t>
              </m:r>
            </m:e>
            <m:sub>
              <m:r>
                <w:rPr>
                  <w:rFonts w:ascii="Cambria Math" w:hAnsi="Cambria Math" w:cstheme="majorBidi"/>
                  <w:sz w:val="24"/>
                  <w:szCs w:val="24"/>
                </w:rPr>
                <m:t>it</m:t>
              </m:r>
            </m:sub>
          </m:sSub>
          <m:r>
            <w:rPr>
              <w:rFonts w:ascii="Cambria Math" w:hAnsi="Cambria Math" w:cstheme="majorBidi"/>
              <w:sz w:val="24"/>
              <w:szCs w:val="24"/>
            </w:rPr>
            <m:t xml:space="preserve"> (1)</m:t>
          </m:r>
        </m:oMath>
      </m:oMathPara>
    </w:p>
    <w:p w14:paraId="430C2D2C" w14:textId="045BED85" w:rsidR="0046451E" w:rsidRPr="005703D8" w:rsidRDefault="006966C4" w:rsidP="005703D8">
      <w:pPr>
        <w:spacing w:line="480" w:lineRule="auto"/>
        <w:jc w:val="both"/>
        <w:rPr>
          <w:rFonts w:asciiTheme="majorBidi" w:hAnsiTheme="majorBidi" w:cstheme="majorBidi"/>
          <w:sz w:val="24"/>
          <w:szCs w:val="24"/>
        </w:rPr>
      </w:pPr>
      <w:r w:rsidRPr="005703D8">
        <w:rPr>
          <w:rFonts w:asciiTheme="majorBidi" w:hAnsiTheme="majorBidi" w:cstheme="majorBidi"/>
          <w:sz w:val="24"/>
          <w:szCs w:val="24"/>
        </w:rPr>
        <w:t xml:space="preserve">Where </w:t>
      </w:r>
      <m:oMath>
        <m:r>
          <w:rPr>
            <w:rFonts w:ascii="Cambria Math" w:hAnsi="Cambria Math" w:cstheme="majorBidi"/>
            <w:sz w:val="24"/>
            <w:szCs w:val="24"/>
          </w:rPr>
          <m:t>logVALUE_ADDED</m:t>
        </m:r>
      </m:oMath>
      <w:r w:rsidRPr="005703D8">
        <w:rPr>
          <w:rFonts w:asciiTheme="majorBidi" w:hAnsiTheme="majorBidi" w:cstheme="majorBidi"/>
          <w:sz w:val="24"/>
          <w:szCs w:val="24"/>
        </w:rPr>
        <w:t xml:space="preserve"> </w:t>
      </w:r>
      <w:r w:rsidR="0053213E">
        <w:rPr>
          <w:rFonts w:asciiTheme="majorBidi" w:hAnsiTheme="majorBidi" w:cstheme="majorBidi"/>
          <w:sz w:val="24"/>
          <w:szCs w:val="24"/>
        </w:rPr>
        <w:t>represent</w:t>
      </w:r>
      <w:r w:rsidR="00D068AA">
        <w:rPr>
          <w:rFonts w:asciiTheme="majorBidi" w:hAnsiTheme="majorBidi" w:cstheme="majorBidi"/>
          <w:sz w:val="24"/>
          <w:szCs w:val="24"/>
        </w:rPr>
        <w:t>s</w:t>
      </w:r>
      <w:r w:rsidR="0053213E">
        <w:rPr>
          <w:rFonts w:asciiTheme="majorBidi" w:hAnsiTheme="majorBidi" w:cstheme="majorBidi"/>
          <w:sz w:val="24"/>
          <w:szCs w:val="24"/>
        </w:rPr>
        <w:t xml:space="preserve"> log-transformed </w:t>
      </w:r>
      <w:r w:rsidR="00D068AA">
        <w:rPr>
          <w:rFonts w:asciiTheme="majorBidi" w:hAnsiTheme="majorBidi" w:cstheme="majorBidi"/>
          <w:sz w:val="24"/>
          <w:szCs w:val="24"/>
        </w:rPr>
        <w:t>values of each of the main outcome variables estimated separately: DVA, FVA and GVC</w:t>
      </w:r>
      <w:r w:rsidR="005A0C23" w:rsidRPr="005703D8">
        <w:rPr>
          <w:rFonts w:asciiTheme="majorBidi" w:hAnsiTheme="majorBidi" w:cstheme="majorBidi"/>
          <w:sz w:val="24"/>
          <w:szCs w:val="24"/>
        </w:rPr>
        <w:t>.</w:t>
      </w:r>
      <w:r w:rsidR="002406C8" w:rsidRPr="005703D8">
        <w:rPr>
          <w:rFonts w:asciiTheme="majorBidi" w:hAnsiTheme="majorBidi" w:cstheme="majorBidi"/>
          <w:sz w:val="24"/>
          <w:szCs w:val="24"/>
        </w:rPr>
        <w:t xml:space="preserve"> </w:t>
      </w:r>
      <w:r w:rsidR="0046451E" w:rsidRPr="005703D8">
        <w:rPr>
          <w:rFonts w:asciiTheme="majorBidi" w:hAnsiTheme="majorBidi" w:cstheme="majorBidi"/>
          <w:sz w:val="24"/>
          <w:szCs w:val="24"/>
        </w:rPr>
        <w:t xml:space="preserve">All </w:t>
      </w:r>
      <w:r w:rsidR="00D068AA">
        <w:rPr>
          <w:rFonts w:asciiTheme="majorBidi" w:hAnsiTheme="majorBidi" w:cstheme="majorBidi"/>
          <w:sz w:val="24"/>
          <w:szCs w:val="24"/>
        </w:rPr>
        <w:t xml:space="preserve">factors deemed to influence value addition and GVC participation </w:t>
      </w:r>
      <w:r w:rsidR="0046451E" w:rsidRPr="005703D8">
        <w:rPr>
          <w:rFonts w:asciiTheme="majorBidi" w:hAnsiTheme="majorBidi" w:cstheme="majorBidi"/>
          <w:sz w:val="24"/>
          <w:szCs w:val="24"/>
        </w:rPr>
        <w:t xml:space="preserve">are </w:t>
      </w:r>
      <w:r w:rsidR="00D068AA">
        <w:rPr>
          <w:rFonts w:asciiTheme="majorBidi" w:hAnsiTheme="majorBidi" w:cstheme="majorBidi"/>
          <w:sz w:val="24"/>
          <w:szCs w:val="24"/>
        </w:rPr>
        <w:t>captured</w:t>
      </w:r>
      <w:r w:rsidR="0046451E" w:rsidRPr="005703D8">
        <w:rPr>
          <w:rFonts w:asciiTheme="majorBidi" w:hAnsiTheme="majorBidi" w:cstheme="majorBidi"/>
          <w:sz w:val="24"/>
          <w:szCs w:val="24"/>
        </w:rPr>
        <w:t xml:space="preserve"> by the variable vector </w:t>
      </w:r>
      <m:oMath>
        <m:r>
          <w:rPr>
            <w:rFonts w:ascii="Cambria Math" w:hAnsi="Cambria Math" w:cstheme="majorBidi"/>
            <w:sz w:val="24"/>
            <w:szCs w:val="24"/>
          </w:rPr>
          <m:t>X</m:t>
        </m:r>
      </m:oMath>
      <w:r w:rsidR="0046451E" w:rsidRPr="005703D8">
        <w:rPr>
          <w:rFonts w:asciiTheme="majorBidi" w:eastAsiaTheme="minorEastAsia" w:hAnsiTheme="majorBidi" w:cstheme="majorBidi"/>
          <w:sz w:val="24"/>
          <w:szCs w:val="24"/>
        </w:rPr>
        <w:t xml:space="preserve">. These include, among others, </w:t>
      </w:r>
      <w:r w:rsidR="004E5B9B" w:rsidRPr="005703D8">
        <w:rPr>
          <w:rFonts w:asciiTheme="majorBidi" w:eastAsiaTheme="minorEastAsia" w:hAnsiTheme="majorBidi" w:cstheme="majorBidi"/>
          <w:sz w:val="24"/>
          <w:szCs w:val="24"/>
        </w:rPr>
        <w:t>Gross Domestic Product (GDP) in c</w:t>
      </w:r>
      <w:r w:rsidR="00843D03">
        <w:rPr>
          <w:rFonts w:asciiTheme="majorBidi" w:eastAsiaTheme="minorEastAsia" w:hAnsiTheme="majorBidi" w:cstheme="majorBidi"/>
          <w:sz w:val="24"/>
          <w:szCs w:val="24"/>
        </w:rPr>
        <w:t>onstant</w:t>
      </w:r>
      <w:r w:rsidR="004E5B9B" w:rsidRPr="005703D8">
        <w:rPr>
          <w:rFonts w:asciiTheme="majorBidi" w:eastAsiaTheme="minorEastAsia" w:hAnsiTheme="majorBidi" w:cstheme="majorBidi"/>
          <w:sz w:val="24"/>
          <w:szCs w:val="24"/>
        </w:rPr>
        <w:t xml:space="preserve"> US Dollars</w:t>
      </w:r>
      <w:r w:rsidR="00752ED9" w:rsidRPr="005703D8">
        <w:rPr>
          <w:rFonts w:asciiTheme="majorBidi" w:eastAsiaTheme="minorEastAsia" w:hAnsiTheme="majorBidi" w:cstheme="majorBidi"/>
          <w:sz w:val="24"/>
          <w:szCs w:val="24"/>
        </w:rPr>
        <w:t>;</w:t>
      </w:r>
      <w:r w:rsidR="004E5B9B" w:rsidRPr="005703D8">
        <w:rPr>
          <w:rFonts w:asciiTheme="majorBidi" w:eastAsiaTheme="minorEastAsia" w:hAnsiTheme="majorBidi" w:cstheme="majorBidi"/>
          <w:sz w:val="24"/>
          <w:szCs w:val="24"/>
        </w:rPr>
        <w:t xml:space="preserve"> </w:t>
      </w:r>
      <w:r w:rsidR="004E5B9B" w:rsidRPr="004618B6">
        <w:rPr>
          <w:rFonts w:asciiTheme="majorBidi" w:eastAsiaTheme="minorEastAsia" w:hAnsiTheme="majorBidi" w:cstheme="majorBidi"/>
          <w:sz w:val="24"/>
          <w:szCs w:val="24"/>
        </w:rPr>
        <w:t>Foreign Direct Investment (FDI) net inflow</w:t>
      </w:r>
      <w:r w:rsidR="00082D65" w:rsidRPr="004618B6">
        <w:rPr>
          <w:rFonts w:asciiTheme="majorBidi" w:eastAsiaTheme="minorEastAsia" w:hAnsiTheme="majorBidi" w:cstheme="majorBidi"/>
          <w:sz w:val="24"/>
          <w:szCs w:val="24"/>
        </w:rPr>
        <w:t xml:space="preserve"> expressed as a percentage of GDP</w:t>
      </w:r>
      <w:r w:rsidR="00752ED9" w:rsidRPr="005703D8">
        <w:rPr>
          <w:rFonts w:asciiTheme="majorBidi" w:eastAsiaTheme="minorEastAsia" w:hAnsiTheme="majorBidi" w:cstheme="majorBidi"/>
          <w:sz w:val="24"/>
          <w:szCs w:val="24"/>
        </w:rPr>
        <w:t>;</w:t>
      </w:r>
      <w:r w:rsidR="00082D65" w:rsidRPr="005703D8">
        <w:rPr>
          <w:rFonts w:asciiTheme="majorBidi" w:eastAsiaTheme="minorEastAsia" w:hAnsiTheme="majorBidi" w:cstheme="majorBidi"/>
          <w:sz w:val="24"/>
          <w:szCs w:val="24"/>
        </w:rPr>
        <w:t xml:space="preserve"> gross fixed capital formation expressed as a percentage of GDP</w:t>
      </w:r>
      <w:r w:rsidR="00D068AA">
        <w:rPr>
          <w:rStyle w:val="FootnoteReference"/>
          <w:rFonts w:asciiTheme="majorBidi" w:eastAsiaTheme="minorEastAsia" w:hAnsiTheme="majorBidi" w:cstheme="majorBidi"/>
          <w:sz w:val="24"/>
          <w:szCs w:val="24"/>
        </w:rPr>
        <w:footnoteReference w:id="8"/>
      </w:r>
      <w:r w:rsidR="00752ED9" w:rsidRPr="005703D8">
        <w:rPr>
          <w:rFonts w:asciiTheme="majorBidi" w:eastAsiaTheme="minorEastAsia" w:hAnsiTheme="majorBidi" w:cstheme="majorBidi"/>
          <w:sz w:val="24"/>
          <w:szCs w:val="24"/>
        </w:rPr>
        <w:t>;</w:t>
      </w:r>
      <w:r w:rsidR="00082D65" w:rsidRPr="005703D8">
        <w:rPr>
          <w:rFonts w:asciiTheme="majorBidi" w:eastAsiaTheme="minorEastAsia" w:hAnsiTheme="majorBidi" w:cstheme="majorBidi"/>
          <w:sz w:val="24"/>
          <w:szCs w:val="24"/>
        </w:rPr>
        <w:t xml:space="preserve"> the </w:t>
      </w:r>
      <w:r w:rsidR="00082D65" w:rsidRPr="00CE137E">
        <w:rPr>
          <w:rFonts w:asciiTheme="majorBidi" w:eastAsiaTheme="minorEastAsia" w:hAnsiTheme="majorBidi" w:cstheme="majorBidi"/>
          <w:sz w:val="24"/>
          <w:szCs w:val="24"/>
        </w:rPr>
        <w:t>share (percentage) of exports and imports in GD</w:t>
      </w:r>
      <w:r w:rsidR="00843D03" w:rsidRPr="00CE137E">
        <w:rPr>
          <w:rFonts w:asciiTheme="majorBidi" w:eastAsiaTheme="minorEastAsia" w:hAnsiTheme="majorBidi" w:cstheme="majorBidi"/>
          <w:sz w:val="24"/>
          <w:szCs w:val="24"/>
        </w:rPr>
        <w:t>P</w:t>
      </w:r>
      <w:r w:rsidR="00082D65" w:rsidRPr="00843D03">
        <w:rPr>
          <w:rFonts w:asciiTheme="majorBidi" w:eastAsiaTheme="minorEastAsia" w:hAnsiTheme="majorBidi" w:cstheme="majorBidi"/>
          <w:sz w:val="24"/>
          <w:szCs w:val="24"/>
        </w:rPr>
        <w:t>;</w:t>
      </w:r>
      <w:r w:rsidR="00082D65" w:rsidRPr="005703D8">
        <w:rPr>
          <w:rFonts w:asciiTheme="majorBidi" w:eastAsiaTheme="minorEastAsia" w:hAnsiTheme="majorBidi" w:cstheme="majorBidi"/>
          <w:sz w:val="24"/>
          <w:szCs w:val="24"/>
        </w:rPr>
        <w:t xml:space="preserve"> </w:t>
      </w:r>
      <w:r w:rsidR="00D068AA">
        <w:rPr>
          <w:rFonts w:asciiTheme="majorBidi" w:eastAsiaTheme="minorEastAsia" w:hAnsiTheme="majorBidi" w:cstheme="majorBidi"/>
          <w:sz w:val="24"/>
          <w:szCs w:val="24"/>
        </w:rPr>
        <w:t>share of manufactured good</w:t>
      </w:r>
      <w:r w:rsidR="00211186">
        <w:rPr>
          <w:rFonts w:asciiTheme="majorBidi" w:eastAsiaTheme="minorEastAsia" w:hAnsiTheme="majorBidi" w:cstheme="majorBidi"/>
          <w:sz w:val="24"/>
          <w:szCs w:val="24"/>
        </w:rPr>
        <w:t>s</w:t>
      </w:r>
      <w:r w:rsidR="00D068AA">
        <w:rPr>
          <w:rFonts w:asciiTheme="majorBidi" w:eastAsiaTheme="minorEastAsia" w:hAnsiTheme="majorBidi" w:cstheme="majorBidi"/>
          <w:sz w:val="24"/>
          <w:szCs w:val="24"/>
        </w:rPr>
        <w:t xml:space="preserve"> in total exports; </w:t>
      </w:r>
      <w:r w:rsidR="00211186">
        <w:rPr>
          <w:rFonts w:asciiTheme="majorBidi" w:eastAsiaTheme="minorEastAsia" w:hAnsiTheme="majorBidi" w:cstheme="majorBidi"/>
          <w:sz w:val="24"/>
          <w:szCs w:val="24"/>
        </w:rPr>
        <w:t xml:space="preserve">simple average of tariffs applied to all products; rule of law (as a proxy for quality of institutions); </w:t>
      </w:r>
      <w:r w:rsidR="00082D65" w:rsidRPr="005703D8">
        <w:rPr>
          <w:rFonts w:asciiTheme="majorBidi" w:eastAsiaTheme="minorEastAsia" w:hAnsiTheme="majorBidi" w:cstheme="majorBidi"/>
          <w:sz w:val="24"/>
          <w:szCs w:val="24"/>
        </w:rPr>
        <w:t>and</w:t>
      </w:r>
      <w:r w:rsidR="004E5B9B" w:rsidRPr="005703D8">
        <w:rPr>
          <w:rFonts w:asciiTheme="majorBidi" w:eastAsiaTheme="minorEastAsia" w:hAnsiTheme="majorBidi" w:cstheme="majorBidi"/>
          <w:sz w:val="24"/>
          <w:szCs w:val="24"/>
        </w:rPr>
        <w:t xml:space="preserve"> </w:t>
      </w:r>
      <w:r w:rsidR="00545A57" w:rsidRPr="005703D8">
        <w:rPr>
          <w:rFonts w:asciiTheme="majorBidi" w:eastAsiaTheme="minorEastAsia" w:hAnsiTheme="majorBidi" w:cstheme="majorBidi"/>
          <w:sz w:val="24"/>
          <w:szCs w:val="24"/>
        </w:rPr>
        <w:t>labour</w:t>
      </w:r>
      <w:r w:rsidR="004E5B9B" w:rsidRPr="005703D8">
        <w:rPr>
          <w:rFonts w:asciiTheme="majorBidi" w:eastAsiaTheme="minorEastAsia" w:hAnsiTheme="majorBidi" w:cstheme="majorBidi"/>
          <w:sz w:val="24"/>
          <w:szCs w:val="24"/>
        </w:rPr>
        <w:t xml:space="preserve"> </w:t>
      </w:r>
      <w:r w:rsidR="00290F36" w:rsidRPr="005703D8">
        <w:rPr>
          <w:rFonts w:asciiTheme="majorBidi" w:eastAsiaTheme="minorEastAsia" w:hAnsiTheme="majorBidi" w:cstheme="majorBidi"/>
          <w:sz w:val="24"/>
          <w:szCs w:val="24"/>
        </w:rPr>
        <w:t>productivity</w:t>
      </w:r>
      <w:r w:rsidR="00082D65" w:rsidRPr="005703D8">
        <w:rPr>
          <w:rFonts w:asciiTheme="majorBidi" w:eastAsiaTheme="minorEastAsia" w:hAnsiTheme="majorBidi" w:cstheme="majorBidi"/>
          <w:sz w:val="24"/>
          <w:szCs w:val="24"/>
        </w:rPr>
        <w:t>.</w:t>
      </w:r>
      <w:r w:rsidR="006F1892" w:rsidRPr="005703D8">
        <w:rPr>
          <w:rFonts w:asciiTheme="majorBidi" w:eastAsiaTheme="minorEastAsia" w:hAnsiTheme="majorBidi" w:cstheme="majorBidi"/>
          <w:sz w:val="24"/>
          <w:szCs w:val="24"/>
        </w:rPr>
        <w:t xml:space="preserve"> </w:t>
      </w:r>
      <w:r w:rsidR="009440DC">
        <w:rPr>
          <w:rFonts w:asciiTheme="majorBidi" w:eastAsiaTheme="minorEastAsia" w:hAnsiTheme="majorBidi" w:cstheme="majorBidi"/>
          <w:sz w:val="24"/>
          <w:szCs w:val="24"/>
        </w:rPr>
        <w:t>Across all estimation specifications</w:t>
      </w:r>
      <w:r w:rsidR="00FA5A0B">
        <w:rPr>
          <w:rFonts w:asciiTheme="majorBidi" w:eastAsiaTheme="minorEastAsia" w:hAnsiTheme="majorBidi" w:cstheme="majorBidi"/>
          <w:sz w:val="24"/>
          <w:szCs w:val="24"/>
        </w:rPr>
        <w:t>, all covariates in the X vector are log-transformed except for rule of law which is an index</w:t>
      </w:r>
      <w:r w:rsidR="00D12EC2">
        <w:rPr>
          <w:rFonts w:asciiTheme="majorBidi" w:eastAsiaTheme="minorEastAsia" w:hAnsiTheme="majorBidi" w:cstheme="majorBidi"/>
          <w:sz w:val="24"/>
          <w:szCs w:val="24"/>
        </w:rPr>
        <w:t xml:space="preserve"> with a mixed range of negative and positive valuies</w:t>
      </w:r>
      <w:r w:rsidR="00FA5A0B">
        <w:rPr>
          <w:rFonts w:asciiTheme="majorBidi" w:eastAsiaTheme="minorEastAsia" w:hAnsiTheme="majorBidi" w:cstheme="majorBidi"/>
          <w:sz w:val="24"/>
          <w:szCs w:val="24"/>
        </w:rPr>
        <w:t>.</w:t>
      </w:r>
    </w:p>
    <w:p w14:paraId="71A1A5E4" w14:textId="5BA58A8F" w:rsidR="0038681C" w:rsidRDefault="00DB7DD2" w:rsidP="00285EDF">
      <w:pPr>
        <w:spacing w:line="480" w:lineRule="auto"/>
        <w:ind w:firstLine="720"/>
        <w:jc w:val="both"/>
        <w:rPr>
          <w:rFonts w:asciiTheme="majorBidi" w:eastAsiaTheme="minorEastAsia" w:hAnsiTheme="majorBidi" w:cstheme="majorBidi"/>
          <w:sz w:val="24"/>
          <w:szCs w:val="24"/>
        </w:rPr>
      </w:pPr>
      <w:r w:rsidRPr="005703D8">
        <w:rPr>
          <w:rFonts w:asciiTheme="majorBidi" w:eastAsiaTheme="minorEastAsia" w:hAnsiTheme="majorBidi" w:cstheme="majorBidi"/>
          <w:sz w:val="24"/>
          <w:szCs w:val="24"/>
        </w:rPr>
        <w:t xml:space="preserve">The subscripts </w:t>
      </w:r>
      <m:oMath>
        <m:r>
          <w:rPr>
            <w:rFonts w:ascii="Cambria Math" w:hAnsi="Cambria Math" w:cstheme="majorBidi"/>
            <w:sz w:val="24"/>
            <w:szCs w:val="24"/>
          </w:rPr>
          <m:t>i</m:t>
        </m:r>
      </m:oMath>
      <w:r w:rsidRPr="005703D8">
        <w:rPr>
          <w:rFonts w:asciiTheme="majorBidi" w:eastAsiaTheme="minorEastAsia" w:hAnsiTheme="majorBidi" w:cstheme="majorBidi"/>
          <w:sz w:val="24"/>
          <w:szCs w:val="24"/>
        </w:rPr>
        <w:t xml:space="preserve"> and </w:t>
      </w:r>
      <m:oMath>
        <m:r>
          <w:rPr>
            <w:rFonts w:ascii="Cambria Math" w:hAnsi="Cambria Math" w:cstheme="majorBidi"/>
            <w:sz w:val="24"/>
            <w:szCs w:val="24"/>
          </w:rPr>
          <m:t>t</m:t>
        </m:r>
      </m:oMath>
      <w:r w:rsidRPr="005703D8">
        <w:rPr>
          <w:rFonts w:asciiTheme="majorBidi" w:eastAsiaTheme="minorEastAsia" w:hAnsiTheme="majorBidi" w:cstheme="majorBidi"/>
          <w:sz w:val="24"/>
          <w:szCs w:val="24"/>
        </w:rPr>
        <w:t xml:space="preserve"> respectively represent the country of origin and time period (year).</w:t>
      </w:r>
      <w:r w:rsidR="00AC4983" w:rsidRPr="005703D8">
        <w:rPr>
          <w:rFonts w:asciiTheme="majorBidi" w:eastAsiaTheme="minorEastAsia" w:hAnsiTheme="majorBidi" w:cstheme="majorBidi"/>
          <w:sz w:val="24"/>
          <w:szCs w:val="24"/>
        </w:rPr>
        <w:t xml:space="preserve"> </w:t>
      </w:r>
      <w:r w:rsidR="00DB16D5" w:rsidRPr="005703D8">
        <w:rPr>
          <w:rFonts w:asciiTheme="majorBidi" w:eastAsiaTheme="minorEastAsia" w:hAnsiTheme="majorBidi" w:cstheme="majorBidi"/>
          <w:sz w:val="24"/>
          <w:szCs w:val="24"/>
        </w:rPr>
        <w:t xml:space="preserve">The time-invariant country fixed effects that could influence </w:t>
      </w:r>
      <w:r w:rsidR="000055C4">
        <w:rPr>
          <w:rFonts w:asciiTheme="majorBidi" w:eastAsiaTheme="minorEastAsia" w:hAnsiTheme="majorBidi" w:cstheme="majorBidi"/>
          <w:sz w:val="24"/>
          <w:szCs w:val="24"/>
        </w:rPr>
        <w:t>value addition in exports and GVC participation</w:t>
      </w:r>
      <w:r w:rsidR="00DB16D5" w:rsidRPr="005703D8">
        <w:rPr>
          <w:rFonts w:asciiTheme="majorBidi" w:eastAsiaTheme="minorEastAsia" w:hAnsiTheme="majorBidi" w:cstheme="majorBidi"/>
          <w:sz w:val="24"/>
          <w:szCs w:val="24"/>
        </w:rPr>
        <w:t xml:space="preserve"> are represented by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oMath>
      <w:r w:rsidR="00DB16D5" w:rsidRPr="005703D8">
        <w:rPr>
          <w:rFonts w:asciiTheme="majorBidi" w:eastAsiaTheme="minorEastAsia" w:hAnsiTheme="majorBidi" w:cstheme="majorBidi"/>
          <w:sz w:val="24"/>
          <w:szCs w:val="24"/>
        </w:rPr>
        <w:t xml:space="preserve">. </w:t>
      </w:r>
      <w:r w:rsidR="00AC4983" w:rsidRPr="005703D8">
        <w:rPr>
          <w:rFonts w:asciiTheme="majorBidi" w:eastAsiaTheme="minorEastAsia" w:hAnsiTheme="majorBidi" w:cstheme="majorBidi"/>
          <w:sz w:val="24"/>
          <w:szCs w:val="24"/>
        </w:rPr>
        <w:t xml:space="preserve">Random stochastic fluctuations to </w:t>
      </w:r>
      <w:r w:rsidR="000055C4">
        <w:rPr>
          <w:rFonts w:asciiTheme="majorBidi" w:eastAsiaTheme="minorEastAsia" w:hAnsiTheme="majorBidi" w:cstheme="majorBidi"/>
          <w:sz w:val="24"/>
          <w:szCs w:val="24"/>
        </w:rPr>
        <w:t>the outcome variables</w:t>
      </w:r>
      <w:r w:rsidR="00AC4983" w:rsidRPr="005703D8">
        <w:rPr>
          <w:rFonts w:asciiTheme="majorBidi" w:eastAsiaTheme="minorEastAsia" w:hAnsiTheme="majorBidi" w:cstheme="majorBidi"/>
          <w:sz w:val="24"/>
          <w:szCs w:val="24"/>
        </w:rPr>
        <w:t xml:space="preserve"> are captured by</w:t>
      </w:r>
      <w:r w:rsidR="000055C4">
        <w:rPr>
          <w:rFonts w:asciiTheme="majorBidi" w:eastAsiaTheme="minorEastAsia" w:hAnsiTheme="majorBidi" w:cstheme="majorBidi"/>
          <w:sz w:val="24"/>
          <w:szCs w:val="24"/>
        </w:rPr>
        <w:t xml:space="preserve"> the error term,</w:t>
      </w:r>
      <w:r w:rsidR="00AC4983" w:rsidRPr="005703D8">
        <w:rPr>
          <w:rFonts w:asciiTheme="majorBidi" w:eastAsiaTheme="minorEastAsia" w:hAnsiTheme="majorBidi" w:cstheme="majorBidi"/>
          <w:sz w:val="24"/>
          <w:szCs w:val="24"/>
        </w:rPr>
        <w:t xml:space="preserve"> </w:t>
      </w:r>
      <m:oMath>
        <m:r>
          <m:rPr>
            <m:scr m:val="script"/>
          </m:rPr>
          <w:rPr>
            <w:rFonts w:ascii="Cambria Math" w:hAnsi="Cambria Math" w:cstheme="majorBidi"/>
            <w:sz w:val="24"/>
            <w:szCs w:val="24"/>
          </w:rPr>
          <m:t>E</m:t>
        </m:r>
      </m:oMath>
      <w:r w:rsidR="00AC4983" w:rsidRPr="005703D8">
        <w:rPr>
          <w:rFonts w:asciiTheme="majorBidi" w:eastAsiaTheme="minorEastAsia" w:hAnsiTheme="majorBidi" w:cstheme="majorBidi"/>
          <w:sz w:val="24"/>
          <w:szCs w:val="24"/>
        </w:rPr>
        <w:t xml:space="preserve">. </w:t>
      </w:r>
      <w:r w:rsidR="007E707B">
        <w:rPr>
          <w:rFonts w:asciiTheme="majorBidi" w:eastAsiaTheme="minorEastAsia" w:hAnsiTheme="majorBidi" w:cstheme="majorBidi"/>
          <w:sz w:val="24"/>
          <w:szCs w:val="24"/>
        </w:rPr>
        <w:t>E</w:t>
      </w:r>
      <w:r w:rsidR="007E707B" w:rsidRPr="005703D8">
        <w:rPr>
          <w:rFonts w:asciiTheme="majorBidi" w:eastAsiaTheme="minorEastAsia" w:hAnsiTheme="majorBidi" w:cstheme="majorBidi"/>
          <w:sz w:val="24"/>
          <w:szCs w:val="24"/>
        </w:rPr>
        <w:t>xploiting the panel nature of the dataset</w:t>
      </w:r>
      <w:r w:rsidR="007E707B">
        <w:rPr>
          <w:rFonts w:asciiTheme="majorBidi" w:eastAsiaTheme="minorEastAsia" w:hAnsiTheme="majorBidi" w:cstheme="majorBidi"/>
          <w:sz w:val="24"/>
          <w:szCs w:val="24"/>
        </w:rPr>
        <w:t xml:space="preserve">, </w:t>
      </w:r>
      <w:r w:rsidR="000055C4">
        <w:rPr>
          <w:rFonts w:asciiTheme="majorBidi" w:eastAsiaTheme="minorEastAsia" w:hAnsiTheme="majorBidi" w:cstheme="majorBidi"/>
          <w:sz w:val="24"/>
          <w:szCs w:val="24"/>
        </w:rPr>
        <w:t>Equation (1)</w:t>
      </w:r>
      <w:r w:rsidR="00AC4983" w:rsidRPr="005703D8">
        <w:rPr>
          <w:rFonts w:asciiTheme="majorBidi" w:eastAsiaTheme="minorEastAsia" w:hAnsiTheme="majorBidi" w:cstheme="majorBidi"/>
          <w:sz w:val="24"/>
          <w:szCs w:val="24"/>
        </w:rPr>
        <w:t xml:space="preserve"> </w:t>
      </w:r>
      <w:r w:rsidR="000055C4">
        <w:rPr>
          <w:rFonts w:asciiTheme="majorBidi" w:eastAsiaTheme="minorEastAsia" w:hAnsiTheme="majorBidi" w:cstheme="majorBidi"/>
          <w:sz w:val="24"/>
          <w:szCs w:val="24"/>
        </w:rPr>
        <w:t>is</w:t>
      </w:r>
      <w:r w:rsidR="00AC4983" w:rsidRPr="005703D8">
        <w:rPr>
          <w:rFonts w:asciiTheme="majorBidi" w:eastAsiaTheme="minorEastAsia" w:hAnsiTheme="majorBidi" w:cstheme="majorBidi"/>
          <w:sz w:val="24"/>
          <w:szCs w:val="24"/>
        </w:rPr>
        <w:t xml:space="preserve"> estimated using </w:t>
      </w:r>
      <w:r w:rsidR="0046451E" w:rsidRPr="005703D8">
        <w:rPr>
          <w:rFonts w:asciiTheme="majorBidi" w:eastAsiaTheme="minorEastAsia" w:hAnsiTheme="majorBidi" w:cstheme="majorBidi"/>
          <w:sz w:val="24"/>
          <w:szCs w:val="24"/>
        </w:rPr>
        <w:t xml:space="preserve">the </w:t>
      </w:r>
      <w:r w:rsidR="00AC4983" w:rsidRPr="005703D8">
        <w:rPr>
          <w:rFonts w:asciiTheme="majorBidi" w:eastAsiaTheme="minorEastAsia" w:hAnsiTheme="majorBidi" w:cstheme="majorBidi"/>
          <w:sz w:val="24"/>
          <w:szCs w:val="24"/>
        </w:rPr>
        <w:t>fixed effects technique</w:t>
      </w:r>
      <w:r w:rsidR="0038681C" w:rsidRPr="005703D8">
        <w:rPr>
          <w:rFonts w:asciiTheme="majorBidi" w:eastAsiaTheme="minorEastAsia" w:hAnsiTheme="majorBidi" w:cstheme="majorBidi"/>
          <w:sz w:val="24"/>
          <w:szCs w:val="24"/>
        </w:rPr>
        <w:t xml:space="preserve">, </w:t>
      </w:r>
      <w:r w:rsidR="00DB16D5" w:rsidRPr="005703D8">
        <w:rPr>
          <w:rFonts w:asciiTheme="majorBidi" w:eastAsiaTheme="minorEastAsia" w:hAnsiTheme="majorBidi" w:cstheme="majorBidi"/>
          <w:sz w:val="24"/>
          <w:szCs w:val="24"/>
        </w:rPr>
        <w:t>to control for</w:t>
      </w:r>
      <w:r w:rsidR="00391CBD" w:rsidRPr="005703D8">
        <w:rPr>
          <w:rFonts w:asciiTheme="majorBidi" w:eastAsiaTheme="minorEastAsia" w:hAnsiTheme="majorBidi" w:cstheme="majorBidi"/>
          <w:sz w:val="24"/>
          <w:szCs w:val="24"/>
        </w:rPr>
        <w:t xml:space="preserve"> the potential confounding effect of</w:t>
      </w:r>
      <w:r w:rsidR="00DB16D5" w:rsidRPr="005703D8">
        <w:rPr>
          <w:rFonts w:asciiTheme="majorBidi" w:eastAsiaTheme="minorEastAsia" w:hAnsiTheme="majorBidi" w:cstheme="majorBidi"/>
          <w:sz w:val="24"/>
          <w:szCs w:val="24"/>
        </w:rPr>
        <w:t xml:space="preserve"> </w:t>
      </w:r>
      <w:r w:rsidR="007E707B">
        <w:rPr>
          <w:rFonts w:asciiTheme="majorBidi" w:eastAsiaTheme="minorEastAsia" w:hAnsiTheme="majorBidi" w:cstheme="majorBidi"/>
          <w:sz w:val="24"/>
          <w:szCs w:val="24"/>
        </w:rPr>
        <w:t xml:space="preserve">time-invariant </w:t>
      </w:r>
      <w:r w:rsidR="00DB16D5" w:rsidRPr="005703D8">
        <w:rPr>
          <w:rFonts w:asciiTheme="majorBidi" w:eastAsiaTheme="minorEastAsia" w:hAnsiTheme="majorBidi" w:cstheme="majorBidi"/>
          <w:sz w:val="24"/>
          <w:szCs w:val="24"/>
        </w:rPr>
        <w:t xml:space="preserve">country heterogeneity </w:t>
      </w:r>
      <w:r w:rsidR="00391CBD" w:rsidRPr="005703D8">
        <w:rPr>
          <w:rFonts w:asciiTheme="majorBidi" w:eastAsiaTheme="minorEastAsia" w:hAnsiTheme="majorBidi" w:cstheme="majorBidi"/>
          <w:sz w:val="24"/>
          <w:szCs w:val="24"/>
        </w:rPr>
        <w:t>and hence disassociate the partial causal effect of each respective covariate</w:t>
      </w:r>
      <w:r w:rsidR="00AC4983" w:rsidRPr="005703D8">
        <w:rPr>
          <w:rFonts w:asciiTheme="majorBidi" w:eastAsiaTheme="minorEastAsia" w:hAnsiTheme="majorBidi" w:cstheme="majorBidi"/>
          <w:sz w:val="24"/>
          <w:szCs w:val="24"/>
        </w:rPr>
        <w:t xml:space="preserve">. </w:t>
      </w:r>
    </w:p>
    <w:p w14:paraId="1C9F4ED4" w14:textId="77777777" w:rsidR="007E707B" w:rsidRDefault="007E707B">
      <w:pPr>
        <w:rPr>
          <w:rFonts w:asciiTheme="majorBidi" w:hAnsiTheme="majorBidi" w:cstheme="majorBidi"/>
          <w:b/>
          <w:bCs/>
          <w:sz w:val="23"/>
          <w:szCs w:val="23"/>
        </w:rPr>
      </w:pPr>
      <w:r>
        <w:rPr>
          <w:rFonts w:asciiTheme="majorBidi" w:hAnsiTheme="majorBidi" w:cstheme="majorBidi"/>
          <w:b/>
          <w:bCs/>
          <w:sz w:val="23"/>
          <w:szCs w:val="23"/>
        </w:rPr>
        <w:br w:type="page"/>
      </w:r>
    </w:p>
    <w:p w14:paraId="337E609B" w14:textId="77777777" w:rsidR="00D540B3" w:rsidRDefault="00D540B3" w:rsidP="00D540B3">
      <w:pPr>
        <w:pStyle w:val="ListParagraph"/>
        <w:numPr>
          <w:ilvl w:val="0"/>
          <w:numId w:val="2"/>
        </w:numPr>
        <w:spacing w:line="480" w:lineRule="auto"/>
        <w:jc w:val="both"/>
        <w:rPr>
          <w:rFonts w:asciiTheme="majorBidi" w:hAnsiTheme="majorBidi" w:cstheme="majorBidi"/>
          <w:b/>
          <w:bCs/>
          <w:sz w:val="23"/>
          <w:szCs w:val="23"/>
        </w:rPr>
      </w:pPr>
      <w:r>
        <w:rPr>
          <w:rFonts w:asciiTheme="majorBidi" w:hAnsiTheme="majorBidi" w:cstheme="majorBidi"/>
          <w:b/>
          <w:bCs/>
          <w:sz w:val="23"/>
          <w:szCs w:val="23"/>
        </w:rPr>
        <w:lastRenderedPageBreak/>
        <w:t xml:space="preserve">Results </w:t>
      </w:r>
    </w:p>
    <w:p w14:paraId="0F504A8A" w14:textId="2466AF2E" w:rsidR="00101A2C" w:rsidRPr="00925232" w:rsidRDefault="00925232" w:rsidP="00925232">
      <w:pPr>
        <w:pStyle w:val="ListParagraph"/>
        <w:numPr>
          <w:ilvl w:val="1"/>
          <w:numId w:val="2"/>
        </w:numPr>
        <w:spacing w:line="480" w:lineRule="auto"/>
        <w:jc w:val="both"/>
        <w:rPr>
          <w:rFonts w:asciiTheme="majorBidi" w:hAnsiTheme="majorBidi" w:cstheme="majorBidi"/>
          <w:b/>
          <w:bCs/>
          <w:sz w:val="23"/>
          <w:szCs w:val="23"/>
        </w:rPr>
      </w:pPr>
      <w:r>
        <w:rPr>
          <w:rFonts w:asciiTheme="majorBidi" w:hAnsiTheme="majorBidi" w:cstheme="majorBidi"/>
          <w:b/>
          <w:bCs/>
          <w:sz w:val="23"/>
          <w:szCs w:val="23"/>
        </w:rPr>
        <w:t xml:space="preserve"> </w:t>
      </w:r>
      <w:r w:rsidR="00101A2C" w:rsidRPr="00925232">
        <w:rPr>
          <w:rFonts w:asciiTheme="majorBidi" w:hAnsiTheme="majorBidi" w:cstheme="majorBidi"/>
          <w:b/>
          <w:bCs/>
          <w:sz w:val="23"/>
          <w:szCs w:val="23"/>
        </w:rPr>
        <w:t>Descriptive analysis</w:t>
      </w:r>
    </w:p>
    <w:p w14:paraId="3572E72E" w14:textId="77F25752" w:rsidR="00101A2C" w:rsidRPr="008B4FDC" w:rsidRDefault="00FD5427" w:rsidP="008B4FDC">
      <w:pPr>
        <w:spacing w:line="480" w:lineRule="auto"/>
        <w:jc w:val="both"/>
        <w:rPr>
          <w:rFonts w:asciiTheme="majorBidi" w:eastAsiaTheme="minorEastAsia" w:hAnsiTheme="majorBidi" w:cstheme="majorBidi"/>
          <w:sz w:val="24"/>
          <w:szCs w:val="24"/>
        </w:rPr>
      </w:pPr>
      <w:r w:rsidRPr="008B4FDC">
        <w:rPr>
          <w:rFonts w:asciiTheme="majorBidi" w:eastAsiaTheme="minorEastAsia" w:hAnsiTheme="majorBidi" w:cstheme="majorBidi"/>
          <w:sz w:val="24"/>
          <w:szCs w:val="24"/>
        </w:rPr>
        <w:t>Average domestic value added remains much smaller in Africa relative to the rest of the world</w:t>
      </w:r>
      <w:r w:rsidR="00CD5337" w:rsidRPr="008B4FDC">
        <w:rPr>
          <w:rFonts w:asciiTheme="majorBidi" w:eastAsiaTheme="minorEastAsia" w:hAnsiTheme="majorBidi" w:cstheme="majorBidi"/>
          <w:sz w:val="24"/>
          <w:szCs w:val="24"/>
        </w:rPr>
        <w:t xml:space="preserve"> (</w:t>
      </w:r>
      <w:r w:rsidR="00CD5337" w:rsidRPr="001E46DB">
        <w:rPr>
          <w:rFonts w:asciiTheme="majorBidi" w:eastAsiaTheme="minorEastAsia" w:hAnsiTheme="majorBidi" w:cstheme="majorBidi"/>
          <w:color w:val="FF0000"/>
          <w:sz w:val="24"/>
          <w:szCs w:val="24"/>
        </w:rPr>
        <w:t xml:space="preserve">Figure </w:t>
      </w:r>
      <w:r w:rsidR="001E46DB" w:rsidRPr="001E46DB">
        <w:rPr>
          <w:rFonts w:asciiTheme="majorBidi" w:eastAsiaTheme="minorEastAsia" w:hAnsiTheme="majorBidi" w:cstheme="majorBidi"/>
          <w:color w:val="FF0000"/>
          <w:sz w:val="24"/>
          <w:szCs w:val="24"/>
        </w:rPr>
        <w:t>1</w:t>
      </w:r>
      <w:r w:rsidR="00CD5337" w:rsidRPr="008B4FDC">
        <w:rPr>
          <w:rFonts w:asciiTheme="majorBidi" w:eastAsiaTheme="minorEastAsia" w:hAnsiTheme="majorBidi" w:cstheme="majorBidi"/>
          <w:sz w:val="24"/>
          <w:szCs w:val="24"/>
        </w:rPr>
        <w:t>)</w:t>
      </w:r>
      <w:r w:rsidRPr="008B4FDC">
        <w:rPr>
          <w:rFonts w:asciiTheme="majorBidi" w:eastAsiaTheme="minorEastAsia" w:hAnsiTheme="majorBidi" w:cstheme="majorBidi"/>
          <w:sz w:val="24"/>
          <w:szCs w:val="24"/>
        </w:rPr>
        <w:t xml:space="preserve">. </w:t>
      </w:r>
      <w:r w:rsidR="00066EA9" w:rsidRPr="008B4FDC">
        <w:rPr>
          <w:rFonts w:asciiTheme="majorBidi" w:eastAsiaTheme="minorEastAsia" w:hAnsiTheme="majorBidi" w:cstheme="majorBidi"/>
          <w:sz w:val="24"/>
          <w:szCs w:val="24"/>
        </w:rPr>
        <w:t>This is in line with the consensus in previous literature that domestic value addition</w:t>
      </w:r>
      <w:r w:rsidR="00262644" w:rsidRPr="008B4FDC">
        <w:rPr>
          <w:rFonts w:asciiTheme="majorBidi" w:eastAsiaTheme="minorEastAsia" w:hAnsiTheme="majorBidi" w:cstheme="majorBidi"/>
          <w:sz w:val="24"/>
          <w:szCs w:val="24"/>
        </w:rPr>
        <w:t xml:space="preserve"> and overall involvement in global value chains is much lower in Africa relative to other regions (Alard et al., 2016; de Mello and Twun, 2021).</w:t>
      </w:r>
    </w:p>
    <w:p w14:paraId="266C6D2E" w14:textId="50385BA1" w:rsidR="00DC1A9B" w:rsidRDefault="00FC512D" w:rsidP="00DC1A9B">
      <w:pPr>
        <w:tabs>
          <w:tab w:val="left" w:pos="1853"/>
        </w:tabs>
        <w:rPr>
          <w:rFonts w:asciiTheme="majorBidi" w:eastAsiaTheme="minorEastAsia" w:hAnsiTheme="majorBidi" w:cstheme="majorBidi"/>
          <w:i/>
          <w:iCs/>
          <w:sz w:val="23"/>
          <w:szCs w:val="23"/>
        </w:rPr>
      </w:pPr>
      <w:r w:rsidRPr="009F4BCF">
        <w:rPr>
          <w:rFonts w:asciiTheme="majorBidi" w:eastAsiaTheme="minorEastAsia" w:hAnsiTheme="majorBidi" w:cstheme="majorBidi"/>
          <w:b/>
          <w:bCs/>
          <w:color w:val="FF0000"/>
          <w:sz w:val="23"/>
          <w:szCs w:val="23"/>
        </w:rPr>
        <w:t>Figure 1</w:t>
      </w:r>
      <w:r w:rsidRPr="00AA4883">
        <w:rPr>
          <w:rFonts w:asciiTheme="majorBidi" w:eastAsiaTheme="minorEastAsia" w:hAnsiTheme="majorBidi" w:cstheme="majorBidi"/>
          <w:b/>
          <w:bCs/>
          <w:sz w:val="23"/>
          <w:szCs w:val="23"/>
        </w:rPr>
        <w:t xml:space="preserve">: </w:t>
      </w:r>
      <w:r>
        <w:rPr>
          <w:rFonts w:asciiTheme="majorBidi" w:eastAsiaTheme="minorEastAsia" w:hAnsiTheme="majorBidi" w:cstheme="majorBidi"/>
          <w:b/>
          <w:bCs/>
          <w:sz w:val="23"/>
          <w:szCs w:val="23"/>
        </w:rPr>
        <w:t>Africa lags in all measures of value-adde</w:t>
      </w:r>
      <w:r w:rsidR="00DC1A9B" w:rsidRPr="00DC1A9B">
        <w:rPr>
          <w:rFonts w:asciiTheme="majorBidi" w:eastAsiaTheme="minorEastAsia" w:hAnsiTheme="majorBidi" w:cstheme="majorBidi"/>
          <w:i/>
          <w:iCs/>
          <w:sz w:val="23"/>
          <w:szCs w:val="23"/>
        </w:rPr>
        <w:t xml:space="preserve"> </w:t>
      </w:r>
      <w:r w:rsidRPr="00FC512D">
        <w:rPr>
          <w:rFonts w:asciiTheme="majorBidi" w:eastAsiaTheme="minorEastAsia" w:hAnsiTheme="majorBidi" w:cstheme="majorBidi"/>
          <w:i/>
          <w:iCs/>
          <w:noProof/>
          <w:sz w:val="23"/>
          <w:szCs w:val="23"/>
        </w:rPr>
        <w:drawing>
          <wp:inline distT="0" distB="0" distL="0" distR="0" wp14:anchorId="4BC6DB05" wp14:editId="435ACF17">
            <wp:extent cx="5735763" cy="417146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1147" cy="4204471"/>
                    </a:xfrm>
                    <a:prstGeom prst="rect">
                      <a:avLst/>
                    </a:prstGeom>
                    <a:noFill/>
                    <a:ln>
                      <a:noFill/>
                    </a:ln>
                  </pic:spPr>
                </pic:pic>
              </a:graphicData>
            </a:graphic>
          </wp:inline>
        </w:drawing>
      </w:r>
    </w:p>
    <w:p w14:paraId="68B53E0F" w14:textId="0C1AAF40" w:rsidR="00DC1A9B" w:rsidRPr="0037280E" w:rsidRDefault="00DC1A9B" w:rsidP="00C75122">
      <w:pPr>
        <w:tabs>
          <w:tab w:val="left" w:pos="1853"/>
        </w:tabs>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31696202" w14:textId="2D0751DC" w:rsidR="00873C8D" w:rsidRPr="006D7132" w:rsidRDefault="00873C8D" w:rsidP="00C75122">
      <w:pPr>
        <w:tabs>
          <w:tab w:val="left" w:pos="1119"/>
        </w:tabs>
        <w:spacing w:line="480" w:lineRule="auto"/>
        <w:jc w:val="both"/>
        <w:rPr>
          <w:rFonts w:asciiTheme="majorBidi" w:eastAsiaTheme="minorEastAsia" w:hAnsiTheme="majorBidi" w:cstheme="majorBidi"/>
          <w:color w:val="000000" w:themeColor="text1"/>
          <w:sz w:val="24"/>
          <w:szCs w:val="24"/>
        </w:rPr>
      </w:pPr>
      <w:r w:rsidRPr="006D7132">
        <w:rPr>
          <w:rFonts w:asciiTheme="majorBidi" w:eastAsiaTheme="minorEastAsia" w:hAnsiTheme="majorBidi" w:cstheme="majorBidi"/>
          <w:color w:val="000000" w:themeColor="text1"/>
          <w:sz w:val="24"/>
          <w:szCs w:val="24"/>
        </w:rPr>
        <w:t xml:space="preserve">Figure </w:t>
      </w:r>
      <w:r w:rsidR="00DC1A9B">
        <w:rPr>
          <w:rFonts w:asciiTheme="majorBidi" w:eastAsiaTheme="minorEastAsia" w:hAnsiTheme="majorBidi" w:cstheme="majorBidi"/>
          <w:color w:val="000000" w:themeColor="text1"/>
          <w:sz w:val="24"/>
          <w:szCs w:val="24"/>
        </w:rPr>
        <w:t>2</w:t>
      </w:r>
      <w:r w:rsidRPr="006D7132">
        <w:rPr>
          <w:rFonts w:asciiTheme="majorBidi" w:eastAsiaTheme="minorEastAsia" w:hAnsiTheme="majorBidi" w:cstheme="majorBidi"/>
          <w:color w:val="000000" w:themeColor="text1"/>
          <w:sz w:val="24"/>
          <w:szCs w:val="24"/>
        </w:rPr>
        <w:t xml:space="preserve"> presents the trend of three common indicators of value-added and participation in global value chains averaged for Sub-Saharan African countries for the period 1990-2018. During this period, the ratios of exports and imports increased substantially albeit having volatile trends. For DVA and GVC, the increase over the same period was modest, with the highest growth exhibited during the period prior to the global financial crisis (particularly 2000-2008). Although export to GDP ratios generally </w:t>
      </w:r>
      <w:r w:rsidRPr="006D7132">
        <w:rPr>
          <w:rFonts w:asciiTheme="majorBidi" w:eastAsiaTheme="minorEastAsia" w:hAnsiTheme="majorBidi" w:cstheme="majorBidi"/>
          <w:color w:val="000000" w:themeColor="text1"/>
          <w:sz w:val="24"/>
          <w:szCs w:val="24"/>
        </w:rPr>
        <w:lastRenderedPageBreak/>
        <w:t xml:space="preserve">increased faster than the value-added and GVC indicators over most of the years, an interesting pattern is emerging where GVC participation, domestic and foreign value addition in exports are increasing consistently over period 2015-2018. This is perhaps indicative of the increasing importance of value addition and participation of African countries in regional and global value chains in recent years – albeit low initial levels – with potential for greater value chain involvement under the AfCFTA. </w:t>
      </w:r>
    </w:p>
    <w:p w14:paraId="32E1C523" w14:textId="0CDC4103" w:rsidR="00873C8D" w:rsidRPr="007E676B" w:rsidRDefault="00873C8D" w:rsidP="00873C8D">
      <w:pPr>
        <w:jc w:val="center"/>
        <w:rPr>
          <w:rFonts w:asciiTheme="majorBidi" w:eastAsiaTheme="minorEastAsia" w:hAnsiTheme="majorBidi" w:cstheme="majorBidi"/>
          <w:sz w:val="23"/>
          <w:szCs w:val="23"/>
        </w:rPr>
      </w:pPr>
      <w:r w:rsidRPr="000506E0">
        <w:rPr>
          <w:rFonts w:asciiTheme="majorBidi" w:eastAsiaTheme="minorEastAsia" w:hAnsiTheme="majorBidi" w:cstheme="majorBidi"/>
          <w:b/>
          <w:bCs/>
          <w:color w:val="FF0000"/>
          <w:sz w:val="23"/>
          <w:szCs w:val="23"/>
        </w:rPr>
        <w:t xml:space="preserve">Figure </w:t>
      </w:r>
      <w:r w:rsidR="00932E00">
        <w:rPr>
          <w:rFonts w:asciiTheme="majorBidi" w:eastAsiaTheme="minorEastAsia" w:hAnsiTheme="majorBidi" w:cstheme="majorBidi"/>
          <w:b/>
          <w:bCs/>
          <w:color w:val="FF0000"/>
          <w:sz w:val="23"/>
          <w:szCs w:val="23"/>
        </w:rPr>
        <w:t>2</w:t>
      </w:r>
      <w:r w:rsidRPr="00AA4883">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Average trend of DVA, FVA, GVC and Exports Share of GDP: 1990-2018</w:t>
      </w:r>
    </w:p>
    <w:p w14:paraId="1A54A476" w14:textId="77777777" w:rsidR="00873C8D" w:rsidRDefault="00873C8D" w:rsidP="00873C8D">
      <w:pPr>
        <w:rPr>
          <w:rFonts w:asciiTheme="majorBidi" w:eastAsiaTheme="minorEastAsia" w:hAnsiTheme="majorBidi" w:cstheme="majorBidi"/>
          <w:b/>
          <w:bCs/>
          <w:sz w:val="23"/>
          <w:szCs w:val="23"/>
        </w:rPr>
      </w:pPr>
      <w:r w:rsidRPr="00134839">
        <w:rPr>
          <w:rFonts w:asciiTheme="majorBidi" w:eastAsiaTheme="minorEastAsia" w:hAnsiTheme="majorBidi" w:cstheme="majorBidi"/>
          <w:b/>
          <w:bCs/>
          <w:noProof/>
          <w:sz w:val="23"/>
          <w:szCs w:val="23"/>
        </w:rPr>
        <w:drawing>
          <wp:inline distT="0" distB="0" distL="0" distR="0" wp14:anchorId="7FB962CC" wp14:editId="06102D97">
            <wp:extent cx="5708015" cy="331809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8102" cy="3323958"/>
                    </a:xfrm>
                    <a:prstGeom prst="rect">
                      <a:avLst/>
                    </a:prstGeom>
                    <a:noFill/>
                    <a:ln>
                      <a:noFill/>
                    </a:ln>
                  </pic:spPr>
                </pic:pic>
              </a:graphicData>
            </a:graphic>
          </wp:inline>
        </w:drawing>
      </w:r>
    </w:p>
    <w:p w14:paraId="3C36070D" w14:textId="77777777" w:rsidR="00873C8D" w:rsidRDefault="00873C8D" w:rsidP="00873C8D">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254770D5" w14:textId="77777777" w:rsidR="00873C8D" w:rsidRDefault="00873C8D" w:rsidP="008B4FDC">
      <w:pPr>
        <w:spacing w:line="480" w:lineRule="auto"/>
        <w:jc w:val="both"/>
        <w:rPr>
          <w:rFonts w:asciiTheme="majorBidi" w:eastAsiaTheme="minorEastAsia" w:hAnsiTheme="majorBidi" w:cstheme="majorBidi"/>
          <w:b/>
          <w:bCs/>
          <w:i/>
          <w:iCs/>
          <w:sz w:val="24"/>
          <w:szCs w:val="24"/>
        </w:rPr>
      </w:pPr>
    </w:p>
    <w:p w14:paraId="408F40B9" w14:textId="39985D7E" w:rsidR="000D2F73" w:rsidRPr="008B4FDC" w:rsidRDefault="000D2F73" w:rsidP="008B4FDC">
      <w:pPr>
        <w:spacing w:line="480" w:lineRule="auto"/>
        <w:jc w:val="both"/>
        <w:rPr>
          <w:rFonts w:asciiTheme="majorBidi" w:hAnsiTheme="majorBidi" w:cstheme="majorBidi"/>
          <w:color w:val="FF0000"/>
          <w:sz w:val="24"/>
          <w:szCs w:val="24"/>
        </w:rPr>
      </w:pPr>
      <w:r w:rsidRPr="008B4FDC">
        <w:rPr>
          <w:rFonts w:asciiTheme="majorBidi" w:eastAsiaTheme="minorEastAsia" w:hAnsiTheme="majorBidi" w:cstheme="majorBidi"/>
          <w:b/>
          <w:bCs/>
          <w:i/>
          <w:iCs/>
          <w:sz w:val="24"/>
          <w:szCs w:val="24"/>
        </w:rPr>
        <w:t>Relationship between DVA and FVA – absolute values</w:t>
      </w:r>
    </w:p>
    <w:p w14:paraId="2B56EB57" w14:textId="78B6CCA1" w:rsidR="000D2F73" w:rsidRPr="008B4FDC" w:rsidRDefault="000D2F73" w:rsidP="008B4FDC">
      <w:pPr>
        <w:spacing w:line="480" w:lineRule="auto"/>
        <w:jc w:val="both"/>
        <w:rPr>
          <w:rFonts w:asciiTheme="majorBidi" w:hAnsiTheme="majorBidi" w:cstheme="majorBidi"/>
          <w:sz w:val="24"/>
          <w:szCs w:val="24"/>
        </w:rPr>
      </w:pPr>
      <w:r w:rsidRPr="008B4FDC">
        <w:rPr>
          <w:rFonts w:asciiTheme="majorBidi" w:hAnsiTheme="majorBidi" w:cstheme="majorBidi"/>
          <w:sz w:val="24"/>
          <w:szCs w:val="24"/>
        </w:rPr>
        <w:t>The positive association between DVA and FVA in absolute terms (</w:t>
      </w:r>
      <w:r w:rsidRPr="008B4FDC">
        <w:rPr>
          <w:rFonts w:asciiTheme="majorBidi" w:hAnsiTheme="majorBidi" w:cstheme="majorBidi"/>
          <w:color w:val="FF0000"/>
          <w:sz w:val="24"/>
          <w:szCs w:val="24"/>
        </w:rPr>
        <w:t>Figure</w:t>
      </w:r>
      <w:r w:rsidR="009F4BCF" w:rsidRPr="008B4FDC">
        <w:rPr>
          <w:rFonts w:asciiTheme="majorBidi" w:hAnsiTheme="majorBidi" w:cstheme="majorBidi"/>
          <w:color w:val="FF0000"/>
          <w:sz w:val="24"/>
          <w:szCs w:val="24"/>
        </w:rPr>
        <w:t xml:space="preserve"> </w:t>
      </w:r>
      <w:r w:rsidR="008A1A08">
        <w:rPr>
          <w:rFonts w:asciiTheme="majorBidi" w:hAnsiTheme="majorBidi" w:cstheme="majorBidi"/>
          <w:color w:val="FF0000"/>
          <w:sz w:val="24"/>
          <w:szCs w:val="24"/>
        </w:rPr>
        <w:t>3</w:t>
      </w:r>
      <w:r w:rsidRPr="008B4FDC">
        <w:rPr>
          <w:rFonts w:asciiTheme="majorBidi" w:hAnsiTheme="majorBidi" w:cstheme="majorBidi"/>
          <w:sz w:val="24"/>
          <w:szCs w:val="24"/>
        </w:rPr>
        <w:t>) suggests that countries with higher domestic value addition are also those with higher foreign value addition.</w:t>
      </w:r>
      <w:r w:rsidR="008B4FDC" w:rsidRPr="008B4FDC">
        <w:rPr>
          <w:rFonts w:asciiTheme="majorBidi" w:hAnsiTheme="majorBidi" w:cstheme="majorBidi"/>
          <w:sz w:val="24"/>
          <w:szCs w:val="24"/>
        </w:rPr>
        <w:t xml:space="preserve"> </w:t>
      </w:r>
      <w:r w:rsidRPr="008B4FDC">
        <w:rPr>
          <w:rFonts w:asciiTheme="majorBidi" w:hAnsiTheme="majorBidi" w:cstheme="majorBidi"/>
          <w:sz w:val="24"/>
          <w:szCs w:val="24"/>
        </w:rPr>
        <w:t>In other words, the country-specific conditions that enhance value addition have a relatively similar enabling effect for both domestic and foreign value</w:t>
      </w:r>
      <w:r w:rsidR="003F4FDE">
        <w:rPr>
          <w:rFonts w:asciiTheme="majorBidi" w:hAnsiTheme="majorBidi" w:cstheme="majorBidi"/>
          <w:sz w:val="24"/>
          <w:szCs w:val="24"/>
        </w:rPr>
        <w:t xml:space="preserve">-added </w:t>
      </w:r>
      <w:r w:rsidR="001D1D6C" w:rsidRPr="008B4FDC">
        <w:rPr>
          <w:rFonts w:asciiTheme="majorBidi" w:hAnsiTheme="majorBidi" w:cstheme="majorBidi"/>
          <w:sz w:val="24"/>
          <w:szCs w:val="24"/>
        </w:rPr>
        <w:t xml:space="preserve">components in </w:t>
      </w:r>
      <w:r w:rsidR="00713230" w:rsidRPr="008B4FDC">
        <w:rPr>
          <w:rFonts w:asciiTheme="majorBidi" w:hAnsiTheme="majorBidi" w:cstheme="majorBidi"/>
          <w:sz w:val="24"/>
          <w:szCs w:val="24"/>
        </w:rPr>
        <w:t xml:space="preserve">a country’s </w:t>
      </w:r>
      <w:r w:rsidR="001D1D6C" w:rsidRPr="008B4FDC">
        <w:rPr>
          <w:rFonts w:asciiTheme="majorBidi" w:hAnsiTheme="majorBidi" w:cstheme="majorBidi"/>
          <w:sz w:val="24"/>
          <w:szCs w:val="24"/>
        </w:rPr>
        <w:t>exports</w:t>
      </w:r>
      <w:r w:rsidRPr="008B4FDC">
        <w:rPr>
          <w:rFonts w:asciiTheme="majorBidi" w:hAnsiTheme="majorBidi" w:cstheme="majorBidi"/>
          <w:sz w:val="24"/>
          <w:szCs w:val="24"/>
        </w:rPr>
        <w:t xml:space="preserve">. </w:t>
      </w:r>
      <w:r w:rsidR="003E1BD4" w:rsidRPr="008B4FDC">
        <w:rPr>
          <w:rFonts w:asciiTheme="majorBidi" w:hAnsiTheme="majorBidi" w:cstheme="majorBidi"/>
          <w:sz w:val="24"/>
          <w:szCs w:val="24"/>
        </w:rPr>
        <w:t xml:space="preserve">Both DVA and FVA are lowest in Somalia and Gambia and highest in South Africa, reflecting how relevant the level of development is in shaping value addition. </w:t>
      </w:r>
      <w:r w:rsidR="008B4FDC" w:rsidRPr="008B4FDC">
        <w:rPr>
          <w:rFonts w:asciiTheme="majorBidi" w:hAnsiTheme="majorBidi" w:cstheme="majorBidi"/>
          <w:sz w:val="24"/>
          <w:szCs w:val="24"/>
        </w:rPr>
        <w:t xml:space="preserve">This pattern corroborates the complementarity between </w:t>
      </w:r>
      <w:r w:rsidR="008B4FDC" w:rsidRPr="008B4FDC">
        <w:rPr>
          <w:rFonts w:asciiTheme="majorBidi" w:hAnsiTheme="majorBidi" w:cstheme="majorBidi"/>
          <w:sz w:val="24"/>
          <w:szCs w:val="24"/>
        </w:rPr>
        <w:lastRenderedPageBreak/>
        <w:t>domestic and foreign value-added as observed in Latin Amertia (Assamoi et al., 2019) and South-east Asia (Lopez, 2016)</w:t>
      </w:r>
    </w:p>
    <w:p w14:paraId="1ABE03BB" w14:textId="17D533B4" w:rsidR="000D2F73" w:rsidRPr="00AA4883" w:rsidRDefault="000D2F73" w:rsidP="000D2F73">
      <w:pPr>
        <w:spacing w:line="360" w:lineRule="auto"/>
        <w:jc w:val="center"/>
        <w:rPr>
          <w:rFonts w:asciiTheme="majorBidi" w:eastAsiaTheme="minorEastAsia" w:hAnsiTheme="majorBidi" w:cstheme="majorBidi"/>
          <w:b/>
          <w:bCs/>
          <w:sz w:val="23"/>
          <w:szCs w:val="23"/>
        </w:rPr>
      </w:pPr>
      <w:r w:rsidRPr="009F4BCF">
        <w:rPr>
          <w:rFonts w:asciiTheme="majorBidi" w:eastAsiaTheme="minorEastAsia" w:hAnsiTheme="majorBidi" w:cstheme="majorBidi"/>
          <w:b/>
          <w:bCs/>
          <w:color w:val="FF0000"/>
          <w:sz w:val="23"/>
          <w:szCs w:val="23"/>
        </w:rPr>
        <w:t xml:space="preserve">Figure </w:t>
      </w:r>
      <w:r w:rsidR="008A1A08">
        <w:rPr>
          <w:rFonts w:asciiTheme="majorBidi" w:eastAsiaTheme="minorEastAsia" w:hAnsiTheme="majorBidi" w:cstheme="majorBidi"/>
          <w:b/>
          <w:bCs/>
          <w:color w:val="FF0000"/>
          <w:sz w:val="23"/>
          <w:szCs w:val="23"/>
        </w:rPr>
        <w:t>3</w:t>
      </w:r>
      <w:r w:rsidRPr="00AA4883">
        <w:rPr>
          <w:rFonts w:asciiTheme="majorBidi" w:eastAsiaTheme="minorEastAsia" w:hAnsiTheme="majorBidi" w:cstheme="majorBidi"/>
          <w:b/>
          <w:bCs/>
          <w:sz w:val="23"/>
          <w:szCs w:val="23"/>
        </w:rPr>
        <w:t xml:space="preserve">: </w:t>
      </w:r>
      <w:r w:rsidR="00B83C69">
        <w:rPr>
          <w:rFonts w:asciiTheme="majorBidi" w:eastAsiaTheme="minorEastAsia" w:hAnsiTheme="majorBidi" w:cstheme="majorBidi"/>
          <w:b/>
          <w:bCs/>
          <w:sz w:val="23"/>
          <w:szCs w:val="23"/>
        </w:rPr>
        <w:t>Positive correlation between DVA and FVA</w:t>
      </w:r>
      <w:r w:rsidR="00933D31">
        <w:rPr>
          <w:rFonts w:asciiTheme="majorBidi" w:eastAsiaTheme="minorEastAsia" w:hAnsiTheme="majorBidi" w:cstheme="majorBidi"/>
          <w:b/>
          <w:bCs/>
          <w:sz w:val="23"/>
          <w:szCs w:val="23"/>
        </w:rPr>
        <w:t>: Africa</w:t>
      </w:r>
      <w:r>
        <w:rPr>
          <w:rFonts w:asciiTheme="majorBidi" w:eastAsiaTheme="minorEastAsia" w:hAnsiTheme="majorBidi" w:cstheme="majorBidi"/>
          <w:b/>
          <w:bCs/>
          <w:sz w:val="23"/>
          <w:szCs w:val="23"/>
        </w:rPr>
        <w:t>,</w:t>
      </w:r>
      <w:r w:rsidRPr="00AA4883">
        <w:rPr>
          <w:rFonts w:asciiTheme="majorBidi" w:eastAsiaTheme="minorEastAsia" w:hAnsiTheme="majorBidi" w:cstheme="majorBidi"/>
          <w:b/>
          <w:bCs/>
          <w:sz w:val="23"/>
          <w:szCs w:val="23"/>
        </w:rPr>
        <w:t xml:space="preserve"> </w:t>
      </w:r>
      <w:r w:rsidRPr="00B85F57">
        <w:rPr>
          <w:rFonts w:asciiTheme="majorBidi" w:eastAsiaTheme="minorEastAsia" w:hAnsiTheme="majorBidi" w:cstheme="majorBidi"/>
          <w:b/>
          <w:bCs/>
          <w:sz w:val="23"/>
          <w:szCs w:val="23"/>
        </w:rPr>
        <w:t>201</w:t>
      </w:r>
      <w:r w:rsidR="00B85F57">
        <w:rPr>
          <w:rFonts w:asciiTheme="majorBidi" w:eastAsiaTheme="minorEastAsia" w:hAnsiTheme="majorBidi" w:cstheme="majorBidi"/>
          <w:b/>
          <w:bCs/>
          <w:sz w:val="23"/>
          <w:szCs w:val="23"/>
        </w:rPr>
        <w:t>7</w:t>
      </w:r>
    </w:p>
    <w:p w14:paraId="06A1EBFD" w14:textId="77777777" w:rsidR="000D2F73" w:rsidRDefault="000D2F73" w:rsidP="000D2F73">
      <w:pPr>
        <w:spacing w:line="360" w:lineRule="auto"/>
        <w:jc w:val="center"/>
        <w:rPr>
          <w:rFonts w:asciiTheme="majorBidi" w:eastAsiaTheme="minorEastAsia" w:hAnsiTheme="majorBidi" w:cstheme="majorBidi"/>
          <w:sz w:val="23"/>
          <w:szCs w:val="23"/>
        </w:rPr>
      </w:pPr>
      <w:r w:rsidRPr="00A913A8">
        <w:rPr>
          <w:rFonts w:asciiTheme="majorBidi" w:eastAsiaTheme="minorEastAsia" w:hAnsiTheme="majorBidi" w:cstheme="majorBidi"/>
          <w:noProof/>
          <w:sz w:val="23"/>
          <w:szCs w:val="23"/>
        </w:rPr>
        <w:drawing>
          <wp:inline distT="0" distB="0" distL="0" distR="0" wp14:anchorId="124DEC15" wp14:editId="489A2124">
            <wp:extent cx="6074876" cy="4418091"/>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5217" cy="4432884"/>
                    </a:xfrm>
                    <a:prstGeom prst="rect">
                      <a:avLst/>
                    </a:prstGeom>
                    <a:noFill/>
                    <a:ln>
                      <a:noFill/>
                    </a:ln>
                  </pic:spPr>
                </pic:pic>
              </a:graphicData>
            </a:graphic>
          </wp:inline>
        </w:drawing>
      </w:r>
    </w:p>
    <w:p w14:paraId="0CE6EE3A" w14:textId="77777777" w:rsidR="000D2F73" w:rsidRDefault="000D2F73" w:rsidP="000D2F73">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6E59D732" w14:textId="77777777" w:rsidR="008B4FDC" w:rsidRDefault="008B4FDC" w:rsidP="00713230">
      <w:pPr>
        <w:spacing w:before="240" w:line="360" w:lineRule="auto"/>
        <w:jc w:val="both"/>
        <w:rPr>
          <w:rFonts w:asciiTheme="majorBidi" w:eastAsiaTheme="minorEastAsia" w:hAnsiTheme="majorBidi" w:cstheme="majorBidi"/>
          <w:b/>
          <w:bCs/>
          <w:i/>
          <w:iCs/>
          <w:sz w:val="23"/>
          <w:szCs w:val="23"/>
        </w:rPr>
      </w:pPr>
    </w:p>
    <w:p w14:paraId="1DE91CE3" w14:textId="69654D78" w:rsidR="00E852D0" w:rsidRPr="008B4FDC" w:rsidRDefault="00E852D0" w:rsidP="008B4FDC">
      <w:pPr>
        <w:spacing w:before="240" w:line="480" w:lineRule="auto"/>
        <w:jc w:val="both"/>
        <w:rPr>
          <w:rFonts w:asciiTheme="majorBidi" w:hAnsiTheme="majorBidi" w:cstheme="majorBidi"/>
          <w:color w:val="FF0000"/>
          <w:sz w:val="24"/>
          <w:szCs w:val="24"/>
        </w:rPr>
      </w:pPr>
      <w:r w:rsidRPr="008B4FDC">
        <w:rPr>
          <w:rFonts w:asciiTheme="majorBidi" w:eastAsiaTheme="minorEastAsia" w:hAnsiTheme="majorBidi" w:cstheme="majorBidi"/>
          <w:b/>
          <w:bCs/>
          <w:i/>
          <w:iCs/>
          <w:sz w:val="24"/>
          <w:szCs w:val="24"/>
        </w:rPr>
        <w:t>Relative contributions of DVA and FVA to total value-added</w:t>
      </w:r>
    </w:p>
    <w:p w14:paraId="68F30254" w14:textId="692D3391" w:rsidR="00E852D0" w:rsidRPr="008B4FDC" w:rsidRDefault="00E852D0" w:rsidP="008B4FDC">
      <w:pPr>
        <w:spacing w:line="480" w:lineRule="auto"/>
        <w:jc w:val="both"/>
        <w:rPr>
          <w:rFonts w:asciiTheme="majorBidi" w:hAnsiTheme="majorBidi" w:cstheme="majorBidi"/>
          <w:sz w:val="24"/>
          <w:szCs w:val="24"/>
        </w:rPr>
      </w:pPr>
      <w:r w:rsidRPr="008B4FDC">
        <w:rPr>
          <w:rFonts w:asciiTheme="majorBidi" w:hAnsiTheme="majorBidi" w:cstheme="majorBidi"/>
          <w:sz w:val="24"/>
          <w:szCs w:val="24"/>
        </w:rPr>
        <w:t xml:space="preserve">The negative correlation between the relative </w:t>
      </w:r>
      <w:r w:rsidR="00CA2708" w:rsidRPr="000D4F58">
        <w:rPr>
          <w:rFonts w:asciiTheme="majorBidi" w:hAnsiTheme="majorBidi" w:cstheme="majorBidi"/>
          <w:b/>
          <w:bCs/>
          <w:i/>
          <w:iCs/>
          <w:sz w:val="24"/>
          <w:szCs w:val="24"/>
        </w:rPr>
        <w:t>shares</w:t>
      </w:r>
      <w:r w:rsidR="00CA2708">
        <w:rPr>
          <w:rFonts w:asciiTheme="majorBidi" w:hAnsiTheme="majorBidi" w:cstheme="majorBidi"/>
          <w:sz w:val="24"/>
          <w:szCs w:val="24"/>
        </w:rPr>
        <w:t xml:space="preserve"> of </w:t>
      </w:r>
      <w:r w:rsidRPr="008B4FDC">
        <w:rPr>
          <w:rFonts w:asciiTheme="majorBidi" w:hAnsiTheme="majorBidi" w:cstheme="majorBidi"/>
          <w:sz w:val="24"/>
          <w:szCs w:val="24"/>
        </w:rPr>
        <w:t xml:space="preserve">domestic and foreign value-added in total value added presented in Assamoi et al. (2019) </w:t>
      </w:r>
      <w:r w:rsidR="00CA2708">
        <w:rPr>
          <w:rFonts w:asciiTheme="majorBidi" w:hAnsiTheme="majorBidi" w:cstheme="majorBidi"/>
          <w:sz w:val="24"/>
          <w:szCs w:val="24"/>
        </w:rPr>
        <w:t>is</w:t>
      </w:r>
      <w:r w:rsidRPr="008B4FDC">
        <w:rPr>
          <w:rFonts w:asciiTheme="majorBidi" w:hAnsiTheme="majorBidi" w:cstheme="majorBidi"/>
          <w:sz w:val="24"/>
          <w:szCs w:val="24"/>
        </w:rPr>
        <w:t xml:space="preserve"> exhibited in this study (</w:t>
      </w:r>
      <w:r w:rsidRPr="008B4FDC">
        <w:rPr>
          <w:rFonts w:asciiTheme="majorBidi" w:hAnsiTheme="majorBidi" w:cstheme="majorBidi"/>
          <w:color w:val="FF0000"/>
          <w:sz w:val="24"/>
          <w:szCs w:val="24"/>
        </w:rPr>
        <w:t xml:space="preserve">Figure </w:t>
      </w:r>
      <w:r w:rsidR="008A1A08">
        <w:rPr>
          <w:rFonts w:asciiTheme="majorBidi" w:hAnsiTheme="majorBidi" w:cstheme="majorBidi"/>
          <w:color w:val="FF0000"/>
          <w:sz w:val="24"/>
          <w:szCs w:val="24"/>
        </w:rPr>
        <w:t>4</w:t>
      </w:r>
      <w:r w:rsidRPr="008B4FDC">
        <w:rPr>
          <w:rFonts w:asciiTheme="majorBidi" w:hAnsiTheme="majorBidi" w:cstheme="majorBidi"/>
          <w:sz w:val="24"/>
          <w:szCs w:val="24"/>
        </w:rPr>
        <w:t>).</w:t>
      </w:r>
      <w:commentRangeStart w:id="1"/>
      <w:r w:rsidRPr="008B4FDC">
        <w:rPr>
          <w:rFonts w:asciiTheme="majorBidi" w:hAnsiTheme="majorBidi" w:cstheme="majorBidi"/>
          <w:sz w:val="24"/>
          <w:szCs w:val="24"/>
        </w:rPr>
        <w:t xml:space="preserve"> </w:t>
      </w:r>
      <w:r w:rsidR="00CA2708">
        <w:rPr>
          <w:rFonts w:asciiTheme="majorBidi" w:hAnsiTheme="majorBidi" w:cstheme="majorBidi"/>
          <w:sz w:val="24"/>
          <w:szCs w:val="24"/>
        </w:rPr>
        <w:t>This pattern</w:t>
      </w:r>
      <w:r w:rsidRPr="008B4FDC">
        <w:rPr>
          <w:rFonts w:asciiTheme="majorBidi" w:hAnsiTheme="majorBidi" w:cstheme="majorBidi"/>
          <w:sz w:val="24"/>
          <w:szCs w:val="24"/>
        </w:rPr>
        <w:t xml:space="preserve"> reveal</w:t>
      </w:r>
      <w:r w:rsidR="00CA2708">
        <w:rPr>
          <w:rFonts w:asciiTheme="majorBidi" w:hAnsiTheme="majorBidi" w:cstheme="majorBidi"/>
          <w:sz w:val="24"/>
          <w:szCs w:val="24"/>
        </w:rPr>
        <w:t>s</w:t>
      </w:r>
      <w:r w:rsidRPr="008B4FDC">
        <w:rPr>
          <w:rFonts w:asciiTheme="majorBidi" w:hAnsiTheme="majorBidi" w:cstheme="majorBidi"/>
          <w:sz w:val="24"/>
          <w:szCs w:val="24"/>
        </w:rPr>
        <w:t xml:space="preserve"> a clear substitution effect</w:t>
      </w:r>
      <w:r w:rsidR="00CA2708">
        <w:rPr>
          <w:rFonts w:asciiTheme="majorBidi" w:hAnsiTheme="majorBidi" w:cstheme="majorBidi"/>
          <w:sz w:val="24"/>
          <w:szCs w:val="24"/>
        </w:rPr>
        <w:t xml:space="preserve"> between the two components of total value-added.</w:t>
      </w:r>
      <w:r w:rsidRPr="008B4FDC">
        <w:rPr>
          <w:rFonts w:asciiTheme="majorBidi" w:hAnsiTheme="majorBidi" w:cstheme="majorBidi"/>
          <w:sz w:val="24"/>
          <w:szCs w:val="24"/>
        </w:rPr>
        <w:t xml:space="preserve"> </w:t>
      </w:r>
      <w:commentRangeEnd w:id="1"/>
      <w:r w:rsidR="000C5AA3">
        <w:rPr>
          <w:rStyle w:val="CommentReference"/>
        </w:rPr>
        <w:commentReference w:id="1"/>
      </w:r>
      <w:r w:rsidR="00CA2708">
        <w:rPr>
          <w:rFonts w:asciiTheme="majorBidi" w:hAnsiTheme="majorBidi" w:cstheme="majorBidi"/>
          <w:color w:val="FF0000"/>
          <w:sz w:val="24"/>
          <w:szCs w:val="24"/>
        </w:rPr>
        <w:t>The relative shares exhibit no consistent trend and fluctuate considerably across six period.</w:t>
      </w:r>
      <w:r w:rsidRPr="00CA2708">
        <w:rPr>
          <w:rFonts w:asciiTheme="majorBidi" w:hAnsiTheme="majorBidi" w:cstheme="majorBidi"/>
          <w:color w:val="FF0000"/>
          <w:sz w:val="24"/>
          <w:szCs w:val="24"/>
        </w:rPr>
        <w:t xml:space="preserve"> </w:t>
      </w:r>
      <w:r w:rsidRPr="008B4FDC">
        <w:rPr>
          <w:rFonts w:asciiTheme="majorBidi" w:hAnsiTheme="majorBidi" w:cstheme="majorBidi"/>
          <w:sz w:val="24"/>
          <w:szCs w:val="24"/>
        </w:rPr>
        <w:t>In the latter period</w:t>
      </w:r>
      <w:r w:rsidR="00CA2708">
        <w:rPr>
          <w:rFonts w:asciiTheme="majorBidi" w:hAnsiTheme="majorBidi" w:cstheme="majorBidi"/>
          <w:sz w:val="24"/>
          <w:szCs w:val="24"/>
        </w:rPr>
        <w:t xml:space="preserve"> (2015-2018)</w:t>
      </w:r>
      <w:r w:rsidRPr="008B4FDC">
        <w:rPr>
          <w:rFonts w:asciiTheme="majorBidi" w:hAnsiTheme="majorBidi" w:cstheme="majorBidi"/>
          <w:sz w:val="24"/>
          <w:szCs w:val="24"/>
        </w:rPr>
        <w:t xml:space="preserve">, DVA continues to exhibit a positive trend at the expense of FVA, perhaps suggesting increasing domestic </w:t>
      </w:r>
      <w:r w:rsidRPr="008B4FDC">
        <w:rPr>
          <w:rFonts w:asciiTheme="majorBidi" w:hAnsiTheme="majorBidi" w:cstheme="majorBidi"/>
          <w:sz w:val="24"/>
          <w:szCs w:val="24"/>
        </w:rPr>
        <w:lastRenderedPageBreak/>
        <w:t xml:space="preserve">content of </w:t>
      </w:r>
      <w:r w:rsidR="00CA2708">
        <w:rPr>
          <w:rFonts w:asciiTheme="majorBidi" w:hAnsiTheme="majorBidi" w:cstheme="majorBidi"/>
          <w:sz w:val="24"/>
          <w:szCs w:val="24"/>
        </w:rPr>
        <w:t xml:space="preserve">African </w:t>
      </w:r>
      <w:r w:rsidRPr="008B4FDC">
        <w:rPr>
          <w:rFonts w:asciiTheme="majorBidi" w:hAnsiTheme="majorBidi" w:cstheme="majorBidi"/>
          <w:sz w:val="24"/>
          <w:szCs w:val="24"/>
        </w:rPr>
        <w:t>exports over this period of latest data availability.</w:t>
      </w:r>
      <w:r w:rsidRPr="008B4FDC">
        <w:rPr>
          <w:rStyle w:val="FootnoteReference"/>
          <w:rFonts w:asciiTheme="majorBidi" w:hAnsiTheme="majorBidi" w:cstheme="majorBidi"/>
          <w:sz w:val="24"/>
          <w:szCs w:val="24"/>
        </w:rPr>
        <w:footnoteReference w:id="9"/>
      </w:r>
      <w:r w:rsidRPr="008B4FDC">
        <w:rPr>
          <w:rFonts w:asciiTheme="majorBidi" w:hAnsiTheme="majorBidi" w:cstheme="majorBidi"/>
          <w:sz w:val="24"/>
          <w:szCs w:val="24"/>
        </w:rPr>
        <w:t xml:space="preserve"> Overall, across the entire 1990-2018 period, DVA shares are relatively high and fluctuated between 80-85% while FVA shares oscillated between the 15-20% range. </w:t>
      </w:r>
    </w:p>
    <w:p w14:paraId="4DAD3E23" w14:textId="1925849E" w:rsidR="00E852D0" w:rsidRDefault="00E852D0" w:rsidP="00E852D0">
      <w:pPr>
        <w:spacing w:line="360" w:lineRule="auto"/>
        <w:jc w:val="center"/>
        <w:rPr>
          <w:rFonts w:asciiTheme="majorBidi" w:hAnsiTheme="majorBidi" w:cstheme="majorBidi"/>
          <w:b/>
          <w:bCs/>
          <w:sz w:val="23"/>
          <w:szCs w:val="23"/>
        </w:rPr>
      </w:pPr>
      <w:r w:rsidRPr="009F4BCF">
        <w:rPr>
          <w:rFonts w:asciiTheme="majorBidi" w:hAnsiTheme="majorBidi" w:cstheme="majorBidi"/>
          <w:b/>
          <w:bCs/>
          <w:color w:val="FF0000"/>
          <w:sz w:val="23"/>
          <w:szCs w:val="23"/>
        </w:rPr>
        <w:t xml:space="preserve">Figure </w:t>
      </w:r>
      <w:r w:rsidR="008A1A08">
        <w:rPr>
          <w:rFonts w:asciiTheme="majorBidi" w:hAnsiTheme="majorBidi" w:cstheme="majorBidi"/>
          <w:b/>
          <w:bCs/>
          <w:color w:val="FF0000"/>
          <w:sz w:val="23"/>
          <w:szCs w:val="23"/>
        </w:rPr>
        <w:t>4</w:t>
      </w:r>
      <w:r>
        <w:rPr>
          <w:rFonts w:asciiTheme="majorBidi" w:hAnsiTheme="majorBidi" w:cstheme="majorBidi"/>
          <w:b/>
          <w:bCs/>
          <w:sz w:val="23"/>
          <w:szCs w:val="23"/>
        </w:rPr>
        <w:t xml:space="preserve">: </w:t>
      </w:r>
      <w:r w:rsidR="00CA2708">
        <w:rPr>
          <w:rFonts w:asciiTheme="majorBidi" w:hAnsiTheme="majorBidi" w:cstheme="majorBidi"/>
          <w:b/>
          <w:bCs/>
          <w:sz w:val="23"/>
          <w:szCs w:val="23"/>
        </w:rPr>
        <w:t xml:space="preserve">Relative shares of DVA and FVA in total </w:t>
      </w:r>
      <w:r>
        <w:rPr>
          <w:rFonts w:asciiTheme="majorBidi" w:hAnsiTheme="majorBidi" w:cstheme="majorBidi"/>
          <w:b/>
          <w:bCs/>
          <w:sz w:val="23"/>
          <w:szCs w:val="23"/>
        </w:rPr>
        <w:t>value-added: SSA average, 1990-2018</w:t>
      </w:r>
    </w:p>
    <w:p w14:paraId="0A359498" w14:textId="5F172CC2" w:rsidR="00E852D0" w:rsidRDefault="004E7CAC" w:rsidP="001C08F9">
      <w:pPr>
        <w:spacing w:line="360" w:lineRule="auto"/>
        <w:jc w:val="center"/>
        <w:rPr>
          <w:rFonts w:asciiTheme="majorBidi" w:hAnsiTheme="majorBidi" w:cstheme="majorBidi"/>
          <w:b/>
          <w:bCs/>
          <w:sz w:val="23"/>
          <w:szCs w:val="23"/>
        </w:rPr>
      </w:pPr>
      <w:r w:rsidRPr="004E7CAC">
        <w:rPr>
          <w:rFonts w:asciiTheme="majorBidi" w:hAnsiTheme="majorBidi" w:cstheme="majorBidi"/>
          <w:b/>
          <w:bCs/>
          <w:noProof/>
          <w:sz w:val="23"/>
          <w:szCs w:val="23"/>
        </w:rPr>
        <w:drawing>
          <wp:inline distT="0" distB="0" distL="0" distR="0" wp14:anchorId="23CDA1CD" wp14:editId="57BF5D36">
            <wp:extent cx="5648960" cy="36576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2064" cy="3679034"/>
                    </a:xfrm>
                    <a:prstGeom prst="rect">
                      <a:avLst/>
                    </a:prstGeom>
                    <a:noFill/>
                    <a:ln>
                      <a:noFill/>
                    </a:ln>
                  </pic:spPr>
                </pic:pic>
              </a:graphicData>
            </a:graphic>
          </wp:inline>
        </w:drawing>
      </w:r>
    </w:p>
    <w:p w14:paraId="44923075" w14:textId="77777777" w:rsidR="00E852D0" w:rsidRDefault="00E852D0" w:rsidP="00E852D0">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56F63DCB" w14:textId="77777777" w:rsidR="002D090C" w:rsidRDefault="002D090C" w:rsidP="008B4FDC">
      <w:pPr>
        <w:spacing w:before="240" w:line="480" w:lineRule="auto"/>
        <w:rPr>
          <w:rFonts w:asciiTheme="majorBidi" w:eastAsiaTheme="minorEastAsia" w:hAnsiTheme="majorBidi" w:cstheme="majorBidi"/>
          <w:b/>
          <w:bCs/>
          <w:i/>
          <w:iCs/>
          <w:sz w:val="23"/>
          <w:szCs w:val="23"/>
        </w:rPr>
      </w:pPr>
    </w:p>
    <w:p w14:paraId="30B0695F" w14:textId="4AFC953E" w:rsidR="007F7906" w:rsidRPr="00D66CAB" w:rsidRDefault="007F7906" w:rsidP="008B4FDC">
      <w:pPr>
        <w:spacing w:before="240" w:line="480" w:lineRule="auto"/>
        <w:rPr>
          <w:rFonts w:asciiTheme="majorBidi" w:eastAsiaTheme="minorEastAsia" w:hAnsiTheme="majorBidi" w:cstheme="majorBidi"/>
          <w:b/>
          <w:bCs/>
          <w:i/>
          <w:iCs/>
          <w:sz w:val="23"/>
          <w:szCs w:val="23"/>
        </w:rPr>
      </w:pPr>
      <w:r w:rsidRPr="00D66CAB">
        <w:rPr>
          <w:rFonts w:asciiTheme="majorBidi" w:eastAsiaTheme="minorEastAsia" w:hAnsiTheme="majorBidi" w:cstheme="majorBidi"/>
          <w:b/>
          <w:bCs/>
          <w:i/>
          <w:iCs/>
          <w:sz w:val="23"/>
          <w:szCs w:val="23"/>
        </w:rPr>
        <w:t xml:space="preserve">DVA </w:t>
      </w:r>
      <w:r w:rsidR="00D66CAB">
        <w:rPr>
          <w:rFonts w:asciiTheme="majorBidi" w:eastAsiaTheme="minorEastAsia" w:hAnsiTheme="majorBidi" w:cstheme="majorBidi"/>
          <w:b/>
          <w:bCs/>
          <w:i/>
          <w:iCs/>
          <w:sz w:val="23"/>
          <w:szCs w:val="23"/>
        </w:rPr>
        <w:t>comparisons</w:t>
      </w:r>
      <w:r w:rsidR="00D66CAB" w:rsidRPr="00D66CAB">
        <w:rPr>
          <w:rFonts w:asciiTheme="majorBidi" w:eastAsiaTheme="minorEastAsia" w:hAnsiTheme="majorBidi" w:cstheme="majorBidi"/>
          <w:b/>
          <w:bCs/>
          <w:i/>
          <w:iCs/>
          <w:sz w:val="23"/>
          <w:szCs w:val="23"/>
        </w:rPr>
        <w:t xml:space="preserve"> across </w:t>
      </w:r>
      <w:r w:rsidR="00C13DAD">
        <w:rPr>
          <w:rFonts w:asciiTheme="majorBidi" w:eastAsiaTheme="minorEastAsia" w:hAnsiTheme="majorBidi" w:cstheme="majorBidi"/>
          <w:b/>
          <w:bCs/>
          <w:i/>
          <w:iCs/>
          <w:sz w:val="23"/>
          <w:szCs w:val="23"/>
        </w:rPr>
        <w:t xml:space="preserve">African </w:t>
      </w:r>
      <w:r w:rsidR="00D66CAB" w:rsidRPr="00D66CAB">
        <w:rPr>
          <w:rFonts w:asciiTheme="majorBidi" w:eastAsiaTheme="minorEastAsia" w:hAnsiTheme="majorBidi" w:cstheme="majorBidi"/>
          <w:b/>
          <w:bCs/>
          <w:i/>
          <w:iCs/>
          <w:sz w:val="23"/>
          <w:szCs w:val="23"/>
        </w:rPr>
        <w:t>countries</w:t>
      </w:r>
    </w:p>
    <w:p w14:paraId="150858BE" w14:textId="4F6E1874" w:rsidR="00D66CAB" w:rsidRPr="008B6D1B" w:rsidRDefault="00B37AF4" w:rsidP="00CE137E">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African countries are quite diverse in their absolute values of domestic value-added, with </w:t>
      </w:r>
      <w:r w:rsidR="00613C63" w:rsidRPr="008B6D1B">
        <w:rPr>
          <w:rFonts w:asciiTheme="majorBidi" w:hAnsiTheme="majorBidi" w:cstheme="majorBidi"/>
          <w:sz w:val="24"/>
          <w:szCs w:val="24"/>
        </w:rPr>
        <w:t>South Africa, Algeria, Nigeria, Angola and Morocco</w:t>
      </w:r>
      <w:r>
        <w:rPr>
          <w:rFonts w:asciiTheme="majorBidi" w:hAnsiTheme="majorBidi" w:cstheme="majorBidi"/>
          <w:sz w:val="24"/>
          <w:szCs w:val="24"/>
        </w:rPr>
        <w:t xml:space="preserve"> having the highest levels</w:t>
      </w:r>
      <w:r w:rsidR="005C508E" w:rsidRPr="008B6D1B">
        <w:rPr>
          <w:rFonts w:asciiTheme="majorBidi" w:hAnsiTheme="majorBidi" w:cstheme="majorBidi"/>
          <w:sz w:val="24"/>
          <w:szCs w:val="24"/>
        </w:rPr>
        <w:t xml:space="preserve"> (</w:t>
      </w:r>
      <w:r w:rsidR="005C508E" w:rsidRPr="008B6D1B">
        <w:rPr>
          <w:rFonts w:asciiTheme="majorBidi" w:hAnsiTheme="majorBidi" w:cstheme="majorBidi"/>
          <w:color w:val="FF0000"/>
          <w:sz w:val="24"/>
          <w:szCs w:val="24"/>
        </w:rPr>
        <w:t xml:space="preserve">Figure </w:t>
      </w:r>
      <w:r w:rsidR="009F4BCF" w:rsidRPr="008B6D1B">
        <w:rPr>
          <w:rFonts w:asciiTheme="majorBidi" w:hAnsiTheme="majorBidi" w:cstheme="majorBidi"/>
          <w:color w:val="FF0000"/>
          <w:sz w:val="24"/>
          <w:szCs w:val="24"/>
        </w:rPr>
        <w:t>4</w:t>
      </w:r>
      <w:r w:rsidR="005C508E" w:rsidRPr="008B6D1B">
        <w:rPr>
          <w:rFonts w:asciiTheme="majorBidi" w:hAnsiTheme="majorBidi" w:cstheme="majorBidi"/>
          <w:sz w:val="24"/>
          <w:szCs w:val="24"/>
        </w:rPr>
        <w:t>)</w:t>
      </w:r>
      <w:r w:rsidR="00613C63" w:rsidRPr="008B6D1B">
        <w:rPr>
          <w:rFonts w:asciiTheme="majorBidi" w:hAnsiTheme="majorBidi" w:cstheme="majorBidi"/>
          <w:sz w:val="24"/>
          <w:szCs w:val="24"/>
        </w:rPr>
        <w:t>. The countries with the smalle</w:t>
      </w:r>
      <w:r w:rsidR="00FB2438" w:rsidRPr="008B6D1B">
        <w:rPr>
          <w:rFonts w:asciiTheme="majorBidi" w:hAnsiTheme="majorBidi" w:cstheme="majorBidi"/>
          <w:sz w:val="24"/>
          <w:szCs w:val="24"/>
        </w:rPr>
        <w:t>st DVA are Somalia, Gambia, Djibouti</w:t>
      </w:r>
      <w:r w:rsidR="005427DF" w:rsidRPr="008B6D1B">
        <w:rPr>
          <w:rFonts w:asciiTheme="majorBidi" w:hAnsiTheme="majorBidi" w:cstheme="majorBidi"/>
          <w:sz w:val="24"/>
          <w:szCs w:val="24"/>
        </w:rPr>
        <w:t xml:space="preserve">, Burundi and Rwanda. </w:t>
      </w:r>
      <w:r>
        <w:rPr>
          <w:rFonts w:asciiTheme="majorBidi" w:hAnsiTheme="majorBidi" w:cstheme="majorBidi"/>
          <w:sz w:val="24"/>
          <w:szCs w:val="24"/>
        </w:rPr>
        <w:t xml:space="preserve">Diversity is further observed in </w:t>
      </w:r>
      <w:r w:rsidR="005427DF" w:rsidRPr="008B6D1B">
        <w:rPr>
          <w:rFonts w:asciiTheme="majorBidi" w:hAnsiTheme="majorBidi" w:cstheme="majorBidi"/>
          <w:sz w:val="24"/>
          <w:szCs w:val="24"/>
        </w:rPr>
        <w:t xml:space="preserve">DVA growth </w:t>
      </w:r>
      <w:r w:rsidR="006C1CF4" w:rsidRPr="008B6D1B">
        <w:rPr>
          <w:rFonts w:asciiTheme="majorBidi" w:hAnsiTheme="majorBidi" w:cstheme="majorBidi"/>
          <w:sz w:val="24"/>
          <w:szCs w:val="24"/>
        </w:rPr>
        <w:t xml:space="preserve">over the 1990-2018 period, </w:t>
      </w:r>
      <w:r w:rsidR="00A34E8E" w:rsidRPr="008B6D1B">
        <w:rPr>
          <w:rFonts w:asciiTheme="majorBidi" w:hAnsiTheme="majorBidi" w:cstheme="majorBidi"/>
          <w:sz w:val="24"/>
          <w:szCs w:val="24"/>
        </w:rPr>
        <w:t xml:space="preserve">with growth ranging from 1.1% in Tanzania to 13.7 in Seychelles and </w:t>
      </w:r>
      <w:r w:rsidR="005C508E" w:rsidRPr="008B6D1B">
        <w:rPr>
          <w:rFonts w:asciiTheme="majorBidi" w:hAnsiTheme="majorBidi" w:cstheme="majorBidi"/>
          <w:sz w:val="24"/>
          <w:szCs w:val="24"/>
        </w:rPr>
        <w:t>Angola (</w:t>
      </w:r>
      <w:r w:rsidR="005C508E" w:rsidRPr="008B6D1B">
        <w:rPr>
          <w:rFonts w:asciiTheme="majorBidi" w:hAnsiTheme="majorBidi" w:cstheme="majorBidi"/>
          <w:color w:val="FF0000"/>
          <w:sz w:val="24"/>
          <w:szCs w:val="24"/>
        </w:rPr>
        <w:t xml:space="preserve">Figure </w:t>
      </w:r>
      <w:r w:rsidR="009F4BCF" w:rsidRPr="008B6D1B">
        <w:rPr>
          <w:rFonts w:asciiTheme="majorBidi" w:hAnsiTheme="majorBidi" w:cstheme="majorBidi"/>
          <w:color w:val="FF0000"/>
          <w:sz w:val="24"/>
          <w:szCs w:val="24"/>
        </w:rPr>
        <w:t>5</w:t>
      </w:r>
      <w:r w:rsidR="005C508E" w:rsidRPr="008B6D1B">
        <w:rPr>
          <w:rFonts w:asciiTheme="majorBidi" w:hAnsiTheme="majorBidi" w:cstheme="majorBidi"/>
          <w:sz w:val="24"/>
          <w:szCs w:val="24"/>
        </w:rPr>
        <w:t>).</w:t>
      </w:r>
      <w:r w:rsidR="00017B15" w:rsidRPr="008B6D1B">
        <w:rPr>
          <w:rFonts w:asciiTheme="majorBidi" w:hAnsiTheme="majorBidi" w:cstheme="majorBidi"/>
          <w:sz w:val="24"/>
          <w:szCs w:val="24"/>
        </w:rPr>
        <w:t xml:space="preserve"> </w:t>
      </w:r>
      <w:r w:rsidR="00BE3BDD">
        <w:rPr>
          <w:rFonts w:asciiTheme="majorBidi" w:hAnsiTheme="majorBidi" w:cstheme="majorBidi"/>
          <w:sz w:val="24"/>
          <w:szCs w:val="24"/>
        </w:rPr>
        <w:t xml:space="preserve">South Africa, which has the highest DVA in absolute terms, has </w:t>
      </w:r>
      <w:r w:rsidR="00C7109C">
        <w:rPr>
          <w:rFonts w:asciiTheme="majorBidi" w:hAnsiTheme="majorBidi" w:cstheme="majorBidi"/>
          <w:sz w:val="24"/>
          <w:szCs w:val="24"/>
        </w:rPr>
        <w:t xml:space="preserve">a </w:t>
      </w:r>
      <w:r w:rsidR="00C7109C">
        <w:rPr>
          <w:rFonts w:asciiTheme="majorBidi" w:hAnsiTheme="majorBidi" w:cstheme="majorBidi"/>
          <w:sz w:val="24"/>
          <w:szCs w:val="24"/>
        </w:rPr>
        <w:lastRenderedPageBreak/>
        <w:t>relatively low growth rate, perhaps partly reflecting the country’s higher initial position with relatively less room for DVA expansion.</w:t>
      </w:r>
    </w:p>
    <w:p w14:paraId="7291018D" w14:textId="4E569B77" w:rsidR="00101A2C" w:rsidRDefault="00AA4883" w:rsidP="00C75122">
      <w:pPr>
        <w:spacing w:line="360" w:lineRule="auto"/>
        <w:jc w:val="center"/>
        <w:rPr>
          <w:rFonts w:asciiTheme="majorBidi" w:eastAsiaTheme="minorEastAsia" w:hAnsiTheme="majorBidi" w:cstheme="majorBidi"/>
          <w:b/>
          <w:bCs/>
          <w:sz w:val="23"/>
          <w:szCs w:val="23"/>
        </w:rPr>
      </w:pPr>
      <w:r w:rsidRPr="000506E0">
        <w:rPr>
          <w:rFonts w:asciiTheme="majorBidi" w:eastAsiaTheme="minorEastAsia" w:hAnsiTheme="majorBidi" w:cstheme="majorBidi"/>
          <w:b/>
          <w:bCs/>
          <w:color w:val="FF0000"/>
          <w:sz w:val="23"/>
          <w:szCs w:val="23"/>
        </w:rPr>
        <w:t xml:space="preserve">Figure </w:t>
      </w:r>
      <w:r w:rsidR="000506E0" w:rsidRPr="000506E0">
        <w:rPr>
          <w:rFonts w:asciiTheme="majorBidi" w:eastAsiaTheme="minorEastAsia" w:hAnsiTheme="majorBidi" w:cstheme="majorBidi"/>
          <w:b/>
          <w:bCs/>
          <w:color w:val="FF0000"/>
          <w:sz w:val="23"/>
          <w:szCs w:val="23"/>
        </w:rPr>
        <w:t>4</w:t>
      </w:r>
      <w:r w:rsidRPr="00AA4883">
        <w:rPr>
          <w:rFonts w:asciiTheme="majorBidi" w:eastAsiaTheme="minorEastAsia" w:hAnsiTheme="majorBidi" w:cstheme="majorBidi"/>
          <w:b/>
          <w:bCs/>
          <w:sz w:val="23"/>
          <w:szCs w:val="23"/>
        </w:rPr>
        <w:t xml:space="preserve">: </w:t>
      </w:r>
      <w:r w:rsidR="008A1A08">
        <w:rPr>
          <w:rFonts w:asciiTheme="majorBidi" w:eastAsiaTheme="minorEastAsia" w:hAnsiTheme="majorBidi" w:cstheme="majorBidi"/>
          <w:b/>
          <w:bCs/>
          <w:sz w:val="23"/>
          <w:szCs w:val="23"/>
        </w:rPr>
        <w:t>D</w:t>
      </w:r>
      <w:r w:rsidRPr="00AA4883">
        <w:rPr>
          <w:rFonts w:asciiTheme="majorBidi" w:eastAsiaTheme="minorEastAsia" w:hAnsiTheme="majorBidi" w:cstheme="majorBidi"/>
          <w:b/>
          <w:bCs/>
          <w:sz w:val="23"/>
          <w:szCs w:val="23"/>
        </w:rPr>
        <w:t xml:space="preserve">omestic </w:t>
      </w:r>
      <w:r w:rsidR="002C4BFA">
        <w:rPr>
          <w:rFonts w:asciiTheme="majorBidi" w:eastAsiaTheme="minorEastAsia" w:hAnsiTheme="majorBidi" w:cstheme="majorBidi"/>
          <w:b/>
          <w:bCs/>
          <w:sz w:val="23"/>
          <w:szCs w:val="23"/>
        </w:rPr>
        <w:t xml:space="preserve">and </w:t>
      </w:r>
      <w:r w:rsidR="006E1696">
        <w:rPr>
          <w:rFonts w:asciiTheme="majorBidi" w:eastAsiaTheme="minorEastAsia" w:hAnsiTheme="majorBidi" w:cstheme="majorBidi"/>
          <w:b/>
          <w:bCs/>
          <w:sz w:val="23"/>
          <w:szCs w:val="23"/>
        </w:rPr>
        <w:t>f</w:t>
      </w:r>
      <w:r w:rsidR="002C4BFA">
        <w:rPr>
          <w:rFonts w:asciiTheme="majorBidi" w:eastAsiaTheme="minorEastAsia" w:hAnsiTheme="majorBidi" w:cstheme="majorBidi"/>
          <w:b/>
          <w:bCs/>
          <w:sz w:val="23"/>
          <w:szCs w:val="23"/>
        </w:rPr>
        <w:t xml:space="preserve">oreign </w:t>
      </w:r>
      <w:r w:rsidR="006E1696">
        <w:rPr>
          <w:rFonts w:asciiTheme="majorBidi" w:eastAsiaTheme="minorEastAsia" w:hAnsiTheme="majorBidi" w:cstheme="majorBidi"/>
          <w:b/>
          <w:bCs/>
          <w:sz w:val="23"/>
          <w:szCs w:val="23"/>
        </w:rPr>
        <w:t>v</w:t>
      </w:r>
      <w:r w:rsidRPr="00AA4883">
        <w:rPr>
          <w:rFonts w:asciiTheme="majorBidi" w:eastAsiaTheme="minorEastAsia" w:hAnsiTheme="majorBidi" w:cstheme="majorBidi"/>
          <w:b/>
          <w:bCs/>
          <w:sz w:val="23"/>
          <w:szCs w:val="23"/>
        </w:rPr>
        <w:t xml:space="preserve">alue </w:t>
      </w:r>
      <w:r w:rsidR="006E1696">
        <w:rPr>
          <w:rFonts w:asciiTheme="majorBidi" w:eastAsiaTheme="minorEastAsia" w:hAnsiTheme="majorBidi" w:cstheme="majorBidi"/>
          <w:b/>
          <w:bCs/>
          <w:sz w:val="23"/>
          <w:szCs w:val="23"/>
        </w:rPr>
        <w:t>a</w:t>
      </w:r>
      <w:r w:rsidRPr="00AA4883">
        <w:rPr>
          <w:rFonts w:asciiTheme="majorBidi" w:eastAsiaTheme="minorEastAsia" w:hAnsiTheme="majorBidi" w:cstheme="majorBidi"/>
          <w:b/>
          <w:bCs/>
          <w:sz w:val="23"/>
          <w:szCs w:val="23"/>
        </w:rPr>
        <w:t xml:space="preserve">dded by </w:t>
      </w:r>
      <w:r w:rsidR="006E1696">
        <w:rPr>
          <w:rFonts w:asciiTheme="majorBidi" w:eastAsiaTheme="minorEastAsia" w:hAnsiTheme="majorBidi" w:cstheme="majorBidi"/>
          <w:b/>
          <w:bCs/>
          <w:sz w:val="23"/>
          <w:szCs w:val="23"/>
        </w:rPr>
        <w:t>c</w:t>
      </w:r>
      <w:r w:rsidRPr="00AA4883">
        <w:rPr>
          <w:rFonts w:asciiTheme="majorBidi" w:eastAsiaTheme="minorEastAsia" w:hAnsiTheme="majorBidi" w:cstheme="majorBidi"/>
          <w:b/>
          <w:bCs/>
          <w:sz w:val="23"/>
          <w:szCs w:val="23"/>
        </w:rPr>
        <w:t xml:space="preserve">ountry in </w:t>
      </w:r>
      <w:r w:rsidR="005F7CD4" w:rsidRPr="00AA4883">
        <w:rPr>
          <w:rFonts w:asciiTheme="majorBidi" w:eastAsiaTheme="minorEastAsia" w:hAnsiTheme="majorBidi" w:cstheme="majorBidi"/>
          <w:b/>
          <w:bCs/>
          <w:sz w:val="23"/>
          <w:szCs w:val="23"/>
        </w:rPr>
        <w:t>201</w:t>
      </w:r>
      <w:r w:rsidR="005F7CD4">
        <w:rPr>
          <w:rFonts w:asciiTheme="majorBidi" w:eastAsiaTheme="minorEastAsia" w:hAnsiTheme="majorBidi" w:cstheme="majorBidi"/>
          <w:b/>
          <w:bCs/>
          <w:sz w:val="23"/>
          <w:szCs w:val="23"/>
        </w:rPr>
        <w:t>7</w:t>
      </w:r>
    </w:p>
    <w:p w14:paraId="1DF2A068" w14:textId="00007C11" w:rsidR="009B78A6" w:rsidRDefault="009B78A6" w:rsidP="00EC2FE2">
      <w:pPr>
        <w:spacing w:line="360" w:lineRule="auto"/>
        <w:jc w:val="center"/>
        <w:rPr>
          <w:rFonts w:asciiTheme="majorBidi" w:eastAsiaTheme="minorEastAsia" w:hAnsiTheme="majorBidi" w:cstheme="majorBidi"/>
          <w:b/>
          <w:bCs/>
          <w:sz w:val="23"/>
          <w:szCs w:val="23"/>
        </w:rPr>
      </w:pPr>
      <w:r w:rsidRPr="00AB6816">
        <w:rPr>
          <w:noProof/>
        </w:rPr>
        <w:drawing>
          <wp:inline distT="0" distB="0" distL="0" distR="0" wp14:anchorId="2DA45A30" wp14:editId="2637F9EF">
            <wp:extent cx="6055995" cy="4404360"/>
            <wp:effectExtent l="0" t="0" r="190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73873" cy="4417362"/>
                    </a:xfrm>
                    <a:prstGeom prst="rect">
                      <a:avLst/>
                    </a:prstGeom>
                    <a:noFill/>
                    <a:ln>
                      <a:noFill/>
                    </a:ln>
                  </pic:spPr>
                </pic:pic>
              </a:graphicData>
            </a:graphic>
          </wp:inline>
        </w:drawing>
      </w:r>
    </w:p>
    <w:p w14:paraId="761E04CA" w14:textId="6E0D9C10" w:rsidR="0037280E" w:rsidRPr="0037280E" w:rsidRDefault="0037280E" w:rsidP="0037280E">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6CE33A41" w14:textId="77777777" w:rsidR="00E65F3A" w:rsidRDefault="00E65F3A">
      <w:pPr>
        <w:rPr>
          <w:rFonts w:asciiTheme="majorBidi" w:eastAsiaTheme="minorEastAsia" w:hAnsiTheme="majorBidi" w:cstheme="majorBidi"/>
          <w:b/>
          <w:bCs/>
          <w:sz w:val="23"/>
          <w:szCs w:val="23"/>
        </w:rPr>
      </w:pPr>
    </w:p>
    <w:p w14:paraId="0FCD1EE7" w14:textId="77777777" w:rsidR="00B85F57" w:rsidRDefault="00B85F57">
      <w:pPr>
        <w:rPr>
          <w:rFonts w:asciiTheme="majorBidi" w:eastAsiaTheme="minorEastAsia" w:hAnsiTheme="majorBidi" w:cstheme="majorBidi"/>
          <w:b/>
          <w:bCs/>
          <w:color w:val="FF0000"/>
          <w:sz w:val="23"/>
          <w:szCs w:val="23"/>
        </w:rPr>
      </w:pPr>
      <w:r>
        <w:rPr>
          <w:rFonts w:asciiTheme="majorBidi" w:eastAsiaTheme="minorEastAsia" w:hAnsiTheme="majorBidi" w:cstheme="majorBidi"/>
          <w:b/>
          <w:bCs/>
          <w:color w:val="FF0000"/>
          <w:sz w:val="23"/>
          <w:szCs w:val="23"/>
        </w:rPr>
        <w:br w:type="page"/>
      </w:r>
    </w:p>
    <w:p w14:paraId="54EB0531" w14:textId="5BF637F2" w:rsidR="00CB106F" w:rsidRPr="00AA4883" w:rsidRDefault="00CB106F" w:rsidP="00CB106F">
      <w:pPr>
        <w:spacing w:line="360" w:lineRule="auto"/>
        <w:jc w:val="center"/>
        <w:rPr>
          <w:rFonts w:asciiTheme="majorBidi" w:eastAsiaTheme="minorEastAsia" w:hAnsiTheme="majorBidi" w:cstheme="majorBidi"/>
          <w:b/>
          <w:bCs/>
          <w:sz w:val="23"/>
          <w:szCs w:val="23"/>
        </w:rPr>
      </w:pPr>
      <w:r w:rsidRPr="000506E0">
        <w:rPr>
          <w:rFonts w:asciiTheme="majorBidi" w:eastAsiaTheme="minorEastAsia" w:hAnsiTheme="majorBidi" w:cstheme="majorBidi"/>
          <w:b/>
          <w:bCs/>
          <w:color w:val="FF0000"/>
          <w:sz w:val="23"/>
          <w:szCs w:val="23"/>
        </w:rPr>
        <w:lastRenderedPageBreak/>
        <w:t xml:space="preserve">Figure </w:t>
      </w:r>
      <w:r w:rsidR="000506E0" w:rsidRPr="000506E0">
        <w:rPr>
          <w:rFonts w:asciiTheme="majorBidi" w:eastAsiaTheme="minorEastAsia" w:hAnsiTheme="majorBidi" w:cstheme="majorBidi"/>
          <w:b/>
          <w:bCs/>
          <w:color w:val="FF0000"/>
          <w:sz w:val="23"/>
          <w:szCs w:val="23"/>
        </w:rPr>
        <w:t>5</w:t>
      </w:r>
      <w:r w:rsidRPr="00AA4883">
        <w:rPr>
          <w:rFonts w:asciiTheme="majorBidi" w:eastAsiaTheme="minorEastAsia" w:hAnsiTheme="majorBidi" w:cstheme="majorBidi"/>
          <w:b/>
          <w:bCs/>
          <w:sz w:val="23"/>
          <w:szCs w:val="23"/>
        </w:rPr>
        <w:t xml:space="preserve">: </w:t>
      </w:r>
      <w:r>
        <w:rPr>
          <w:rFonts w:asciiTheme="majorBidi" w:eastAsiaTheme="minorEastAsia" w:hAnsiTheme="majorBidi" w:cstheme="majorBidi"/>
          <w:b/>
          <w:bCs/>
          <w:sz w:val="23"/>
          <w:szCs w:val="23"/>
        </w:rPr>
        <w:t xml:space="preserve">Growth of </w:t>
      </w:r>
      <w:r w:rsidR="006E1696">
        <w:rPr>
          <w:rFonts w:asciiTheme="majorBidi" w:eastAsiaTheme="minorEastAsia" w:hAnsiTheme="majorBidi" w:cstheme="majorBidi"/>
          <w:b/>
          <w:bCs/>
          <w:sz w:val="23"/>
          <w:szCs w:val="23"/>
        </w:rPr>
        <w:t>d</w:t>
      </w:r>
      <w:r w:rsidRPr="00AA4883">
        <w:rPr>
          <w:rFonts w:asciiTheme="majorBidi" w:eastAsiaTheme="minorEastAsia" w:hAnsiTheme="majorBidi" w:cstheme="majorBidi"/>
          <w:b/>
          <w:bCs/>
          <w:sz w:val="23"/>
          <w:szCs w:val="23"/>
        </w:rPr>
        <w:t xml:space="preserve">omestic </w:t>
      </w:r>
      <w:r w:rsidR="00CB331A">
        <w:rPr>
          <w:rFonts w:asciiTheme="majorBidi" w:eastAsiaTheme="minorEastAsia" w:hAnsiTheme="majorBidi" w:cstheme="majorBidi"/>
          <w:b/>
          <w:bCs/>
          <w:sz w:val="23"/>
          <w:szCs w:val="23"/>
        </w:rPr>
        <w:t xml:space="preserve">and </w:t>
      </w:r>
      <w:r w:rsidR="006E1696">
        <w:rPr>
          <w:rFonts w:asciiTheme="majorBidi" w:eastAsiaTheme="minorEastAsia" w:hAnsiTheme="majorBidi" w:cstheme="majorBidi"/>
          <w:b/>
          <w:bCs/>
          <w:sz w:val="23"/>
          <w:szCs w:val="23"/>
        </w:rPr>
        <w:t>f</w:t>
      </w:r>
      <w:r w:rsidR="00CB331A">
        <w:rPr>
          <w:rFonts w:asciiTheme="majorBidi" w:eastAsiaTheme="minorEastAsia" w:hAnsiTheme="majorBidi" w:cstheme="majorBidi"/>
          <w:b/>
          <w:bCs/>
          <w:sz w:val="23"/>
          <w:szCs w:val="23"/>
        </w:rPr>
        <w:t xml:space="preserve">oreign </w:t>
      </w:r>
      <w:r w:rsidR="006E1696">
        <w:rPr>
          <w:rFonts w:asciiTheme="majorBidi" w:eastAsiaTheme="minorEastAsia" w:hAnsiTheme="majorBidi" w:cstheme="majorBidi"/>
          <w:b/>
          <w:bCs/>
          <w:sz w:val="23"/>
          <w:szCs w:val="23"/>
        </w:rPr>
        <w:t>v</w:t>
      </w:r>
      <w:r w:rsidRPr="00AA4883">
        <w:rPr>
          <w:rFonts w:asciiTheme="majorBidi" w:eastAsiaTheme="minorEastAsia" w:hAnsiTheme="majorBidi" w:cstheme="majorBidi"/>
          <w:b/>
          <w:bCs/>
          <w:sz w:val="23"/>
          <w:szCs w:val="23"/>
        </w:rPr>
        <w:t xml:space="preserve">alue </w:t>
      </w:r>
      <w:r w:rsidR="006E1696">
        <w:rPr>
          <w:rFonts w:asciiTheme="majorBidi" w:eastAsiaTheme="minorEastAsia" w:hAnsiTheme="majorBidi" w:cstheme="majorBidi"/>
          <w:b/>
          <w:bCs/>
          <w:sz w:val="23"/>
          <w:szCs w:val="23"/>
        </w:rPr>
        <w:t>a</w:t>
      </w:r>
      <w:r w:rsidRPr="00AA4883">
        <w:rPr>
          <w:rFonts w:asciiTheme="majorBidi" w:eastAsiaTheme="minorEastAsia" w:hAnsiTheme="majorBidi" w:cstheme="majorBidi"/>
          <w:b/>
          <w:bCs/>
          <w:sz w:val="23"/>
          <w:szCs w:val="23"/>
        </w:rPr>
        <w:t xml:space="preserve">dded by </w:t>
      </w:r>
      <w:r w:rsidR="006E1696">
        <w:rPr>
          <w:rFonts w:asciiTheme="majorBidi" w:eastAsiaTheme="minorEastAsia" w:hAnsiTheme="majorBidi" w:cstheme="majorBidi"/>
          <w:b/>
          <w:bCs/>
          <w:sz w:val="23"/>
          <w:szCs w:val="23"/>
        </w:rPr>
        <w:t>c</w:t>
      </w:r>
      <w:r w:rsidRPr="00AA4883">
        <w:rPr>
          <w:rFonts w:asciiTheme="majorBidi" w:eastAsiaTheme="minorEastAsia" w:hAnsiTheme="majorBidi" w:cstheme="majorBidi"/>
          <w:b/>
          <w:bCs/>
          <w:sz w:val="23"/>
          <w:szCs w:val="23"/>
        </w:rPr>
        <w:t>ountry</w:t>
      </w:r>
      <w:r>
        <w:rPr>
          <w:rFonts w:asciiTheme="majorBidi" w:eastAsiaTheme="minorEastAsia" w:hAnsiTheme="majorBidi" w:cstheme="majorBidi"/>
          <w:b/>
          <w:bCs/>
          <w:sz w:val="23"/>
          <w:szCs w:val="23"/>
        </w:rPr>
        <w:t xml:space="preserve">: </w:t>
      </w:r>
      <w:r w:rsidR="00F84893">
        <w:rPr>
          <w:rFonts w:asciiTheme="majorBidi" w:eastAsiaTheme="minorEastAsia" w:hAnsiTheme="majorBidi" w:cstheme="majorBidi"/>
          <w:b/>
          <w:bCs/>
          <w:sz w:val="23"/>
          <w:szCs w:val="23"/>
        </w:rPr>
        <w:t xml:space="preserve">Annual </w:t>
      </w:r>
      <w:r>
        <w:rPr>
          <w:rFonts w:asciiTheme="majorBidi" w:eastAsiaTheme="minorEastAsia" w:hAnsiTheme="majorBidi" w:cstheme="majorBidi"/>
          <w:b/>
          <w:bCs/>
          <w:sz w:val="23"/>
          <w:szCs w:val="23"/>
        </w:rPr>
        <w:t>Average</w:t>
      </w:r>
      <w:r w:rsidR="006E1696">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1990-</w:t>
      </w:r>
      <w:r w:rsidRPr="00AA4883">
        <w:rPr>
          <w:rFonts w:asciiTheme="majorBidi" w:eastAsiaTheme="minorEastAsia" w:hAnsiTheme="majorBidi" w:cstheme="majorBidi"/>
          <w:b/>
          <w:bCs/>
          <w:sz w:val="23"/>
          <w:szCs w:val="23"/>
        </w:rPr>
        <w:t>2018</w:t>
      </w:r>
      <w:r>
        <w:rPr>
          <w:rFonts w:asciiTheme="majorBidi" w:eastAsiaTheme="minorEastAsia" w:hAnsiTheme="majorBidi" w:cstheme="majorBidi"/>
          <w:b/>
          <w:bCs/>
          <w:sz w:val="23"/>
          <w:szCs w:val="23"/>
        </w:rPr>
        <w:t xml:space="preserve"> </w:t>
      </w:r>
    </w:p>
    <w:p w14:paraId="2380AC5E" w14:textId="4D1E41BC" w:rsidR="0037280E" w:rsidRDefault="009F4BCF" w:rsidP="00E65F3A">
      <w:pPr>
        <w:tabs>
          <w:tab w:val="left" w:pos="3144"/>
        </w:tabs>
        <w:rPr>
          <w:rFonts w:asciiTheme="majorBidi" w:eastAsiaTheme="minorEastAsia" w:hAnsiTheme="majorBidi" w:cstheme="majorBidi"/>
          <w:b/>
          <w:bCs/>
          <w:sz w:val="23"/>
          <w:szCs w:val="23"/>
        </w:rPr>
      </w:pPr>
      <w:r w:rsidRPr="009F4BCF">
        <w:rPr>
          <w:rFonts w:asciiTheme="majorBidi" w:eastAsiaTheme="minorEastAsia" w:hAnsiTheme="majorBidi" w:cstheme="majorBidi"/>
          <w:b/>
          <w:bCs/>
          <w:noProof/>
          <w:sz w:val="23"/>
          <w:szCs w:val="23"/>
        </w:rPr>
        <w:drawing>
          <wp:inline distT="0" distB="0" distL="0" distR="0" wp14:anchorId="047F0368" wp14:editId="28D08833">
            <wp:extent cx="5739050" cy="4590107"/>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084" cy="4601332"/>
                    </a:xfrm>
                    <a:prstGeom prst="rect">
                      <a:avLst/>
                    </a:prstGeom>
                    <a:noFill/>
                    <a:ln>
                      <a:noFill/>
                    </a:ln>
                  </pic:spPr>
                </pic:pic>
              </a:graphicData>
            </a:graphic>
          </wp:inline>
        </w:drawing>
      </w:r>
    </w:p>
    <w:p w14:paraId="7F415672" w14:textId="043D0B63" w:rsidR="00E65F3A" w:rsidRDefault="00E65F3A" w:rsidP="00E65F3A">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11AF76C5" w14:textId="77777777" w:rsidR="008A1A08" w:rsidRDefault="008A1A08">
      <w:pPr>
        <w:rPr>
          <w:rFonts w:asciiTheme="majorBidi" w:eastAsiaTheme="minorEastAsia" w:hAnsiTheme="majorBidi" w:cstheme="majorBidi"/>
          <w:i/>
          <w:iCs/>
          <w:sz w:val="23"/>
          <w:szCs w:val="23"/>
        </w:rPr>
      </w:pPr>
    </w:p>
    <w:p w14:paraId="74C4340B" w14:textId="5EB7C8B6" w:rsidR="004F560A" w:rsidRPr="008B4FDC" w:rsidRDefault="004F560A" w:rsidP="008B4FDC">
      <w:pPr>
        <w:spacing w:before="240" w:line="480" w:lineRule="auto"/>
        <w:rPr>
          <w:rFonts w:asciiTheme="majorBidi" w:eastAsiaTheme="minorEastAsia" w:hAnsiTheme="majorBidi" w:cstheme="majorBidi"/>
          <w:b/>
          <w:bCs/>
          <w:i/>
          <w:iCs/>
          <w:sz w:val="24"/>
          <w:szCs w:val="24"/>
        </w:rPr>
      </w:pPr>
      <w:r w:rsidRPr="008B4FDC">
        <w:rPr>
          <w:rFonts w:asciiTheme="majorBidi" w:eastAsiaTheme="minorEastAsia" w:hAnsiTheme="majorBidi" w:cstheme="majorBidi"/>
          <w:b/>
          <w:bCs/>
          <w:i/>
          <w:iCs/>
          <w:sz w:val="24"/>
          <w:szCs w:val="24"/>
        </w:rPr>
        <w:t>Relative shares of DVA and FVA in total value-added</w:t>
      </w:r>
    </w:p>
    <w:p w14:paraId="37BC5024" w14:textId="77777777" w:rsidR="008A1A08" w:rsidRDefault="00D96A46" w:rsidP="008B4FDC">
      <w:pPr>
        <w:spacing w:line="480" w:lineRule="auto"/>
        <w:jc w:val="both"/>
        <w:rPr>
          <w:rFonts w:asciiTheme="majorBidi" w:eastAsiaTheme="minorEastAsia" w:hAnsiTheme="majorBidi" w:cstheme="majorBidi"/>
          <w:sz w:val="24"/>
          <w:szCs w:val="24"/>
        </w:rPr>
      </w:pPr>
      <w:r w:rsidRPr="008B4FDC">
        <w:rPr>
          <w:rFonts w:asciiTheme="majorBidi" w:eastAsiaTheme="minorEastAsia" w:hAnsiTheme="majorBidi" w:cstheme="majorBidi"/>
          <w:sz w:val="24"/>
          <w:szCs w:val="24"/>
        </w:rPr>
        <w:t>The relative share of DVA is highest i</w:t>
      </w:r>
      <w:r w:rsidR="000C5AA3">
        <w:rPr>
          <w:rFonts w:asciiTheme="majorBidi" w:eastAsiaTheme="minorEastAsia" w:hAnsiTheme="majorBidi" w:cstheme="majorBidi"/>
          <w:sz w:val="24"/>
          <w:szCs w:val="24"/>
        </w:rPr>
        <w:t>n</w:t>
      </w:r>
      <w:r w:rsidRPr="008B4FDC">
        <w:rPr>
          <w:rFonts w:asciiTheme="majorBidi" w:eastAsiaTheme="minorEastAsia" w:hAnsiTheme="majorBidi" w:cstheme="majorBidi"/>
          <w:sz w:val="24"/>
          <w:szCs w:val="24"/>
        </w:rPr>
        <w:t xml:space="preserve"> small countries with lower levels of </w:t>
      </w:r>
      <w:r w:rsidR="00804FF0">
        <w:rPr>
          <w:rFonts w:asciiTheme="majorBidi" w:eastAsiaTheme="minorEastAsia" w:hAnsiTheme="majorBidi" w:cstheme="majorBidi"/>
          <w:sz w:val="24"/>
          <w:szCs w:val="24"/>
        </w:rPr>
        <w:t xml:space="preserve">economic </w:t>
      </w:r>
      <w:r w:rsidRPr="008B4FDC">
        <w:rPr>
          <w:rFonts w:asciiTheme="majorBidi" w:eastAsiaTheme="minorEastAsia" w:hAnsiTheme="majorBidi" w:cstheme="majorBidi"/>
          <w:sz w:val="24"/>
          <w:szCs w:val="24"/>
        </w:rPr>
        <w:t xml:space="preserve">growth, notably South Sudan. In larger and/or oil exporting countries like Nigeria and Angola, the domestic content </w:t>
      </w:r>
      <w:r w:rsidR="00804FF0">
        <w:rPr>
          <w:rFonts w:asciiTheme="majorBidi" w:eastAsiaTheme="minorEastAsia" w:hAnsiTheme="majorBidi" w:cstheme="majorBidi"/>
          <w:sz w:val="24"/>
          <w:szCs w:val="24"/>
        </w:rPr>
        <w:t>embedded in exports</w:t>
      </w:r>
      <w:r w:rsidRPr="008B4FDC">
        <w:rPr>
          <w:rFonts w:asciiTheme="majorBidi" w:eastAsiaTheme="minorEastAsia" w:hAnsiTheme="majorBidi" w:cstheme="majorBidi"/>
          <w:sz w:val="24"/>
          <w:szCs w:val="24"/>
        </w:rPr>
        <w:t xml:space="preserve"> is relatively higher, with a lower share of foreign value-added</w:t>
      </w:r>
      <w:r w:rsidR="006B18E5" w:rsidRPr="008B4FDC">
        <w:rPr>
          <w:rFonts w:asciiTheme="majorBidi" w:eastAsiaTheme="minorEastAsia" w:hAnsiTheme="majorBidi" w:cstheme="majorBidi"/>
          <w:sz w:val="24"/>
          <w:szCs w:val="24"/>
        </w:rPr>
        <w:t xml:space="preserve">, averaging </w:t>
      </w:r>
      <w:r w:rsidR="00804FF0">
        <w:rPr>
          <w:rFonts w:asciiTheme="majorBidi" w:eastAsiaTheme="minorEastAsia" w:hAnsiTheme="majorBidi" w:cstheme="majorBidi"/>
          <w:sz w:val="24"/>
          <w:szCs w:val="24"/>
        </w:rPr>
        <w:t>of about</w:t>
      </w:r>
      <w:r w:rsidR="006B18E5" w:rsidRPr="008B4FDC">
        <w:rPr>
          <w:rFonts w:asciiTheme="majorBidi" w:eastAsiaTheme="minorEastAsia" w:hAnsiTheme="majorBidi" w:cstheme="majorBidi"/>
          <w:sz w:val="24"/>
          <w:szCs w:val="24"/>
        </w:rPr>
        <w:t xml:space="preserve"> 15% in 201</w:t>
      </w:r>
      <w:r w:rsidR="00E471F9">
        <w:rPr>
          <w:rFonts w:asciiTheme="majorBidi" w:eastAsiaTheme="minorEastAsia" w:hAnsiTheme="majorBidi" w:cstheme="majorBidi"/>
          <w:sz w:val="24"/>
          <w:szCs w:val="24"/>
        </w:rPr>
        <w:t>7</w:t>
      </w:r>
      <w:r w:rsidR="006B18E5" w:rsidRPr="008B4FDC">
        <w:rPr>
          <w:rFonts w:asciiTheme="majorBidi" w:eastAsiaTheme="minorEastAsia" w:hAnsiTheme="majorBidi" w:cstheme="majorBidi"/>
          <w:sz w:val="24"/>
          <w:szCs w:val="24"/>
        </w:rPr>
        <w:t xml:space="preserve"> (</w:t>
      </w:r>
      <w:r w:rsidR="006B18E5" w:rsidRPr="008B4FDC">
        <w:rPr>
          <w:rFonts w:asciiTheme="majorBidi" w:eastAsiaTheme="minorEastAsia" w:hAnsiTheme="majorBidi" w:cstheme="majorBidi"/>
          <w:color w:val="FF0000"/>
          <w:sz w:val="24"/>
          <w:szCs w:val="24"/>
        </w:rPr>
        <w:t>Figure 6</w:t>
      </w:r>
      <w:r w:rsidR="006B18E5" w:rsidRPr="008B4FDC">
        <w:rPr>
          <w:rFonts w:asciiTheme="majorBidi" w:eastAsiaTheme="minorEastAsia" w:hAnsiTheme="majorBidi" w:cstheme="majorBidi"/>
          <w:sz w:val="24"/>
          <w:szCs w:val="24"/>
        </w:rPr>
        <w:t>)</w:t>
      </w:r>
      <w:r w:rsidRPr="008B4FDC">
        <w:rPr>
          <w:rFonts w:asciiTheme="majorBidi" w:eastAsiaTheme="minorEastAsia" w:hAnsiTheme="majorBidi" w:cstheme="majorBidi"/>
          <w:sz w:val="24"/>
          <w:szCs w:val="24"/>
        </w:rPr>
        <w:t>.</w:t>
      </w:r>
      <w:r w:rsidR="003309C3">
        <w:rPr>
          <w:rFonts w:asciiTheme="majorBidi" w:eastAsiaTheme="minorEastAsia" w:hAnsiTheme="majorBidi" w:cstheme="majorBidi"/>
          <w:sz w:val="24"/>
          <w:szCs w:val="24"/>
        </w:rPr>
        <w:t xml:space="preserve"> This is consistent with Alard et al. (2016) who found </w:t>
      </w:r>
      <w:r w:rsidR="00D92038">
        <w:rPr>
          <w:rFonts w:asciiTheme="majorBidi" w:eastAsiaTheme="minorEastAsia" w:hAnsiTheme="majorBidi" w:cstheme="majorBidi"/>
          <w:sz w:val="24"/>
          <w:szCs w:val="24"/>
        </w:rPr>
        <w:t>that Africa countries with higher levels of domestic sourcing of intermediates by multinational enterprises have lower levels of foreign sourcing by small domestic firms.</w:t>
      </w:r>
    </w:p>
    <w:p w14:paraId="104651FE" w14:textId="136C2B0D" w:rsidR="004F560A" w:rsidRPr="008B4FDC" w:rsidRDefault="00D92038" w:rsidP="008B4FDC">
      <w:pPr>
        <w:spacing w:line="480" w:lineRule="auto"/>
        <w:jc w:val="both"/>
        <w:rPr>
          <w:rFonts w:asciiTheme="majorBidi" w:eastAsiaTheme="minorEastAsia" w:hAnsiTheme="majorBidi" w:cstheme="majorBidi"/>
          <w:color w:val="FF0000"/>
          <w:sz w:val="24"/>
          <w:szCs w:val="24"/>
        </w:rPr>
      </w:pPr>
      <w:r>
        <w:rPr>
          <w:rFonts w:asciiTheme="majorBidi" w:eastAsiaTheme="minorEastAsia" w:hAnsiTheme="majorBidi" w:cstheme="majorBidi"/>
          <w:sz w:val="24"/>
          <w:szCs w:val="24"/>
        </w:rPr>
        <w:t xml:space="preserve"> </w:t>
      </w:r>
    </w:p>
    <w:p w14:paraId="5961BE02" w14:textId="77777777" w:rsidR="006B57E3" w:rsidRDefault="006B57E3" w:rsidP="00555331">
      <w:pPr>
        <w:jc w:val="center"/>
        <w:rPr>
          <w:rFonts w:asciiTheme="majorBidi" w:eastAsiaTheme="minorEastAsia" w:hAnsiTheme="majorBidi" w:cstheme="majorBidi"/>
          <w:b/>
          <w:bCs/>
          <w:color w:val="FF0000"/>
          <w:sz w:val="23"/>
          <w:szCs w:val="23"/>
        </w:rPr>
      </w:pPr>
    </w:p>
    <w:p w14:paraId="71751187" w14:textId="1964784F" w:rsidR="00297EF1" w:rsidRDefault="00555331" w:rsidP="00C75122">
      <w:pPr>
        <w:jc w:val="center"/>
        <w:rPr>
          <w:rFonts w:asciiTheme="majorBidi" w:eastAsiaTheme="minorEastAsia" w:hAnsiTheme="majorBidi" w:cstheme="majorBidi"/>
          <w:i/>
          <w:iCs/>
          <w:sz w:val="23"/>
          <w:szCs w:val="23"/>
        </w:rPr>
      </w:pPr>
      <w:r w:rsidRPr="000506E0">
        <w:rPr>
          <w:rFonts w:asciiTheme="majorBidi" w:eastAsiaTheme="minorEastAsia" w:hAnsiTheme="majorBidi" w:cstheme="majorBidi"/>
          <w:b/>
          <w:bCs/>
          <w:color w:val="FF0000"/>
          <w:sz w:val="23"/>
          <w:szCs w:val="23"/>
        </w:rPr>
        <w:t xml:space="preserve">Figure </w:t>
      </w:r>
      <w:r>
        <w:rPr>
          <w:rFonts w:asciiTheme="majorBidi" w:eastAsiaTheme="minorEastAsia" w:hAnsiTheme="majorBidi" w:cstheme="majorBidi"/>
          <w:b/>
          <w:bCs/>
          <w:color w:val="FF0000"/>
          <w:sz w:val="23"/>
          <w:szCs w:val="23"/>
        </w:rPr>
        <w:t>6</w:t>
      </w:r>
      <w:r w:rsidRPr="00AA4883">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DVA and FVA as percent of value-added by country, 201</w:t>
      </w:r>
      <w:r w:rsidR="00E471F9">
        <w:rPr>
          <w:rFonts w:asciiTheme="majorBidi" w:eastAsiaTheme="minorEastAsia" w:hAnsiTheme="majorBidi" w:cstheme="majorBidi"/>
          <w:b/>
          <w:bCs/>
          <w:sz w:val="23"/>
          <w:szCs w:val="23"/>
        </w:rPr>
        <w:t>7</w:t>
      </w:r>
    </w:p>
    <w:p w14:paraId="46D650DF" w14:textId="06018C89" w:rsidR="00555331" w:rsidRDefault="00891A20" w:rsidP="00555331">
      <w:pPr>
        <w:tabs>
          <w:tab w:val="left" w:pos="1853"/>
        </w:tabs>
        <w:jc w:val="center"/>
        <w:rPr>
          <w:rFonts w:asciiTheme="majorBidi" w:eastAsiaTheme="minorEastAsia" w:hAnsiTheme="majorBidi" w:cstheme="majorBidi"/>
          <w:i/>
          <w:iCs/>
          <w:sz w:val="23"/>
          <w:szCs w:val="23"/>
        </w:rPr>
      </w:pPr>
      <w:r w:rsidRPr="00891A20">
        <w:rPr>
          <w:rFonts w:asciiTheme="majorBidi" w:eastAsiaTheme="minorEastAsia" w:hAnsiTheme="majorBidi" w:cstheme="majorBidi"/>
          <w:i/>
          <w:iCs/>
          <w:noProof/>
          <w:sz w:val="23"/>
          <w:szCs w:val="23"/>
        </w:rPr>
        <w:drawing>
          <wp:inline distT="0" distB="0" distL="0" distR="0" wp14:anchorId="0555DAAA" wp14:editId="52E4A57F">
            <wp:extent cx="6133723" cy="4460889"/>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3096" cy="4474978"/>
                    </a:xfrm>
                    <a:prstGeom prst="rect">
                      <a:avLst/>
                    </a:prstGeom>
                    <a:noFill/>
                    <a:ln>
                      <a:noFill/>
                    </a:ln>
                  </pic:spPr>
                </pic:pic>
              </a:graphicData>
            </a:graphic>
          </wp:inline>
        </w:drawing>
      </w:r>
      <w:r w:rsidR="00555331" w:rsidRPr="0037280E">
        <w:rPr>
          <w:rFonts w:asciiTheme="majorBidi" w:eastAsiaTheme="minorEastAsia" w:hAnsiTheme="majorBidi" w:cstheme="majorBidi"/>
          <w:i/>
          <w:iCs/>
          <w:sz w:val="23"/>
          <w:szCs w:val="23"/>
        </w:rPr>
        <w:t>Source: Authors’ illustration based on UNCTAD-EORA GVC database</w:t>
      </w:r>
    </w:p>
    <w:p w14:paraId="7B8EA879" w14:textId="77777777" w:rsidR="006B57E3" w:rsidRDefault="006B57E3" w:rsidP="00BF3679">
      <w:pPr>
        <w:spacing w:before="240" w:line="480" w:lineRule="auto"/>
        <w:rPr>
          <w:rFonts w:asciiTheme="majorBidi" w:eastAsiaTheme="minorEastAsia" w:hAnsiTheme="majorBidi" w:cstheme="majorBidi"/>
          <w:b/>
          <w:bCs/>
          <w:i/>
          <w:iCs/>
          <w:sz w:val="24"/>
          <w:szCs w:val="24"/>
        </w:rPr>
      </w:pPr>
    </w:p>
    <w:p w14:paraId="7CAD0880" w14:textId="15C32C7E" w:rsidR="00BF3679" w:rsidRPr="008B4FDC" w:rsidRDefault="00BF3679" w:rsidP="00BF3679">
      <w:pPr>
        <w:spacing w:before="240" w:line="480" w:lineRule="auto"/>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Changes in r</w:t>
      </w:r>
      <w:r w:rsidRPr="008B4FDC">
        <w:rPr>
          <w:rFonts w:asciiTheme="majorBidi" w:eastAsiaTheme="minorEastAsia" w:hAnsiTheme="majorBidi" w:cstheme="majorBidi"/>
          <w:b/>
          <w:bCs/>
          <w:i/>
          <w:iCs/>
          <w:sz w:val="24"/>
          <w:szCs w:val="24"/>
        </w:rPr>
        <w:t>elative shares of DVA and FVA in total value-added</w:t>
      </w:r>
    </w:p>
    <w:p w14:paraId="1889DDFA" w14:textId="58B869A4" w:rsidR="00B501EF" w:rsidRPr="00A6486D" w:rsidRDefault="00B501EF" w:rsidP="00B501EF">
      <w:pPr>
        <w:spacing w:line="480" w:lineRule="auto"/>
        <w:jc w:val="both"/>
        <w:rPr>
          <w:rFonts w:asciiTheme="majorBidi" w:eastAsiaTheme="minorEastAsia" w:hAnsiTheme="majorBidi" w:cstheme="majorBidi"/>
          <w:b/>
          <w:bCs/>
          <w:color w:val="000000" w:themeColor="text1"/>
          <w:sz w:val="24"/>
          <w:szCs w:val="24"/>
        </w:rPr>
      </w:pPr>
      <w:r w:rsidRPr="00A6486D">
        <w:rPr>
          <w:rFonts w:asciiTheme="majorBidi" w:eastAsiaTheme="minorEastAsia" w:hAnsiTheme="majorBidi" w:cstheme="majorBidi"/>
          <w:color w:val="000000" w:themeColor="text1"/>
          <w:sz w:val="24"/>
          <w:szCs w:val="24"/>
        </w:rPr>
        <w:t xml:space="preserve">The composition of value-added is changing in some countries, with the share of foreign value-added exhibiting a higher year-to-year growth rate over the 1990-2018 period (Figure 6). Tanzania and DRC had the highest growth rate of the relative share of foreign value-added (6.3% and 5.4%) while domestic value added experienced negative growth (Figure 7). Overall, the relative share of DVA declined in 18 (almost half) of the study countries while 23 out of 36 countries experienced positive annual growth of FVA between the 1990-2018 period. </w:t>
      </w:r>
      <w:r w:rsidR="00BF3679">
        <w:rPr>
          <w:rFonts w:asciiTheme="majorBidi" w:eastAsiaTheme="minorEastAsia" w:hAnsiTheme="majorBidi" w:cstheme="majorBidi"/>
          <w:color w:val="000000" w:themeColor="text1"/>
          <w:sz w:val="24"/>
          <w:szCs w:val="24"/>
        </w:rPr>
        <w:t xml:space="preserve">Overall, the relative shares of both DVA and FVA in total value added have not changed substantially </w:t>
      </w:r>
      <w:r w:rsidR="005F5000">
        <w:rPr>
          <w:rFonts w:asciiTheme="majorBidi" w:eastAsiaTheme="minorEastAsia" w:hAnsiTheme="majorBidi" w:cstheme="majorBidi"/>
          <w:color w:val="000000" w:themeColor="text1"/>
          <w:sz w:val="24"/>
          <w:szCs w:val="24"/>
        </w:rPr>
        <w:t>over the past three decades</w:t>
      </w:r>
      <w:r w:rsidR="00BF3679">
        <w:rPr>
          <w:rFonts w:asciiTheme="majorBidi" w:eastAsiaTheme="minorEastAsia" w:hAnsiTheme="majorBidi" w:cstheme="majorBidi"/>
          <w:color w:val="000000" w:themeColor="text1"/>
          <w:sz w:val="24"/>
          <w:szCs w:val="24"/>
        </w:rPr>
        <w:t xml:space="preserve"> (Figure 8). </w:t>
      </w:r>
    </w:p>
    <w:p w14:paraId="1CE0BC16" w14:textId="5DD52D2C" w:rsidR="00534D16" w:rsidRPr="00AA4883" w:rsidRDefault="00534D16" w:rsidP="00534D16">
      <w:pPr>
        <w:spacing w:line="360" w:lineRule="auto"/>
        <w:jc w:val="center"/>
        <w:rPr>
          <w:rFonts w:asciiTheme="majorBidi" w:eastAsiaTheme="minorEastAsia" w:hAnsiTheme="majorBidi" w:cstheme="majorBidi"/>
          <w:b/>
          <w:bCs/>
          <w:sz w:val="23"/>
          <w:szCs w:val="23"/>
        </w:rPr>
      </w:pPr>
      <w:r w:rsidRPr="000506E0">
        <w:rPr>
          <w:rFonts w:asciiTheme="majorBidi" w:eastAsiaTheme="minorEastAsia" w:hAnsiTheme="majorBidi" w:cstheme="majorBidi"/>
          <w:b/>
          <w:bCs/>
          <w:color w:val="FF0000"/>
          <w:sz w:val="23"/>
          <w:szCs w:val="23"/>
        </w:rPr>
        <w:lastRenderedPageBreak/>
        <w:t xml:space="preserve">Figure </w:t>
      </w:r>
      <w:r w:rsidR="006B18E5">
        <w:rPr>
          <w:rFonts w:asciiTheme="majorBidi" w:eastAsiaTheme="minorEastAsia" w:hAnsiTheme="majorBidi" w:cstheme="majorBidi"/>
          <w:b/>
          <w:bCs/>
          <w:color w:val="FF0000"/>
          <w:sz w:val="23"/>
          <w:szCs w:val="23"/>
        </w:rPr>
        <w:t>7</w:t>
      </w:r>
      <w:r w:rsidRPr="00AA4883">
        <w:rPr>
          <w:rFonts w:asciiTheme="majorBidi" w:eastAsiaTheme="minorEastAsia" w:hAnsiTheme="majorBidi" w:cstheme="majorBidi"/>
          <w:b/>
          <w:bCs/>
          <w:sz w:val="23"/>
          <w:szCs w:val="23"/>
        </w:rPr>
        <w:t xml:space="preserve">: </w:t>
      </w:r>
      <w:r>
        <w:rPr>
          <w:rFonts w:asciiTheme="majorBidi" w:eastAsiaTheme="minorEastAsia" w:hAnsiTheme="majorBidi" w:cstheme="majorBidi"/>
          <w:b/>
          <w:bCs/>
          <w:sz w:val="23"/>
          <w:szCs w:val="23"/>
        </w:rPr>
        <w:t xml:space="preserve">Growth of </w:t>
      </w:r>
      <w:r w:rsidR="00BB19FC">
        <w:rPr>
          <w:rFonts w:asciiTheme="majorBidi" w:eastAsiaTheme="minorEastAsia" w:hAnsiTheme="majorBidi" w:cstheme="majorBidi"/>
          <w:b/>
          <w:bCs/>
          <w:sz w:val="23"/>
          <w:szCs w:val="23"/>
        </w:rPr>
        <w:t>r</w:t>
      </w:r>
      <w:r>
        <w:rPr>
          <w:rFonts w:asciiTheme="majorBidi" w:eastAsiaTheme="minorEastAsia" w:hAnsiTheme="majorBidi" w:cstheme="majorBidi"/>
          <w:b/>
          <w:bCs/>
          <w:sz w:val="23"/>
          <w:szCs w:val="23"/>
        </w:rPr>
        <w:t xml:space="preserve">elative </w:t>
      </w:r>
      <w:r w:rsidR="00BB19FC">
        <w:rPr>
          <w:rFonts w:asciiTheme="majorBidi" w:eastAsiaTheme="minorEastAsia" w:hAnsiTheme="majorBidi" w:cstheme="majorBidi"/>
          <w:b/>
          <w:bCs/>
          <w:sz w:val="23"/>
          <w:szCs w:val="23"/>
        </w:rPr>
        <w:t>s</w:t>
      </w:r>
      <w:r>
        <w:rPr>
          <w:rFonts w:asciiTheme="majorBidi" w:eastAsiaTheme="minorEastAsia" w:hAnsiTheme="majorBidi" w:cstheme="majorBidi"/>
          <w:b/>
          <w:bCs/>
          <w:sz w:val="23"/>
          <w:szCs w:val="23"/>
        </w:rPr>
        <w:t>hares of DVA and FVA</w:t>
      </w:r>
      <w:r w:rsidRPr="00AA4883">
        <w:rPr>
          <w:rFonts w:asciiTheme="majorBidi" w:eastAsiaTheme="minorEastAsia" w:hAnsiTheme="majorBidi" w:cstheme="majorBidi"/>
          <w:b/>
          <w:bCs/>
          <w:sz w:val="23"/>
          <w:szCs w:val="23"/>
        </w:rPr>
        <w:t xml:space="preserve"> by </w:t>
      </w:r>
      <w:r w:rsidR="00BB19FC">
        <w:rPr>
          <w:rFonts w:asciiTheme="majorBidi" w:eastAsiaTheme="minorEastAsia" w:hAnsiTheme="majorBidi" w:cstheme="majorBidi"/>
          <w:b/>
          <w:bCs/>
          <w:sz w:val="23"/>
          <w:szCs w:val="23"/>
        </w:rPr>
        <w:t>c</w:t>
      </w:r>
      <w:r w:rsidRPr="00AA4883">
        <w:rPr>
          <w:rFonts w:asciiTheme="majorBidi" w:eastAsiaTheme="minorEastAsia" w:hAnsiTheme="majorBidi" w:cstheme="majorBidi"/>
          <w:b/>
          <w:bCs/>
          <w:sz w:val="23"/>
          <w:szCs w:val="23"/>
        </w:rPr>
        <w:t>ountry</w:t>
      </w:r>
      <w:r>
        <w:rPr>
          <w:rFonts w:asciiTheme="majorBidi" w:eastAsiaTheme="minorEastAsia" w:hAnsiTheme="majorBidi" w:cstheme="majorBidi"/>
          <w:b/>
          <w:bCs/>
          <w:sz w:val="23"/>
          <w:szCs w:val="23"/>
        </w:rPr>
        <w:t>: Average</w:t>
      </w:r>
      <w:r w:rsidR="00BB19FC">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1990-</w:t>
      </w:r>
      <w:r w:rsidRPr="00AA4883">
        <w:rPr>
          <w:rFonts w:asciiTheme="majorBidi" w:eastAsiaTheme="minorEastAsia" w:hAnsiTheme="majorBidi" w:cstheme="majorBidi"/>
          <w:b/>
          <w:bCs/>
          <w:sz w:val="23"/>
          <w:szCs w:val="23"/>
        </w:rPr>
        <w:t>2018</w:t>
      </w:r>
      <w:r>
        <w:rPr>
          <w:rFonts w:asciiTheme="majorBidi" w:eastAsiaTheme="minorEastAsia" w:hAnsiTheme="majorBidi" w:cstheme="majorBidi"/>
          <w:b/>
          <w:bCs/>
          <w:sz w:val="23"/>
          <w:szCs w:val="23"/>
        </w:rPr>
        <w:t xml:space="preserve"> </w:t>
      </w:r>
    </w:p>
    <w:p w14:paraId="3AE92DD1" w14:textId="1AEA156C" w:rsidR="00534D16" w:rsidRDefault="00534D16" w:rsidP="00E65F3A">
      <w:pPr>
        <w:tabs>
          <w:tab w:val="left" w:pos="1853"/>
        </w:tabs>
        <w:jc w:val="center"/>
        <w:rPr>
          <w:rFonts w:asciiTheme="majorBidi" w:eastAsiaTheme="minorEastAsia" w:hAnsiTheme="majorBidi" w:cstheme="majorBidi"/>
          <w:i/>
          <w:iCs/>
          <w:sz w:val="23"/>
          <w:szCs w:val="23"/>
        </w:rPr>
      </w:pPr>
      <w:r w:rsidRPr="00534D16">
        <w:rPr>
          <w:rFonts w:asciiTheme="majorBidi" w:eastAsiaTheme="minorEastAsia" w:hAnsiTheme="majorBidi" w:cstheme="majorBidi"/>
          <w:i/>
          <w:iCs/>
          <w:noProof/>
          <w:sz w:val="23"/>
          <w:szCs w:val="23"/>
        </w:rPr>
        <w:drawing>
          <wp:inline distT="0" distB="0" distL="0" distR="0" wp14:anchorId="126F5867" wp14:editId="22D2FDBA">
            <wp:extent cx="5641975" cy="332714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96392" cy="3359240"/>
                    </a:xfrm>
                    <a:prstGeom prst="rect">
                      <a:avLst/>
                    </a:prstGeom>
                    <a:noFill/>
                    <a:ln>
                      <a:noFill/>
                    </a:ln>
                  </pic:spPr>
                </pic:pic>
              </a:graphicData>
            </a:graphic>
          </wp:inline>
        </w:drawing>
      </w:r>
    </w:p>
    <w:p w14:paraId="5CC4E5D2" w14:textId="77777777" w:rsidR="00534D16" w:rsidRDefault="00534D16" w:rsidP="00534D16">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554D5893" w14:textId="23035BBE" w:rsidR="007E676B" w:rsidRPr="007E676B" w:rsidRDefault="00E1040F" w:rsidP="00E1040F">
      <w:pPr>
        <w:jc w:val="center"/>
        <w:rPr>
          <w:rFonts w:asciiTheme="majorBidi" w:eastAsiaTheme="minorEastAsia" w:hAnsiTheme="majorBidi" w:cstheme="majorBidi"/>
          <w:sz w:val="23"/>
          <w:szCs w:val="23"/>
        </w:rPr>
      </w:pPr>
      <w:r w:rsidRPr="000506E0">
        <w:rPr>
          <w:rFonts w:asciiTheme="majorBidi" w:eastAsiaTheme="minorEastAsia" w:hAnsiTheme="majorBidi" w:cstheme="majorBidi"/>
          <w:b/>
          <w:bCs/>
          <w:color w:val="FF0000"/>
          <w:sz w:val="23"/>
          <w:szCs w:val="23"/>
        </w:rPr>
        <w:t xml:space="preserve">Figure </w:t>
      </w:r>
      <w:r w:rsidR="006B18E5">
        <w:rPr>
          <w:rFonts w:asciiTheme="majorBidi" w:eastAsiaTheme="minorEastAsia" w:hAnsiTheme="majorBidi" w:cstheme="majorBidi"/>
          <w:b/>
          <w:bCs/>
          <w:color w:val="FF0000"/>
          <w:sz w:val="23"/>
          <w:szCs w:val="23"/>
        </w:rPr>
        <w:t>8</w:t>
      </w:r>
      <w:r w:rsidRPr="00AA4883">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Average DVA and FVA as percent of value-added: 1990-2018</w:t>
      </w:r>
    </w:p>
    <w:p w14:paraId="5209C0FF" w14:textId="2AB510A7" w:rsidR="007E676B" w:rsidRPr="0037280E" w:rsidRDefault="00D822EC" w:rsidP="0037280E">
      <w:pPr>
        <w:tabs>
          <w:tab w:val="left" w:pos="1853"/>
        </w:tabs>
        <w:jc w:val="center"/>
        <w:rPr>
          <w:rFonts w:asciiTheme="majorBidi" w:eastAsiaTheme="minorEastAsia" w:hAnsiTheme="majorBidi" w:cstheme="majorBidi"/>
          <w:i/>
          <w:iCs/>
          <w:sz w:val="23"/>
          <w:szCs w:val="23"/>
        </w:rPr>
      </w:pPr>
      <w:r w:rsidRPr="00D822EC">
        <w:rPr>
          <w:rFonts w:asciiTheme="majorBidi" w:eastAsiaTheme="minorEastAsia" w:hAnsiTheme="majorBidi" w:cstheme="majorBidi"/>
          <w:i/>
          <w:iCs/>
          <w:noProof/>
          <w:sz w:val="23"/>
          <w:szCs w:val="23"/>
        </w:rPr>
        <w:drawing>
          <wp:inline distT="0" distB="0" distL="0" distR="0" wp14:anchorId="2DFE4A3C" wp14:editId="64C91C77">
            <wp:extent cx="5593080" cy="3548958"/>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36020" cy="3576204"/>
                    </a:xfrm>
                    <a:prstGeom prst="rect">
                      <a:avLst/>
                    </a:prstGeom>
                    <a:noFill/>
                    <a:ln>
                      <a:noFill/>
                    </a:ln>
                  </pic:spPr>
                </pic:pic>
              </a:graphicData>
            </a:graphic>
          </wp:inline>
        </w:drawing>
      </w:r>
    </w:p>
    <w:p w14:paraId="15131539" w14:textId="0AC7B782" w:rsidR="00E1040F" w:rsidRDefault="00E1040F" w:rsidP="00E1040F">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37BCD52C" w14:textId="624AD8AB" w:rsidR="00134839" w:rsidRDefault="00134839" w:rsidP="00134839">
      <w:pPr>
        <w:jc w:val="center"/>
        <w:rPr>
          <w:rFonts w:asciiTheme="majorBidi" w:eastAsiaTheme="minorEastAsia" w:hAnsiTheme="majorBidi" w:cstheme="majorBidi"/>
          <w:b/>
          <w:bCs/>
          <w:color w:val="FF0000"/>
          <w:sz w:val="23"/>
          <w:szCs w:val="23"/>
        </w:rPr>
      </w:pPr>
    </w:p>
    <w:p w14:paraId="759EB231" w14:textId="77777777" w:rsidR="00BB19FC" w:rsidRDefault="00BB19FC" w:rsidP="00B032B5">
      <w:pPr>
        <w:spacing w:line="480" w:lineRule="auto"/>
        <w:rPr>
          <w:rFonts w:asciiTheme="majorBidi" w:eastAsiaTheme="minorEastAsia" w:hAnsiTheme="majorBidi" w:cstheme="majorBidi"/>
          <w:b/>
          <w:bCs/>
          <w:i/>
          <w:iCs/>
          <w:color w:val="FF0000"/>
          <w:sz w:val="23"/>
          <w:szCs w:val="23"/>
        </w:rPr>
      </w:pPr>
    </w:p>
    <w:p w14:paraId="09FD73C8" w14:textId="5CB80B8B" w:rsidR="00C36DE0" w:rsidRPr="00897CAE" w:rsidRDefault="00B4352A" w:rsidP="00897CAE">
      <w:pPr>
        <w:tabs>
          <w:tab w:val="left" w:pos="1853"/>
        </w:tabs>
        <w:spacing w:before="240" w:line="480" w:lineRule="auto"/>
        <w:rPr>
          <w:rFonts w:asciiTheme="majorBidi" w:eastAsiaTheme="minorEastAsia" w:hAnsiTheme="majorBidi" w:cstheme="majorBidi"/>
          <w:b/>
          <w:bCs/>
          <w:i/>
          <w:iCs/>
          <w:sz w:val="23"/>
          <w:szCs w:val="23"/>
        </w:rPr>
      </w:pPr>
      <w:r>
        <w:rPr>
          <w:rFonts w:asciiTheme="majorBidi" w:hAnsiTheme="majorBidi" w:cstheme="majorBidi"/>
          <w:b/>
          <w:bCs/>
          <w:i/>
          <w:iCs/>
          <w:sz w:val="24"/>
          <w:szCs w:val="24"/>
        </w:rPr>
        <w:lastRenderedPageBreak/>
        <w:t>Inter-country</w:t>
      </w:r>
      <w:r w:rsidR="00897CAE" w:rsidRPr="00897CAE">
        <w:rPr>
          <w:rFonts w:asciiTheme="majorBidi" w:hAnsiTheme="majorBidi" w:cstheme="majorBidi"/>
          <w:b/>
          <w:bCs/>
          <w:i/>
          <w:iCs/>
          <w:sz w:val="24"/>
          <w:szCs w:val="24"/>
        </w:rPr>
        <w:t xml:space="preserve"> heterogeneities in DVA</w:t>
      </w:r>
      <w:r>
        <w:rPr>
          <w:rFonts w:asciiTheme="majorBidi" w:hAnsiTheme="majorBidi" w:cstheme="majorBidi"/>
          <w:b/>
          <w:bCs/>
          <w:i/>
          <w:iCs/>
          <w:sz w:val="24"/>
          <w:szCs w:val="24"/>
        </w:rPr>
        <w:t xml:space="preserve">, </w:t>
      </w:r>
      <w:r w:rsidR="00AB20D0">
        <w:rPr>
          <w:rFonts w:asciiTheme="majorBidi" w:hAnsiTheme="majorBidi" w:cstheme="majorBidi"/>
          <w:b/>
          <w:bCs/>
          <w:i/>
          <w:iCs/>
          <w:sz w:val="24"/>
          <w:szCs w:val="24"/>
        </w:rPr>
        <w:t>FVA</w:t>
      </w:r>
      <w:r>
        <w:rPr>
          <w:rFonts w:asciiTheme="majorBidi" w:hAnsiTheme="majorBidi" w:cstheme="majorBidi"/>
          <w:b/>
          <w:bCs/>
          <w:i/>
          <w:iCs/>
          <w:sz w:val="24"/>
          <w:szCs w:val="24"/>
        </w:rPr>
        <w:t>, DVX and GVC by resource endowment</w:t>
      </w:r>
    </w:p>
    <w:p w14:paraId="316C31E2" w14:textId="4DDDB010" w:rsidR="00DA4BB6" w:rsidRDefault="00334AA7" w:rsidP="00C75122">
      <w:pPr>
        <w:shd w:val="clear" w:color="auto" w:fill="FFFFFF"/>
        <w:spacing w:after="0" w:line="480" w:lineRule="auto"/>
        <w:jc w:val="both"/>
        <w:rPr>
          <w:rFonts w:asciiTheme="majorBidi" w:eastAsiaTheme="minorEastAsia" w:hAnsiTheme="majorBidi" w:cstheme="majorBidi"/>
          <w:b/>
          <w:bCs/>
          <w:color w:val="FF0000"/>
          <w:sz w:val="23"/>
          <w:szCs w:val="23"/>
        </w:rPr>
      </w:pPr>
      <w:r w:rsidRPr="00334AA7">
        <w:rPr>
          <w:rFonts w:asciiTheme="majorBidi" w:hAnsiTheme="majorBidi" w:cstheme="majorBidi"/>
          <w:sz w:val="24"/>
          <w:szCs w:val="24"/>
        </w:rPr>
        <w:t xml:space="preserve">In order to explore potential heterogeneities in value added </w:t>
      </w:r>
      <w:r w:rsidR="00B4352A">
        <w:rPr>
          <w:rFonts w:asciiTheme="majorBidi" w:hAnsiTheme="majorBidi" w:cstheme="majorBidi"/>
          <w:sz w:val="24"/>
          <w:szCs w:val="24"/>
        </w:rPr>
        <w:t xml:space="preserve">and GVC participation </w:t>
      </w:r>
      <w:r w:rsidRPr="00334AA7">
        <w:rPr>
          <w:rFonts w:asciiTheme="majorBidi" w:hAnsiTheme="majorBidi" w:cstheme="majorBidi"/>
          <w:sz w:val="24"/>
          <w:szCs w:val="24"/>
        </w:rPr>
        <w:t xml:space="preserve">among African countries, Figure </w:t>
      </w:r>
      <w:r w:rsidR="00043EFE">
        <w:rPr>
          <w:rFonts w:asciiTheme="majorBidi" w:hAnsiTheme="majorBidi" w:cstheme="majorBidi"/>
          <w:sz w:val="24"/>
          <w:szCs w:val="24"/>
        </w:rPr>
        <w:t>9</w:t>
      </w:r>
      <w:r w:rsidRPr="00334AA7">
        <w:rPr>
          <w:rFonts w:asciiTheme="majorBidi" w:hAnsiTheme="majorBidi" w:cstheme="majorBidi"/>
          <w:sz w:val="24"/>
          <w:szCs w:val="24"/>
        </w:rPr>
        <w:t xml:space="preserve"> presents the distribution of log-transformed </w:t>
      </w:r>
      <w:r w:rsidR="00B4352A">
        <w:rPr>
          <w:rFonts w:asciiTheme="majorBidi" w:hAnsiTheme="majorBidi" w:cstheme="majorBidi"/>
          <w:sz w:val="24"/>
          <w:szCs w:val="24"/>
        </w:rPr>
        <w:t>values of domestic value-added (DVA), foreign value-added (FVA), indirect value-added (DVX) and overall GVC</w:t>
      </w:r>
      <w:r w:rsidRPr="00334AA7">
        <w:rPr>
          <w:rFonts w:asciiTheme="majorBidi" w:hAnsiTheme="majorBidi" w:cstheme="majorBidi"/>
          <w:sz w:val="24"/>
          <w:szCs w:val="24"/>
        </w:rPr>
        <w:t xml:space="preserve"> </w:t>
      </w:r>
      <w:r w:rsidR="00B4352A">
        <w:rPr>
          <w:rFonts w:asciiTheme="majorBidi" w:hAnsiTheme="majorBidi" w:cstheme="majorBidi"/>
          <w:sz w:val="24"/>
          <w:szCs w:val="24"/>
        </w:rPr>
        <w:t>disaggregated by countries’</w:t>
      </w:r>
      <w:r w:rsidRPr="00334AA7">
        <w:rPr>
          <w:rFonts w:asciiTheme="majorBidi" w:hAnsiTheme="majorBidi" w:cstheme="majorBidi"/>
          <w:sz w:val="24"/>
          <w:szCs w:val="24"/>
        </w:rPr>
        <w:t xml:space="preserve"> resource-endowment</w:t>
      </w:r>
      <w:r w:rsidR="00B4352A">
        <w:rPr>
          <w:rFonts w:asciiTheme="majorBidi" w:hAnsiTheme="majorBidi" w:cstheme="majorBidi"/>
          <w:sz w:val="24"/>
          <w:szCs w:val="24"/>
        </w:rPr>
        <w:t xml:space="preserve"> categories</w:t>
      </w:r>
      <w:r w:rsidRPr="00334AA7">
        <w:rPr>
          <w:rFonts w:asciiTheme="majorBidi" w:hAnsiTheme="majorBidi" w:cstheme="majorBidi"/>
          <w:sz w:val="24"/>
          <w:szCs w:val="24"/>
        </w:rPr>
        <w:t xml:space="preserve"> (</w:t>
      </w:r>
      <w:hyperlink r:id="rId26" w:tgtFrame="_blank" w:history="1">
        <w:r w:rsidRPr="00334AA7">
          <w:rPr>
            <w:rFonts w:asciiTheme="majorBidi" w:eastAsia="Times New Roman" w:hAnsiTheme="majorBidi" w:cstheme="majorBidi"/>
            <w:color w:val="1155CC"/>
            <w:sz w:val="24"/>
            <w:szCs w:val="24"/>
            <w:u w:val="single"/>
          </w:rPr>
          <w:t>IMF 2019</w:t>
        </w:r>
      </w:hyperlink>
      <w:r w:rsidRPr="00334AA7">
        <w:rPr>
          <w:rFonts w:asciiTheme="majorBidi" w:hAnsiTheme="majorBidi" w:cstheme="majorBidi"/>
          <w:sz w:val="24"/>
          <w:szCs w:val="24"/>
        </w:rPr>
        <w:t>)</w:t>
      </w:r>
      <w:r>
        <w:rPr>
          <w:rFonts w:asciiTheme="majorBidi" w:hAnsiTheme="majorBidi" w:cstheme="majorBidi"/>
          <w:sz w:val="24"/>
          <w:szCs w:val="24"/>
        </w:rPr>
        <w:t xml:space="preserve">. </w:t>
      </w:r>
    </w:p>
    <w:p w14:paraId="5464F38C" w14:textId="4CB83712" w:rsidR="00EC32DF" w:rsidRPr="007E676B" w:rsidRDefault="00EC32DF" w:rsidP="00265840">
      <w:pPr>
        <w:spacing w:before="240" w:line="480" w:lineRule="auto"/>
        <w:jc w:val="center"/>
        <w:rPr>
          <w:rFonts w:asciiTheme="majorBidi" w:eastAsiaTheme="minorEastAsia" w:hAnsiTheme="majorBidi" w:cstheme="majorBidi"/>
          <w:sz w:val="23"/>
          <w:szCs w:val="23"/>
        </w:rPr>
      </w:pPr>
      <w:r w:rsidRPr="000506E0">
        <w:rPr>
          <w:rFonts w:asciiTheme="majorBidi" w:eastAsiaTheme="minorEastAsia" w:hAnsiTheme="majorBidi" w:cstheme="majorBidi"/>
          <w:b/>
          <w:bCs/>
          <w:color w:val="FF0000"/>
          <w:sz w:val="23"/>
          <w:szCs w:val="23"/>
        </w:rPr>
        <w:t xml:space="preserve">Figure </w:t>
      </w:r>
      <w:r w:rsidR="00043EFE">
        <w:rPr>
          <w:rFonts w:asciiTheme="majorBidi" w:eastAsiaTheme="minorEastAsia" w:hAnsiTheme="majorBidi" w:cstheme="majorBidi"/>
          <w:b/>
          <w:bCs/>
          <w:color w:val="FF0000"/>
          <w:sz w:val="23"/>
          <w:szCs w:val="23"/>
        </w:rPr>
        <w:t>9</w:t>
      </w:r>
      <w:r w:rsidRPr="00AA4883">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w:t>
      </w:r>
      <w:r w:rsidR="00AB20D0">
        <w:rPr>
          <w:rFonts w:asciiTheme="majorBidi" w:eastAsiaTheme="minorEastAsia" w:hAnsiTheme="majorBidi" w:cstheme="majorBidi"/>
          <w:b/>
          <w:bCs/>
          <w:sz w:val="23"/>
          <w:szCs w:val="23"/>
        </w:rPr>
        <w:t>Distribution of DVA and FVA by resource endowment category</w:t>
      </w:r>
    </w:p>
    <w:p w14:paraId="2C9113C7" w14:textId="5C473640" w:rsidR="00334AA7" w:rsidRDefault="00B4352A" w:rsidP="00897CAE">
      <w:pPr>
        <w:tabs>
          <w:tab w:val="left" w:pos="1853"/>
        </w:tabs>
        <w:spacing w:line="480" w:lineRule="auto"/>
        <w:rPr>
          <w:rFonts w:asciiTheme="majorBidi" w:hAnsiTheme="majorBidi" w:cstheme="majorBidi"/>
          <w:sz w:val="24"/>
          <w:szCs w:val="24"/>
        </w:rPr>
      </w:pPr>
      <w:r w:rsidRPr="00B4352A">
        <w:rPr>
          <w:rFonts w:asciiTheme="majorBidi" w:hAnsiTheme="majorBidi" w:cstheme="majorBidi"/>
          <w:noProof/>
          <w:sz w:val="24"/>
          <w:szCs w:val="24"/>
        </w:rPr>
        <w:drawing>
          <wp:inline distT="0" distB="0" distL="0" distR="0" wp14:anchorId="20B54175" wp14:editId="4E378B6C">
            <wp:extent cx="5708210" cy="415142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4538" cy="4156027"/>
                    </a:xfrm>
                    <a:prstGeom prst="rect">
                      <a:avLst/>
                    </a:prstGeom>
                    <a:noFill/>
                    <a:ln>
                      <a:noFill/>
                    </a:ln>
                  </pic:spPr>
                </pic:pic>
              </a:graphicData>
            </a:graphic>
          </wp:inline>
        </w:drawing>
      </w:r>
    </w:p>
    <w:p w14:paraId="639B41EB" w14:textId="01597B8F" w:rsidR="00EC32DF" w:rsidRDefault="00EC32DF" w:rsidP="00EC32DF">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08B36765" w14:textId="1C28A5F0" w:rsidR="00C26681" w:rsidRDefault="00925232" w:rsidP="00C75122">
      <w:pPr>
        <w:shd w:val="clear" w:color="auto" w:fill="FFFFFF"/>
        <w:spacing w:after="0" w:line="480" w:lineRule="auto"/>
        <w:jc w:val="both"/>
        <w:rPr>
          <w:rFonts w:asciiTheme="majorBidi" w:eastAsiaTheme="minorEastAsia" w:hAnsiTheme="majorBidi" w:cstheme="majorBidi"/>
          <w:b/>
          <w:bCs/>
          <w:color w:val="FF0000"/>
          <w:sz w:val="23"/>
          <w:szCs w:val="23"/>
        </w:rPr>
      </w:pPr>
      <w:r>
        <w:rPr>
          <w:rFonts w:asciiTheme="majorBidi" w:hAnsiTheme="majorBidi" w:cstheme="majorBidi"/>
          <w:sz w:val="24"/>
          <w:szCs w:val="24"/>
        </w:rPr>
        <w:t>Clearly, all four indicators are generally higher among oil-exporting countries and non-oil resource-intensive countries and lowest among landlocked countries. While th</w:t>
      </w:r>
      <w:r w:rsidR="0040073C">
        <w:rPr>
          <w:rFonts w:asciiTheme="majorBidi" w:hAnsiTheme="majorBidi" w:cstheme="majorBidi"/>
          <w:sz w:val="24"/>
          <w:szCs w:val="24"/>
        </w:rPr>
        <w:t>is</w:t>
      </w:r>
      <w:r>
        <w:rPr>
          <w:rFonts w:asciiTheme="majorBidi" w:hAnsiTheme="majorBidi" w:cstheme="majorBidi"/>
          <w:sz w:val="24"/>
          <w:szCs w:val="24"/>
        </w:rPr>
        <w:t xml:space="preserve"> could be capturing differences in levels of development, </w:t>
      </w:r>
      <w:r w:rsidR="0089161C">
        <w:rPr>
          <w:rFonts w:asciiTheme="majorBidi" w:hAnsiTheme="majorBidi" w:cstheme="majorBidi"/>
          <w:sz w:val="24"/>
          <w:szCs w:val="24"/>
        </w:rPr>
        <w:t xml:space="preserve">Alard et al. (2016) claim that </w:t>
      </w:r>
      <w:r>
        <w:rPr>
          <w:rFonts w:asciiTheme="majorBidi" w:hAnsiTheme="majorBidi" w:cstheme="majorBidi"/>
          <w:sz w:val="24"/>
          <w:szCs w:val="24"/>
        </w:rPr>
        <w:t>oil exports have bee</w:t>
      </w:r>
      <w:r w:rsidR="0089161C">
        <w:rPr>
          <w:rFonts w:asciiTheme="majorBidi" w:hAnsiTheme="majorBidi" w:cstheme="majorBidi"/>
          <w:sz w:val="24"/>
          <w:szCs w:val="24"/>
        </w:rPr>
        <w:t xml:space="preserve">n </w:t>
      </w:r>
      <w:r>
        <w:rPr>
          <w:rFonts w:asciiTheme="majorBidi" w:hAnsiTheme="majorBidi" w:cstheme="majorBidi"/>
          <w:sz w:val="24"/>
          <w:szCs w:val="24"/>
        </w:rPr>
        <w:t>a major driver of increasing GVC participation for countries like Angola and Nigeria</w:t>
      </w:r>
      <w:commentRangeStart w:id="2"/>
      <w:r w:rsidR="0040073C">
        <w:rPr>
          <w:rFonts w:asciiTheme="majorBidi" w:hAnsiTheme="majorBidi" w:cstheme="majorBidi"/>
          <w:sz w:val="24"/>
          <w:szCs w:val="24"/>
        </w:rPr>
        <w:t>.</w:t>
      </w:r>
      <w:r>
        <w:rPr>
          <w:rFonts w:asciiTheme="majorBidi" w:hAnsiTheme="majorBidi" w:cstheme="majorBidi"/>
          <w:sz w:val="24"/>
          <w:szCs w:val="24"/>
        </w:rPr>
        <w:t xml:space="preserve"> In relative terms</w:t>
      </w:r>
      <w:r w:rsidR="0040073C">
        <w:rPr>
          <w:rFonts w:asciiTheme="majorBidi" w:hAnsiTheme="majorBidi" w:cstheme="majorBidi"/>
          <w:sz w:val="24"/>
          <w:szCs w:val="24"/>
        </w:rPr>
        <w:t>,</w:t>
      </w:r>
      <w:r>
        <w:rPr>
          <w:rFonts w:asciiTheme="majorBidi" w:hAnsiTheme="majorBidi" w:cstheme="majorBidi"/>
          <w:sz w:val="24"/>
          <w:szCs w:val="24"/>
        </w:rPr>
        <w:t xml:space="preserve"> however, oil-</w:t>
      </w:r>
      <w:r>
        <w:rPr>
          <w:rFonts w:asciiTheme="majorBidi" w:hAnsiTheme="majorBidi" w:cstheme="majorBidi"/>
          <w:sz w:val="24"/>
          <w:szCs w:val="24"/>
        </w:rPr>
        <w:lastRenderedPageBreak/>
        <w:t xml:space="preserve">exporting countries have substantially higher shares of domestic value-added and, </w:t>
      </w:r>
      <w:r w:rsidR="0040073C">
        <w:rPr>
          <w:rFonts w:asciiTheme="majorBidi" w:hAnsiTheme="majorBidi" w:cstheme="majorBidi"/>
          <w:sz w:val="24"/>
          <w:szCs w:val="24"/>
        </w:rPr>
        <w:t>conversely</w:t>
      </w:r>
      <w:r>
        <w:rPr>
          <w:rFonts w:asciiTheme="majorBidi" w:hAnsiTheme="majorBidi" w:cstheme="majorBidi"/>
          <w:sz w:val="24"/>
          <w:szCs w:val="24"/>
        </w:rPr>
        <w:t>, lower shares of foreign value-added embedded in their exports (Figure 1</w:t>
      </w:r>
      <w:r w:rsidR="00043EFE">
        <w:rPr>
          <w:rFonts w:asciiTheme="majorBidi" w:hAnsiTheme="majorBidi" w:cstheme="majorBidi"/>
          <w:sz w:val="24"/>
          <w:szCs w:val="24"/>
        </w:rPr>
        <w:t>0</w:t>
      </w:r>
      <w:r>
        <w:rPr>
          <w:rFonts w:asciiTheme="majorBidi" w:hAnsiTheme="majorBidi" w:cstheme="majorBidi"/>
          <w:sz w:val="24"/>
          <w:szCs w:val="24"/>
        </w:rPr>
        <w:t>).</w:t>
      </w:r>
      <w:commentRangeEnd w:id="2"/>
      <w:r w:rsidR="0040073C">
        <w:rPr>
          <w:rStyle w:val="CommentReference"/>
        </w:rPr>
        <w:commentReference w:id="2"/>
      </w:r>
    </w:p>
    <w:p w14:paraId="740B4B74" w14:textId="013BBB70" w:rsidR="00992D97" w:rsidRDefault="00992D97" w:rsidP="00C75122">
      <w:pPr>
        <w:spacing w:before="240" w:line="480" w:lineRule="auto"/>
        <w:jc w:val="center"/>
        <w:rPr>
          <w:rFonts w:asciiTheme="majorBidi" w:eastAsiaTheme="minorEastAsia" w:hAnsiTheme="majorBidi" w:cstheme="majorBidi"/>
          <w:i/>
          <w:iCs/>
          <w:sz w:val="23"/>
          <w:szCs w:val="23"/>
        </w:rPr>
      </w:pPr>
      <w:r w:rsidRPr="000506E0">
        <w:rPr>
          <w:rFonts w:asciiTheme="majorBidi" w:eastAsiaTheme="minorEastAsia" w:hAnsiTheme="majorBidi" w:cstheme="majorBidi"/>
          <w:b/>
          <w:bCs/>
          <w:color w:val="FF0000"/>
          <w:sz w:val="23"/>
          <w:szCs w:val="23"/>
        </w:rPr>
        <w:t xml:space="preserve">Figure </w:t>
      </w:r>
      <w:r>
        <w:rPr>
          <w:rFonts w:asciiTheme="majorBidi" w:eastAsiaTheme="minorEastAsia" w:hAnsiTheme="majorBidi" w:cstheme="majorBidi"/>
          <w:b/>
          <w:bCs/>
          <w:color w:val="FF0000"/>
          <w:sz w:val="23"/>
          <w:szCs w:val="23"/>
        </w:rPr>
        <w:t>1</w:t>
      </w:r>
      <w:r w:rsidR="00043EFE">
        <w:rPr>
          <w:rFonts w:asciiTheme="majorBidi" w:eastAsiaTheme="minorEastAsia" w:hAnsiTheme="majorBidi" w:cstheme="majorBidi"/>
          <w:b/>
          <w:bCs/>
          <w:color w:val="FF0000"/>
          <w:sz w:val="23"/>
          <w:szCs w:val="23"/>
        </w:rPr>
        <w:t>0</w:t>
      </w:r>
      <w:r w:rsidRPr="00AA4883">
        <w:rPr>
          <w:rFonts w:asciiTheme="majorBidi" w:eastAsiaTheme="minorEastAsia" w:hAnsiTheme="majorBidi" w:cstheme="majorBidi"/>
          <w:b/>
          <w:bCs/>
          <w:sz w:val="23"/>
          <w:szCs w:val="23"/>
        </w:rPr>
        <w:t>:</w:t>
      </w:r>
      <w:r>
        <w:rPr>
          <w:rFonts w:asciiTheme="majorBidi" w:eastAsiaTheme="minorEastAsia" w:hAnsiTheme="majorBidi" w:cstheme="majorBidi"/>
          <w:b/>
          <w:bCs/>
          <w:sz w:val="23"/>
          <w:szCs w:val="23"/>
        </w:rPr>
        <w:t xml:space="preserve"> Distribution of DVA and FVA as shares of VA by resource endowment category</w:t>
      </w:r>
    </w:p>
    <w:p w14:paraId="79536A28" w14:textId="77777777" w:rsidR="00043EFE" w:rsidRDefault="00043EFE" w:rsidP="00043EFE">
      <w:pPr>
        <w:jc w:val="center"/>
        <w:rPr>
          <w:rFonts w:asciiTheme="majorBidi" w:eastAsiaTheme="minorEastAsia" w:hAnsiTheme="majorBidi" w:cstheme="majorBidi"/>
          <w:b/>
          <w:bCs/>
          <w:color w:val="FF0000"/>
          <w:sz w:val="23"/>
          <w:szCs w:val="23"/>
        </w:rPr>
      </w:pPr>
      <w:r w:rsidRPr="00FC38F1">
        <w:rPr>
          <w:rFonts w:asciiTheme="majorBidi" w:hAnsiTheme="majorBidi" w:cstheme="majorBidi"/>
          <w:noProof/>
          <w:sz w:val="24"/>
          <w:szCs w:val="24"/>
        </w:rPr>
        <w:drawing>
          <wp:inline distT="0" distB="0" distL="0" distR="0" wp14:anchorId="3582B896" wp14:editId="6D4A4974">
            <wp:extent cx="5066774" cy="368492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83321" cy="3696961"/>
                    </a:xfrm>
                    <a:prstGeom prst="rect">
                      <a:avLst/>
                    </a:prstGeom>
                    <a:noFill/>
                    <a:ln>
                      <a:noFill/>
                    </a:ln>
                  </pic:spPr>
                </pic:pic>
              </a:graphicData>
            </a:graphic>
          </wp:inline>
        </w:drawing>
      </w:r>
    </w:p>
    <w:p w14:paraId="1BD673AF" w14:textId="69300F45" w:rsidR="00043EFE" w:rsidRDefault="00043EFE" w:rsidP="00043EFE">
      <w:pPr>
        <w:tabs>
          <w:tab w:val="left" w:pos="1853"/>
        </w:tabs>
        <w:jc w:val="center"/>
        <w:rPr>
          <w:rFonts w:asciiTheme="majorBidi" w:eastAsiaTheme="minorEastAsia" w:hAnsiTheme="majorBidi" w:cstheme="majorBidi"/>
          <w:b/>
          <w:bCs/>
          <w:color w:val="FF0000"/>
          <w:sz w:val="23"/>
          <w:szCs w:val="23"/>
        </w:rPr>
      </w:pPr>
      <w:r w:rsidRPr="0037280E">
        <w:rPr>
          <w:rFonts w:asciiTheme="majorBidi" w:eastAsiaTheme="minorEastAsia" w:hAnsiTheme="majorBidi" w:cstheme="majorBidi"/>
          <w:i/>
          <w:iCs/>
          <w:sz w:val="23"/>
          <w:szCs w:val="23"/>
        </w:rPr>
        <w:t>Source: Authors’ illustration based on UNCTAD-EORA GVC database</w:t>
      </w:r>
    </w:p>
    <w:p w14:paraId="3C7CB351" w14:textId="77777777" w:rsidR="00043EFE" w:rsidRDefault="00043EFE" w:rsidP="00C75122">
      <w:pPr>
        <w:tabs>
          <w:tab w:val="left" w:pos="1853"/>
        </w:tabs>
        <w:jc w:val="center"/>
        <w:rPr>
          <w:rFonts w:asciiTheme="majorBidi" w:eastAsiaTheme="minorEastAsia" w:hAnsiTheme="majorBidi" w:cstheme="majorBidi"/>
          <w:b/>
          <w:bCs/>
          <w:color w:val="FF0000"/>
          <w:sz w:val="23"/>
          <w:szCs w:val="23"/>
        </w:rPr>
      </w:pPr>
    </w:p>
    <w:p w14:paraId="2D041022" w14:textId="77777777" w:rsidR="00043EFE" w:rsidRDefault="00043EFE" w:rsidP="008700ED">
      <w:pPr>
        <w:spacing w:before="240" w:line="480" w:lineRule="auto"/>
        <w:jc w:val="center"/>
        <w:rPr>
          <w:rFonts w:asciiTheme="majorBidi" w:eastAsiaTheme="minorEastAsia" w:hAnsiTheme="majorBidi" w:cstheme="majorBidi"/>
          <w:b/>
          <w:bCs/>
          <w:color w:val="FF0000"/>
          <w:sz w:val="23"/>
          <w:szCs w:val="23"/>
        </w:rPr>
      </w:pPr>
    </w:p>
    <w:p w14:paraId="38F8C29E" w14:textId="532BFA03" w:rsidR="00223BBD" w:rsidRPr="00223BBD" w:rsidRDefault="00223BBD" w:rsidP="00223BBD">
      <w:pPr>
        <w:spacing w:line="480" w:lineRule="auto"/>
        <w:rPr>
          <w:rFonts w:asciiTheme="majorBidi" w:eastAsiaTheme="minorEastAsia" w:hAnsiTheme="majorBidi" w:cstheme="majorBidi"/>
          <w:b/>
          <w:bCs/>
          <w:i/>
          <w:iCs/>
          <w:sz w:val="24"/>
          <w:szCs w:val="24"/>
        </w:rPr>
      </w:pPr>
      <w:r w:rsidRPr="00223BBD">
        <w:rPr>
          <w:rFonts w:asciiTheme="majorBidi" w:eastAsiaTheme="minorEastAsia" w:hAnsiTheme="majorBidi" w:cstheme="majorBidi"/>
          <w:b/>
          <w:bCs/>
          <w:i/>
          <w:iCs/>
          <w:sz w:val="24"/>
          <w:szCs w:val="24"/>
        </w:rPr>
        <w:t>Relative shares of foreign value-added in exports by sector</w:t>
      </w:r>
    </w:p>
    <w:p w14:paraId="4E141DA1" w14:textId="47987E55" w:rsidR="00223BBD" w:rsidRPr="00223BBD" w:rsidRDefault="00223BBD" w:rsidP="00C75122">
      <w:pPr>
        <w:spacing w:line="480" w:lineRule="auto"/>
        <w:jc w:val="both"/>
        <w:rPr>
          <w:rFonts w:asciiTheme="majorBidi" w:eastAsiaTheme="minorEastAsia" w:hAnsiTheme="majorBidi" w:cstheme="majorBidi"/>
          <w:sz w:val="23"/>
          <w:szCs w:val="23"/>
        </w:rPr>
      </w:pPr>
      <w:r w:rsidRPr="00223BBD">
        <w:rPr>
          <w:rFonts w:asciiTheme="majorBidi" w:eastAsiaTheme="minorEastAsia" w:hAnsiTheme="majorBidi" w:cstheme="majorBidi"/>
          <w:sz w:val="24"/>
          <w:szCs w:val="24"/>
        </w:rPr>
        <w:t>Figure 1</w:t>
      </w:r>
      <w:r w:rsidR="00C26681">
        <w:rPr>
          <w:rFonts w:asciiTheme="majorBidi" w:eastAsiaTheme="minorEastAsia" w:hAnsiTheme="majorBidi" w:cstheme="majorBidi"/>
          <w:sz w:val="24"/>
          <w:szCs w:val="24"/>
        </w:rPr>
        <w:t>1</w:t>
      </w:r>
      <w:r w:rsidRPr="00223BBD">
        <w:rPr>
          <w:rFonts w:asciiTheme="majorBidi" w:eastAsiaTheme="minorEastAsia" w:hAnsiTheme="majorBidi" w:cstheme="majorBidi"/>
          <w:sz w:val="24"/>
          <w:szCs w:val="24"/>
        </w:rPr>
        <w:t xml:space="preserve"> presents the relative shares of foreign value-added in total value added embedded in exports for 2017</w:t>
      </w:r>
      <w:r w:rsidR="0040073C">
        <w:rPr>
          <w:rFonts w:asciiTheme="majorBidi" w:eastAsiaTheme="minorEastAsia" w:hAnsiTheme="majorBidi" w:cstheme="majorBidi"/>
          <w:sz w:val="24"/>
          <w:szCs w:val="24"/>
        </w:rPr>
        <w:t xml:space="preserve"> </w:t>
      </w:r>
      <w:r w:rsidR="00043EFE">
        <w:rPr>
          <w:rFonts w:asciiTheme="majorBidi" w:eastAsiaTheme="minorEastAsia" w:hAnsiTheme="majorBidi" w:cstheme="majorBidi"/>
          <w:sz w:val="24"/>
          <w:szCs w:val="24"/>
        </w:rPr>
        <w:t>for Africa.</w:t>
      </w:r>
      <w:r w:rsidRPr="00223BBD">
        <w:rPr>
          <w:rFonts w:asciiTheme="majorBidi" w:eastAsiaTheme="minorEastAsia" w:hAnsiTheme="majorBidi" w:cstheme="majorBidi"/>
          <w:sz w:val="24"/>
          <w:szCs w:val="24"/>
        </w:rPr>
        <w:t xml:space="preserve"> Diversity among sectors is quite high, </w:t>
      </w:r>
      <w:r w:rsidR="00D75B37">
        <w:rPr>
          <w:rFonts w:asciiTheme="majorBidi" w:eastAsiaTheme="minorEastAsia" w:hAnsiTheme="majorBidi" w:cstheme="majorBidi"/>
          <w:sz w:val="24"/>
          <w:szCs w:val="24"/>
        </w:rPr>
        <w:t xml:space="preserve">with </w:t>
      </w:r>
      <w:r w:rsidR="00D75B37" w:rsidRPr="00C75122">
        <w:rPr>
          <w:rFonts w:asciiTheme="majorBidi" w:eastAsiaTheme="minorEastAsia" w:hAnsiTheme="majorBidi" w:cstheme="majorBidi"/>
          <w:i/>
          <w:iCs/>
          <w:sz w:val="24"/>
          <w:szCs w:val="24"/>
        </w:rPr>
        <w:t>recycling</w:t>
      </w:r>
      <w:r w:rsidR="00D75B37">
        <w:rPr>
          <w:rFonts w:asciiTheme="majorBidi" w:eastAsiaTheme="minorEastAsia" w:hAnsiTheme="majorBidi" w:cstheme="majorBidi"/>
          <w:sz w:val="24"/>
          <w:szCs w:val="24"/>
        </w:rPr>
        <w:t xml:space="preserve"> having the highest </w:t>
      </w:r>
      <w:r w:rsidR="00D75B37">
        <w:rPr>
          <w:rFonts w:asciiTheme="majorBidi" w:eastAsiaTheme="minorEastAsia" w:hAnsiTheme="majorBidi" w:cstheme="majorBidi"/>
          <w:sz w:val="24"/>
          <w:szCs w:val="24"/>
        </w:rPr>
        <w:lastRenderedPageBreak/>
        <w:t>foreign content</w:t>
      </w:r>
      <w:r w:rsidRPr="00223BBD">
        <w:rPr>
          <w:rFonts w:asciiTheme="majorBidi" w:eastAsiaTheme="minorEastAsia" w:hAnsiTheme="majorBidi" w:cstheme="majorBidi"/>
          <w:sz w:val="24"/>
          <w:szCs w:val="24"/>
        </w:rPr>
        <w:t xml:space="preserve"> while, not surprisingly, the foreign content of value added in </w:t>
      </w:r>
      <w:r w:rsidRPr="00C75122">
        <w:rPr>
          <w:rFonts w:asciiTheme="majorBidi" w:eastAsiaTheme="minorEastAsia" w:hAnsiTheme="majorBidi" w:cstheme="majorBidi"/>
          <w:i/>
          <w:iCs/>
          <w:sz w:val="24"/>
          <w:szCs w:val="24"/>
        </w:rPr>
        <w:t>agriculture</w:t>
      </w:r>
      <w:r w:rsidRPr="00223BBD">
        <w:rPr>
          <w:rFonts w:asciiTheme="majorBidi" w:eastAsiaTheme="minorEastAsia" w:hAnsiTheme="majorBidi" w:cstheme="majorBidi"/>
          <w:sz w:val="24"/>
          <w:szCs w:val="24"/>
        </w:rPr>
        <w:t xml:space="preserve"> is</w:t>
      </w:r>
      <w:r w:rsidR="00043EFE">
        <w:rPr>
          <w:rFonts w:asciiTheme="majorBidi" w:eastAsiaTheme="minorEastAsia" w:hAnsiTheme="majorBidi" w:cstheme="majorBidi"/>
          <w:sz w:val="24"/>
          <w:szCs w:val="24"/>
        </w:rPr>
        <w:t xml:space="preserve"> low.</w:t>
      </w:r>
      <w:r w:rsidR="00D75B37">
        <w:rPr>
          <w:rStyle w:val="FootnoteReference"/>
          <w:rFonts w:asciiTheme="majorBidi" w:eastAsiaTheme="minorEastAsia" w:hAnsiTheme="majorBidi" w:cstheme="majorBidi"/>
          <w:sz w:val="24"/>
          <w:szCs w:val="24"/>
        </w:rPr>
        <w:footnoteReference w:id="10"/>
      </w:r>
      <w:r w:rsidRPr="00223BBD">
        <w:rPr>
          <w:rFonts w:asciiTheme="majorBidi" w:eastAsiaTheme="minorEastAsia" w:hAnsiTheme="majorBidi" w:cstheme="majorBidi"/>
          <w:sz w:val="24"/>
          <w:szCs w:val="24"/>
        </w:rPr>
        <w:t xml:space="preserve"> </w:t>
      </w:r>
    </w:p>
    <w:p w14:paraId="3D59B063" w14:textId="0FEBB54E" w:rsidR="00223BBD" w:rsidRDefault="00223BBD" w:rsidP="00223BBD">
      <w:pPr>
        <w:rPr>
          <w:rFonts w:asciiTheme="majorBidi" w:eastAsiaTheme="minorEastAsia" w:hAnsiTheme="majorBidi" w:cstheme="majorBidi"/>
          <w:sz w:val="23"/>
          <w:szCs w:val="23"/>
        </w:rPr>
      </w:pPr>
    </w:p>
    <w:p w14:paraId="609739B7" w14:textId="77777777" w:rsidR="00043EFE" w:rsidRPr="00223BBD" w:rsidRDefault="00043EFE" w:rsidP="00223BBD">
      <w:pPr>
        <w:rPr>
          <w:rFonts w:asciiTheme="majorBidi" w:eastAsiaTheme="minorEastAsia" w:hAnsiTheme="majorBidi" w:cstheme="majorBidi"/>
          <w:sz w:val="23"/>
          <w:szCs w:val="23"/>
        </w:rPr>
      </w:pPr>
    </w:p>
    <w:p w14:paraId="0C984B6F" w14:textId="3892AC82" w:rsidR="00223BBD" w:rsidRPr="00223BBD" w:rsidRDefault="00223BBD" w:rsidP="00223BBD">
      <w:pPr>
        <w:jc w:val="center"/>
        <w:rPr>
          <w:rFonts w:asciiTheme="majorBidi" w:eastAsiaTheme="minorEastAsia" w:hAnsiTheme="majorBidi" w:cstheme="majorBidi"/>
          <w:sz w:val="23"/>
          <w:szCs w:val="23"/>
        </w:rPr>
      </w:pPr>
      <w:r>
        <w:rPr>
          <w:rFonts w:asciiTheme="majorBidi" w:eastAsiaTheme="minorEastAsia" w:hAnsiTheme="majorBidi" w:cstheme="majorBidi"/>
          <w:b/>
          <w:bCs/>
          <w:sz w:val="23"/>
          <w:szCs w:val="23"/>
        </w:rPr>
        <w:lastRenderedPageBreak/>
        <w:t>Figure 1</w:t>
      </w:r>
      <w:r w:rsidR="00C26681">
        <w:rPr>
          <w:rFonts w:asciiTheme="majorBidi" w:eastAsiaTheme="minorEastAsia" w:hAnsiTheme="majorBidi" w:cstheme="majorBidi"/>
          <w:b/>
          <w:bCs/>
          <w:sz w:val="23"/>
          <w:szCs w:val="23"/>
        </w:rPr>
        <w:t>1</w:t>
      </w:r>
      <w:r>
        <w:rPr>
          <w:rFonts w:asciiTheme="majorBidi" w:eastAsiaTheme="minorEastAsia" w:hAnsiTheme="majorBidi" w:cstheme="majorBidi"/>
          <w:b/>
          <w:bCs/>
          <w:sz w:val="23"/>
          <w:szCs w:val="23"/>
        </w:rPr>
        <w:t>: Relative contribution of FVA in total value added by sector, 2017</w:t>
      </w:r>
    </w:p>
    <w:p w14:paraId="5DF0D00E" w14:textId="05BE0537" w:rsidR="008E62E0" w:rsidRDefault="008E62E0" w:rsidP="00D56747">
      <w:pPr>
        <w:tabs>
          <w:tab w:val="left" w:pos="1853"/>
        </w:tabs>
        <w:jc w:val="center"/>
        <w:rPr>
          <w:rFonts w:asciiTheme="majorBidi" w:eastAsiaTheme="minorEastAsia" w:hAnsiTheme="majorBidi" w:cstheme="majorBidi"/>
          <w:i/>
          <w:iCs/>
          <w:sz w:val="23"/>
          <w:szCs w:val="23"/>
        </w:rPr>
      </w:pPr>
      <w:r w:rsidRPr="008E62E0">
        <w:rPr>
          <w:rFonts w:asciiTheme="majorBidi" w:eastAsiaTheme="minorEastAsia" w:hAnsiTheme="majorBidi" w:cstheme="majorBidi"/>
          <w:i/>
          <w:iCs/>
          <w:noProof/>
          <w:sz w:val="23"/>
          <w:szCs w:val="23"/>
        </w:rPr>
        <w:drawing>
          <wp:inline distT="0" distB="0" distL="0" distR="0" wp14:anchorId="476CBB3E" wp14:editId="572FA8D2">
            <wp:extent cx="6124669" cy="445430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8550" cy="4464400"/>
                    </a:xfrm>
                    <a:prstGeom prst="rect">
                      <a:avLst/>
                    </a:prstGeom>
                    <a:noFill/>
                    <a:ln>
                      <a:noFill/>
                    </a:ln>
                  </pic:spPr>
                </pic:pic>
              </a:graphicData>
            </a:graphic>
          </wp:inline>
        </w:drawing>
      </w:r>
    </w:p>
    <w:p w14:paraId="25E626BF" w14:textId="77777777" w:rsidR="008E62E0" w:rsidRDefault="008E62E0" w:rsidP="008E62E0">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45ED5300" w14:textId="77777777" w:rsidR="001216F7" w:rsidRDefault="001216F7" w:rsidP="001216F7">
      <w:pPr>
        <w:spacing w:before="240" w:line="360" w:lineRule="auto"/>
        <w:rPr>
          <w:rFonts w:asciiTheme="majorBidi" w:hAnsiTheme="majorBidi" w:cstheme="majorBidi"/>
          <w:sz w:val="24"/>
          <w:szCs w:val="24"/>
        </w:rPr>
      </w:pPr>
    </w:p>
    <w:p w14:paraId="792B5611" w14:textId="28EA773E" w:rsidR="00261882" w:rsidRPr="00ED0E13" w:rsidRDefault="001216F7" w:rsidP="001216F7">
      <w:pPr>
        <w:spacing w:before="240" w:line="360" w:lineRule="auto"/>
        <w:rPr>
          <w:rFonts w:asciiTheme="majorBidi" w:hAnsiTheme="majorBidi" w:cstheme="majorBidi"/>
          <w:b/>
          <w:bCs/>
          <w:i/>
          <w:iCs/>
          <w:sz w:val="24"/>
          <w:szCs w:val="24"/>
        </w:rPr>
      </w:pPr>
      <w:r w:rsidRPr="00ED0E13">
        <w:rPr>
          <w:rFonts w:asciiTheme="majorBidi" w:hAnsiTheme="majorBidi" w:cstheme="majorBidi"/>
          <w:b/>
          <w:bCs/>
          <w:i/>
          <w:iCs/>
          <w:sz w:val="24"/>
          <w:szCs w:val="24"/>
        </w:rPr>
        <w:t>Relationship between tariff rate and domestic value-added</w:t>
      </w:r>
    </w:p>
    <w:p w14:paraId="3896449C" w14:textId="06D3C48A" w:rsidR="00193012" w:rsidRDefault="00ED0E13" w:rsidP="00261882">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Existing studies have a commonly shared </w:t>
      </w:r>
      <w:r w:rsidR="00043EFE">
        <w:rPr>
          <w:rFonts w:asciiTheme="majorBidi" w:hAnsiTheme="majorBidi" w:cstheme="majorBidi"/>
          <w:sz w:val="24"/>
          <w:szCs w:val="24"/>
        </w:rPr>
        <w:t xml:space="preserve">the </w:t>
      </w:r>
      <w:r>
        <w:rPr>
          <w:rFonts w:asciiTheme="majorBidi" w:hAnsiTheme="majorBidi" w:cstheme="majorBidi"/>
          <w:sz w:val="24"/>
          <w:szCs w:val="24"/>
        </w:rPr>
        <w:t xml:space="preserve">view that </w:t>
      </w:r>
      <w:r w:rsidR="002B4430">
        <w:rPr>
          <w:rFonts w:asciiTheme="majorBidi" w:hAnsiTheme="majorBidi" w:cstheme="majorBidi"/>
          <w:sz w:val="24"/>
          <w:szCs w:val="24"/>
        </w:rPr>
        <w:t>the higher the level of tariffs, the lower the domestic value-added embedded in a country’s exports</w:t>
      </w:r>
      <w:r w:rsidR="00B04FBC">
        <w:rPr>
          <w:rFonts w:asciiTheme="majorBidi" w:hAnsiTheme="majorBidi" w:cstheme="majorBidi"/>
          <w:sz w:val="24"/>
          <w:szCs w:val="24"/>
        </w:rPr>
        <w:t>, citing the restrictive effects tariffs have to access to</w:t>
      </w:r>
      <w:r w:rsidR="0031574B">
        <w:rPr>
          <w:rFonts w:asciiTheme="majorBidi" w:hAnsiTheme="majorBidi" w:cstheme="majorBidi"/>
          <w:sz w:val="24"/>
          <w:szCs w:val="24"/>
        </w:rPr>
        <w:t xml:space="preserve"> modern technologies and value-adding intermediates (</w:t>
      </w:r>
      <w:r w:rsidR="00252362" w:rsidRPr="00321B2D">
        <w:rPr>
          <w:rFonts w:asciiTheme="majorBidi" w:hAnsiTheme="majorBidi" w:cstheme="majorBidi"/>
          <w:sz w:val="24"/>
          <w:szCs w:val="24"/>
        </w:rPr>
        <w:t>Cadot and Gourdon, 2016; Halpern et al., 2015</w:t>
      </w:r>
      <w:r w:rsidR="0031574B">
        <w:rPr>
          <w:rFonts w:asciiTheme="majorBidi" w:hAnsiTheme="majorBidi" w:cstheme="majorBidi"/>
          <w:sz w:val="24"/>
          <w:szCs w:val="24"/>
        </w:rPr>
        <w:t xml:space="preserve">). </w:t>
      </w:r>
      <w:r w:rsidR="00261882">
        <w:rPr>
          <w:rFonts w:asciiTheme="majorBidi" w:hAnsiTheme="majorBidi" w:cstheme="majorBidi"/>
          <w:sz w:val="24"/>
          <w:szCs w:val="24"/>
        </w:rPr>
        <w:t xml:space="preserve">In order to verify the claim in this study, we present averages of domestic value-added for the three latest years of actual DVA data (2015-2017), disaggregated by quartiles of average tariff rates for the same period.  </w:t>
      </w:r>
      <w:r w:rsidR="00261882" w:rsidRPr="00C26681">
        <w:rPr>
          <w:rFonts w:asciiTheme="majorBidi" w:hAnsiTheme="majorBidi" w:cstheme="majorBidi"/>
          <w:sz w:val="24"/>
          <w:szCs w:val="24"/>
        </w:rPr>
        <w:t xml:space="preserve">Figure </w:t>
      </w:r>
      <w:r w:rsidR="00C26681" w:rsidRPr="00C26681">
        <w:rPr>
          <w:rFonts w:asciiTheme="majorBidi" w:hAnsiTheme="majorBidi" w:cstheme="majorBidi"/>
          <w:sz w:val="24"/>
          <w:szCs w:val="24"/>
        </w:rPr>
        <w:t>12</w:t>
      </w:r>
      <w:r w:rsidR="00261882" w:rsidRPr="00C26681">
        <w:rPr>
          <w:rFonts w:asciiTheme="majorBidi" w:hAnsiTheme="majorBidi" w:cstheme="majorBidi"/>
          <w:sz w:val="24"/>
          <w:szCs w:val="24"/>
        </w:rPr>
        <w:t xml:space="preserve"> </w:t>
      </w:r>
      <w:r w:rsidR="00261882">
        <w:rPr>
          <w:rFonts w:asciiTheme="majorBidi" w:hAnsiTheme="majorBidi" w:cstheme="majorBidi"/>
          <w:sz w:val="24"/>
          <w:szCs w:val="24"/>
        </w:rPr>
        <w:t xml:space="preserve">corroborates the claim, as average DVA is highest in countries with the lowest tariff average and vice versa. </w:t>
      </w:r>
      <w:r w:rsidR="00193012">
        <w:rPr>
          <w:rFonts w:asciiTheme="majorBidi" w:hAnsiTheme="majorBidi" w:cstheme="majorBidi"/>
          <w:sz w:val="24"/>
          <w:szCs w:val="24"/>
        </w:rPr>
        <w:br w:type="page"/>
      </w:r>
    </w:p>
    <w:p w14:paraId="0774C9FD" w14:textId="3A5CAA67" w:rsidR="00193012" w:rsidRDefault="00193012" w:rsidP="00193012">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Figure </w:t>
      </w:r>
      <w:r w:rsidR="00C26681">
        <w:rPr>
          <w:rFonts w:asciiTheme="majorBidi" w:hAnsiTheme="majorBidi" w:cstheme="majorBidi"/>
          <w:sz w:val="24"/>
          <w:szCs w:val="24"/>
        </w:rPr>
        <w:t>12</w:t>
      </w:r>
      <w:r>
        <w:rPr>
          <w:rFonts w:asciiTheme="majorBidi" w:hAnsiTheme="majorBidi" w:cstheme="majorBidi"/>
          <w:sz w:val="24"/>
          <w:szCs w:val="24"/>
        </w:rPr>
        <w:t>: DVA disaggregated by quartiles of tariff rates: Average, 2015-2017</w:t>
      </w:r>
    </w:p>
    <w:p w14:paraId="26759FC4" w14:textId="330668AC" w:rsidR="00193012" w:rsidRPr="00285EDF" w:rsidRDefault="00193012" w:rsidP="00193012">
      <w:pPr>
        <w:spacing w:line="480" w:lineRule="auto"/>
        <w:rPr>
          <w:rFonts w:asciiTheme="majorBidi" w:hAnsiTheme="majorBidi" w:cstheme="majorBidi"/>
          <w:sz w:val="24"/>
          <w:szCs w:val="24"/>
        </w:rPr>
      </w:pPr>
      <w:r w:rsidRPr="00366CA1">
        <w:rPr>
          <w:rFonts w:asciiTheme="majorBidi" w:hAnsiTheme="majorBidi" w:cstheme="majorBidi"/>
          <w:noProof/>
          <w:sz w:val="24"/>
          <w:szCs w:val="24"/>
        </w:rPr>
        <w:drawing>
          <wp:inline distT="0" distB="0" distL="0" distR="0" wp14:anchorId="097EE62B" wp14:editId="50B49046">
            <wp:extent cx="6000225" cy="436380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34928" cy="4389038"/>
                    </a:xfrm>
                    <a:prstGeom prst="rect">
                      <a:avLst/>
                    </a:prstGeom>
                    <a:noFill/>
                    <a:ln>
                      <a:noFill/>
                    </a:ln>
                  </pic:spPr>
                </pic:pic>
              </a:graphicData>
            </a:graphic>
          </wp:inline>
        </w:drawing>
      </w:r>
    </w:p>
    <w:p w14:paraId="6ED90E81" w14:textId="77777777" w:rsidR="00193012" w:rsidRDefault="00193012" w:rsidP="00193012">
      <w:pPr>
        <w:tabs>
          <w:tab w:val="left" w:pos="1853"/>
        </w:tabs>
        <w:jc w:val="center"/>
        <w:rPr>
          <w:rFonts w:asciiTheme="majorBidi" w:eastAsiaTheme="minorEastAsia" w:hAnsiTheme="majorBidi" w:cstheme="majorBidi"/>
          <w:i/>
          <w:iCs/>
          <w:sz w:val="23"/>
          <w:szCs w:val="23"/>
        </w:rPr>
      </w:pPr>
      <w:r w:rsidRPr="0037280E">
        <w:rPr>
          <w:rFonts w:asciiTheme="majorBidi" w:eastAsiaTheme="minorEastAsia" w:hAnsiTheme="majorBidi" w:cstheme="majorBidi"/>
          <w:i/>
          <w:iCs/>
          <w:sz w:val="23"/>
          <w:szCs w:val="23"/>
        </w:rPr>
        <w:t>Source: Authors’ illustration based on UNCTAD-EORA GVC database</w:t>
      </w:r>
    </w:p>
    <w:p w14:paraId="10C2772D" w14:textId="77777777" w:rsidR="00D56747" w:rsidRDefault="00D56747" w:rsidP="00193012">
      <w:pPr>
        <w:spacing w:before="240" w:line="480" w:lineRule="auto"/>
        <w:jc w:val="both"/>
        <w:rPr>
          <w:rFonts w:asciiTheme="majorBidi" w:hAnsiTheme="majorBidi" w:cstheme="majorBidi"/>
          <w:b/>
          <w:bCs/>
          <w:sz w:val="24"/>
          <w:szCs w:val="24"/>
        </w:rPr>
      </w:pPr>
    </w:p>
    <w:p w14:paraId="63B3FD1F" w14:textId="77777777" w:rsidR="00223BBD" w:rsidRDefault="00223BBD">
      <w:pPr>
        <w:rPr>
          <w:rFonts w:asciiTheme="majorBidi" w:eastAsiaTheme="minorEastAsia" w:hAnsiTheme="majorBidi" w:cstheme="majorBidi"/>
          <w:b/>
          <w:bCs/>
          <w:sz w:val="24"/>
          <w:szCs w:val="24"/>
          <w:lang w:val="en-US" w:eastAsia="zh-CN"/>
        </w:rPr>
      </w:pPr>
      <w:r>
        <w:rPr>
          <w:rFonts w:asciiTheme="majorBidi" w:hAnsiTheme="majorBidi" w:cstheme="majorBidi"/>
          <w:b/>
          <w:bCs/>
          <w:sz w:val="24"/>
          <w:szCs w:val="24"/>
        </w:rPr>
        <w:br w:type="page"/>
      </w:r>
    </w:p>
    <w:p w14:paraId="08FC328D" w14:textId="621BE884" w:rsidR="00AA4275" w:rsidRPr="00925232" w:rsidRDefault="00925232" w:rsidP="00925232">
      <w:pPr>
        <w:pStyle w:val="ListParagraph"/>
        <w:numPr>
          <w:ilvl w:val="1"/>
          <w:numId w:val="2"/>
        </w:numPr>
        <w:spacing w:before="240"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00101A2C" w:rsidRPr="00925232">
        <w:rPr>
          <w:rFonts w:asciiTheme="majorBidi" w:hAnsiTheme="majorBidi" w:cstheme="majorBidi"/>
          <w:b/>
          <w:bCs/>
          <w:sz w:val="24"/>
          <w:szCs w:val="24"/>
        </w:rPr>
        <w:t>Econometric r</w:t>
      </w:r>
      <w:r w:rsidR="00AA4275" w:rsidRPr="00925232">
        <w:rPr>
          <w:rFonts w:asciiTheme="majorBidi" w:hAnsiTheme="majorBidi" w:cstheme="majorBidi"/>
          <w:b/>
          <w:bCs/>
          <w:sz w:val="24"/>
          <w:szCs w:val="24"/>
        </w:rPr>
        <w:t>esults</w:t>
      </w:r>
    </w:p>
    <w:p w14:paraId="4396C2D1" w14:textId="2EA9187B" w:rsidR="002D4C05" w:rsidRPr="00203870" w:rsidRDefault="002D4C05" w:rsidP="002D4C05">
      <w:pPr>
        <w:spacing w:line="480" w:lineRule="auto"/>
        <w:jc w:val="both"/>
        <w:rPr>
          <w:rFonts w:asciiTheme="majorBidi" w:hAnsiTheme="majorBidi" w:cstheme="majorBidi"/>
          <w:sz w:val="24"/>
          <w:szCs w:val="24"/>
        </w:rPr>
      </w:pPr>
      <w:r w:rsidRPr="00203870">
        <w:rPr>
          <w:rFonts w:asciiTheme="majorBidi" w:hAnsiTheme="majorBidi" w:cstheme="majorBidi"/>
          <w:sz w:val="24"/>
          <w:szCs w:val="24"/>
        </w:rPr>
        <w:t xml:space="preserve">In this section, we presented the econometric results of the determinants of </w:t>
      </w:r>
      <w:r w:rsidR="00D778A9">
        <w:rPr>
          <w:rFonts w:asciiTheme="majorBidi" w:hAnsiTheme="majorBidi" w:cstheme="majorBidi"/>
          <w:sz w:val="24"/>
          <w:szCs w:val="24"/>
        </w:rPr>
        <w:t xml:space="preserve">DVA and other mesures of value-added </w:t>
      </w:r>
      <w:r w:rsidR="00044B29">
        <w:rPr>
          <w:rFonts w:asciiTheme="majorBidi" w:hAnsiTheme="majorBidi" w:cstheme="majorBidi"/>
          <w:sz w:val="24"/>
          <w:szCs w:val="24"/>
        </w:rPr>
        <w:t>embedded in the exports of African countries.</w:t>
      </w:r>
      <w:r w:rsidRPr="00203870">
        <w:rPr>
          <w:rFonts w:asciiTheme="majorBidi" w:hAnsiTheme="majorBidi" w:cstheme="majorBidi"/>
          <w:sz w:val="24"/>
          <w:szCs w:val="24"/>
        </w:rPr>
        <w:t xml:space="preserve"> Fixed effects estimates are presented in </w:t>
      </w:r>
      <w:r w:rsidRPr="00C75122">
        <w:rPr>
          <w:rFonts w:asciiTheme="majorBidi" w:hAnsiTheme="majorBidi" w:cstheme="majorBidi"/>
          <w:sz w:val="24"/>
          <w:szCs w:val="24"/>
        </w:rPr>
        <w:t>Table 1</w:t>
      </w:r>
      <w:r w:rsidRPr="00203870">
        <w:rPr>
          <w:rFonts w:asciiTheme="majorBidi" w:hAnsiTheme="majorBidi" w:cstheme="majorBidi"/>
          <w:sz w:val="24"/>
          <w:szCs w:val="24"/>
        </w:rPr>
        <w:t xml:space="preserve">, starting with domestic value-added in Column 1. Column 3 presents estimates for FVA as a proxy for depth of participation in global value chains. In Column 2, </w:t>
      </w:r>
      <w:r>
        <w:rPr>
          <w:rFonts w:asciiTheme="majorBidi" w:hAnsiTheme="majorBidi" w:cstheme="majorBidi"/>
          <w:sz w:val="24"/>
          <w:szCs w:val="24"/>
        </w:rPr>
        <w:t>GVC</w:t>
      </w:r>
      <w:r w:rsidRPr="00203870">
        <w:rPr>
          <w:rFonts w:asciiTheme="majorBidi" w:hAnsiTheme="majorBidi" w:cstheme="majorBidi"/>
          <w:sz w:val="24"/>
          <w:szCs w:val="24"/>
        </w:rPr>
        <w:t xml:space="preserve"> estimates are presented</w:t>
      </w:r>
      <w:r w:rsidRPr="00BE4367">
        <w:rPr>
          <w:rFonts w:asciiTheme="majorBidi" w:hAnsiTheme="majorBidi" w:cstheme="majorBidi"/>
          <w:sz w:val="24"/>
          <w:szCs w:val="24"/>
        </w:rPr>
        <w:t>, while indirect and total</w:t>
      </w:r>
      <w:r w:rsidRPr="00203870">
        <w:rPr>
          <w:rFonts w:asciiTheme="majorBidi" w:hAnsiTheme="majorBidi" w:cstheme="majorBidi"/>
          <w:sz w:val="24"/>
          <w:szCs w:val="24"/>
        </w:rPr>
        <w:t xml:space="preserve"> value-added embedded in exports are presented in Columns 4 and 5, respectively.</w:t>
      </w:r>
    </w:p>
    <w:p w14:paraId="09BCA9F7" w14:textId="7B005C34" w:rsidR="002D4C05" w:rsidRDefault="002D4C05" w:rsidP="002D4C05">
      <w:pPr>
        <w:spacing w:line="360" w:lineRule="auto"/>
        <w:jc w:val="both"/>
        <w:rPr>
          <w:rFonts w:asciiTheme="majorBidi" w:hAnsiTheme="majorBidi" w:cstheme="majorBidi"/>
          <w:b/>
          <w:bCs/>
          <w:sz w:val="23"/>
          <w:szCs w:val="23"/>
        </w:rPr>
      </w:pPr>
      <w:r w:rsidRPr="00C75122">
        <w:rPr>
          <w:rFonts w:asciiTheme="majorBidi" w:hAnsiTheme="majorBidi" w:cstheme="majorBidi"/>
          <w:b/>
          <w:bCs/>
          <w:sz w:val="23"/>
          <w:szCs w:val="23"/>
        </w:rPr>
        <w:t>Table 1</w:t>
      </w:r>
      <w:r w:rsidRPr="009B0810">
        <w:rPr>
          <w:rFonts w:asciiTheme="majorBidi" w:hAnsiTheme="majorBidi" w:cstheme="majorBidi"/>
          <w:b/>
          <w:bCs/>
          <w:sz w:val="23"/>
          <w:szCs w:val="23"/>
        </w:rPr>
        <w:t xml:space="preserve">: Determinants of domestic and foreign value added in exports: </w:t>
      </w:r>
      <w:r>
        <w:rPr>
          <w:rFonts w:asciiTheme="majorBidi" w:hAnsiTheme="majorBidi" w:cstheme="majorBidi"/>
          <w:b/>
          <w:bCs/>
          <w:sz w:val="23"/>
          <w:szCs w:val="23"/>
        </w:rPr>
        <w:t>FE</w:t>
      </w:r>
      <w:r w:rsidRPr="009B0810">
        <w:rPr>
          <w:rFonts w:asciiTheme="majorBidi" w:hAnsiTheme="majorBidi" w:cstheme="majorBidi"/>
          <w:b/>
          <w:bCs/>
          <w:sz w:val="23"/>
          <w:szCs w:val="23"/>
        </w:rPr>
        <w:t xml:space="preserve"> regression</w:t>
      </w:r>
    </w:p>
    <w:tbl>
      <w:tblPr>
        <w:tblW w:w="10755" w:type="dxa"/>
        <w:jc w:val="center"/>
        <w:tblLayout w:type="fixed"/>
        <w:tblCellMar>
          <w:left w:w="75" w:type="dxa"/>
          <w:right w:w="75" w:type="dxa"/>
        </w:tblCellMar>
        <w:tblLook w:val="0000" w:firstRow="0" w:lastRow="0" w:firstColumn="0" w:lastColumn="0" w:noHBand="0" w:noVBand="0"/>
      </w:tblPr>
      <w:tblGrid>
        <w:gridCol w:w="4389"/>
        <w:gridCol w:w="1201"/>
        <w:gridCol w:w="1201"/>
        <w:gridCol w:w="1201"/>
        <w:gridCol w:w="1201"/>
        <w:gridCol w:w="1562"/>
      </w:tblGrid>
      <w:tr w:rsidR="00FB77BE" w14:paraId="4AE7FB55" w14:textId="77777777" w:rsidTr="00B135FF">
        <w:trPr>
          <w:trHeight w:val="274"/>
          <w:jc w:val="center"/>
        </w:trPr>
        <w:tc>
          <w:tcPr>
            <w:tcW w:w="4389" w:type="dxa"/>
            <w:tcBorders>
              <w:top w:val="single" w:sz="6" w:space="0" w:color="auto"/>
              <w:left w:val="nil"/>
              <w:bottom w:val="nil"/>
              <w:right w:val="nil"/>
            </w:tcBorders>
          </w:tcPr>
          <w:p w14:paraId="7AEDE5E3"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single" w:sz="6" w:space="0" w:color="auto"/>
              <w:left w:val="nil"/>
              <w:bottom w:val="nil"/>
              <w:right w:val="nil"/>
            </w:tcBorders>
          </w:tcPr>
          <w:p w14:paraId="1399291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01" w:type="dxa"/>
            <w:tcBorders>
              <w:top w:val="single" w:sz="6" w:space="0" w:color="auto"/>
              <w:left w:val="nil"/>
              <w:bottom w:val="nil"/>
              <w:right w:val="nil"/>
            </w:tcBorders>
          </w:tcPr>
          <w:p w14:paraId="75C9C89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01" w:type="dxa"/>
            <w:tcBorders>
              <w:top w:val="single" w:sz="6" w:space="0" w:color="auto"/>
              <w:left w:val="nil"/>
              <w:bottom w:val="nil"/>
              <w:right w:val="nil"/>
            </w:tcBorders>
          </w:tcPr>
          <w:p w14:paraId="5921516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01" w:type="dxa"/>
            <w:tcBorders>
              <w:top w:val="single" w:sz="6" w:space="0" w:color="auto"/>
              <w:left w:val="nil"/>
              <w:bottom w:val="nil"/>
              <w:right w:val="nil"/>
            </w:tcBorders>
          </w:tcPr>
          <w:p w14:paraId="6E3BA7E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62" w:type="dxa"/>
            <w:tcBorders>
              <w:top w:val="single" w:sz="6" w:space="0" w:color="auto"/>
              <w:left w:val="nil"/>
              <w:bottom w:val="nil"/>
              <w:right w:val="nil"/>
            </w:tcBorders>
          </w:tcPr>
          <w:p w14:paraId="01A5A643"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FB77BE" w14:paraId="3FC4064E" w14:textId="77777777" w:rsidTr="00B135FF">
        <w:trPr>
          <w:trHeight w:val="267"/>
          <w:jc w:val="center"/>
        </w:trPr>
        <w:tc>
          <w:tcPr>
            <w:tcW w:w="4389" w:type="dxa"/>
            <w:tcBorders>
              <w:top w:val="nil"/>
              <w:left w:val="nil"/>
              <w:bottom w:val="single" w:sz="6" w:space="0" w:color="auto"/>
              <w:right w:val="nil"/>
            </w:tcBorders>
          </w:tcPr>
          <w:p w14:paraId="40A1BF0D"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1201" w:type="dxa"/>
            <w:tcBorders>
              <w:top w:val="nil"/>
              <w:left w:val="nil"/>
              <w:bottom w:val="single" w:sz="6" w:space="0" w:color="auto"/>
              <w:right w:val="nil"/>
            </w:tcBorders>
          </w:tcPr>
          <w:p w14:paraId="182B2C7E"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Log (DVA)</w:t>
            </w:r>
          </w:p>
        </w:tc>
        <w:tc>
          <w:tcPr>
            <w:tcW w:w="1201" w:type="dxa"/>
            <w:tcBorders>
              <w:top w:val="nil"/>
              <w:left w:val="nil"/>
              <w:bottom w:val="single" w:sz="6" w:space="0" w:color="auto"/>
              <w:right w:val="nil"/>
            </w:tcBorders>
          </w:tcPr>
          <w:p w14:paraId="4B569E4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Log (FVA)</w:t>
            </w:r>
          </w:p>
        </w:tc>
        <w:tc>
          <w:tcPr>
            <w:tcW w:w="1201" w:type="dxa"/>
            <w:tcBorders>
              <w:top w:val="nil"/>
              <w:left w:val="nil"/>
              <w:bottom w:val="single" w:sz="6" w:space="0" w:color="auto"/>
              <w:right w:val="nil"/>
            </w:tcBorders>
          </w:tcPr>
          <w:p w14:paraId="55033F6B"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Log (GVC)</w:t>
            </w:r>
          </w:p>
        </w:tc>
        <w:tc>
          <w:tcPr>
            <w:tcW w:w="1201" w:type="dxa"/>
            <w:tcBorders>
              <w:top w:val="nil"/>
              <w:left w:val="nil"/>
              <w:bottom w:val="single" w:sz="6" w:space="0" w:color="auto"/>
              <w:right w:val="nil"/>
            </w:tcBorders>
          </w:tcPr>
          <w:p w14:paraId="78A4D11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Log (DVX)</w:t>
            </w:r>
          </w:p>
        </w:tc>
        <w:tc>
          <w:tcPr>
            <w:tcW w:w="1562" w:type="dxa"/>
            <w:tcBorders>
              <w:top w:val="nil"/>
              <w:left w:val="nil"/>
              <w:bottom w:val="single" w:sz="6" w:space="0" w:color="auto"/>
              <w:right w:val="nil"/>
            </w:tcBorders>
          </w:tcPr>
          <w:p w14:paraId="65F69521"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Log (VA_EXP)</w:t>
            </w:r>
          </w:p>
        </w:tc>
      </w:tr>
      <w:tr w:rsidR="00FB77BE" w14:paraId="19E9B0A7" w14:textId="77777777" w:rsidTr="00B135FF">
        <w:trPr>
          <w:trHeight w:val="274"/>
          <w:jc w:val="center"/>
        </w:trPr>
        <w:tc>
          <w:tcPr>
            <w:tcW w:w="4389" w:type="dxa"/>
            <w:tcBorders>
              <w:top w:val="nil"/>
              <w:left w:val="nil"/>
              <w:bottom w:val="nil"/>
              <w:right w:val="nil"/>
            </w:tcBorders>
          </w:tcPr>
          <w:p w14:paraId="5E32A6B7"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5832A62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2A1D00A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35AFFD3C"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3B92C17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562" w:type="dxa"/>
            <w:tcBorders>
              <w:top w:val="nil"/>
              <w:left w:val="nil"/>
              <w:bottom w:val="nil"/>
              <w:right w:val="nil"/>
            </w:tcBorders>
          </w:tcPr>
          <w:p w14:paraId="08149D7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r>
      <w:tr w:rsidR="00FB77BE" w:rsidRPr="00C75122" w14:paraId="7DDCD55D" w14:textId="77777777" w:rsidTr="00B135FF">
        <w:trPr>
          <w:trHeight w:val="274"/>
          <w:jc w:val="center"/>
        </w:trPr>
        <w:tc>
          <w:tcPr>
            <w:tcW w:w="4389" w:type="dxa"/>
            <w:tcBorders>
              <w:top w:val="nil"/>
              <w:left w:val="nil"/>
              <w:bottom w:val="nil"/>
              <w:right w:val="nil"/>
            </w:tcBorders>
          </w:tcPr>
          <w:p w14:paraId="352AC90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(GDP)</w:t>
            </w:r>
          </w:p>
        </w:tc>
        <w:tc>
          <w:tcPr>
            <w:tcW w:w="1201" w:type="dxa"/>
            <w:tcBorders>
              <w:top w:val="nil"/>
              <w:left w:val="nil"/>
              <w:bottom w:val="nil"/>
              <w:right w:val="nil"/>
            </w:tcBorders>
          </w:tcPr>
          <w:p w14:paraId="456E69D5"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2.438***</w:t>
            </w:r>
          </w:p>
        </w:tc>
        <w:tc>
          <w:tcPr>
            <w:tcW w:w="1201" w:type="dxa"/>
            <w:tcBorders>
              <w:top w:val="nil"/>
              <w:left w:val="nil"/>
              <w:bottom w:val="nil"/>
              <w:right w:val="nil"/>
            </w:tcBorders>
          </w:tcPr>
          <w:p w14:paraId="37DEDFE1"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2.379***</w:t>
            </w:r>
          </w:p>
        </w:tc>
        <w:tc>
          <w:tcPr>
            <w:tcW w:w="1201" w:type="dxa"/>
            <w:tcBorders>
              <w:top w:val="nil"/>
              <w:left w:val="nil"/>
              <w:bottom w:val="nil"/>
              <w:right w:val="nil"/>
            </w:tcBorders>
          </w:tcPr>
          <w:p w14:paraId="7C3F89DC"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2.553***</w:t>
            </w:r>
          </w:p>
        </w:tc>
        <w:tc>
          <w:tcPr>
            <w:tcW w:w="1201" w:type="dxa"/>
            <w:tcBorders>
              <w:top w:val="nil"/>
              <w:left w:val="nil"/>
              <w:bottom w:val="nil"/>
              <w:right w:val="nil"/>
            </w:tcBorders>
          </w:tcPr>
          <w:p w14:paraId="2C98B5EF"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2.571***</w:t>
            </w:r>
          </w:p>
        </w:tc>
        <w:tc>
          <w:tcPr>
            <w:tcW w:w="1562" w:type="dxa"/>
            <w:tcBorders>
              <w:top w:val="nil"/>
              <w:left w:val="nil"/>
              <w:bottom w:val="nil"/>
              <w:right w:val="nil"/>
            </w:tcBorders>
          </w:tcPr>
          <w:p w14:paraId="798852C9"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2.432***</w:t>
            </w:r>
          </w:p>
        </w:tc>
      </w:tr>
      <w:tr w:rsidR="00FB77BE" w:rsidRPr="00C75122" w14:paraId="21DDA8AD" w14:textId="77777777" w:rsidTr="00B135FF">
        <w:trPr>
          <w:trHeight w:val="274"/>
          <w:jc w:val="center"/>
        </w:trPr>
        <w:tc>
          <w:tcPr>
            <w:tcW w:w="4389" w:type="dxa"/>
            <w:tcBorders>
              <w:top w:val="nil"/>
              <w:left w:val="nil"/>
              <w:bottom w:val="nil"/>
              <w:right w:val="nil"/>
            </w:tcBorders>
          </w:tcPr>
          <w:p w14:paraId="1BF243CD"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381FE26B"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(0.124)</w:t>
            </w:r>
          </w:p>
        </w:tc>
        <w:tc>
          <w:tcPr>
            <w:tcW w:w="1201" w:type="dxa"/>
            <w:tcBorders>
              <w:top w:val="nil"/>
              <w:left w:val="nil"/>
              <w:bottom w:val="nil"/>
              <w:right w:val="nil"/>
            </w:tcBorders>
          </w:tcPr>
          <w:p w14:paraId="3A3DFFA2"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(0.137)</w:t>
            </w:r>
          </w:p>
        </w:tc>
        <w:tc>
          <w:tcPr>
            <w:tcW w:w="1201" w:type="dxa"/>
            <w:tcBorders>
              <w:top w:val="nil"/>
              <w:left w:val="nil"/>
              <w:bottom w:val="nil"/>
              <w:right w:val="nil"/>
            </w:tcBorders>
          </w:tcPr>
          <w:p w14:paraId="7784BEBE"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(0.127)</w:t>
            </w:r>
          </w:p>
        </w:tc>
        <w:tc>
          <w:tcPr>
            <w:tcW w:w="1201" w:type="dxa"/>
            <w:tcBorders>
              <w:top w:val="nil"/>
              <w:left w:val="nil"/>
              <w:bottom w:val="nil"/>
              <w:right w:val="nil"/>
            </w:tcBorders>
          </w:tcPr>
          <w:p w14:paraId="3A967782"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(0.144)</w:t>
            </w:r>
          </w:p>
        </w:tc>
        <w:tc>
          <w:tcPr>
            <w:tcW w:w="1562" w:type="dxa"/>
            <w:tcBorders>
              <w:top w:val="nil"/>
              <w:left w:val="nil"/>
              <w:bottom w:val="nil"/>
              <w:right w:val="nil"/>
            </w:tcBorders>
          </w:tcPr>
          <w:p w14:paraId="39739310"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(0.117)</w:t>
            </w:r>
          </w:p>
        </w:tc>
      </w:tr>
      <w:tr w:rsidR="00FB77BE" w:rsidRPr="00C75122" w14:paraId="04B67EE7" w14:textId="77777777" w:rsidTr="00B135FF">
        <w:trPr>
          <w:trHeight w:val="267"/>
          <w:jc w:val="center"/>
        </w:trPr>
        <w:tc>
          <w:tcPr>
            <w:tcW w:w="4389" w:type="dxa"/>
            <w:tcBorders>
              <w:top w:val="nil"/>
              <w:left w:val="nil"/>
              <w:bottom w:val="nil"/>
              <w:right w:val="nil"/>
            </w:tcBorders>
          </w:tcPr>
          <w:p w14:paraId="4F9CC2D9"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FDI % GDP</w:t>
            </w:r>
          </w:p>
        </w:tc>
        <w:tc>
          <w:tcPr>
            <w:tcW w:w="1201" w:type="dxa"/>
            <w:tcBorders>
              <w:top w:val="nil"/>
              <w:left w:val="nil"/>
              <w:bottom w:val="nil"/>
              <w:right w:val="nil"/>
            </w:tcBorders>
          </w:tcPr>
          <w:p w14:paraId="4BEBDC0B"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0.00817*</w:t>
            </w:r>
          </w:p>
        </w:tc>
        <w:tc>
          <w:tcPr>
            <w:tcW w:w="1201" w:type="dxa"/>
            <w:tcBorders>
              <w:top w:val="nil"/>
              <w:left w:val="nil"/>
              <w:bottom w:val="nil"/>
              <w:right w:val="nil"/>
            </w:tcBorders>
          </w:tcPr>
          <w:p w14:paraId="32656A5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-0.00260</w:t>
            </w:r>
          </w:p>
        </w:tc>
        <w:tc>
          <w:tcPr>
            <w:tcW w:w="1201" w:type="dxa"/>
            <w:tcBorders>
              <w:top w:val="nil"/>
              <w:left w:val="nil"/>
              <w:bottom w:val="nil"/>
              <w:right w:val="nil"/>
            </w:tcBorders>
          </w:tcPr>
          <w:p w14:paraId="77AD44F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0.00410</w:t>
            </w:r>
          </w:p>
        </w:tc>
        <w:tc>
          <w:tcPr>
            <w:tcW w:w="1201" w:type="dxa"/>
            <w:tcBorders>
              <w:top w:val="nil"/>
              <w:left w:val="nil"/>
              <w:bottom w:val="nil"/>
              <w:right w:val="nil"/>
            </w:tcBorders>
          </w:tcPr>
          <w:p w14:paraId="4D3CF01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0.00968*</w:t>
            </w:r>
          </w:p>
        </w:tc>
        <w:tc>
          <w:tcPr>
            <w:tcW w:w="1562" w:type="dxa"/>
            <w:tcBorders>
              <w:top w:val="nil"/>
              <w:left w:val="nil"/>
              <w:bottom w:val="nil"/>
              <w:right w:val="nil"/>
            </w:tcBorders>
          </w:tcPr>
          <w:p w14:paraId="35D342C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0.00595</w:t>
            </w:r>
          </w:p>
        </w:tc>
      </w:tr>
      <w:tr w:rsidR="00FB77BE" w:rsidRPr="00C75122" w14:paraId="118CC6F0" w14:textId="77777777" w:rsidTr="00B135FF">
        <w:trPr>
          <w:trHeight w:val="274"/>
          <w:jc w:val="center"/>
        </w:trPr>
        <w:tc>
          <w:tcPr>
            <w:tcW w:w="4389" w:type="dxa"/>
            <w:tcBorders>
              <w:top w:val="nil"/>
              <w:left w:val="nil"/>
              <w:bottom w:val="nil"/>
              <w:right w:val="nil"/>
            </w:tcBorders>
          </w:tcPr>
          <w:p w14:paraId="682F21E2"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7333BD41"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(0.00441)</w:t>
            </w:r>
          </w:p>
        </w:tc>
        <w:tc>
          <w:tcPr>
            <w:tcW w:w="1201" w:type="dxa"/>
            <w:tcBorders>
              <w:top w:val="nil"/>
              <w:left w:val="nil"/>
              <w:bottom w:val="nil"/>
              <w:right w:val="nil"/>
            </w:tcBorders>
          </w:tcPr>
          <w:p w14:paraId="22F064D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(0.00491)</w:t>
            </w:r>
          </w:p>
        </w:tc>
        <w:tc>
          <w:tcPr>
            <w:tcW w:w="1201" w:type="dxa"/>
            <w:tcBorders>
              <w:top w:val="nil"/>
              <w:left w:val="nil"/>
              <w:bottom w:val="nil"/>
              <w:right w:val="nil"/>
            </w:tcBorders>
          </w:tcPr>
          <w:p w14:paraId="7B5A750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(0.00455)</w:t>
            </w:r>
          </w:p>
        </w:tc>
        <w:tc>
          <w:tcPr>
            <w:tcW w:w="1201" w:type="dxa"/>
            <w:tcBorders>
              <w:top w:val="nil"/>
              <w:left w:val="nil"/>
              <w:bottom w:val="nil"/>
              <w:right w:val="nil"/>
            </w:tcBorders>
          </w:tcPr>
          <w:p w14:paraId="5848B2A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(0.00513)</w:t>
            </w:r>
          </w:p>
        </w:tc>
        <w:tc>
          <w:tcPr>
            <w:tcW w:w="1562" w:type="dxa"/>
            <w:tcBorders>
              <w:top w:val="nil"/>
              <w:left w:val="nil"/>
              <w:bottom w:val="nil"/>
              <w:right w:val="nil"/>
            </w:tcBorders>
          </w:tcPr>
          <w:p w14:paraId="77FBCA4C"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(0.00418)</w:t>
            </w:r>
          </w:p>
        </w:tc>
      </w:tr>
      <w:tr w:rsidR="00FB77BE" w:rsidRPr="00C75122" w14:paraId="515575C6" w14:textId="77777777" w:rsidTr="00B135FF">
        <w:trPr>
          <w:trHeight w:val="274"/>
          <w:jc w:val="center"/>
        </w:trPr>
        <w:tc>
          <w:tcPr>
            <w:tcW w:w="4389" w:type="dxa"/>
            <w:tcBorders>
              <w:top w:val="nil"/>
              <w:left w:val="nil"/>
              <w:bottom w:val="nil"/>
              <w:right w:val="nil"/>
            </w:tcBorders>
          </w:tcPr>
          <w:p w14:paraId="60B8AC71"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(Total investment % GDP)</w:t>
            </w:r>
          </w:p>
        </w:tc>
        <w:tc>
          <w:tcPr>
            <w:tcW w:w="1201" w:type="dxa"/>
            <w:tcBorders>
              <w:top w:val="nil"/>
              <w:left w:val="nil"/>
              <w:bottom w:val="nil"/>
              <w:right w:val="nil"/>
            </w:tcBorders>
          </w:tcPr>
          <w:p w14:paraId="27BC614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-0.0930</w:t>
            </w:r>
          </w:p>
        </w:tc>
        <w:tc>
          <w:tcPr>
            <w:tcW w:w="1201" w:type="dxa"/>
            <w:tcBorders>
              <w:top w:val="nil"/>
              <w:left w:val="nil"/>
              <w:bottom w:val="nil"/>
              <w:right w:val="nil"/>
            </w:tcBorders>
          </w:tcPr>
          <w:p w14:paraId="00ED1F7D"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0.171**</w:t>
            </w:r>
          </w:p>
        </w:tc>
        <w:tc>
          <w:tcPr>
            <w:tcW w:w="1201" w:type="dxa"/>
            <w:tcBorders>
              <w:top w:val="nil"/>
              <w:left w:val="nil"/>
              <w:bottom w:val="nil"/>
              <w:right w:val="nil"/>
            </w:tcBorders>
          </w:tcPr>
          <w:p w14:paraId="23DDBC74"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0.00929</w:t>
            </w:r>
          </w:p>
        </w:tc>
        <w:tc>
          <w:tcPr>
            <w:tcW w:w="1201" w:type="dxa"/>
            <w:tcBorders>
              <w:top w:val="nil"/>
              <w:left w:val="nil"/>
              <w:bottom w:val="nil"/>
              <w:right w:val="nil"/>
            </w:tcBorders>
          </w:tcPr>
          <w:p w14:paraId="0C9370E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-0.0682</w:t>
            </w:r>
          </w:p>
        </w:tc>
        <w:tc>
          <w:tcPr>
            <w:tcW w:w="1562" w:type="dxa"/>
            <w:tcBorders>
              <w:top w:val="nil"/>
              <w:left w:val="nil"/>
              <w:bottom w:val="nil"/>
              <w:right w:val="nil"/>
            </w:tcBorders>
          </w:tcPr>
          <w:p w14:paraId="0F5F2D31"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-0.0531</w:t>
            </w:r>
          </w:p>
        </w:tc>
      </w:tr>
      <w:tr w:rsidR="00FB77BE" w:rsidRPr="00C75122" w14:paraId="74FC6852" w14:textId="77777777" w:rsidTr="00B135FF">
        <w:trPr>
          <w:trHeight w:val="267"/>
          <w:jc w:val="center"/>
        </w:trPr>
        <w:tc>
          <w:tcPr>
            <w:tcW w:w="4389" w:type="dxa"/>
            <w:tcBorders>
              <w:top w:val="nil"/>
              <w:left w:val="nil"/>
              <w:bottom w:val="nil"/>
              <w:right w:val="nil"/>
            </w:tcBorders>
          </w:tcPr>
          <w:p w14:paraId="5693FB4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061B490E"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(0.0630)</w:t>
            </w:r>
          </w:p>
        </w:tc>
        <w:tc>
          <w:tcPr>
            <w:tcW w:w="1201" w:type="dxa"/>
            <w:tcBorders>
              <w:top w:val="nil"/>
              <w:left w:val="nil"/>
              <w:bottom w:val="nil"/>
              <w:right w:val="nil"/>
            </w:tcBorders>
          </w:tcPr>
          <w:p w14:paraId="5FCE6065"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(0.0700)</w:t>
            </w:r>
          </w:p>
        </w:tc>
        <w:tc>
          <w:tcPr>
            <w:tcW w:w="1201" w:type="dxa"/>
            <w:tcBorders>
              <w:top w:val="nil"/>
              <w:left w:val="nil"/>
              <w:bottom w:val="nil"/>
              <w:right w:val="nil"/>
            </w:tcBorders>
          </w:tcPr>
          <w:p w14:paraId="0B54F962"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(0.0649)</w:t>
            </w:r>
          </w:p>
        </w:tc>
        <w:tc>
          <w:tcPr>
            <w:tcW w:w="1201" w:type="dxa"/>
            <w:tcBorders>
              <w:top w:val="nil"/>
              <w:left w:val="nil"/>
              <w:bottom w:val="nil"/>
              <w:right w:val="nil"/>
            </w:tcBorders>
          </w:tcPr>
          <w:p w14:paraId="55EFCD4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(0.0732)</w:t>
            </w:r>
          </w:p>
        </w:tc>
        <w:tc>
          <w:tcPr>
            <w:tcW w:w="1562" w:type="dxa"/>
            <w:tcBorders>
              <w:top w:val="nil"/>
              <w:left w:val="nil"/>
              <w:bottom w:val="nil"/>
              <w:right w:val="nil"/>
            </w:tcBorders>
          </w:tcPr>
          <w:p w14:paraId="6BA35B8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(0.0596)</w:t>
            </w:r>
          </w:p>
        </w:tc>
      </w:tr>
      <w:tr w:rsidR="00FB77BE" w:rsidRPr="00C75122" w14:paraId="703AB51E" w14:textId="77777777" w:rsidTr="00B135FF">
        <w:trPr>
          <w:trHeight w:val="274"/>
          <w:jc w:val="center"/>
        </w:trPr>
        <w:tc>
          <w:tcPr>
            <w:tcW w:w="4389" w:type="dxa"/>
            <w:tcBorders>
              <w:top w:val="nil"/>
              <w:left w:val="nil"/>
              <w:bottom w:val="nil"/>
              <w:right w:val="nil"/>
            </w:tcBorders>
          </w:tcPr>
          <w:p w14:paraId="123AF6DF"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(Average Tariff Rate)</w:t>
            </w:r>
          </w:p>
        </w:tc>
        <w:tc>
          <w:tcPr>
            <w:tcW w:w="1201" w:type="dxa"/>
            <w:tcBorders>
              <w:top w:val="nil"/>
              <w:left w:val="nil"/>
              <w:bottom w:val="nil"/>
              <w:right w:val="nil"/>
            </w:tcBorders>
          </w:tcPr>
          <w:p w14:paraId="7B1D7DD5"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-0.207***</w:t>
            </w:r>
          </w:p>
        </w:tc>
        <w:tc>
          <w:tcPr>
            <w:tcW w:w="1201" w:type="dxa"/>
            <w:tcBorders>
              <w:top w:val="nil"/>
              <w:left w:val="nil"/>
              <w:bottom w:val="nil"/>
              <w:right w:val="nil"/>
            </w:tcBorders>
          </w:tcPr>
          <w:p w14:paraId="357156C1"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-0.196***</w:t>
            </w:r>
          </w:p>
        </w:tc>
        <w:tc>
          <w:tcPr>
            <w:tcW w:w="1201" w:type="dxa"/>
            <w:tcBorders>
              <w:top w:val="nil"/>
              <w:left w:val="nil"/>
              <w:bottom w:val="nil"/>
              <w:right w:val="nil"/>
            </w:tcBorders>
          </w:tcPr>
          <w:p w14:paraId="581A060D"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-0.215***</w:t>
            </w:r>
          </w:p>
        </w:tc>
        <w:tc>
          <w:tcPr>
            <w:tcW w:w="1201" w:type="dxa"/>
            <w:tcBorders>
              <w:top w:val="nil"/>
              <w:left w:val="nil"/>
              <w:bottom w:val="nil"/>
              <w:right w:val="nil"/>
            </w:tcBorders>
          </w:tcPr>
          <w:p w14:paraId="7966F5B0"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-0.249***</w:t>
            </w:r>
          </w:p>
        </w:tc>
        <w:tc>
          <w:tcPr>
            <w:tcW w:w="1562" w:type="dxa"/>
            <w:tcBorders>
              <w:top w:val="nil"/>
              <w:left w:val="nil"/>
              <w:bottom w:val="nil"/>
              <w:right w:val="nil"/>
            </w:tcBorders>
          </w:tcPr>
          <w:p w14:paraId="7DEC6063"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-0.203***</w:t>
            </w:r>
          </w:p>
        </w:tc>
      </w:tr>
      <w:tr w:rsidR="00FB77BE" w:rsidRPr="00C75122" w14:paraId="4E17F212" w14:textId="77777777" w:rsidTr="00B135FF">
        <w:trPr>
          <w:trHeight w:val="274"/>
          <w:jc w:val="center"/>
        </w:trPr>
        <w:tc>
          <w:tcPr>
            <w:tcW w:w="4389" w:type="dxa"/>
            <w:tcBorders>
              <w:top w:val="nil"/>
              <w:left w:val="nil"/>
              <w:bottom w:val="nil"/>
              <w:right w:val="nil"/>
            </w:tcBorders>
          </w:tcPr>
          <w:p w14:paraId="1743232E"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05A9691E"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(0.0411)</w:t>
            </w:r>
          </w:p>
        </w:tc>
        <w:tc>
          <w:tcPr>
            <w:tcW w:w="1201" w:type="dxa"/>
            <w:tcBorders>
              <w:top w:val="nil"/>
              <w:left w:val="nil"/>
              <w:bottom w:val="nil"/>
              <w:right w:val="nil"/>
            </w:tcBorders>
          </w:tcPr>
          <w:p w14:paraId="4F32495D"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(0.0457)</w:t>
            </w:r>
          </w:p>
        </w:tc>
        <w:tc>
          <w:tcPr>
            <w:tcW w:w="1201" w:type="dxa"/>
            <w:tcBorders>
              <w:top w:val="nil"/>
              <w:left w:val="nil"/>
              <w:bottom w:val="nil"/>
              <w:right w:val="nil"/>
            </w:tcBorders>
          </w:tcPr>
          <w:p w14:paraId="573547BB"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(0.0424)</w:t>
            </w:r>
          </w:p>
        </w:tc>
        <w:tc>
          <w:tcPr>
            <w:tcW w:w="1201" w:type="dxa"/>
            <w:tcBorders>
              <w:top w:val="nil"/>
              <w:left w:val="nil"/>
              <w:bottom w:val="nil"/>
              <w:right w:val="nil"/>
            </w:tcBorders>
          </w:tcPr>
          <w:p w14:paraId="320DADB2"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(0.0478)</w:t>
            </w:r>
          </w:p>
        </w:tc>
        <w:tc>
          <w:tcPr>
            <w:tcW w:w="1562" w:type="dxa"/>
            <w:tcBorders>
              <w:top w:val="nil"/>
              <w:left w:val="nil"/>
              <w:bottom w:val="nil"/>
              <w:right w:val="nil"/>
            </w:tcBorders>
          </w:tcPr>
          <w:p w14:paraId="51CD5A8F"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(0.0389)</w:t>
            </w:r>
          </w:p>
        </w:tc>
      </w:tr>
      <w:tr w:rsidR="00FB77BE" w:rsidRPr="00C75122" w14:paraId="33B14DC5" w14:textId="77777777" w:rsidTr="00B135FF">
        <w:trPr>
          <w:trHeight w:val="267"/>
          <w:jc w:val="center"/>
        </w:trPr>
        <w:tc>
          <w:tcPr>
            <w:tcW w:w="4389" w:type="dxa"/>
            <w:tcBorders>
              <w:top w:val="nil"/>
              <w:left w:val="nil"/>
              <w:bottom w:val="nil"/>
              <w:right w:val="nil"/>
            </w:tcBorders>
          </w:tcPr>
          <w:p w14:paraId="07AE7961"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(Manufactured share of exports)</w:t>
            </w:r>
          </w:p>
        </w:tc>
        <w:tc>
          <w:tcPr>
            <w:tcW w:w="1201" w:type="dxa"/>
            <w:tcBorders>
              <w:top w:val="nil"/>
              <w:left w:val="nil"/>
              <w:bottom w:val="nil"/>
              <w:right w:val="nil"/>
            </w:tcBorders>
          </w:tcPr>
          <w:p w14:paraId="4B7333B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-0.00815</w:t>
            </w:r>
          </w:p>
        </w:tc>
        <w:tc>
          <w:tcPr>
            <w:tcW w:w="1201" w:type="dxa"/>
            <w:tcBorders>
              <w:top w:val="nil"/>
              <w:left w:val="nil"/>
              <w:bottom w:val="nil"/>
              <w:right w:val="nil"/>
            </w:tcBorders>
          </w:tcPr>
          <w:p w14:paraId="1D94A7A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0.0146</w:t>
            </w:r>
          </w:p>
        </w:tc>
        <w:tc>
          <w:tcPr>
            <w:tcW w:w="1201" w:type="dxa"/>
            <w:tcBorders>
              <w:top w:val="nil"/>
              <w:left w:val="nil"/>
              <w:bottom w:val="nil"/>
              <w:right w:val="nil"/>
            </w:tcBorders>
          </w:tcPr>
          <w:p w14:paraId="6AF0DB9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0.00564</w:t>
            </w:r>
          </w:p>
        </w:tc>
        <w:tc>
          <w:tcPr>
            <w:tcW w:w="1201" w:type="dxa"/>
            <w:tcBorders>
              <w:top w:val="nil"/>
              <w:left w:val="nil"/>
              <w:bottom w:val="nil"/>
              <w:right w:val="nil"/>
            </w:tcBorders>
          </w:tcPr>
          <w:p w14:paraId="3525A1A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-0.0108</w:t>
            </w:r>
          </w:p>
        </w:tc>
        <w:tc>
          <w:tcPr>
            <w:tcW w:w="1562" w:type="dxa"/>
            <w:tcBorders>
              <w:top w:val="nil"/>
              <w:left w:val="nil"/>
              <w:bottom w:val="nil"/>
              <w:right w:val="nil"/>
            </w:tcBorders>
          </w:tcPr>
          <w:p w14:paraId="7FB73D22"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-0.00280</w:t>
            </w:r>
          </w:p>
        </w:tc>
      </w:tr>
      <w:tr w:rsidR="00FB77BE" w:rsidRPr="00C75122" w14:paraId="10D9FAD5" w14:textId="77777777" w:rsidTr="00B135FF">
        <w:trPr>
          <w:trHeight w:val="274"/>
          <w:jc w:val="center"/>
        </w:trPr>
        <w:tc>
          <w:tcPr>
            <w:tcW w:w="4389" w:type="dxa"/>
            <w:tcBorders>
              <w:top w:val="nil"/>
              <w:left w:val="nil"/>
              <w:bottom w:val="nil"/>
              <w:right w:val="nil"/>
            </w:tcBorders>
          </w:tcPr>
          <w:p w14:paraId="3401415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2F34074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(0.0339)</w:t>
            </w:r>
          </w:p>
        </w:tc>
        <w:tc>
          <w:tcPr>
            <w:tcW w:w="1201" w:type="dxa"/>
            <w:tcBorders>
              <w:top w:val="nil"/>
              <w:left w:val="nil"/>
              <w:bottom w:val="nil"/>
              <w:right w:val="nil"/>
            </w:tcBorders>
          </w:tcPr>
          <w:p w14:paraId="7A085834"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(0.0377)</w:t>
            </w:r>
          </w:p>
        </w:tc>
        <w:tc>
          <w:tcPr>
            <w:tcW w:w="1201" w:type="dxa"/>
            <w:tcBorders>
              <w:top w:val="nil"/>
              <w:left w:val="nil"/>
              <w:bottom w:val="nil"/>
              <w:right w:val="nil"/>
            </w:tcBorders>
          </w:tcPr>
          <w:p w14:paraId="2D2CB72E"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(0.0350)</w:t>
            </w:r>
          </w:p>
        </w:tc>
        <w:tc>
          <w:tcPr>
            <w:tcW w:w="1201" w:type="dxa"/>
            <w:tcBorders>
              <w:top w:val="nil"/>
              <w:left w:val="nil"/>
              <w:bottom w:val="nil"/>
              <w:right w:val="nil"/>
            </w:tcBorders>
          </w:tcPr>
          <w:p w14:paraId="277C35F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(0.0395)</w:t>
            </w:r>
          </w:p>
        </w:tc>
        <w:tc>
          <w:tcPr>
            <w:tcW w:w="1562" w:type="dxa"/>
            <w:tcBorders>
              <w:top w:val="nil"/>
              <w:left w:val="nil"/>
              <w:bottom w:val="nil"/>
              <w:right w:val="nil"/>
            </w:tcBorders>
          </w:tcPr>
          <w:p w14:paraId="632EAE1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(0.0321)</w:t>
            </w:r>
          </w:p>
        </w:tc>
      </w:tr>
      <w:tr w:rsidR="00FB77BE" w:rsidRPr="00C75122" w14:paraId="74D13997" w14:textId="77777777" w:rsidTr="00B135FF">
        <w:trPr>
          <w:trHeight w:val="274"/>
          <w:jc w:val="center"/>
        </w:trPr>
        <w:tc>
          <w:tcPr>
            <w:tcW w:w="4389" w:type="dxa"/>
            <w:tcBorders>
              <w:top w:val="nil"/>
              <w:left w:val="nil"/>
              <w:bottom w:val="nil"/>
              <w:right w:val="nil"/>
            </w:tcBorders>
          </w:tcPr>
          <w:p w14:paraId="157879A0"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(Private sector credit % GDP)</w:t>
            </w:r>
          </w:p>
        </w:tc>
        <w:tc>
          <w:tcPr>
            <w:tcW w:w="1201" w:type="dxa"/>
            <w:tcBorders>
              <w:top w:val="nil"/>
              <w:left w:val="nil"/>
              <w:bottom w:val="nil"/>
              <w:right w:val="nil"/>
            </w:tcBorders>
          </w:tcPr>
          <w:p w14:paraId="49DEA41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-0.00332</w:t>
            </w:r>
          </w:p>
        </w:tc>
        <w:tc>
          <w:tcPr>
            <w:tcW w:w="1201" w:type="dxa"/>
            <w:tcBorders>
              <w:top w:val="nil"/>
              <w:left w:val="nil"/>
              <w:bottom w:val="nil"/>
              <w:right w:val="nil"/>
            </w:tcBorders>
          </w:tcPr>
          <w:p w14:paraId="7D4A3D0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-0.00205</w:t>
            </w:r>
          </w:p>
        </w:tc>
        <w:tc>
          <w:tcPr>
            <w:tcW w:w="1201" w:type="dxa"/>
            <w:tcBorders>
              <w:top w:val="nil"/>
              <w:left w:val="nil"/>
              <w:bottom w:val="nil"/>
              <w:right w:val="nil"/>
            </w:tcBorders>
          </w:tcPr>
          <w:p w14:paraId="24142F9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-0.00254</w:t>
            </w:r>
          </w:p>
        </w:tc>
        <w:tc>
          <w:tcPr>
            <w:tcW w:w="1201" w:type="dxa"/>
            <w:tcBorders>
              <w:top w:val="nil"/>
              <w:left w:val="nil"/>
              <w:bottom w:val="nil"/>
              <w:right w:val="nil"/>
            </w:tcBorders>
          </w:tcPr>
          <w:p w14:paraId="3572FCB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-0.00279</w:t>
            </w:r>
          </w:p>
        </w:tc>
        <w:tc>
          <w:tcPr>
            <w:tcW w:w="1562" w:type="dxa"/>
            <w:tcBorders>
              <w:top w:val="nil"/>
              <w:left w:val="nil"/>
              <w:bottom w:val="nil"/>
              <w:right w:val="nil"/>
            </w:tcBorders>
          </w:tcPr>
          <w:p w14:paraId="1756B7AE"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-0.00289</w:t>
            </w:r>
          </w:p>
        </w:tc>
      </w:tr>
      <w:tr w:rsidR="00FB77BE" w:rsidRPr="00C75122" w14:paraId="7728135D" w14:textId="77777777" w:rsidTr="00B135FF">
        <w:trPr>
          <w:trHeight w:val="267"/>
          <w:jc w:val="center"/>
        </w:trPr>
        <w:tc>
          <w:tcPr>
            <w:tcW w:w="4389" w:type="dxa"/>
            <w:tcBorders>
              <w:top w:val="nil"/>
              <w:left w:val="nil"/>
              <w:bottom w:val="nil"/>
              <w:right w:val="nil"/>
            </w:tcBorders>
          </w:tcPr>
          <w:p w14:paraId="199B5C9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783B6404"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(0.00209)</w:t>
            </w:r>
          </w:p>
        </w:tc>
        <w:tc>
          <w:tcPr>
            <w:tcW w:w="1201" w:type="dxa"/>
            <w:tcBorders>
              <w:top w:val="nil"/>
              <w:left w:val="nil"/>
              <w:bottom w:val="nil"/>
              <w:right w:val="nil"/>
            </w:tcBorders>
          </w:tcPr>
          <w:p w14:paraId="1978EDE2"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(0.00232)</w:t>
            </w:r>
          </w:p>
        </w:tc>
        <w:tc>
          <w:tcPr>
            <w:tcW w:w="1201" w:type="dxa"/>
            <w:tcBorders>
              <w:top w:val="nil"/>
              <w:left w:val="nil"/>
              <w:bottom w:val="nil"/>
              <w:right w:val="nil"/>
            </w:tcBorders>
          </w:tcPr>
          <w:p w14:paraId="4F4AB77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(0.00215)</w:t>
            </w:r>
          </w:p>
        </w:tc>
        <w:tc>
          <w:tcPr>
            <w:tcW w:w="1201" w:type="dxa"/>
            <w:tcBorders>
              <w:top w:val="nil"/>
              <w:left w:val="nil"/>
              <w:bottom w:val="nil"/>
              <w:right w:val="nil"/>
            </w:tcBorders>
          </w:tcPr>
          <w:p w14:paraId="006D2B33"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(0.00243)</w:t>
            </w:r>
          </w:p>
        </w:tc>
        <w:tc>
          <w:tcPr>
            <w:tcW w:w="1562" w:type="dxa"/>
            <w:tcBorders>
              <w:top w:val="nil"/>
              <w:left w:val="nil"/>
              <w:bottom w:val="nil"/>
              <w:right w:val="nil"/>
            </w:tcBorders>
          </w:tcPr>
          <w:p w14:paraId="771EE44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(0.00198)</w:t>
            </w:r>
          </w:p>
        </w:tc>
      </w:tr>
      <w:tr w:rsidR="00FB77BE" w:rsidRPr="00C75122" w14:paraId="7F6F6549" w14:textId="77777777" w:rsidTr="00B135FF">
        <w:trPr>
          <w:trHeight w:val="274"/>
          <w:jc w:val="center"/>
        </w:trPr>
        <w:tc>
          <w:tcPr>
            <w:tcW w:w="4389" w:type="dxa"/>
            <w:tcBorders>
              <w:top w:val="nil"/>
              <w:left w:val="nil"/>
              <w:bottom w:val="nil"/>
              <w:right w:val="nil"/>
            </w:tcBorders>
          </w:tcPr>
          <w:p w14:paraId="577BDC88"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Rule of law</w:t>
            </w:r>
          </w:p>
        </w:tc>
        <w:tc>
          <w:tcPr>
            <w:tcW w:w="1201" w:type="dxa"/>
            <w:tcBorders>
              <w:top w:val="nil"/>
              <w:left w:val="nil"/>
              <w:bottom w:val="nil"/>
              <w:right w:val="nil"/>
            </w:tcBorders>
          </w:tcPr>
          <w:p w14:paraId="45C8301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-0.0142</w:t>
            </w:r>
          </w:p>
        </w:tc>
        <w:tc>
          <w:tcPr>
            <w:tcW w:w="1201" w:type="dxa"/>
            <w:tcBorders>
              <w:top w:val="nil"/>
              <w:left w:val="nil"/>
              <w:bottom w:val="nil"/>
              <w:right w:val="nil"/>
            </w:tcBorders>
          </w:tcPr>
          <w:p w14:paraId="2BE99E4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-0.0782</w:t>
            </w:r>
          </w:p>
        </w:tc>
        <w:tc>
          <w:tcPr>
            <w:tcW w:w="1201" w:type="dxa"/>
            <w:tcBorders>
              <w:top w:val="nil"/>
              <w:left w:val="nil"/>
              <w:bottom w:val="nil"/>
              <w:right w:val="nil"/>
            </w:tcBorders>
          </w:tcPr>
          <w:p w14:paraId="3C6AAF7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-0.0906</w:t>
            </w:r>
          </w:p>
        </w:tc>
        <w:tc>
          <w:tcPr>
            <w:tcW w:w="1201" w:type="dxa"/>
            <w:tcBorders>
              <w:top w:val="nil"/>
              <w:left w:val="nil"/>
              <w:bottom w:val="nil"/>
              <w:right w:val="nil"/>
            </w:tcBorders>
          </w:tcPr>
          <w:p w14:paraId="63D92FC1"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-0.0788</w:t>
            </w:r>
          </w:p>
        </w:tc>
        <w:tc>
          <w:tcPr>
            <w:tcW w:w="1562" w:type="dxa"/>
            <w:tcBorders>
              <w:top w:val="nil"/>
              <w:left w:val="nil"/>
              <w:bottom w:val="nil"/>
              <w:right w:val="nil"/>
            </w:tcBorders>
          </w:tcPr>
          <w:p w14:paraId="1E09F7A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-0.0265</w:t>
            </w:r>
          </w:p>
        </w:tc>
      </w:tr>
      <w:tr w:rsidR="00FB77BE" w:rsidRPr="00C75122" w14:paraId="6DED3943" w14:textId="77777777" w:rsidTr="00B135FF">
        <w:trPr>
          <w:trHeight w:val="274"/>
          <w:jc w:val="center"/>
        </w:trPr>
        <w:tc>
          <w:tcPr>
            <w:tcW w:w="4389" w:type="dxa"/>
            <w:tcBorders>
              <w:top w:val="nil"/>
              <w:left w:val="nil"/>
              <w:bottom w:val="nil"/>
              <w:right w:val="nil"/>
            </w:tcBorders>
          </w:tcPr>
          <w:p w14:paraId="6F8D9F9F"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27318B94"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(0.0736)</w:t>
            </w:r>
          </w:p>
        </w:tc>
        <w:tc>
          <w:tcPr>
            <w:tcW w:w="1201" w:type="dxa"/>
            <w:tcBorders>
              <w:top w:val="nil"/>
              <w:left w:val="nil"/>
              <w:bottom w:val="nil"/>
              <w:right w:val="nil"/>
            </w:tcBorders>
          </w:tcPr>
          <w:p w14:paraId="32C46723"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(0.0818)</w:t>
            </w:r>
          </w:p>
        </w:tc>
        <w:tc>
          <w:tcPr>
            <w:tcW w:w="1201" w:type="dxa"/>
            <w:tcBorders>
              <w:top w:val="nil"/>
              <w:left w:val="nil"/>
              <w:bottom w:val="nil"/>
              <w:right w:val="nil"/>
            </w:tcBorders>
          </w:tcPr>
          <w:p w14:paraId="33B5704C"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(0.0758)</w:t>
            </w:r>
          </w:p>
        </w:tc>
        <w:tc>
          <w:tcPr>
            <w:tcW w:w="1201" w:type="dxa"/>
            <w:tcBorders>
              <w:top w:val="nil"/>
              <w:left w:val="nil"/>
              <w:bottom w:val="nil"/>
              <w:right w:val="nil"/>
            </w:tcBorders>
          </w:tcPr>
          <w:p w14:paraId="52A1F17E"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(0.0856)</w:t>
            </w:r>
          </w:p>
        </w:tc>
        <w:tc>
          <w:tcPr>
            <w:tcW w:w="1562" w:type="dxa"/>
            <w:tcBorders>
              <w:top w:val="nil"/>
              <w:left w:val="nil"/>
              <w:bottom w:val="nil"/>
              <w:right w:val="nil"/>
            </w:tcBorders>
          </w:tcPr>
          <w:p w14:paraId="29BA5F7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(0.0697)</w:t>
            </w:r>
          </w:p>
        </w:tc>
      </w:tr>
      <w:tr w:rsidR="00FB77BE" w:rsidRPr="00C75122" w14:paraId="32863550" w14:textId="77777777" w:rsidTr="00B135FF">
        <w:trPr>
          <w:trHeight w:val="274"/>
          <w:jc w:val="center"/>
        </w:trPr>
        <w:tc>
          <w:tcPr>
            <w:tcW w:w="4389" w:type="dxa"/>
            <w:tcBorders>
              <w:top w:val="nil"/>
              <w:left w:val="nil"/>
              <w:bottom w:val="nil"/>
              <w:right w:val="nil"/>
            </w:tcBorders>
          </w:tcPr>
          <w:p w14:paraId="40BAA1CC"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 (Output per worker)</w:t>
            </w:r>
          </w:p>
        </w:tc>
        <w:tc>
          <w:tcPr>
            <w:tcW w:w="1201" w:type="dxa"/>
            <w:tcBorders>
              <w:top w:val="nil"/>
              <w:left w:val="nil"/>
              <w:bottom w:val="nil"/>
              <w:right w:val="nil"/>
            </w:tcBorders>
          </w:tcPr>
          <w:p w14:paraId="52DDDCA9"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-2.262***</w:t>
            </w:r>
          </w:p>
        </w:tc>
        <w:tc>
          <w:tcPr>
            <w:tcW w:w="1201" w:type="dxa"/>
            <w:tcBorders>
              <w:top w:val="nil"/>
              <w:left w:val="nil"/>
              <w:bottom w:val="nil"/>
              <w:right w:val="nil"/>
            </w:tcBorders>
          </w:tcPr>
          <w:p w14:paraId="24671929"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-1.828***</w:t>
            </w:r>
          </w:p>
        </w:tc>
        <w:tc>
          <w:tcPr>
            <w:tcW w:w="1201" w:type="dxa"/>
            <w:tcBorders>
              <w:top w:val="nil"/>
              <w:left w:val="nil"/>
              <w:bottom w:val="nil"/>
              <w:right w:val="nil"/>
            </w:tcBorders>
          </w:tcPr>
          <w:p w14:paraId="223D049A"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-2.180***</w:t>
            </w:r>
          </w:p>
        </w:tc>
        <w:tc>
          <w:tcPr>
            <w:tcW w:w="1201" w:type="dxa"/>
            <w:tcBorders>
              <w:top w:val="nil"/>
              <w:left w:val="nil"/>
              <w:bottom w:val="nil"/>
              <w:right w:val="nil"/>
            </w:tcBorders>
          </w:tcPr>
          <w:p w14:paraId="19E63F18"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-2.419***</w:t>
            </w:r>
          </w:p>
        </w:tc>
        <w:tc>
          <w:tcPr>
            <w:tcW w:w="1562" w:type="dxa"/>
            <w:tcBorders>
              <w:top w:val="nil"/>
              <w:left w:val="nil"/>
              <w:bottom w:val="nil"/>
              <w:right w:val="nil"/>
            </w:tcBorders>
          </w:tcPr>
          <w:p w14:paraId="310F4992"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-2.149***</w:t>
            </w:r>
          </w:p>
        </w:tc>
      </w:tr>
      <w:tr w:rsidR="00FB77BE" w:rsidRPr="00C75122" w14:paraId="11D3EBE9" w14:textId="77777777" w:rsidTr="00B135FF">
        <w:trPr>
          <w:trHeight w:val="267"/>
          <w:jc w:val="center"/>
        </w:trPr>
        <w:tc>
          <w:tcPr>
            <w:tcW w:w="4389" w:type="dxa"/>
            <w:tcBorders>
              <w:top w:val="nil"/>
              <w:left w:val="nil"/>
              <w:bottom w:val="nil"/>
              <w:right w:val="nil"/>
            </w:tcBorders>
          </w:tcPr>
          <w:p w14:paraId="61B81EA5"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6F7C7EF3"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(0.226)</w:t>
            </w:r>
          </w:p>
        </w:tc>
        <w:tc>
          <w:tcPr>
            <w:tcW w:w="1201" w:type="dxa"/>
            <w:tcBorders>
              <w:top w:val="nil"/>
              <w:left w:val="nil"/>
              <w:bottom w:val="nil"/>
              <w:right w:val="nil"/>
            </w:tcBorders>
          </w:tcPr>
          <w:p w14:paraId="161F1668"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(0.251)</w:t>
            </w:r>
          </w:p>
        </w:tc>
        <w:tc>
          <w:tcPr>
            <w:tcW w:w="1201" w:type="dxa"/>
            <w:tcBorders>
              <w:top w:val="nil"/>
              <w:left w:val="nil"/>
              <w:bottom w:val="nil"/>
              <w:right w:val="nil"/>
            </w:tcBorders>
          </w:tcPr>
          <w:p w14:paraId="41AB5D70"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(0.233)</w:t>
            </w:r>
          </w:p>
        </w:tc>
        <w:tc>
          <w:tcPr>
            <w:tcW w:w="1201" w:type="dxa"/>
            <w:tcBorders>
              <w:top w:val="nil"/>
              <w:left w:val="nil"/>
              <w:bottom w:val="nil"/>
              <w:right w:val="nil"/>
            </w:tcBorders>
          </w:tcPr>
          <w:p w14:paraId="662C5A5E"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(0.263)</w:t>
            </w:r>
          </w:p>
        </w:tc>
        <w:tc>
          <w:tcPr>
            <w:tcW w:w="1562" w:type="dxa"/>
            <w:tcBorders>
              <w:top w:val="nil"/>
              <w:left w:val="nil"/>
              <w:bottom w:val="nil"/>
              <w:right w:val="nil"/>
            </w:tcBorders>
          </w:tcPr>
          <w:p w14:paraId="4E93A954" w14:textId="77777777" w:rsidR="00FB77BE" w:rsidRPr="00C75122"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(0.214)</w:t>
            </w:r>
          </w:p>
        </w:tc>
      </w:tr>
      <w:tr w:rsidR="00FB77BE" w:rsidRPr="00C75122" w14:paraId="311614BA" w14:textId="77777777" w:rsidTr="00B135FF">
        <w:trPr>
          <w:trHeight w:val="274"/>
          <w:jc w:val="center"/>
        </w:trPr>
        <w:tc>
          <w:tcPr>
            <w:tcW w:w="4389" w:type="dxa"/>
            <w:tcBorders>
              <w:top w:val="nil"/>
              <w:left w:val="nil"/>
              <w:bottom w:val="nil"/>
              <w:right w:val="nil"/>
            </w:tcBorders>
          </w:tcPr>
          <w:p w14:paraId="0A0E0ECF"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1201" w:type="dxa"/>
            <w:tcBorders>
              <w:top w:val="nil"/>
              <w:left w:val="nil"/>
              <w:bottom w:val="nil"/>
              <w:right w:val="nil"/>
            </w:tcBorders>
          </w:tcPr>
          <w:p w14:paraId="585AC16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-21.83***</w:t>
            </w:r>
          </w:p>
        </w:tc>
        <w:tc>
          <w:tcPr>
            <w:tcW w:w="1201" w:type="dxa"/>
            <w:tcBorders>
              <w:top w:val="nil"/>
              <w:left w:val="nil"/>
              <w:bottom w:val="nil"/>
              <w:right w:val="nil"/>
            </w:tcBorders>
          </w:tcPr>
          <w:p w14:paraId="2CBACB6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-27.03***</w:t>
            </w:r>
          </w:p>
        </w:tc>
        <w:tc>
          <w:tcPr>
            <w:tcW w:w="1201" w:type="dxa"/>
            <w:tcBorders>
              <w:top w:val="nil"/>
              <w:left w:val="nil"/>
              <w:bottom w:val="nil"/>
              <w:right w:val="nil"/>
            </w:tcBorders>
          </w:tcPr>
          <w:p w14:paraId="151A551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-26.19***</w:t>
            </w:r>
          </w:p>
        </w:tc>
        <w:tc>
          <w:tcPr>
            <w:tcW w:w="1201" w:type="dxa"/>
            <w:tcBorders>
              <w:top w:val="nil"/>
              <w:left w:val="nil"/>
              <w:bottom w:val="nil"/>
              <w:right w:val="nil"/>
            </w:tcBorders>
          </w:tcPr>
          <w:p w14:paraId="2E3DF91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-24.51***</w:t>
            </w:r>
          </w:p>
        </w:tc>
        <w:tc>
          <w:tcPr>
            <w:tcW w:w="1562" w:type="dxa"/>
            <w:tcBorders>
              <w:top w:val="nil"/>
              <w:left w:val="nil"/>
              <w:bottom w:val="nil"/>
              <w:right w:val="nil"/>
            </w:tcBorders>
          </w:tcPr>
          <w:p w14:paraId="1A89BCA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-22.71***</w:t>
            </w:r>
          </w:p>
        </w:tc>
      </w:tr>
      <w:tr w:rsidR="00FB77BE" w:rsidRPr="00C75122" w14:paraId="43EEB334" w14:textId="77777777" w:rsidTr="00B135FF">
        <w:trPr>
          <w:trHeight w:val="274"/>
          <w:jc w:val="center"/>
        </w:trPr>
        <w:tc>
          <w:tcPr>
            <w:tcW w:w="4389" w:type="dxa"/>
            <w:tcBorders>
              <w:top w:val="nil"/>
              <w:left w:val="nil"/>
              <w:bottom w:val="nil"/>
              <w:right w:val="nil"/>
            </w:tcBorders>
          </w:tcPr>
          <w:p w14:paraId="3725EBCD"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44D3F53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(1.559)</w:t>
            </w:r>
          </w:p>
        </w:tc>
        <w:tc>
          <w:tcPr>
            <w:tcW w:w="1201" w:type="dxa"/>
            <w:tcBorders>
              <w:top w:val="nil"/>
              <w:left w:val="nil"/>
              <w:bottom w:val="nil"/>
              <w:right w:val="nil"/>
            </w:tcBorders>
          </w:tcPr>
          <w:p w14:paraId="1272D503"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(1.733)</w:t>
            </w:r>
          </w:p>
        </w:tc>
        <w:tc>
          <w:tcPr>
            <w:tcW w:w="1201" w:type="dxa"/>
            <w:tcBorders>
              <w:top w:val="nil"/>
              <w:left w:val="nil"/>
              <w:bottom w:val="nil"/>
              <w:right w:val="nil"/>
            </w:tcBorders>
          </w:tcPr>
          <w:p w14:paraId="5A62970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(1.606)</w:t>
            </w:r>
          </w:p>
        </w:tc>
        <w:tc>
          <w:tcPr>
            <w:tcW w:w="1201" w:type="dxa"/>
            <w:tcBorders>
              <w:top w:val="nil"/>
              <w:left w:val="nil"/>
              <w:bottom w:val="nil"/>
              <w:right w:val="nil"/>
            </w:tcBorders>
          </w:tcPr>
          <w:p w14:paraId="1347BCB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(1.813)</w:t>
            </w:r>
          </w:p>
        </w:tc>
        <w:tc>
          <w:tcPr>
            <w:tcW w:w="1562" w:type="dxa"/>
            <w:tcBorders>
              <w:top w:val="nil"/>
              <w:left w:val="nil"/>
              <w:bottom w:val="nil"/>
              <w:right w:val="nil"/>
            </w:tcBorders>
          </w:tcPr>
          <w:p w14:paraId="421F4033"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(1.476)</w:t>
            </w:r>
          </w:p>
        </w:tc>
      </w:tr>
      <w:tr w:rsidR="00FB77BE" w:rsidRPr="00C75122" w14:paraId="26252794" w14:textId="77777777" w:rsidTr="00B135FF">
        <w:trPr>
          <w:trHeight w:val="267"/>
          <w:jc w:val="center"/>
        </w:trPr>
        <w:tc>
          <w:tcPr>
            <w:tcW w:w="4389" w:type="dxa"/>
            <w:tcBorders>
              <w:top w:val="nil"/>
              <w:left w:val="nil"/>
              <w:bottom w:val="nil"/>
              <w:right w:val="nil"/>
            </w:tcBorders>
          </w:tcPr>
          <w:p w14:paraId="375DA117"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p>
        </w:tc>
        <w:tc>
          <w:tcPr>
            <w:tcW w:w="1201" w:type="dxa"/>
            <w:tcBorders>
              <w:top w:val="nil"/>
              <w:left w:val="nil"/>
              <w:bottom w:val="nil"/>
              <w:right w:val="nil"/>
            </w:tcBorders>
          </w:tcPr>
          <w:p w14:paraId="1DF9C8F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129FB53A"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13F83176"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nil"/>
              <w:left w:val="nil"/>
              <w:bottom w:val="nil"/>
              <w:right w:val="nil"/>
            </w:tcBorders>
          </w:tcPr>
          <w:p w14:paraId="338E48F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562" w:type="dxa"/>
            <w:tcBorders>
              <w:top w:val="nil"/>
              <w:left w:val="nil"/>
              <w:bottom w:val="nil"/>
              <w:right w:val="nil"/>
            </w:tcBorders>
          </w:tcPr>
          <w:p w14:paraId="7492286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p>
        </w:tc>
      </w:tr>
      <w:tr w:rsidR="00FB77BE" w:rsidRPr="00C75122" w14:paraId="59694C20" w14:textId="77777777" w:rsidTr="00B135FF">
        <w:trPr>
          <w:trHeight w:val="274"/>
          <w:jc w:val="center"/>
        </w:trPr>
        <w:tc>
          <w:tcPr>
            <w:tcW w:w="4389" w:type="dxa"/>
            <w:tcBorders>
              <w:top w:val="nil"/>
              <w:left w:val="nil"/>
              <w:bottom w:val="nil"/>
              <w:right w:val="nil"/>
            </w:tcBorders>
          </w:tcPr>
          <w:p w14:paraId="7A6C0DBD"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1201" w:type="dxa"/>
            <w:tcBorders>
              <w:top w:val="nil"/>
              <w:left w:val="nil"/>
              <w:bottom w:val="nil"/>
              <w:right w:val="nil"/>
            </w:tcBorders>
          </w:tcPr>
          <w:p w14:paraId="1E57F59C"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1201" w:type="dxa"/>
            <w:tcBorders>
              <w:top w:val="nil"/>
              <w:left w:val="nil"/>
              <w:bottom w:val="nil"/>
              <w:right w:val="nil"/>
            </w:tcBorders>
          </w:tcPr>
          <w:p w14:paraId="2F763585"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1201" w:type="dxa"/>
            <w:tcBorders>
              <w:top w:val="nil"/>
              <w:left w:val="nil"/>
              <w:bottom w:val="nil"/>
              <w:right w:val="nil"/>
            </w:tcBorders>
          </w:tcPr>
          <w:p w14:paraId="64EFEC9B"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1201" w:type="dxa"/>
            <w:tcBorders>
              <w:top w:val="nil"/>
              <w:left w:val="nil"/>
              <w:bottom w:val="nil"/>
              <w:right w:val="nil"/>
            </w:tcBorders>
          </w:tcPr>
          <w:p w14:paraId="6354E679"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364</w:t>
            </w:r>
          </w:p>
        </w:tc>
        <w:tc>
          <w:tcPr>
            <w:tcW w:w="1562" w:type="dxa"/>
            <w:tcBorders>
              <w:top w:val="nil"/>
              <w:left w:val="nil"/>
              <w:bottom w:val="nil"/>
              <w:right w:val="nil"/>
            </w:tcBorders>
          </w:tcPr>
          <w:p w14:paraId="4B1AACF0"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364</w:t>
            </w:r>
          </w:p>
        </w:tc>
      </w:tr>
      <w:tr w:rsidR="00FB77BE" w:rsidRPr="00C75122" w14:paraId="4F91E512" w14:textId="77777777" w:rsidTr="00B135FF">
        <w:trPr>
          <w:trHeight w:val="274"/>
          <w:jc w:val="center"/>
        </w:trPr>
        <w:tc>
          <w:tcPr>
            <w:tcW w:w="4389" w:type="dxa"/>
            <w:tcBorders>
              <w:top w:val="nil"/>
              <w:left w:val="nil"/>
              <w:bottom w:val="nil"/>
              <w:right w:val="nil"/>
            </w:tcBorders>
          </w:tcPr>
          <w:p w14:paraId="379A58C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R-squared</w:t>
            </w:r>
          </w:p>
        </w:tc>
        <w:tc>
          <w:tcPr>
            <w:tcW w:w="1201" w:type="dxa"/>
            <w:tcBorders>
              <w:top w:val="nil"/>
              <w:left w:val="nil"/>
              <w:bottom w:val="nil"/>
              <w:right w:val="nil"/>
            </w:tcBorders>
          </w:tcPr>
          <w:p w14:paraId="374C3BA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0.751</w:t>
            </w:r>
          </w:p>
        </w:tc>
        <w:tc>
          <w:tcPr>
            <w:tcW w:w="1201" w:type="dxa"/>
            <w:tcBorders>
              <w:top w:val="nil"/>
              <w:left w:val="nil"/>
              <w:bottom w:val="nil"/>
              <w:right w:val="nil"/>
            </w:tcBorders>
          </w:tcPr>
          <w:p w14:paraId="029A724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0.758</w:t>
            </w:r>
          </w:p>
        </w:tc>
        <w:tc>
          <w:tcPr>
            <w:tcW w:w="1201" w:type="dxa"/>
            <w:tcBorders>
              <w:top w:val="nil"/>
              <w:left w:val="nil"/>
              <w:bottom w:val="nil"/>
              <w:right w:val="nil"/>
            </w:tcBorders>
          </w:tcPr>
          <w:p w14:paraId="7A1FE9FB"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0.782</w:t>
            </w:r>
          </w:p>
        </w:tc>
        <w:tc>
          <w:tcPr>
            <w:tcW w:w="1201" w:type="dxa"/>
            <w:tcBorders>
              <w:top w:val="nil"/>
              <w:left w:val="nil"/>
              <w:bottom w:val="nil"/>
              <w:right w:val="nil"/>
            </w:tcBorders>
          </w:tcPr>
          <w:p w14:paraId="3560459C"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0.722</w:t>
            </w:r>
          </w:p>
        </w:tc>
        <w:tc>
          <w:tcPr>
            <w:tcW w:w="1562" w:type="dxa"/>
            <w:tcBorders>
              <w:top w:val="nil"/>
              <w:left w:val="nil"/>
              <w:bottom w:val="nil"/>
              <w:right w:val="nil"/>
            </w:tcBorders>
          </w:tcPr>
          <w:p w14:paraId="495B532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0.782</w:t>
            </w:r>
          </w:p>
        </w:tc>
      </w:tr>
      <w:tr w:rsidR="00FB77BE" w:rsidRPr="00C75122" w14:paraId="6ABA5930" w14:textId="77777777" w:rsidTr="00B135FF">
        <w:tblPrEx>
          <w:tblBorders>
            <w:bottom w:val="single" w:sz="6" w:space="0" w:color="auto"/>
          </w:tblBorders>
        </w:tblPrEx>
        <w:trPr>
          <w:trHeight w:val="267"/>
          <w:jc w:val="center"/>
        </w:trPr>
        <w:tc>
          <w:tcPr>
            <w:tcW w:w="4389" w:type="dxa"/>
            <w:tcBorders>
              <w:top w:val="nil"/>
              <w:left w:val="nil"/>
              <w:bottom w:val="single" w:sz="6" w:space="0" w:color="auto"/>
              <w:right w:val="nil"/>
            </w:tcBorders>
          </w:tcPr>
          <w:p w14:paraId="2B0DBE94" w14:textId="77777777" w:rsidR="00FB77BE" w:rsidRDefault="00FB77BE" w:rsidP="00B135F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Number of countryid</w:t>
            </w:r>
          </w:p>
        </w:tc>
        <w:tc>
          <w:tcPr>
            <w:tcW w:w="1201" w:type="dxa"/>
            <w:tcBorders>
              <w:top w:val="nil"/>
              <w:left w:val="nil"/>
              <w:bottom w:val="single" w:sz="6" w:space="0" w:color="auto"/>
              <w:right w:val="nil"/>
            </w:tcBorders>
          </w:tcPr>
          <w:p w14:paraId="495501D7"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01" w:type="dxa"/>
            <w:tcBorders>
              <w:top w:val="nil"/>
              <w:left w:val="nil"/>
              <w:bottom w:val="single" w:sz="6" w:space="0" w:color="auto"/>
              <w:right w:val="nil"/>
            </w:tcBorders>
          </w:tcPr>
          <w:p w14:paraId="5D347948"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01" w:type="dxa"/>
            <w:tcBorders>
              <w:top w:val="nil"/>
              <w:left w:val="nil"/>
              <w:bottom w:val="single" w:sz="6" w:space="0" w:color="auto"/>
              <w:right w:val="nil"/>
            </w:tcBorders>
          </w:tcPr>
          <w:p w14:paraId="411DB9BD"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01" w:type="dxa"/>
            <w:tcBorders>
              <w:top w:val="nil"/>
              <w:left w:val="nil"/>
              <w:bottom w:val="single" w:sz="6" w:space="0" w:color="auto"/>
              <w:right w:val="nil"/>
            </w:tcBorders>
          </w:tcPr>
          <w:p w14:paraId="2C6B67CB"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562" w:type="dxa"/>
            <w:tcBorders>
              <w:top w:val="nil"/>
              <w:left w:val="nil"/>
              <w:bottom w:val="single" w:sz="6" w:space="0" w:color="auto"/>
              <w:right w:val="nil"/>
            </w:tcBorders>
          </w:tcPr>
          <w:p w14:paraId="2F79B24F" w14:textId="77777777" w:rsidR="00FB77BE" w:rsidRDefault="00FB77BE" w:rsidP="00B135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bl>
    <w:p w14:paraId="2CBCFD50" w14:textId="77777777" w:rsidR="002D4C05" w:rsidRPr="00C75122" w:rsidRDefault="002D4C05" w:rsidP="002D4C05">
      <w:pPr>
        <w:spacing w:before="240" w:line="360" w:lineRule="auto"/>
        <w:jc w:val="center"/>
        <w:rPr>
          <w:rFonts w:ascii="Times New Roman" w:hAnsi="Times New Roman" w:cs="Times New Roman"/>
          <w:i/>
          <w:iCs/>
          <w:sz w:val="24"/>
          <w:szCs w:val="24"/>
        </w:rPr>
      </w:pPr>
      <w:r w:rsidRPr="00C75122">
        <w:rPr>
          <w:rFonts w:ascii="Times New Roman" w:hAnsi="Times New Roman" w:cs="Times New Roman"/>
          <w:i/>
          <w:iCs/>
          <w:sz w:val="24"/>
          <w:szCs w:val="24"/>
        </w:rPr>
        <w:t>Standard errors in parentheses. Asterisks ***, ** and * indicate significance at 1%, 5% and 10%, respectively. All variables are log-transformed except rule of law.</w:t>
      </w:r>
    </w:p>
    <w:p w14:paraId="694EBD6D" w14:textId="77777777" w:rsidR="002D4C05" w:rsidRDefault="002D4C05" w:rsidP="002D4C05">
      <w:pPr>
        <w:rPr>
          <w:rFonts w:ascii="Times New Roman" w:hAnsi="Times New Roman" w:cs="Times New Roman"/>
          <w:sz w:val="20"/>
          <w:szCs w:val="20"/>
        </w:rPr>
      </w:pPr>
      <w:r>
        <w:rPr>
          <w:rFonts w:ascii="Times New Roman" w:hAnsi="Times New Roman" w:cs="Times New Roman"/>
          <w:sz w:val="20"/>
          <w:szCs w:val="20"/>
        </w:rPr>
        <w:br w:type="page"/>
      </w:r>
    </w:p>
    <w:p w14:paraId="36F72B99" w14:textId="17AC421D" w:rsidR="002D4C05" w:rsidRPr="00203870" w:rsidRDefault="002D4C05" w:rsidP="002D4C05">
      <w:pPr>
        <w:spacing w:line="480" w:lineRule="auto"/>
        <w:jc w:val="both"/>
        <w:rPr>
          <w:rFonts w:asciiTheme="majorBidi" w:hAnsiTheme="majorBidi" w:cstheme="majorBidi"/>
          <w:sz w:val="24"/>
          <w:szCs w:val="24"/>
        </w:rPr>
      </w:pPr>
      <w:r w:rsidRPr="00203870">
        <w:rPr>
          <w:rFonts w:asciiTheme="majorBidi" w:hAnsiTheme="majorBidi" w:cstheme="majorBidi"/>
          <w:sz w:val="24"/>
          <w:szCs w:val="24"/>
        </w:rPr>
        <w:lastRenderedPageBreak/>
        <w:t>Domestic value-added in Sub-Saharan Africa is strongly positively associated with a country’s GDP</w:t>
      </w:r>
      <w:r w:rsidR="00E208E9">
        <w:rPr>
          <w:rFonts w:asciiTheme="majorBidi" w:hAnsiTheme="majorBidi" w:cstheme="majorBidi"/>
          <w:sz w:val="24"/>
          <w:szCs w:val="24"/>
        </w:rPr>
        <w:t xml:space="preserve">, </w:t>
      </w:r>
      <w:r w:rsidR="001547FE">
        <w:rPr>
          <w:rFonts w:asciiTheme="majorBidi" w:hAnsiTheme="majorBidi" w:cstheme="majorBidi"/>
          <w:sz w:val="24"/>
          <w:szCs w:val="24"/>
        </w:rPr>
        <w:t>suggesting DVA to be higher in relatively larger economies</w:t>
      </w:r>
      <w:r>
        <w:rPr>
          <w:rFonts w:asciiTheme="majorBidi" w:hAnsiTheme="majorBidi" w:cstheme="majorBidi"/>
          <w:sz w:val="24"/>
          <w:szCs w:val="24"/>
        </w:rPr>
        <w:t>.</w:t>
      </w:r>
      <w:r w:rsidRPr="00203870">
        <w:rPr>
          <w:rFonts w:asciiTheme="majorBidi" w:hAnsiTheme="majorBidi" w:cstheme="majorBidi"/>
          <w:sz w:val="24"/>
          <w:szCs w:val="24"/>
        </w:rPr>
        <w:t xml:space="preserve"> Similarly, countries with higher GDP levels tend to have higher FVA (Column 2). This is contrary to Allard et al. (2016) who found a positive link between GDP lagged one year to contemporaneous FVA. They however find a positive and significant effect of GDP per capita, suggesting the level of economic development as a determining factor in a country’s downward integration in global value chains.</w:t>
      </w:r>
      <w:r w:rsidR="009E48D3">
        <w:rPr>
          <w:rStyle w:val="FootnoteReference"/>
          <w:rFonts w:asciiTheme="majorBidi" w:hAnsiTheme="majorBidi" w:cstheme="majorBidi"/>
          <w:sz w:val="24"/>
          <w:szCs w:val="24"/>
        </w:rPr>
        <w:footnoteReference w:id="11"/>
      </w:r>
      <w:r w:rsidRPr="00203870">
        <w:rPr>
          <w:rFonts w:asciiTheme="majorBidi" w:hAnsiTheme="majorBidi" w:cstheme="majorBidi"/>
          <w:sz w:val="24"/>
          <w:szCs w:val="24"/>
        </w:rPr>
        <w:t xml:space="preserve">   </w:t>
      </w:r>
    </w:p>
    <w:p w14:paraId="435057E3" w14:textId="7AFCF675" w:rsidR="002D4C05" w:rsidRPr="00203870" w:rsidRDefault="002D4C05" w:rsidP="002D4C05">
      <w:pPr>
        <w:spacing w:line="480" w:lineRule="auto"/>
        <w:jc w:val="both"/>
        <w:rPr>
          <w:rFonts w:asciiTheme="majorBidi" w:hAnsiTheme="majorBidi" w:cstheme="majorBidi"/>
          <w:sz w:val="24"/>
          <w:szCs w:val="24"/>
        </w:rPr>
      </w:pPr>
      <w:r w:rsidRPr="00203870">
        <w:rPr>
          <w:rFonts w:asciiTheme="majorBidi" w:hAnsiTheme="majorBidi" w:cstheme="majorBidi"/>
          <w:sz w:val="24"/>
          <w:szCs w:val="24"/>
        </w:rPr>
        <w:t>Labor productivity has significantly negative effect on DVA (Column 1). Although the finding is surprising and counterintuitive, it is consistent with Assamoi et al. (2019) for the case of Latin American countries. They attribute the negative association to measurement issues in the labor productivity indicator which is not disaggregated by skill level</w:t>
      </w:r>
      <w:r>
        <w:rPr>
          <w:rFonts w:asciiTheme="majorBidi" w:hAnsiTheme="majorBidi" w:cstheme="majorBidi"/>
          <w:sz w:val="24"/>
          <w:szCs w:val="24"/>
        </w:rPr>
        <w:t>,</w:t>
      </w:r>
      <w:r w:rsidRPr="00203870">
        <w:rPr>
          <w:rFonts w:asciiTheme="majorBidi" w:hAnsiTheme="majorBidi" w:cstheme="majorBidi"/>
          <w:sz w:val="24"/>
          <w:szCs w:val="24"/>
        </w:rPr>
        <w:t xml:space="preserve"> conclud</w:t>
      </w:r>
      <w:r>
        <w:rPr>
          <w:rFonts w:asciiTheme="majorBidi" w:hAnsiTheme="majorBidi" w:cstheme="majorBidi"/>
          <w:sz w:val="24"/>
          <w:szCs w:val="24"/>
        </w:rPr>
        <w:t>ing</w:t>
      </w:r>
      <w:r w:rsidRPr="00203870">
        <w:rPr>
          <w:rFonts w:asciiTheme="majorBidi" w:hAnsiTheme="majorBidi" w:cstheme="majorBidi"/>
          <w:sz w:val="24"/>
          <w:szCs w:val="24"/>
        </w:rPr>
        <w:t xml:space="preserve"> that the variable is not an appropriate measure of human capital. Indeed, by disaggregating labor productivity, Aggarwal et al. (2021) find a significantly positive impact of skilled on DVA</w:t>
      </w:r>
      <w:r>
        <w:rPr>
          <w:rFonts w:asciiTheme="majorBidi" w:hAnsiTheme="majorBidi" w:cstheme="majorBidi"/>
          <w:sz w:val="24"/>
          <w:szCs w:val="24"/>
        </w:rPr>
        <w:t xml:space="preserve"> unskilled labor had a negative effect. </w:t>
      </w:r>
      <w:r w:rsidRPr="00203870">
        <w:rPr>
          <w:rFonts w:asciiTheme="majorBidi" w:hAnsiTheme="majorBidi" w:cstheme="majorBidi"/>
          <w:sz w:val="24"/>
          <w:szCs w:val="24"/>
        </w:rPr>
        <w:t>Similarly, Olczyk and Kordalska (2017) disaggregate labor into high-skilled, medium-skilled and low-skilled categories and find differing effects</w:t>
      </w:r>
      <w:r>
        <w:rPr>
          <w:rFonts w:asciiTheme="majorBidi" w:hAnsiTheme="majorBidi" w:cstheme="majorBidi"/>
          <w:sz w:val="24"/>
          <w:szCs w:val="24"/>
        </w:rPr>
        <w:t>, with high-skilled labor having the greatest (positive) impact on DVA.</w:t>
      </w:r>
      <w:r w:rsidR="00CB63C0">
        <w:rPr>
          <w:rStyle w:val="FootnoteReference"/>
          <w:rFonts w:asciiTheme="majorBidi" w:hAnsiTheme="majorBidi" w:cstheme="majorBidi"/>
          <w:sz w:val="24"/>
          <w:szCs w:val="24"/>
        </w:rPr>
        <w:footnoteReference w:id="12"/>
      </w:r>
      <w:r w:rsidRPr="00203870">
        <w:rPr>
          <w:rFonts w:asciiTheme="majorBidi" w:hAnsiTheme="majorBidi" w:cstheme="majorBidi"/>
          <w:sz w:val="24"/>
          <w:szCs w:val="24"/>
        </w:rPr>
        <w:t xml:space="preserve"> </w:t>
      </w:r>
    </w:p>
    <w:p w14:paraId="7C4867FE" w14:textId="403363E9" w:rsidR="002D4C05" w:rsidRPr="00C75122" w:rsidRDefault="002D4C05" w:rsidP="002D4C05">
      <w:pPr>
        <w:spacing w:line="480" w:lineRule="auto"/>
        <w:jc w:val="both"/>
        <w:rPr>
          <w:rFonts w:asciiTheme="majorBidi" w:hAnsiTheme="majorBidi" w:cstheme="majorBidi"/>
          <w:sz w:val="24"/>
          <w:szCs w:val="24"/>
        </w:rPr>
      </w:pPr>
      <w:r w:rsidRPr="00203870">
        <w:rPr>
          <w:rFonts w:asciiTheme="majorBidi" w:hAnsiTheme="majorBidi" w:cstheme="majorBidi"/>
          <w:sz w:val="24"/>
          <w:szCs w:val="24"/>
        </w:rPr>
        <w:t xml:space="preserve">The positive contribution of rule of law that was found in Assamoi et al. (2019) is not confirmed in our study. This finding is surprising, given that </w:t>
      </w:r>
      <w:r w:rsidR="00164D5A">
        <w:rPr>
          <w:rFonts w:asciiTheme="majorBidi" w:hAnsiTheme="majorBidi" w:cstheme="majorBidi"/>
          <w:sz w:val="24"/>
          <w:szCs w:val="24"/>
        </w:rPr>
        <w:t>‘</w:t>
      </w:r>
      <w:r w:rsidRPr="00203870">
        <w:rPr>
          <w:rFonts w:asciiTheme="majorBidi" w:hAnsiTheme="majorBidi" w:cstheme="majorBidi"/>
          <w:sz w:val="24"/>
          <w:szCs w:val="24"/>
        </w:rPr>
        <w:t>good</w:t>
      </w:r>
      <w:r w:rsidR="00164D5A">
        <w:rPr>
          <w:rFonts w:asciiTheme="majorBidi" w:hAnsiTheme="majorBidi" w:cstheme="majorBidi"/>
          <w:sz w:val="24"/>
          <w:szCs w:val="24"/>
        </w:rPr>
        <w:t>’</w:t>
      </w:r>
      <w:r w:rsidRPr="00203870">
        <w:rPr>
          <w:rFonts w:asciiTheme="majorBidi" w:hAnsiTheme="majorBidi" w:cstheme="majorBidi"/>
          <w:sz w:val="24"/>
          <w:szCs w:val="24"/>
        </w:rPr>
        <w:t xml:space="preserve"> institutions are anticipated to stimulate the domestic production of intermediates and in turn increase DVA (Nunn and Trefler, 2014). </w:t>
      </w:r>
      <w:r w:rsidRPr="00C75122">
        <w:rPr>
          <w:rFonts w:asciiTheme="majorBidi" w:hAnsiTheme="majorBidi" w:cstheme="majorBidi"/>
          <w:sz w:val="24"/>
          <w:szCs w:val="24"/>
        </w:rPr>
        <w:t>While we do</w:t>
      </w:r>
      <w:r w:rsidR="00164D5A">
        <w:rPr>
          <w:rFonts w:asciiTheme="majorBidi" w:hAnsiTheme="majorBidi" w:cstheme="majorBidi"/>
          <w:sz w:val="24"/>
          <w:szCs w:val="24"/>
        </w:rPr>
        <w:t xml:space="preserve"> not</w:t>
      </w:r>
      <w:r w:rsidRPr="00C75122">
        <w:rPr>
          <w:rFonts w:asciiTheme="majorBidi" w:hAnsiTheme="majorBidi" w:cstheme="majorBidi"/>
          <w:sz w:val="24"/>
          <w:szCs w:val="24"/>
        </w:rPr>
        <w:t xml:space="preserve"> have a plausible explanation for the insignificant contribution of the institutional variable towards DVA in Africa, we presume the institutional effect is crowded out by economic (both structural and policy) covariates in the regression. </w:t>
      </w:r>
    </w:p>
    <w:p w14:paraId="00CA74E3" w14:textId="264D2D21" w:rsidR="002D4C05" w:rsidRPr="00203870" w:rsidRDefault="002D4C05" w:rsidP="002D4C05">
      <w:pPr>
        <w:spacing w:line="480" w:lineRule="auto"/>
        <w:jc w:val="both"/>
        <w:rPr>
          <w:rFonts w:asciiTheme="majorBidi" w:hAnsiTheme="majorBidi" w:cstheme="majorBidi"/>
          <w:sz w:val="24"/>
          <w:szCs w:val="24"/>
        </w:rPr>
      </w:pPr>
      <w:r w:rsidRPr="00D151D4">
        <w:rPr>
          <w:rFonts w:asciiTheme="majorBidi" w:hAnsiTheme="majorBidi" w:cstheme="majorBidi"/>
          <w:sz w:val="24"/>
          <w:szCs w:val="24"/>
        </w:rPr>
        <w:lastRenderedPageBreak/>
        <w:t>The negative and significant coefficient on the variable for average tariff rate is suggestive of a generally reducing effect of tariffs on domestic value-added in Africa, a similar observation found in the case of Latin America Assamoi et al. (2019)</w:t>
      </w:r>
      <w:r w:rsidR="007A7554" w:rsidRPr="00D151D4">
        <w:rPr>
          <w:rFonts w:asciiTheme="majorBidi" w:hAnsiTheme="majorBidi" w:cstheme="majorBidi"/>
          <w:sz w:val="24"/>
          <w:szCs w:val="24"/>
        </w:rPr>
        <w:t xml:space="preserve">, Hungary (Halpern </w:t>
      </w:r>
      <w:r w:rsidR="00C73396" w:rsidRPr="00D151D4">
        <w:rPr>
          <w:rFonts w:asciiTheme="majorBidi" w:hAnsiTheme="majorBidi" w:cstheme="majorBidi"/>
          <w:sz w:val="24"/>
          <w:szCs w:val="24"/>
        </w:rPr>
        <w:t>et al., 2015</w:t>
      </w:r>
      <w:r w:rsidR="007A7554" w:rsidRPr="00D151D4">
        <w:rPr>
          <w:rFonts w:asciiTheme="majorBidi" w:hAnsiTheme="majorBidi" w:cstheme="majorBidi"/>
          <w:sz w:val="24"/>
          <w:szCs w:val="24"/>
        </w:rPr>
        <w:t>)</w:t>
      </w:r>
      <w:r w:rsidR="00C73396" w:rsidRPr="00D151D4">
        <w:rPr>
          <w:rFonts w:asciiTheme="majorBidi" w:hAnsiTheme="majorBidi" w:cstheme="majorBidi"/>
          <w:sz w:val="24"/>
          <w:szCs w:val="24"/>
        </w:rPr>
        <w:t xml:space="preserve"> and China (</w:t>
      </w:r>
      <w:r w:rsidR="00D77A63" w:rsidRPr="00D151D4">
        <w:rPr>
          <w:rFonts w:asciiTheme="majorBidi" w:hAnsiTheme="majorBidi" w:cstheme="majorBidi"/>
          <w:sz w:val="24"/>
          <w:szCs w:val="24"/>
        </w:rPr>
        <w:t>Kee</w:t>
      </w:r>
      <w:r w:rsidR="00C73396" w:rsidRPr="00D151D4">
        <w:rPr>
          <w:rFonts w:asciiTheme="majorBidi" w:hAnsiTheme="majorBidi" w:cstheme="majorBidi"/>
          <w:sz w:val="24"/>
          <w:szCs w:val="24"/>
        </w:rPr>
        <w:t xml:space="preserve"> and Tang, </w:t>
      </w:r>
      <w:r w:rsidR="00F26868">
        <w:rPr>
          <w:rFonts w:asciiTheme="majorBidi" w:hAnsiTheme="majorBidi" w:cstheme="majorBidi"/>
          <w:sz w:val="24"/>
          <w:szCs w:val="24"/>
        </w:rPr>
        <w:t>2016</w:t>
      </w:r>
      <w:r w:rsidR="002F7886">
        <w:rPr>
          <w:rFonts w:asciiTheme="majorBidi" w:hAnsiTheme="majorBidi" w:cstheme="majorBidi"/>
          <w:sz w:val="24"/>
          <w:szCs w:val="24"/>
        </w:rPr>
        <w:t>)</w:t>
      </w:r>
      <w:r w:rsidRPr="00D151D4">
        <w:rPr>
          <w:rFonts w:asciiTheme="majorBidi" w:hAnsiTheme="majorBidi" w:cstheme="majorBidi"/>
          <w:sz w:val="24"/>
          <w:szCs w:val="24"/>
        </w:rPr>
        <w:t>.</w:t>
      </w:r>
      <w:r w:rsidRPr="00203870">
        <w:rPr>
          <w:rFonts w:asciiTheme="majorBidi" w:hAnsiTheme="majorBidi" w:cstheme="majorBidi"/>
          <w:sz w:val="24"/>
          <w:szCs w:val="24"/>
        </w:rPr>
        <w:t xml:space="preserve"> Indeed, it is claimed that high tariffs restrict access to sophisticated intermediate inputs (Cadot and Gourdon, 2016; Halpern et al., 2015)</w:t>
      </w:r>
      <w:r>
        <w:rPr>
          <w:rFonts w:asciiTheme="majorBidi" w:hAnsiTheme="majorBidi" w:cstheme="majorBidi"/>
          <w:sz w:val="24"/>
          <w:szCs w:val="24"/>
        </w:rPr>
        <w:t xml:space="preserve"> and</w:t>
      </w:r>
      <w:r w:rsidRPr="00203870">
        <w:rPr>
          <w:rFonts w:asciiTheme="majorBidi" w:hAnsiTheme="majorBidi" w:cstheme="majorBidi"/>
          <w:sz w:val="24"/>
          <w:szCs w:val="24"/>
        </w:rPr>
        <w:t xml:space="preserve"> </w:t>
      </w:r>
      <w:r>
        <w:rPr>
          <w:rFonts w:asciiTheme="majorBidi" w:hAnsiTheme="majorBidi" w:cstheme="majorBidi"/>
          <w:sz w:val="24"/>
          <w:szCs w:val="24"/>
        </w:rPr>
        <w:t>constrain the variety of available inputs and technology (</w:t>
      </w:r>
      <w:r w:rsidRPr="006324C8">
        <w:rPr>
          <w:rFonts w:asciiTheme="majorBidi" w:hAnsiTheme="majorBidi" w:cstheme="majorBidi"/>
          <w:sz w:val="24"/>
          <w:szCs w:val="24"/>
        </w:rPr>
        <w:t>Kee and Tang, 2016</w:t>
      </w:r>
      <w:r>
        <w:rPr>
          <w:rFonts w:asciiTheme="majorBidi" w:hAnsiTheme="majorBidi" w:cstheme="majorBidi"/>
          <w:sz w:val="24"/>
          <w:szCs w:val="24"/>
        </w:rPr>
        <w:t>). This could in</w:t>
      </w:r>
      <w:r w:rsidRPr="00203870">
        <w:rPr>
          <w:rFonts w:asciiTheme="majorBidi" w:hAnsiTheme="majorBidi" w:cstheme="majorBidi"/>
          <w:sz w:val="24"/>
          <w:szCs w:val="24"/>
        </w:rPr>
        <w:t xml:space="preserve"> turn reduce domestic value addition. The observation </w:t>
      </w:r>
      <w:r>
        <w:rPr>
          <w:rFonts w:asciiTheme="majorBidi" w:hAnsiTheme="majorBidi" w:cstheme="majorBidi"/>
          <w:sz w:val="24"/>
          <w:szCs w:val="24"/>
        </w:rPr>
        <w:t xml:space="preserve">further corroborates </w:t>
      </w:r>
      <w:r w:rsidRPr="00203870">
        <w:rPr>
          <w:rFonts w:asciiTheme="majorBidi" w:hAnsiTheme="majorBidi" w:cstheme="majorBidi"/>
          <w:sz w:val="24"/>
          <w:szCs w:val="24"/>
        </w:rPr>
        <w:t>Allard et al. (2016) who found tariffs to significantly reduce backward GVC integration – measured by the share of FVA in exports – in Sub-Saharan Africa. They estimate a 14% potential increase in regional and international trade in Africa if the continent could reduce tariffs to the global average.</w:t>
      </w:r>
      <w:r w:rsidRPr="00203870">
        <w:rPr>
          <w:rStyle w:val="FootnoteReference"/>
          <w:rFonts w:asciiTheme="majorBidi" w:hAnsiTheme="majorBidi" w:cstheme="majorBidi"/>
          <w:sz w:val="24"/>
          <w:szCs w:val="24"/>
        </w:rPr>
        <w:footnoteReference w:id="13"/>
      </w:r>
      <w:r w:rsidRPr="00203870">
        <w:rPr>
          <w:rFonts w:asciiTheme="majorBidi" w:hAnsiTheme="majorBidi" w:cstheme="majorBidi"/>
          <w:sz w:val="24"/>
          <w:szCs w:val="24"/>
        </w:rPr>
        <w:t xml:space="preserve"> </w:t>
      </w:r>
      <w:r>
        <w:rPr>
          <w:rFonts w:asciiTheme="majorBidi" w:hAnsiTheme="majorBidi" w:cstheme="majorBidi"/>
          <w:sz w:val="24"/>
          <w:szCs w:val="24"/>
        </w:rPr>
        <w:t>Similarly, tariffs have a</w:t>
      </w:r>
      <w:r w:rsidRPr="00203870">
        <w:rPr>
          <w:rFonts w:asciiTheme="majorBidi" w:hAnsiTheme="majorBidi" w:cstheme="majorBidi"/>
          <w:sz w:val="24"/>
          <w:szCs w:val="24"/>
        </w:rPr>
        <w:t xml:space="preserve"> negative </w:t>
      </w:r>
      <w:r>
        <w:rPr>
          <w:rFonts w:asciiTheme="majorBidi" w:hAnsiTheme="majorBidi" w:cstheme="majorBidi"/>
          <w:sz w:val="24"/>
          <w:szCs w:val="24"/>
        </w:rPr>
        <w:t xml:space="preserve">effect </w:t>
      </w:r>
      <w:r w:rsidRPr="00203870">
        <w:rPr>
          <w:rFonts w:asciiTheme="majorBidi" w:hAnsiTheme="majorBidi" w:cstheme="majorBidi"/>
          <w:sz w:val="24"/>
          <w:szCs w:val="24"/>
        </w:rPr>
        <w:t xml:space="preserve">on FVA (Column 2) and all other </w:t>
      </w:r>
      <w:r>
        <w:rPr>
          <w:rFonts w:asciiTheme="majorBidi" w:hAnsiTheme="majorBidi" w:cstheme="majorBidi"/>
          <w:sz w:val="24"/>
          <w:szCs w:val="24"/>
        </w:rPr>
        <w:t>estimates</w:t>
      </w:r>
      <w:r w:rsidRPr="00203870">
        <w:rPr>
          <w:rFonts w:asciiTheme="majorBidi" w:hAnsiTheme="majorBidi" w:cstheme="majorBidi"/>
          <w:sz w:val="24"/>
          <w:szCs w:val="24"/>
        </w:rPr>
        <w:t xml:space="preserve"> in subsequent columns.</w:t>
      </w:r>
    </w:p>
    <w:p w14:paraId="71F2D472" w14:textId="44421696" w:rsidR="002D4C05" w:rsidRPr="00203870" w:rsidRDefault="002D4C05" w:rsidP="002D4C05">
      <w:pPr>
        <w:spacing w:line="480" w:lineRule="auto"/>
        <w:jc w:val="both"/>
        <w:rPr>
          <w:rFonts w:asciiTheme="majorBidi" w:hAnsiTheme="majorBidi" w:cstheme="majorBidi"/>
          <w:sz w:val="24"/>
          <w:szCs w:val="24"/>
        </w:rPr>
      </w:pPr>
      <w:r w:rsidRPr="00C75122">
        <w:rPr>
          <w:rFonts w:asciiTheme="majorBidi" w:hAnsiTheme="majorBidi" w:cstheme="majorBidi"/>
          <w:sz w:val="24"/>
          <w:szCs w:val="24"/>
        </w:rPr>
        <w:t xml:space="preserve">The effect of manufactured exports as a share of total exports is negative but </w:t>
      </w:r>
      <w:r w:rsidR="00780919" w:rsidRPr="00C75122">
        <w:rPr>
          <w:rFonts w:asciiTheme="majorBidi" w:hAnsiTheme="majorBidi" w:cstheme="majorBidi"/>
          <w:sz w:val="24"/>
          <w:szCs w:val="24"/>
        </w:rPr>
        <w:t>in</w:t>
      </w:r>
      <w:r w:rsidRPr="00C75122">
        <w:rPr>
          <w:rFonts w:asciiTheme="majorBidi" w:hAnsiTheme="majorBidi" w:cstheme="majorBidi"/>
          <w:sz w:val="24"/>
          <w:szCs w:val="24"/>
        </w:rPr>
        <w:t>significant.</w:t>
      </w:r>
      <w:r w:rsidR="00790132" w:rsidRPr="00C75122">
        <w:rPr>
          <w:rStyle w:val="FootnoteReference"/>
          <w:rFonts w:asciiTheme="majorBidi" w:hAnsiTheme="majorBidi" w:cstheme="majorBidi"/>
          <w:sz w:val="24"/>
          <w:szCs w:val="24"/>
        </w:rPr>
        <w:footnoteReference w:id="14"/>
      </w:r>
      <w:r w:rsidRPr="00C75122">
        <w:rPr>
          <w:rFonts w:asciiTheme="majorBidi" w:hAnsiTheme="majorBidi" w:cstheme="majorBidi"/>
          <w:sz w:val="24"/>
          <w:szCs w:val="24"/>
        </w:rPr>
        <w:t xml:space="preserve"> Some studies have found a negative and significant effect (Kowalski et al., 2015), attributing it to the high foreign content in manufacturing, which crowds out domestic intermediates and leads to lower domestic value addition in the sector (Johnson, 2014).</w:t>
      </w:r>
    </w:p>
    <w:p w14:paraId="0BCD0B29" w14:textId="494BE6D9" w:rsidR="002D4C05" w:rsidRPr="00C75122" w:rsidRDefault="002D4C05" w:rsidP="002D4C05">
      <w:pPr>
        <w:spacing w:line="480" w:lineRule="auto"/>
        <w:jc w:val="both"/>
        <w:rPr>
          <w:rFonts w:asciiTheme="majorBidi" w:hAnsiTheme="majorBidi" w:cstheme="majorBidi"/>
          <w:sz w:val="24"/>
          <w:szCs w:val="24"/>
        </w:rPr>
      </w:pPr>
      <w:r>
        <w:rPr>
          <w:rFonts w:asciiTheme="majorBidi" w:hAnsiTheme="majorBidi" w:cstheme="majorBidi"/>
          <w:sz w:val="24"/>
          <w:szCs w:val="24"/>
        </w:rPr>
        <w:t>D</w:t>
      </w:r>
      <w:r w:rsidRPr="00203870">
        <w:rPr>
          <w:rFonts w:asciiTheme="majorBidi" w:hAnsiTheme="majorBidi" w:cstheme="majorBidi"/>
          <w:sz w:val="24"/>
          <w:szCs w:val="24"/>
        </w:rPr>
        <w:t xml:space="preserve">omestic credit as a percentage of GDP has </w:t>
      </w:r>
      <w:r>
        <w:rPr>
          <w:rFonts w:asciiTheme="majorBidi" w:hAnsiTheme="majorBidi" w:cstheme="majorBidi"/>
          <w:sz w:val="24"/>
          <w:szCs w:val="24"/>
        </w:rPr>
        <w:t xml:space="preserve">no significant effect on any of the measures of value-added. The finding is surprising given that access to credit has a potential role to play in </w:t>
      </w:r>
      <w:r w:rsidRPr="00203870">
        <w:rPr>
          <w:rFonts w:asciiTheme="majorBidi" w:hAnsiTheme="majorBidi" w:cstheme="majorBidi"/>
          <w:sz w:val="24"/>
          <w:szCs w:val="24"/>
        </w:rPr>
        <w:t xml:space="preserve">stimulating investments and production of intermediates. In Allard et al. (2016), </w:t>
      </w:r>
      <w:r>
        <w:rPr>
          <w:rFonts w:asciiTheme="majorBidi" w:hAnsiTheme="majorBidi" w:cstheme="majorBidi"/>
          <w:sz w:val="24"/>
          <w:szCs w:val="24"/>
        </w:rPr>
        <w:t xml:space="preserve">access to </w:t>
      </w:r>
      <w:r w:rsidRPr="00203870">
        <w:rPr>
          <w:rFonts w:asciiTheme="majorBidi" w:hAnsiTheme="majorBidi" w:cstheme="majorBidi"/>
          <w:sz w:val="24"/>
          <w:szCs w:val="24"/>
        </w:rPr>
        <w:t>credit is found to positively, though marginally</w:t>
      </w:r>
      <w:r w:rsidR="00164D5A">
        <w:rPr>
          <w:rFonts w:asciiTheme="majorBidi" w:hAnsiTheme="majorBidi" w:cstheme="majorBidi"/>
          <w:sz w:val="24"/>
          <w:szCs w:val="24"/>
        </w:rPr>
        <w:t>,</w:t>
      </w:r>
      <w:r w:rsidRPr="00203870">
        <w:rPr>
          <w:rFonts w:asciiTheme="majorBidi" w:hAnsiTheme="majorBidi" w:cstheme="majorBidi"/>
          <w:sz w:val="24"/>
          <w:szCs w:val="24"/>
        </w:rPr>
        <w:t xml:space="preserve"> </w:t>
      </w:r>
      <w:r w:rsidR="00164D5A">
        <w:rPr>
          <w:rFonts w:asciiTheme="majorBidi" w:hAnsiTheme="majorBidi" w:cstheme="majorBidi"/>
          <w:sz w:val="24"/>
          <w:szCs w:val="24"/>
        </w:rPr>
        <w:t xml:space="preserve"> </w:t>
      </w:r>
      <w:r w:rsidRPr="00203870">
        <w:rPr>
          <w:rFonts w:asciiTheme="majorBidi" w:hAnsiTheme="majorBidi" w:cstheme="majorBidi"/>
          <w:sz w:val="24"/>
          <w:szCs w:val="24"/>
        </w:rPr>
        <w:t xml:space="preserve">increase DVA in Sub-Saharan Africa, predicting that achieving world-level financial deepening </w:t>
      </w:r>
      <w:r w:rsidR="002C5AC8">
        <w:rPr>
          <w:rFonts w:asciiTheme="majorBidi" w:hAnsiTheme="majorBidi" w:cstheme="majorBidi"/>
          <w:sz w:val="24"/>
          <w:szCs w:val="24"/>
        </w:rPr>
        <w:t>on</w:t>
      </w:r>
      <w:r w:rsidRPr="00203870">
        <w:rPr>
          <w:rFonts w:asciiTheme="majorBidi" w:hAnsiTheme="majorBidi" w:cstheme="majorBidi"/>
          <w:sz w:val="24"/>
          <w:szCs w:val="24"/>
        </w:rPr>
        <w:t xml:space="preserve"> the continent would increase trade by 29%.</w:t>
      </w:r>
      <w:r>
        <w:rPr>
          <w:rFonts w:asciiTheme="majorBidi" w:hAnsiTheme="majorBidi" w:cstheme="majorBidi"/>
          <w:sz w:val="24"/>
          <w:szCs w:val="24"/>
        </w:rPr>
        <w:t xml:space="preserve"> </w:t>
      </w:r>
      <w:r w:rsidRPr="00C75122">
        <w:rPr>
          <w:rFonts w:asciiTheme="majorBidi" w:hAnsiTheme="majorBidi" w:cstheme="majorBidi"/>
          <w:sz w:val="24"/>
          <w:szCs w:val="24"/>
        </w:rPr>
        <w:t xml:space="preserve">The insignificant effect found in this study could perhaps reflect challenges in aggregating this indicator, yet both DVA and private sector credit highly differ by sector. </w:t>
      </w:r>
    </w:p>
    <w:p w14:paraId="5431D891" w14:textId="02D4D7DB" w:rsidR="002D4C05" w:rsidRPr="00203870" w:rsidRDefault="003B4CEE" w:rsidP="002D4C05">
      <w:pPr>
        <w:spacing w:line="480" w:lineRule="auto"/>
        <w:jc w:val="both"/>
        <w:rPr>
          <w:rFonts w:asciiTheme="majorBidi" w:hAnsiTheme="majorBidi" w:cstheme="majorBidi"/>
          <w:sz w:val="24"/>
          <w:szCs w:val="24"/>
        </w:rPr>
      </w:pPr>
      <w:r w:rsidRPr="003146F0">
        <w:rPr>
          <w:rFonts w:asciiTheme="majorBidi" w:hAnsiTheme="majorBidi" w:cstheme="majorBidi"/>
          <w:sz w:val="24"/>
          <w:szCs w:val="24"/>
        </w:rPr>
        <w:lastRenderedPageBreak/>
        <w:t xml:space="preserve">FDI has </w:t>
      </w:r>
      <w:r w:rsidR="005A4360" w:rsidRPr="003146F0">
        <w:rPr>
          <w:rFonts w:asciiTheme="majorBidi" w:hAnsiTheme="majorBidi" w:cstheme="majorBidi"/>
          <w:sz w:val="24"/>
          <w:szCs w:val="24"/>
        </w:rPr>
        <w:t>a positive but marginally</w:t>
      </w:r>
      <w:r w:rsidRPr="003146F0">
        <w:rPr>
          <w:rFonts w:asciiTheme="majorBidi" w:hAnsiTheme="majorBidi" w:cstheme="majorBidi"/>
          <w:sz w:val="24"/>
          <w:szCs w:val="24"/>
        </w:rPr>
        <w:t xml:space="preserve"> significant effect on domestic value-added,</w:t>
      </w:r>
      <w:r w:rsidR="002D4C05" w:rsidRPr="003146F0">
        <w:rPr>
          <w:rFonts w:asciiTheme="majorBidi" w:hAnsiTheme="majorBidi" w:cstheme="majorBidi"/>
          <w:sz w:val="24"/>
          <w:szCs w:val="24"/>
        </w:rPr>
        <w:t xml:space="preserve"> contrary to Assamoi et al. (2019) who found a significantly negative effect in Latin America. They attribute this to potential reduction in demand for domestic inputs resulting from higher inward FDI, as stressed in Vrh (2018). Additionally, FDI inflow possibly increases the importation of foreign intermediate inputs, symmetrically reducing DVA in the recipient country (Kowalski et al., 2015).</w:t>
      </w:r>
      <w:r w:rsidR="002D4C05" w:rsidRPr="00203870">
        <w:rPr>
          <w:rFonts w:asciiTheme="majorBidi" w:hAnsiTheme="majorBidi" w:cstheme="majorBidi"/>
          <w:sz w:val="24"/>
          <w:szCs w:val="24"/>
        </w:rPr>
        <w:t xml:space="preserve"> </w:t>
      </w:r>
      <w:r w:rsidR="00741633">
        <w:rPr>
          <w:rFonts w:asciiTheme="majorBidi" w:hAnsiTheme="majorBidi" w:cstheme="majorBidi"/>
          <w:sz w:val="24"/>
          <w:szCs w:val="24"/>
        </w:rPr>
        <w:t xml:space="preserve">The total investment to GDP ratio does not </w:t>
      </w:r>
      <w:r w:rsidR="008B2F57">
        <w:rPr>
          <w:rFonts w:asciiTheme="majorBidi" w:hAnsiTheme="majorBidi" w:cstheme="majorBidi"/>
          <w:sz w:val="24"/>
          <w:szCs w:val="24"/>
        </w:rPr>
        <w:t>affect domestic value addition but rather seems to influence foreign value-added</w:t>
      </w:r>
      <w:r w:rsidR="00AE188B">
        <w:rPr>
          <w:rFonts w:asciiTheme="majorBidi" w:hAnsiTheme="majorBidi" w:cstheme="majorBidi"/>
          <w:sz w:val="24"/>
          <w:szCs w:val="24"/>
        </w:rPr>
        <w:t xml:space="preserve">, suggesting that countries with higher </w:t>
      </w:r>
      <w:r w:rsidR="00102FED">
        <w:rPr>
          <w:rFonts w:asciiTheme="majorBidi" w:hAnsiTheme="majorBidi" w:cstheme="majorBidi"/>
          <w:sz w:val="24"/>
          <w:szCs w:val="24"/>
        </w:rPr>
        <w:t xml:space="preserve">investment levels attract foreign content </w:t>
      </w:r>
      <w:r w:rsidR="0084079D">
        <w:rPr>
          <w:rFonts w:asciiTheme="majorBidi" w:hAnsiTheme="majorBidi" w:cstheme="majorBidi"/>
          <w:sz w:val="24"/>
          <w:szCs w:val="24"/>
        </w:rPr>
        <w:t>in their exports</w:t>
      </w:r>
      <w:r w:rsidR="008B2F57">
        <w:rPr>
          <w:rFonts w:asciiTheme="majorBidi" w:hAnsiTheme="majorBidi" w:cstheme="majorBidi"/>
          <w:sz w:val="24"/>
          <w:szCs w:val="24"/>
        </w:rPr>
        <w:t>.</w:t>
      </w:r>
      <w:r w:rsidR="002D4C05">
        <w:rPr>
          <w:rFonts w:asciiTheme="majorBidi" w:hAnsiTheme="majorBidi" w:cstheme="majorBidi"/>
          <w:sz w:val="24"/>
          <w:szCs w:val="24"/>
        </w:rPr>
        <w:t xml:space="preserve"> The finding differs from</w:t>
      </w:r>
      <w:r w:rsidR="002D4C05" w:rsidRPr="00203870">
        <w:rPr>
          <w:rFonts w:asciiTheme="majorBidi" w:hAnsiTheme="majorBidi" w:cstheme="majorBidi"/>
          <w:sz w:val="24"/>
          <w:szCs w:val="24"/>
        </w:rPr>
        <w:t xml:space="preserve"> Aggarwal et al. (2021) who found </w:t>
      </w:r>
      <w:r w:rsidR="002D4C05">
        <w:rPr>
          <w:rFonts w:asciiTheme="majorBidi" w:hAnsiTheme="majorBidi" w:cstheme="majorBidi"/>
          <w:sz w:val="24"/>
          <w:szCs w:val="24"/>
        </w:rPr>
        <w:t>the level of capital owned by both domestic and foreign firms</w:t>
      </w:r>
      <w:r w:rsidR="002D4C05" w:rsidRPr="00203870">
        <w:rPr>
          <w:rFonts w:asciiTheme="majorBidi" w:hAnsiTheme="majorBidi" w:cstheme="majorBidi"/>
          <w:sz w:val="24"/>
          <w:szCs w:val="24"/>
        </w:rPr>
        <w:t xml:space="preserve"> to increase DVA in India’s manufacturing sector, attributing it to attraction of foreign players in sectors with growing capital-intensity.</w:t>
      </w:r>
      <w:r w:rsidR="002D4C05">
        <w:rPr>
          <w:rFonts w:asciiTheme="majorBidi" w:hAnsiTheme="majorBidi" w:cstheme="majorBidi"/>
          <w:sz w:val="24"/>
          <w:szCs w:val="24"/>
        </w:rPr>
        <w:t xml:space="preserve"> </w:t>
      </w:r>
    </w:p>
    <w:p w14:paraId="174E271E" w14:textId="77777777" w:rsidR="002D4C05" w:rsidRPr="003146F0" w:rsidRDefault="002D4C05" w:rsidP="002D4C05">
      <w:pPr>
        <w:spacing w:line="480" w:lineRule="auto"/>
        <w:jc w:val="both"/>
        <w:rPr>
          <w:rFonts w:asciiTheme="majorBidi" w:hAnsiTheme="majorBidi" w:cstheme="majorBidi"/>
          <w:b/>
          <w:bCs/>
          <w:i/>
          <w:iCs/>
          <w:sz w:val="24"/>
          <w:szCs w:val="24"/>
        </w:rPr>
      </w:pPr>
      <w:r w:rsidRPr="003146F0">
        <w:rPr>
          <w:rFonts w:asciiTheme="majorBidi" w:hAnsiTheme="majorBidi" w:cstheme="majorBidi"/>
          <w:b/>
          <w:bCs/>
          <w:i/>
          <w:iCs/>
          <w:sz w:val="24"/>
          <w:szCs w:val="24"/>
        </w:rPr>
        <w:t>Estimation results with alternative sets of covariates</w:t>
      </w:r>
    </w:p>
    <w:p w14:paraId="177AABB4" w14:textId="63E1CC57" w:rsidR="002D4C05" w:rsidRPr="00CE0E6D" w:rsidRDefault="002D4C05" w:rsidP="00CE0E6D">
      <w:pPr>
        <w:spacing w:line="480" w:lineRule="auto"/>
        <w:jc w:val="both"/>
        <w:rPr>
          <w:rFonts w:asciiTheme="majorBidi" w:hAnsiTheme="majorBidi" w:cstheme="majorBidi"/>
          <w:sz w:val="24"/>
          <w:szCs w:val="24"/>
        </w:rPr>
      </w:pPr>
      <w:r w:rsidRPr="003146F0">
        <w:rPr>
          <w:rFonts w:asciiTheme="majorBidi" w:hAnsiTheme="majorBidi" w:cstheme="majorBidi"/>
          <w:sz w:val="24"/>
          <w:szCs w:val="24"/>
        </w:rPr>
        <w:t xml:space="preserve">The estimation of Equation (1) is repeated in this section, with an alternative set of covariates. Firstly, </w:t>
      </w:r>
      <w:r w:rsidR="0097500D" w:rsidRPr="003146F0">
        <w:rPr>
          <w:rFonts w:asciiTheme="majorBidi" w:hAnsiTheme="majorBidi" w:cstheme="majorBidi"/>
          <w:sz w:val="24"/>
          <w:szCs w:val="24"/>
        </w:rPr>
        <w:t xml:space="preserve">GDP </w:t>
      </w:r>
      <w:r w:rsidR="00D74C31" w:rsidRPr="003146F0">
        <w:rPr>
          <w:rFonts w:asciiTheme="majorBidi" w:hAnsiTheme="majorBidi" w:cstheme="majorBidi"/>
          <w:sz w:val="24"/>
          <w:szCs w:val="24"/>
        </w:rPr>
        <w:t xml:space="preserve">as a measure of </w:t>
      </w:r>
      <w:r w:rsidR="004E7456" w:rsidRPr="003146F0">
        <w:rPr>
          <w:rFonts w:asciiTheme="majorBidi" w:hAnsiTheme="majorBidi" w:cstheme="majorBidi"/>
          <w:sz w:val="24"/>
          <w:szCs w:val="24"/>
        </w:rPr>
        <w:t>economy</w:t>
      </w:r>
      <w:r w:rsidR="00D74C31" w:rsidRPr="003146F0">
        <w:rPr>
          <w:rFonts w:asciiTheme="majorBidi" w:hAnsiTheme="majorBidi" w:cstheme="majorBidi"/>
          <w:sz w:val="24"/>
          <w:szCs w:val="24"/>
        </w:rPr>
        <w:t xml:space="preserve"> size is replaced with GDP per capita and </w:t>
      </w:r>
      <w:r w:rsidR="004E7456" w:rsidRPr="003146F0">
        <w:rPr>
          <w:rFonts w:asciiTheme="majorBidi" w:hAnsiTheme="majorBidi" w:cstheme="majorBidi"/>
          <w:sz w:val="24"/>
          <w:szCs w:val="24"/>
        </w:rPr>
        <w:t>population size, which respectively measure the level of development and potential market size.</w:t>
      </w:r>
      <w:r w:rsidRPr="003146F0">
        <w:rPr>
          <w:rFonts w:asciiTheme="majorBidi" w:hAnsiTheme="majorBidi" w:cstheme="majorBidi"/>
          <w:sz w:val="24"/>
          <w:szCs w:val="24"/>
        </w:rPr>
        <w:t xml:space="preserve"> </w:t>
      </w:r>
      <w:r w:rsidR="00705B92" w:rsidRPr="003146F0">
        <w:rPr>
          <w:rFonts w:asciiTheme="majorBidi" w:hAnsiTheme="majorBidi" w:cstheme="majorBidi"/>
          <w:sz w:val="24"/>
          <w:szCs w:val="24"/>
        </w:rPr>
        <w:t xml:space="preserve">Secondly, </w:t>
      </w:r>
      <w:r w:rsidR="00A30601" w:rsidRPr="003146F0">
        <w:rPr>
          <w:rFonts w:asciiTheme="majorBidi" w:hAnsiTheme="majorBidi" w:cstheme="majorBidi"/>
          <w:sz w:val="24"/>
          <w:szCs w:val="24"/>
        </w:rPr>
        <w:t xml:space="preserve">existing studies report concerns of using measures </w:t>
      </w:r>
      <w:r w:rsidR="00305DE0" w:rsidRPr="003146F0">
        <w:rPr>
          <w:rFonts w:asciiTheme="majorBidi" w:hAnsiTheme="majorBidi" w:cstheme="majorBidi"/>
          <w:sz w:val="24"/>
          <w:szCs w:val="24"/>
        </w:rPr>
        <w:t xml:space="preserve">of </w:t>
      </w:r>
      <w:r w:rsidR="00705B92" w:rsidRPr="003146F0">
        <w:rPr>
          <w:rFonts w:asciiTheme="majorBidi" w:hAnsiTheme="majorBidi" w:cstheme="majorBidi"/>
          <w:sz w:val="24"/>
          <w:szCs w:val="24"/>
        </w:rPr>
        <w:t>output per worker</w:t>
      </w:r>
      <w:r w:rsidR="00305DE0" w:rsidRPr="003146F0">
        <w:rPr>
          <w:rFonts w:asciiTheme="majorBidi" w:hAnsiTheme="majorBidi" w:cstheme="majorBidi"/>
          <w:sz w:val="24"/>
          <w:szCs w:val="24"/>
        </w:rPr>
        <w:t xml:space="preserve"> that </w:t>
      </w:r>
      <w:r w:rsidR="00757BB9" w:rsidRPr="003146F0">
        <w:rPr>
          <w:rFonts w:asciiTheme="majorBidi" w:hAnsiTheme="majorBidi" w:cstheme="majorBidi"/>
          <w:sz w:val="24"/>
          <w:szCs w:val="24"/>
        </w:rPr>
        <w:t>that do</w:t>
      </w:r>
      <w:r w:rsidR="00305DE0" w:rsidRPr="003146F0">
        <w:rPr>
          <w:rFonts w:asciiTheme="majorBidi" w:hAnsiTheme="majorBidi" w:cstheme="majorBidi"/>
          <w:sz w:val="24"/>
          <w:szCs w:val="24"/>
        </w:rPr>
        <w:t xml:space="preserve"> not disaggregate</w:t>
      </w:r>
      <w:r w:rsidR="004C6003" w:rsidRPr="003146F0">
        <w:rPr>
          <w:rFonts w:asciiTheme="majorBidi" w:hAnsiTheme="majorBidi" w:cstheme="majorBidi"/>
          <w:sz w:val="24"/>
          <w:szCs w:val="24"/>
        </w:rPr>
        <w:t>d by skill level</w:t>
      </w:r>
      <w:r w:rsidR="00757BB9" w:rsidRPr="003146F0">
        <w:rPr>
          <w:rFonts w:asciiTheme="majorBidi" w:hAnsiTheme="majorBidi" w:cstheme="majorBidi"/>
          <w:sz w:val="24"/>
          <w:szCs w:val="24"/>
        </w:rPr>
        <w:t xml:space="preserve"> (Assmoi et al., 2019) and that the labor productivity effect on DVA depends on skill level (Agarwal et al., 2021). Given the lack of skill-disaggregated </w:t>
      </w:r>
      <w:r w:rsidR="001A01AD" w:rsidRPr="003146F0">
        <w:rPr>
          <w:rFonts w:asciiTheme="majorBidi" w:hAnsiTheme="majorBidi" w:cstheme="majorBidi"/>
          <w:sz w:val="24"/>
          <w:szCs w:val="24"/>
        </w:rPr>
        <w:t xml:space="preserve">data, this study drops output per worker and resort to </w:t>
      </w:r>
      <w:r w:rsidR="0078007A" w:rsidRPr="003146F0">
        <w:rPr>
          <w:rFonts w:asciiTheme="majorBidi" w:hAnsiTheme="majorBidi" w:cstheme="majorBidi"/>
          <w:sz w:val="24"/>
          <w:szCs w:val="24"/>
        </w:rPr>
        <w:t>GDP per capita as a rough proxy.</w:t>
      </w:r>
      <w:r w:rsidR="00016712" w:rsidRPr="003146F0">
        <w:rPr>
          <w:rFonts w:asciiTheme="majorBidi" w:hAnsiTheme="majorBidi" w:cstheme="majorBidi"/>
          <w:sz w:val="24"/>
          <w:szCs w:val="24"/>
        </w:rPr>
        <w:t xml:space="preserve"> </w:t>
      </w:r>
      <w:r w:rsidRPr="000E099A">
        <w:rPr>
          <w:rFonts w:asciiTheme="majorBidi" w:hAnsiTheme="majorBidi" w:cstheme="majorBidi"/>
          <w:sz w:val="24"/>
          <w:szCs w:val="24"/>
        </w:rPr>
        <w:t xml:space="preserve">The results presented in Table 2 are </w:t>
      </w:r>
      <w:r w:rsidR="00CE0E6D" w:rsidRPr="000E099A">
        <w:rPr>
          <w:rFonts w:asciiTheme="majorBidi" w:hAnsiTheme="majorBidi" w:cstheme="majorBidi"/>
          <w:sz w:val="24"/>
          <w:szCs w:val="24"/>
        </w:rPr>
        <w:t>quite</w:t>
      </w:r>
      <w:r w:rsidRPr="000E099A">
        <w:rPr>
          <w:rFonts w:asciiTheme="majorBidi" w:hAnsiTheme="majorBidi" w:cstheme="majorBidi"/>
          <w:sz w:val="24"/>
          <w:szCs w:val="24"/>
        </w:rPr>
        <w:t xml:space="preserve"> similar to those earlier presented, with </w:t>
      </w:r>
      <w:r w:rsidR="00CE0E6D" w:rsidRPr="000E099A">
        <w:rPr>
          <w:rFonts w:asciiTheme="majorBidi" w:hAnsiTheme="majorBidi" w:cstheme="majorBidi"/>
          <w:sz w:val="24"/>
          <w:szCs w:val="24"/>
        </w:rPr>
        <w:t>minimal</w:t>
      </w:r>
      <w:r w:rsidRPr="000E099A">
        <w:rPr>
          <w:rFonts w:asciiTheme="majorBidi" w:hAnsiTheme="majorBidi" w:cstheme="majorBidi"/>
          <w:sz w:val="24"/>
          <w:szCs w:val="24"/>
        </w:rPr>
        <w:t xml:space="preserve"> </w:t>
      </w:r>
      <w:r w:rsidR="00CE0E6D" w:rsidRPr="000E099A">
        <w:rPr>
          <w:rFonts w:asciiTheme="majorBidi" w:hAnsiTheme="majorBidi" w:cstheme="majorBidi"/>
          <w:sz w:val="24"/>
          <w:szCs w:val="24"/>
        </w:rPr>
        <w:t>changes in</w:t>
      </w:r>
      <w:r w:rsidRPr="000E099A">
        <w:rPr>
          <w:rFonts w:asciiTheme="majorBidi" w:hAnsiTheme="majorBidi" w:cstheme="majorBidi"/>
          <w:sz w:val="24"/>
          <w:szCs w:val="24"/>
        </w:rPr>
        <w:t xml:space="preserve"> the coefficients </w:t>
      </w:r>
      <w:r w:rsidR="00CE0E6D" w:rsidRPr="000E099A">
        <w:rPr>
          <w:rFonts w:asciiTheme="majorBidi" w:hAnsiTheme="majorBidi" w:cstheme="majorBidi"/>
          <w:sz w:val="24"/>
          <w:szCs w:val="24"/>
        </w:rPr>
        <w:t>of</w:t>
      </w:r>
      <w:r w:rsidRPr="000E099A">
        <w:rPr>
          <w:rFonts w:asciiTheme="majorBidi" w:hAnsiTheme="majorBidi" w:cstheme="majorBidi"/>
          <w:sz w:val="24"/>
          <w:szCs w:val="24"/>
        </w:rPr>
        <w:t xml:space="preserve"> some covariates.</w:t>
      </w:r>
      <w:r w:rsidR="00E523AE">
        <w:rPr>
          <w:rFonts w:asciiTheme="majorBidi" w:hAnsiTheme="majorBidi" w:cstheme="majorBidi"/>
          <w:sz w:val="24"/>
          <w:szCs w:val="24"/>
        </w:rPr>
        <w:t xml:space="preserve"> </w:t>
      </w:r>
      <w:r w:rsidR="00162F43">
        <w:rPr>
          <w:rFonts w:asciiTheme="majorBidi" w:hAnsiTheme="majorBidi" w:cstheme="majorBidi"/>
          <w:sz w:val="24"/>
          <w:szCs w:val="24"/>
        </w:rPr>
        <w:t>Similar to the effect of GDP presented in earlier estimates, the coefficient on GDP per capita is positive and statistically significant,</w:t>
      </w:r>
      <w:r w:rsidR="00C053F4">
        <w:rPr>
          <w:rFonts w:asciiTheme="majorBidi" w:hAnsiTheme="majorBidi" w:cstheme="majorBidi"/>
          <w:sz w:val="24"/>
          <w:szCs w:val="24"/>
        </w:rPr>
        <w:t xml:space="preserve"> further confirming the level of economic development as major determinant of a country’s value-added embedded in its exports. </w:t>
      </w:r>
      <w:r w:rsidR="001A2BB5">
        <w:rPr>
          <w:rFonts w:asciiTheme="majorBidi" w:hAnsiTheme="majorBidi" w:cstheme="majorBidi"/>
          <w:sz w:val="24"/>
          <w:szCs w:val="24"/>
        </w:rPr>
        <w:t xml:space="preserve">In other words, countries with higher levels of development have a higher capacity to domestically add value to their exports. </w:t>
      </w:r>
      <w:r w:rsidR="00AF28C6">
        <w:rPr>
          <w:rFonts w:asciiTheme="majorBidi" w:hAnsiTheme="majorBidi" w:cstheme="majorBidi"/>
          <w:sz w:val="24"/>
          <w:szCs w:val="24"/>
        </w:rPr>
        <w:t xml:space="preserve">Finally, the coefficient on population size is positive and significant, indicating that </w:t>
      </w:r>
      <w:r w:rsidR="006C449A">
        <w:rPr>
          <w:rFonts w:asciiTheme="majorBidi" w:hAnsiTheme="majorBidi" w:cstheme="majorBidi"/>
          <w:sz w:val="24"/>
          <w:szCs w:val="24"/>
        </w:rPr>
        <w:t xml:space="preserve">a larger </w:t>
      </w:r>
      <w:r w:rsidR="00AF28C6">
        <w:rPr>
          <w:rFonts w:asciiTheme="majorBidi" w:hAnsiTheme="majorBidi" w:cstheme="majorBidi"/>
          <w:sz w:val="24"/>
          <w:szCs w:val="24"/>
        </w:rPr>
        <w:t>market size</w:t>
      </w:r>
      <w:r w:rsidR="006C449A">
        <w:rPr>
          <w:rFonts w:asciiTheme="majorBidi" w:hAnsiTheme="majorBidi" w:cstheme="majorBidi"/>
          <w:sz w:val="24"/>
          <w:szCs w:val="24"/>
        </w:rPr>
        <w:t xml:space="preserve"> enhances </w:t>
      </w:r>
      <w:r w:rsidR="00AF28C6">
        <w:rPr>
          <w:rFonts w:asciiTheme="majorBidi" w:hAnsiTheme="majorBidi" w:cstheme="majorBidi"/>
          <w:sz w:val="24"/>
          <w:szCs w:val="24"/>
        </w:rPr>
        <w:t>domestic value addition</w:t>
      </w:r>
      <w:r w:rsidR="00EE2136">
        <w:rPr>
          <w:rFonts w:asciiTheme="majorBidi" w:hAnsiTheme="majorBidi" w:cstheme="majorBidi"/>
          <w:sz w:val="24"/>
          <w:szCs w:val="24"/>
        </w:rPr>
        <w:t xml:space="preserve">. </w:t>
      </w:r>
    </w:p>
    <w:p w14:paraId="71A04A74" w14:textId="0F743D39" w:rsidR="002D4C05" w:rsidRPr="00C75122" w:rsidRDefault="002D4C05" w:rsidP="00637709">
      <w:pPr>
        <w:rPr>
          <w:rFonts w:asciiTheme="majorBidi" w:hAnsiTheme="majorBidi" w:cstheme="majorBidi"/>
          <w:b/>
          <w:bCs/>
          <w:sz w:val="23"/>
          <w:szCs w:val="23"/>
        </w:rPr>
      </w:pPr>
      <w:r>
        <w:rPr>
          <w:rFonts w:asciiTheme="majorBidi" w:hAnsiTheme="majorBidi" w:cstheme="majorBidi"/>
          <w:b/>
          <w:bCs/>
          <w:color w:val="FF0000"/>
          <w:sz w:val="23"/>
          <w:szCs w:val="23"/>
        </w:rPr>
        <w:br w:type="page"/>
      </w:r>
      <w:r w:rsidRPr="00DE6640">
        <w:rPr>
          <w:rFonts w:asciiTheme="majorBidi" w:hAnsiTheme="majorBidi" w:cstheme="majorBidi"/>
          <w:b/>
          <w:bCs/>
          <w:sz w:val="23"/>
          <w:szCs w:val="23"/>
        </w:rPr>
        <w:lastRenderedPageBreak/>
        <w:t xml:space="preserve">Table 2: Determinants </w:t>
      </w:r>
      <w:r w:rsidRPr="009B0810">
        <w:rPr>
          <w:rFonts w:asciiTheme="majorBidi" w:hAnsiTheme="majorBidi" w:cstheme="majorBidi"/>
          <w:b/>
          <w:bCs/>
          <w:sz w:val="23"/>
          <w:szCs w:val="23"/>
        </w:rPr>
        <w:t xml:space="preserve">of value added in exports: </w:t>
      </w:r>
      <w:r>
        <w:rPr>
          <w:rFonts w:asciiTheme="majorBidi" w:hAnsiTheme="majorBidi" w:cstheme="majorBidi"/>
          <w:b/>
          <w:bCs/>
          <w:sz w:val="23"/>
          <w:szCs w:val="23"/>
        </w:rPr>
        <w:t>FE</w:t>
      </w:r>
      <w:r w:rsidRPr="009B0810">
        <w:rPr>
          <w:rFonts w:asciiTheme="majorBidi" w:hAnsiTheme="majorBidi" w:cstheme="majorBidi"/>
          <w:b/>
          <w:bCs/>
          <w:sz w:val="23"/>
          <w:szCs w:val="23"/>
        </w:rPr>
        <w:t xml:space="preserve"> </w:t>
      </w:r>
      <w:r w:rsidRPr="00C75122">
        <w:rPr>
          <w:rFonts w:asciiTheme="majorBidi" w:hAnsiTheme="majorBidi" w:cstheme="majorBidi"/>
          <w:b/>
          <w:bCs/>
          <w:sz w:val="23"/>
          <w:szCs w:val="23"/>
        </w:rPr>
        <w:t>regression with alternative covariates</w:t>
      </w:r>
    </w:p>
    <w:tbl>
      <w:tblPr>
        <w:tblW w:w="10834" w:type="dxa"/>
        <w:jc w:val="center"/>
        <w:tblLayout w:type="fixed"/>
        <w:tblCellMar>
          <w:left w:w="75" w:type="dxa"/>
          <w:right w:w="75" w:type="dxa"/>
        </w:tblCellMar>
        <w:tblLook w:val="0000" w:firstRow="0" w:lastRow="0" w:firstColumn="0" w:lastColumn="0" w:noHBand="0" w:noVBand="0"/>
      </w:tblPr>
      <w:tblGrid>
        <w:gridCol w:w="4421"/>
        <w:gridCol w:w="1210"/>
        <w:gridCol w:w="1210"/>
        <w:gridCol w:w="1210"/>
        <w:gridCol w:w="1210"/>
        <w:gridCol w:w="1573"/>
      </w:tblGrid>
      <w:tr w:rsidR="00F94B19" w:rsidRPr="00C75122" w14:paraId="250431E5" w14:textId="77777777" w:rsidTr="00B135FF">
        <w:trPr>
          <w:trHeight w:val="285"/>
          <w:jc w:val="center"/>
        </w:trPr>
        <w:tc>
          <w:tcPr>
            <w:tcW w:w="4421" w:type="dxa"/>
            <w:tcBorders>
              <w:top w:val="single" w:sz="6" w:space="0" w:color="auto"/>
              <w:left w:val="nil"/>
              <w:bottom w:val="nil"/>
              <w:right w:val="nil"/>
            </w:tcBorders>
          </w:tcPr>
          <w:p w14:paraId="5F8E6C18"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single" w:sz="6" w:space="0" w:color="auto"/>
              <w:left w:val="nil"/>
              <w:bottom w:val="nil"/>
              <w:right w:val="nil"/>
            </w:tcBorders>
          </w:tcPr>
          <w:p w14:paraId="75D5B58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w:t>
            </w:r>
          </w:p>
        </w:tc>
        <w:tc>
          <w:tcPr>
            <w:tcW w:w="1210" w:type="dxa"/>
            <w:tcBorders>
              <w:top w:val="single" w:sz="6" w:space="0" w:color="auto"/>
              <w:left w:val="nil"/>
              <w:bottom w:val="nil"/>
              <w:right w:val="nil"/>
            </w:tcBorders>
          </w:tcPr>
          <w:p w14:paraId="22A1C99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w:t>
            </w:r>
          </w:p>
        </w:tc>
        <w:tc>
          <w:tcPr>
            <w:tcW w:w="1210" w:type="dxa"/>
            <w:tcBorders>
              <w:top w:val="single" w:sz="6" w:space="0" w:color="auto"/>
              <w:left w:val="nil"/>
              <w:bottom w:val="nil"/>
              <w:right w:val="nil"/>
            </w:tcBorders>
          </w:tcPr>
          <w:p w14:paraId="33BFA60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w:t>
            </w:r>
          </w:p>
        </w:tc>
        <w:tc>
          <w:tcPr>
            <w:tcW w:w="1210" w:type="dxa"/>
            <w:tcBorders>
              <w:top w:val="single" w:sz="6" w:space="0" w:color="auto"/>
              <w:left w:val="nil"/>
              <w:bottom w:val="nil"/>
              <w:right w:val="nil"/>
            </w:tcBorders>
          </w:tcPr>
          <w:p w14:paraId="5A525F1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(4)</w:t>
            </w:r>
          </w:p>
        </w:tc>
        <w:tc>
          <w:tcPr>
            <w:tcW w:w="1573" w:type="dxa"/>
            <w:tcBorders>
              <w:top w:val="single" w:sz="6" w:space="0" w:color="auto"/>
              <w:left w:val="nil"/>
              <w:bottom w:val="nil"/>
              <w:right w:val="nil"/>
            </w:tcBorders>
          </w:tcPr>
          <w:p w14:paraId="251801A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(5)</w:t>
            </w:r>
          </w:p>
        </w:tc>
      </w:tr>
      <w:tr w:rsidR="00F94B19" w:rsidRPr="00C75122" w14:paraId="52C6A3FD" w14:textId="77777777" w:rsidTr="00B135FF">
        <w:trPr>
          <w:trHeight w:val="277"/>
          <w:jc w:val="center"/>
        </w:trPr>
        <w:tc>
          <w:tcPr>
            <w:tcW w:w="4421" w:type="dxa"/>
            <w:tcBorders>
              <w:top w:val="nil"/>
              <w:left w:val="nil"/>
              <w:bottom w:val="single" w:sz="6" w:space="0" w:color="auto"/>
              <w:right w:val="nil"/>
            </w:tcBorders>
          </w:tcPr>
          <w:p w14:paraId="2CFAE9F2"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VARIABLES</w:t>
            </w:r>
          </w:p>
        </w:tc>
        <w:tc>
          <w:tcPr>
            <w:tcW w:w="1210" w:type="dxa"/>
            <w:tcBorders>
              <w:top w:val="nil"/>
              <w:left w:val="nil"/>
              <w:bottom w:val="single" w:sz="6" w:space="0" w:color="auto"/>
              <w:right w:val="nil"/>
            </w:tcBorders>
          </w:tcPr>
          <w:p w14:paraId="30EDB4E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Log (DVA)</w:t>
            </w:r>
          </w:p>
        </w:tc>
        <w:tc>
          <w:tcPr>
            <w:tcW w:w="1210" w:type="dxa"/>
            <w:tcBorders>
              <w:top w:val="nil"/>
              <w:left w:val="nil"/>
              <w:bottom w:val="single" w:sz="6" w:space="0" w:color="auto"/>
              <w:right w:val="nil"/>
            </w:tcBorders>
          </w:tcPr>
          <w:p w14:paraId="2A416FB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Log (FVA)</w:t>
            </w:r>
          </w:p>
        </w:tc>
        <w:tc>
          <w:tcPr>
            <w:tcW w:w="1210" w:type="dxa"/>
            <w:tcBorders>
              <w:top w:val="nil"/>
              <w:left w:val="nil"/>
              <w:bottom w:val="single" w:sz="6" w:space="0" w:color="auto"/>
              <w:right w:val="nil"/>
            </w:tcBorders>
          </w:tcPr>
          <w:p w14:paraId="2B676DA3"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Log (GVC)</w:t>
            </w:r>
          </w:p>
        </w:tc>
        <w:tc>
          <w:tcPr>
            <w:tcW w:w="1210" w:type="dxa"/>
            <w:tcBorders>
              <w:top w:val="nil"/>
              <w:left w:val="nil"/>
              <w:bottom w:val="single" w:sz="6" w:space="0" w:color="auto"/>
              <w:right w:val="nil"/>
            </w:tcBorders>
          </w:tcPr>
          <w:p w14:paraId="39E5DBD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Log (DVX)</w:t>
            </w:r>
          </w:p>
        </w:tc>
        <w:tc>
          <w:tcPr>
            <w:tcW w:w="1573" w:type="dxa"/>
            <w:tcBorders>
              <w:top w:val="nil"/>
              <w:left w:val="nil"/>
              <w:bottom w:val="single" w:sz="6" w:space="0" w:color="auto"/>
              <w:right w:val="nil"/>
            </w:tcBorders>
          </w:tcPr>
          <w:p w14:paraId="4230520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Log (VA_EXP)</w:t>
            </w:r>
          </w:p>
        </w:tc>
      </w:tr>
      <w:tr w:rsidR="00F94B19" w:rsidRPr="00C75122" w14:paraId="616A50E3" w14:textId="77777777" w:rsidTr="00B135FF">
        <w:trPr>
          <w:trHeight w:val="285"/>
          <w:jc w:val="center"/>
        </w:trPr>
        <w:tc>
          <w:tcPr>
            <w:tcW w:w="4421" w:type="dxa"/>
            <w:tcBorders>
              <w:top w:val="nil"/>
              <w:left w:val="nil"/>
              <w:bottom w:val="nil"/>
              <w:right w:val="nil"/>
            </w:tcBorders>
          </w:tcPr>
          <w:p w14:paraId="298E0085"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47B6BF7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48DC073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3C0D40F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63820CD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573" w:type="dxa"/>
            <w:tcBorders>
              <w:top w:val="nil"/>
              <w:left w:val="nil"/>
              <w:bottom w:val="nil"/>
              <w:right w:val="nil"/>
            </w:tcBorders>
          </w:tcPr>
          <w:p w14:paraId="0F34388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r>
      <w:tr w:rsidR="00F94B19" w:rsidRPr="00C75122" w14:paraId="3E8456F3" w14:textId="77777777" w:rsidTr="00B135FF">
        <w:trPr>
          <w:trHeight w:val="285"/>
          <w:jc w:val="center"/>
        </w:trPr>
        <w:tc>
          <w:tcPr>
            <w:tcW w:w="4421" w:type="dxa"/>
            <w:tcBorders>
              <w:top w:val="nil"/>
              <w:left w:val="nil"/>
              <w:bottom w:val="nil"/>
              <w:right w:val="nil"/>
            </w:tcBorders>
          </w:tcPr>
          <w:p w14:paraId="46AE023C"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(GDP per capita)</w:t>
            </w:r>
          </w:p>
        </w:tc>
        <w:tc>
          <w:tcPr>
            <w:tcW w:w="1210" w:type="dxa"/>
            <w:tcBorders>
              <w:top w:val="nil"/>
              <w:left w:val="nil"/>
              <w:bottom w:val="nil"/>
              <w:right w:val="nil"/>
            </w:tcBorders>
          </w:tcPr>
          <w:p w14:paraId="1C98959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0.467***</w:t>
            </w:r>
          </w:p>
        </w:tc>
        <w:tc>
          <w:tcPr>
            <w:tcW w:w="1210" w:type="dxa"/>
            <w:tcBorders>
              <w:top w:val="nil"/>
              <w:left w:val="nil"/>
              <w:bottom w:val="nil"/>
              <w:right w:val="nil"/>
            </w:tcBorders>
          </w:tcPr>
          <w:p w14:paraId="24B0450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1.020***</w:t>
            </w:r>
          </w:p>
        </w:tc>
        <w:tc>
          <w:tcPr>
            <w:tcW w:w="1210" w:type="dxa"/>
            <w:tcBorders>
              <w:top w:val="nil"/>
              <w:left w:val="nil"/>
              <w:bottom w:val="nil"/>
              <w:right w:val="nil"/>
            </w:tcBorders>
          </w:tcPr>
          <w:p w14:paraId="1955291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0.721***</w:t>
            </w:r>
          </w:p>
        </w:tc>
        <w:tc>
          <w:tcPr>
            <w:tcW w:w="1210" w:type="dxa"/>
            <w:tcBorders>
              <w:top w:val="nil"/>
              <w:left w:val="nil"/>
              <w:bottom w:val="nil"/>
              <w:right w:val="nil"/>
            </w:tcBorders>
          </w:tcPr>
          <w:p w14:paraId="7315068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0.469**</w:t>
            </w:r>
          </w:p>
        </w:tc>
        <w:tc>
          <w:tcPr>
            <w:tcW w:w="1573" w:type="dxa"/>
            <w:tcBorders>
              <w:top w:val="nil"/>
              <w:left w:val="nil"/>
              <w:bottom w:val="nil"/>
              <w:right w:val="nil"/>
            </w:tcBorders>
          </w:tcPr>
          <w:p w14:paraId="08A8605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0.597***</w:t>
            </w:r>
          </w:p>
        </w:tc>
      </w:tr>
      <w:tr w:rsidR="00F94B19" w:rsidRPr="00C75122" w14:paraId="641E026B" w14:textId="77777777" w:rsidTr="00B135FF">
        <w:trPr>
          <w:trHeight w:val="285"/>
          <w:jc w:val="center"/>
        </w:trPr>
        <w:tc>
          <w:tcPr>
            <w:tcW w:w="4421" w:type="dxa"/>
            <w:tcBorders>
              <w:top w:val="nil"/>
              <w:left w:val="nil"/>
              <w:bottom w:val="nil"/>
              <w:right w:val="nil"/>
            </w:tcBorders>
          </w:tcPr>
          <w:p w14:paraId="76087959"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3E2439B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(0.161)</w:t>
            </w:r>
          </w:p>
        </w:tc>
        <w:tc>
          <w:tcPr>
            <w:tcW w:w="1210" w:type="dxa"/>
            <w:tcBorders>
              <w:top w:val="nil"/>
              <w:left w:val="nil"/>
              <w:bottom w:val="nil"/>
              <w:right w:val="nil"/>
            </w:tcBorders>
          </w:tcPr>
          <w:p w14:paraId="0EC6774D"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(0.176)</w:t>
            </w:r>
          </w:p>
        </w:tc>
        <w:tc>
          <w:tcPr>
            <w:tcW w:w="1210" w:type="dxa"/>
            <w:tcBorders>
              <w:top w:val="nil"/>
              <w:left w:val="nil"/>
              <w:bottom w:val="nil"/>
              <w:right w:val="nil"/>
            </w:tcBorders>
          </w:tcPr>
          <w:p w14:paraId="6EDB6E5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(0.166)</w:t>
            </w:r>
          </w:p>
        </w:tc>
        <w:tc>
          <w:tcPr>
            <w:tcW w:w="1210" w:type="dxa"/>
            <w:tcBorders>
              <w:top w:val="nil"/>
              <w:left w:val="nil"/>
              <w:bottom w:val="nil"/>
              <w:right w:val="nil"/>
            </w:tcBorders>
          </w:tcPr>
          <w:p w14:paraId="732496E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(0.185)</w:t>
            </w:r>
          </w:p>
        </w:tc>
        <w:tc>
          <w:tcPr>
            <w:tcW w:w="1573" w:type="dxa"/>
            <w:tcBorders>
              <w:top w:val="nil"/>
              <w:left w:val="nil"/>
              <w:bottom w:val="nil"/>
              <w:right w:val="nil"/>
            </w:tcBorders>
          </w:tcPr>
          <w:p w14:paraId="5DBE2F0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(0.153)</w:t>
            </w:r>
          </w:p>
        </w:tc>
      </w:tr>
      <w:tr w:rsidR="00F94B19" w:rsidRPr="00C75122" w14:paraId="228AA58C" w14:textId="77777777" w:rsidTr="00B135FF">
        <w:trPr>
          <w:trHeight w:val="277"/>
          <w:jc w:val="center"/>
        </w:trPr>
        <w:tc>
          <w:tcPr>
            <w:tcW w:w="4421" w:type="dxa"/>
            <w:tcBorders>
              <w:top w:val="nil"/>
              <w:left w:val="nil"/>
              <w:bottom w:val="nil"/>
              <w:right w:val="nil"/>
            </w:tcBorders>
          </w:tcPr>
          <w:p w14:paraId="6E4FA087"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FDI % GDP</w:t>
            </w:r>
          </w:p>
        </w:tc>
        <w:tc>
          <w:tcPr>
            <w:tcW w:w="1210" w:type="dxa"/>
            <w:tcBorders>
              <w:top w:val="nil"/>
              <w:left w:val="nil"/>
              <w:bottom w:val="nil"/>
              <w:right w:val="nil"/>
            </w:tcBorders>
          </w:tcPr>
          <w:p w14:paraId="7FCE5D31"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0.00447</w:t>
            </w:r>
          </w:p>
        </w:tc>
        <w:tc>
          <w:tcPr>
            <w:tcW w:w="1210" w:type="dxa"/>
            <w:tcBorders>
              <w:top w:val="nil"/>
              <w:left w:val="nil"/>
              <w:bottom w:val="nil"/>
              <w:right w:val="nil"/>
            </w:tcBorders>
          </w:tcPr>
          <w:p w14:paraId="2ADA0E4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-0.00689</w:t>
            </w:r>
          </w:p>
        </w:tc>
        <w:tc>
          <w:tcPr>
            <w:tcW w:w="1210" w:type="dxa"/>
            <w:tcBorders>
              <w:top w:val="nil"/>
              <w:left w:val="nil"/>
              <w:bottom w:val="nil"/>
              <w:right w:val="nil"/>
            </w:tcBorders>
          </w:tcPr>
          <w:p w14:paraId="0A62557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0.000167</w:t>
            </w:r>
          </w:p>
        </w:tc>
        <w:tc>
          <w:tcPr>
            <w:tcW w:w="1210" w:type="dxa"/>
            <w:tcBorders>
              <w:top w:val="nil"/>
              <w:left w:val="nil"/>
              <w:bottom w:val="nil"/>
              <w:right w:val="nil"/>
            </w:tcBorders>
          </w:tcPr>
          <w:p w14:paraId="7974AAD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0.00569</w:t>
            </w:r>
          </w:p>
        </w:tc>
        <w:tc>
          <w:tcPr>
            <w:tcW w:w="1573" w:type="dxa"/>
            <w:tcBorders>
              <w:top w:val="nil"/>
              <w:left w:val="nil"/>
              <w:bottom w:val="nil"/>
              <w:right w:val="nil"/>
            </w:tcBorders>
          </w:tcPr>
          <w:p w14:paraId="0BCBBFD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0.00224</w:t>
            </w:r>
          </w:p>
        </w:tc>
      </w:tr>
      <w:tr w:rsidR="00F94B19" w:rsidRPr="00C75122" w14:paraId="59F9B81B" w14:textId="77777777" w:rsidTr="00B135FF">
        <w:trPr>
          <w:trHeight w:val="285"/>
          <w:jc w:val="center"/>
        </w:trPr>
        <w:tc>
          <w:tcPr>
            <w:tcW w:w="4421" w:type="dxa"/>
            <w:tcBorders>
              <w:top w:val="nil"/>
              <w:left w:val="nil"/>
              <w:bottom w:val="nil"/>
              <w:right w:val="nil"/>
            </w:tcBorders>
          </w:tcPr>
          <w:p w14:paraId="3BFD9F8F"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0BDF178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(0.00474)</w:t>
            </w:r>
          </w:p>
        </w:tc>
        <w:tc>
          <w:tcPr>
            <w:tcW w:w="1210" w:type="dxa"/>
            <w:tcBorders>
              <w:top w:val="nil"/>
              <w:left w:val="nil"/>
              <w:bottom w:val="nil"/>
              <w:right w:val="nil"/>
            </w:tcBorders>
          </w:tcPr>
          <w:p w14:paraId="08966313"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(0.00518)</w:t>
            </w:r>
          </w:p>
        </w:tc>
        <w:tc>
          <w:tcPr>
            <w:tcW w:w="1210" w:type="dxa"/>
            <w:tcBorders>
              <w:top w:val="nil"/>
              <w:left w:val="nil"/>
              <w:bottom w:val="nil"/>
              <w:right w:val="nil"/>
            </w:tcBorders>
          </w:tcPr>
          <w:p w14:paraId="0C6378E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(0.00488)</w:t>
            </w:r>
          </w:p>
        </w:tc>
        <w:tc>
          <w:tcPr>
            <w:tcW w:w="1210" w:type="dxa"/>
            <w:tcBorders>
              <w:top w:val="nil"/>
              <w:left w:val="nil"/>
              <w:bottom w:val="nil"/>
              <w:right w:val="nil"/>
            </w:tcBorders>
          </w:tcPr>
          <w:p w14:paraId="5F21840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(0.00546)</w:t>
            </w:r>
          </w:p>
        </w:tc>
        <w:tc>
          <w:tcPr>
            <w:tcW w:w="1573" w:type="dxa"/>
            <w:tcBorders>
              <w:top w:val="nil"/>
              <w:left w:val="nil"/>
              <w:bottom w:val="nil"/>
              <w:right w:val="nil"/>
            </w:tcBorders>
          </w:tcPr>
          <w:p w14:paraId="23D2685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(0.00451)</w:t>
            </w:r>
          </w:p>
        </w:tc>
      </w:tr>
      <w:tr w:rsidR="00F94B19" w:rsidRPr="00C75122" w14:paraId="4FAC93C3" w14:textId="77777777" w:rsidTr="00B135FF">
        <w:trPr>
          <w:trHeight w:val="285"/>
          <w:jc w:val="center"/>
        </w:trPr>
        <w:tc>
          <w:tcPr>
            <w:tcW w:w="4421" w:type="dxa"/>
            <w:tcBorders>
              <w:top w:val="nil"/>
              <w:left w:val="nil"/>
              <w:bottom w:val="nil"/>
              <w:right w:val="nil"/>
            </w:tcBorders>
          </w:tcPr>
          <w:p w14:paraId="5C18D03A"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(Total investment % GDP)</w:t>
            </w:r>
          </w:p>
        </w:tc>
        <w:tc>
          <w:tcPr>
            <w:tcW w:w="1210" w:type="dxa"/>
            <w:tcBorders>
              <w:top w:val="nil"/>
              <w:left w:val="nil"/>
              <w:bottom w:val="nil"/>
              <w:right w:val="nil"/>
            </w:tcBorders>
          </w:tcPr>
          <w:p w14:paraId="3EF93AE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-0.0349</w:t>
            </w:r>
          </w:p>
        </w:tc>
        <w:tc>
          <w:tcPr>
            <w:tcW w:w="1210" w:type="dxa"/>
            <w:tcBorders>
              <w:top w:val="nil"/>
              <w:left w:val="nil"/>
              <w:bottom w:val="nil"/>
              <w:right w:val="nil"/>
            </w:tcBorders>
          </w:tcPr>
          <w:p w14:paraId="7A55971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0.249***</w:t>
            </w:r>
          </w:p>
        </w:tc>
        <w:tc>
          <w:tcPr>
            <w:tcW w:w="1210" w:type="dxa"/>
            <w:tcBorders>
              <w:top w:val="nil"/>
              <w:left w:val="nil"/>
              <w:bottom w:val="nil"/>
              <w:right w:val="nil"/>
            </w:tcBorders>
          </w:tcPr>
          <w:p w14:paraId="40925221"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0.0742</w:t>
            </w:r>
          </w:p>
        </w:tc>
        <w:tc>
          <w:tcPr>
            <w:tcW w:w="1210" w:type="dxa"/>
            <w:tcBorders>
              <w:top w:val="nil"/>
              <w:left w:val="nil"/>
              <w:bottom w:val="nil"/>
              <w:right w:val="nil"/>
            </w:tcBorders>
          </w:tcPr>
          <w:p w14:paraId="486590B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-0.00524</w:t>
            </w:r>
          </w:p>
        </w:tc>
        <w:tc>
          <w:tcPr>
            <w:tcW w:w="1573" w:type="dxa"/>
            <w:tcBorders>
              <w:top w:val="nil"/>
              <w:left w:val="nil"/>
              <w:bottom w:val="nil"/>
              <w:right w:val="nil"/>
            </w:tcBorders>
          </w:tcPr>
          <w:p w14:paraId="7B6E407A"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0.00692</w:t>
            </w:r>
          </w:p>
        </w:tc>
      </w:tr>
      <w:tr w:rsidR="00F94B19" w:rsidRPr="00C75122" w14:paraId="507CCD04" w14:textId="77777777" w:rsidTr="00B135FF">
        <w:trPr>
          <w:trHeight w:val="277"/>
          <w:jc w:val="center"/>
        </w:trPr>
        <w:tc>
          <w:tcPr>
            <w:tcW w:w="4421" w:type="dxa"/>
            <w:tcBorders>
              <w:top w:val="nil"/>
              <w:left w:val="nil"/>
              <w:bottom w:val="nil"/>
              <w:right w:val="nil"/>
            </w:tcBorders>
          </w:tcPr>
          <w:p w14:paraId="2AAD7B07"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5C55978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(0.0680)</w:t>
            </w:r>
          </w:p>
        </w:tc>
        <w:tc>
          <w:tcPr>
            <w:tcW w:w="1210" w:type="dxa"/>
            <w:tcBorders>
              <w:top w:val="nil"/>
              <w:left w:val="nil"/>
              <w:bottom w:val="nil"/>
              <w:right w:val="nil"/>
            </w:tcBorders>
          </w:tcPr>
          <w:p w14:paraId="5AA3FE8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(0.0743)</w:t>
            </w:r>
          </w:p>
        </w:tc>
        <w:tc>
          <w:tcPr>
            <w:tcW w:w="1210" w:type="dxa"/>
            <w:tcBorders>
              <w:top w:val="nil"/>
              <w:left w:val="nil"/>
              <w:bottom w:val="nil"/>
              <w:right w:val="nil"/>
            </w:tcBorders>
          </w:tcPr>
          <w:p w14:paraId="60682FA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(0.0700)</w:t>
            </w:r>
          </w:p>
        </w:tc>
        <w:tc>
          <w:tcPr>
            <w:tcW w:w="1210" w:type="dxa"/>
            <w:tcBorders>
              <w:top w:val="nil"/>
              <w:left w:val="nil"/>
              <w:bottom w:val="nil"/>
              <w:right w:val="nil"/>
            </w:tcBorders>
          </w:tcPr>
          <w:p w14:paraId="17F8CC6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(0.0783)</w:t>
            </w:r>
          </w:p>
        </w:tc>
        <w:tc>
          <w:tcPr>
            <w:tcW w:w="1573" w:type="dxa"/>
            <w:tcBorders>
              <w:top w:val="nil"/>
              <w:left w:val="nil"/>
              <w:bottom w:val="nil"/>
              <w:right w:val="nil"/>
            </w:tcBorders>
          </w:tcPr>
          <w:p w14:paraId="3EC6176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(0.0648)</w:t>
            </w:r>
          </w:p>
        </w:tc>
      </w:tr>
      <w:tr w:rsidR="00F94B19" w:rsidRPr="00C75122" w14:paraId="1F2F3ABB" w14:textId="77777777" w:rsidTr="00B135FF">
        <w:trPr>
          <w:trHeight w:val="285"/>
          <w:jc w:val="center"/>
        </w:trPr>
        <w:tc>
          <w:tcPr>
            <w:tcW w:w="4421" w:type="dxa"/>
            <w:tcBorders>
              <w:top w:val="nil"/>
              <w:left w:val="nil"/>
              <w:bottom w:val="nil"/>
              <w:right w:val="nil"/>
            </w:tcBorders>
          </w:tcPr>
          <w:p w14:paraId="5ED2034B"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(Average Tariff Rate)</w:t>
            </w:r>
          </w:p>
        </w:tc>
        <w:tc>
          <w:tcPr>
            <w:tcW w:w="1210" w:type="dxa"/>
            <w:tcBorders>
              <w:top w:val="nil"/>
              <w:left w:val="nil"/>
              <w:bottom w:val="nil"/>
              <w:right w:val="nil"/>
            </w:tcBorders>
          </w:tcPr>
          <w:p w14:paraId="39D5433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-0.225***</w:t>
            </w:r>
          </w:p>
        </w:tc>
        <w:tc>
          <w:tcPr>
            <w:tcW w:w="1210" w:type="dxa"/>
            <w:tcBorders>
              <w:top w:val="nil"/>
              <w:left w:val="nil"/>
              <w:bottom w:val="nil"/>
              <w:right w:val="nil"/>
            </w:tcBorders>
          </w:tcPr>
          <w:p w14:paraId="45806F3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-0.183***</w:t>
            </w:r>
          </w:p>
        </w:tc>
        <w:tc>
          <w:tcPr>
            <w:tcW w:w="1210" w:type="dxa"/>
            <w:tcBorders>
              <w:top w:val="nil"/>
              <w:left w:val="nil"/>
              <w:bottom w:val="nil"/>
              <w:right w:val="nil"/>
            </w:tcBorders>
          </w:tcPr>
          <w:p w14:paraId="6B369F5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-0.224***</w:t>
            </w:r>
          </w:p>
        </w:tc>
        <w:tc>
          <w:tcPr>
            <w:tcW w:w="1210" w:type="dxa"/>
            <w:tcBorders>
              <w:top w:val="nil"/>
              <w:left w:val="nil"/>
              <w:bottom w:val="nil"/>
              <w:right w:val="nil"/>
            </w:tcBorders>
          </w:tcPr>
          <w:p w14:paraId="298AAB3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-0.267***</w:t>
            </w:r>
          </w:p>
        </w:tc>
        <w:tc>
          <w:tcPr>
            <w:tcW w:w="1573" w:type="dxa"/>
            <w:tcBorders>
              <w:top w:val="nil"/>
              <w:left w:val="nil"/>
              <w:bottom w:val="nil"/>
              <w:right w:val="nil"/>
            </w:tcBorders>
          </w:tcPr>
          <w:p w14:paraId="47D706D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-0.216***</w:t>
            </w:r>
          </w:p>
        </w:tc>
      </w:tr>
      <w:tr w:rsidR="00F94B19" w:rsidRPr="00C75122" w14:paraId="4768FB63" w14:textId="77777777" w:rsidTr="00B135FF">
        <w:trPr>
          <w:trHeight w:val="285"/>
          <w:jc w:val="center"/>
        </w:trPr>
        <w:tc>
          <w:tcPr>
            <w:tcW w:w="4421" w:type="dxa"/>
            <w:tcBorders>
              <w:top w:val="nil"/>
              <w:left w:val="nil"/>
              <w:bottom w:val="nil"/>
              <w:right w:val="nil"/>
            </w:tcBorders>
          </w:tcPr>
          <w:p w14:paraId="71ECE7BB"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2882DBE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(0.0466)</w:t>
            </w:r>
          </w:p>
        </w:tc>
        <w:tc>
          <w:tcPr>
            <w:tcW w:w="1210" w:type="dxa"/>
            <w:tcBorders>
              <w:top w:val="nil"/>
              <w:left w:val="nil"/>
              <w:bottom w:val="nil"/>
              <w:right w:val="nil"/>
            </w:tcBorders>
          </w:tcPr>
          <w:p w14:paraId="3F3C21F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(0.0509)</w:t>
            </w:r>
          </w:p>
        </w:tc>
        <w:tc>
          <w:tcPr>
            <w:tcW w:w="1210" w:type="dxa"/>
            <w:tcBorders>
              <w:top w:val="nil"/>
              <w:left w:val="nil"/>
              <w:bottom w:val="nil"/>
              <w:right w:val="nil"/>
            </w:tcBorders>
          </w:tcPr>
          <w:p w14:paraId="00F0A94D"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(0.0480)</w:t>
            </w:r>
          </w:p>
        </w:tc>
        <w:tc>
          <w:tcPr>
            <w:tcW w:w="1210" w:type="dxa"/>
            <w:tcBorders>
              <w:top w:val="nil"/>
              <w:left w:val="nil"/>
              <w:bottom w:val="nil"/>
              <w:right w:val="nil"/>
            </w:tcBorders>
          </w:tcPr>
          <w:p w14:paraId="2B9B9FE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(0.0536)</w:t>
            </w:r>
          </w:p>
        </w:tc>
        <w:tc>
          <w:tcPr>
            <w:tcW w:w="1573" w:type="dxa"/>
            <w:tcBorders>
              <w:top w:val="nil"/>
              <w:left w:val="nil"/>
              <w:bottom w:val="nil"/>
              <w:right w:val="nil"/>
            </w:tcBorders>
          </w:tcPr>
          <w:p w14:paraId="0C522BDA"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(0.0444)</w:t>
            </w:r>
          </w:p>
        </w:tc>
      </w:tr>
      <w:tr w:rsidR="00F94B19" w:rsidRPr="00C75122" w14:paraId="2843D4E9" w14:textId="77777777" w:rsidTr="00B135FF">
        <w:trPr>
          <w:trHeight w:val="277"/>
          <w:jc w:val="center"/>
        </w:trPr>
        <w:tc>
          <w:tcPr>
            <w:tcW w:w="4421" w:type="dxa"/>
            <w:tcBorders>
              <w:top w:val="nil"/>
              <w:left w:val="nil"/>
              <w:bottom w:val="nil"/>
              <w:right w:val="nil"/>
            </w:tcBorders>
          </w:tcPr>
          <w:p w14:paraId="2180D51A"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(Manufactured share of exports)</w:t>
            </w:r>
          </w:p>
        </w:tc>
        <w:tc>
          <w:tcPr>
            <w:tcW w:w="1210" w:type="dxa"/>
            <w:tcBorders>
              <w:top w:val="nil"/>
              <w:left w:val="nil"/>
              <w:bottom w:val="nil"/>
              <w:right w:val="nil"/>
            </w:tcBorders>
          </w:tcPr>
          <w:p w14:paraId="667C173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-0.0524</w:t>
            </w:r>
          </w:p>
        </w:tc>
        <w:tc>
          <w:tcPr>
            <w:tcW w:w="1210" w:type="dxa"/>
            <w:tcBorders>
              <w:top w:val="nil"/>
              <w:left w:val="nil"/>
              <w:bottom w:val="nil"/>
              <w:right w:val="nil"/>
            </w:tcBorders>
          </w:tcPr>
          <w:p w14:paraId="419391D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-0.0218</w:t>
            </w:r>
          </w:p>
        </w:tc>
        <w:tc>
          <w:tcPr>
            <w:tcW w:w="1210" w:type="dxa"/>
            <w:tcBorders>
              <w:top w:val="nil"/>
              <w:left w:val="nil"/>
              <w:bottom w:val="nil"/>
              <w:right w:val="nil"/>
            </w:tcBorders>
          </w:tcPr>
          <w:p w14:paraId="554EBE6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-0.0372</w:t>
            </w:r>
          </w:p>
        </w:tc>
        <w:tc>
          <w:tcPr>
            <w:tcW w:w="1210" w:type="dxa"/>
            <w:tcBorders>
              <w:top w:val="nil"/>
              <w:left w:val="nil"/>
              <w:bottom w:val="nil"/>
              <w:right w:val="nil"/>
            </w:tcBorders>
          </w:tcPr>
          <w:p w14:paraId="48EBFC7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-0.0582</w:t>
            </w:r>
          </w:p>
        </w:tc>
        <w:tc>
          <w:tcPr>
            <w:tcW w:w="1573" w:type="dxa"/>
            <w:tcBorders>
              <w:top w:val="nil"/>
              <w:left w:val="nil"/>
              <w:bottom w:val="nil"/>
              <w:right w:val="nil"/>
            </w:tcBorders>
          </w:tcPr>
          <w:p w14:paraId="20423DA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-0.0450</w:t>
            </w:r>
          </w:p>
        </w:tc>
      </w:tr>
      <w:tr w:rsidR="00F94B19" w:rsidRPr="00C75122" w14:paraId="6B108374" w14:textId="77777777" w:rsidTr="00B135FF">
        <w:trPr>
          <w:trHeight w:val="285"/>
          <w:jc w:val="center"/>
        </w:trPr>
        <w:tc>
          <w:tcPr>
            <w:tcW w:w="4421" w:type="dxa"/>
            <w:tcBorders>
              <w:top w:val="nil"/>
              <w:left w:val="nil"/>
              <w:bottom w:val="nil"/>
              <w:right w:val="nil"/>
            </w:tcBorders>
          </w:tcPr>
          <w:p w14:paraId="4D4BACAF"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6B2C9EB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(0.0363)</w:t>
            </w:r>
          </w:p>
        </w:tc>
        <w:tc>
          <w:tcPr>
            <w:tcW w:w="1210" w:type="dxa"/>
            <w:tcBorders>
              <w:top w:val="nil"/>
              <w:left w:val="nil"/>
              <w:bottom w:val="nil"/>
              <w:right w:val="nil"/>
            </w:tcBorders>
          </w:tcPr>
          <w:p w14:paraId="29D10CCD"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(0.0397)</w:t>
            </w:r>
          </w:p>
        </w:tc>
        <w:tc>
          <w:tcPr>
            <w:tcW w:w="1210" w:type="dxa"/>
            <w:tcBorders>
              <w:top w:val="nil"/>
              <w:left w:val="nil"/>
              <w:bottom w:val="nil"/>
              <w:right w:val="nil"/>
            </w:tcBorders>
          </w:tcPr>
          <w:p w14:paraId="53E4CAF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(0.0373)</w:t>
            </w:r>
          </w:p>
        </w:tc>
        <w:tc>
          <w:tcPr>
            <w:tcW w:w="1210" w:type="dxa"/>
            <w:tcBorders>
              <w:top w:val="nil"/>
              <w:left w:val="nil"/>
              <w:bottom w:val="nil"/>
              <w:right w:val="nil"/>
            </w:tcBorders>
          </w:tcPr>
          <w:p w14:paraId="0B4A81C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(0.0418)</w:t>
            </w:r>
          </w:p>
        </w:tc>
        <w:tc>
          <w:tcPr>
            <w:tcW w:w="1573" w:type="dxa"/>
            <w:tcBorders>
              <w:top w:val="nil"/>
              <w:left w:val="nil"/>
              <w:bottom w:val="nil"/>
              <w:right w:val="nil"/>
            </w:tcBorders>
          </w:tcPr>
          <w:p w14:paraId="44617D4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(0.0346)</w:t>
            </w:r>
          </w:p>
        </w:tc>
      </w:tr>
      <w:tr w:rsidR="00F94B19" w:rsidRPr="00C75122" w14:paraId="510E3066" w14:textId="77777777" w:rsidTr="00B135FF">
        <w:trPr>
          <w:trHeight w:val="285"/>
          <w:jc w:val="center"/>
        </w:trPr>
        <w:tc>
          <w:tcPr>
            <w:tcW w:w="4421" w:type="dxa"/>
            <w:tcBorders>
              <w:top w:val="nil"/>
              <w:left w:val="nil"/>
              <w:bottom w:val="nil"/>
              <w:right w:val="nil"/>
            </w:tcBorders>
          </w:tcPr>
          <w:p w14:paraId="738FF7D7"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(Private sector credit % GDP)</w:t>
            </w:r>
          </w:p>
        </w:tc>
        <w:tc>
          <w:tcPr>
            <w:tcW w:w="1210" w:type="dxa"/>
            <w:tcBorders>
              <w:top w:val="nil"/>
              <w:left w:val="nil"/>
              <w:bottom w:val="nil"/>
              <w:right w:val="nil"/>
            </w:tcBorders>
          </w:tcPr>
          <w:p w14:paraId="7523F94D"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-0.00241</w:t>
            </w:r>
          </w:p>
        </w:tc>
        <w:tc>
          <w:tcPr>
            <w:tcW w:w="1210" w:type="dxa"/>
            <w:tcBorders>
              <w:top w:val="nil"/>
              <w:left w:val="nil"/>
              <w:bottom w:val="nil"/>
              <w:right w:val="nil"/>
            </w:tcBorders>
          </w:tcPr>
          <w:p w14:paraId="001FE51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-0.00154</w:t>
            </w:r>
          </w:p>
        </w:tc>
        <w:tc>
          <w:tcPr>
            <w:tcW w:w="1210" w:type="dxa"/>
            <w:tcBorders>
              <w:top w:val="nil"/>
              <w:left w:val="nil"/>
              <w:bottom w:val="nil"/>
              <w:right w:val="nil"/>
            </w:tcBorders>
          </w:tcPr>
          <w:p w14:paraId="62A4E01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-0.00173</w:t>
            </w:r>
          </w:p>
        </w:tc>
        <w:tc>
          <w:tcPr>
            <w:tcW w:w="1210" w:type="dxa"/>
            <w:tcBorders>
              <w:top w:val="nil"/>
              <w:left w:val="nil"/>
              <w:bottom w:val="nil"/>
              <w:right w:val="nil"/>
            </w:tcBorders>
          </w:tcPr>
          <w:p w14:paraId="6A360E2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-0.00183</w:t>
            </w:r>
          </w:p>
        </w:tc>
        <w:tc>
          <w:tcPr>
            <w:tcW w:w="1573" w:type="dxa"/>
            <w:tcBorders>
              <w:top w:val="nil"/>
              <w:left w:val="nil"/>
              <w:bottom w:val="nil"/>
              <w:right w:val="nil"/>
            </w:tcBorders>
          </w:tcPr>
          <w:p w14:paraId="36C8D13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-0.00207</w:t>
            </w:r>
          </w:p>
        </w:tc>
      </w:tr>
      <w:tr w:rsidR="00F94B19" w:rsidRPr="00C75122" w14:paraId="6F1063A2" w14:textId="77777777" w:rsidTr="00B135FF">
        <w:trPr>
          <w:trHeight w:val="277"/>
          <w:jc w:val="center"/>
        </w:trPr>
        <w:tc>
          <w:tcPr>
            <w:tcW w:w="4421" w:type="dxa"/>
            <w:tcBorders>
              <w:top w:val="nil"/>
              <w:left w:val="nil"/>
              <w:bottom w:val="nil"/>
              <w:right w:val="nil"/>
            </w:tcBorders>
          </w:tcPr>
          <w:p w14:paraId="28638C9A"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0E15B7B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(0.00226)</w:t>
            </w:r>
          </w:p>
        </w:tc>
        <w:tc>
          <w:tcPr>
            <w:tcW w:w="1210" w:type="dxa"/>
            <w:tcBorders>
              <w:top w:val="nil"/>
              <w:left w:val="nil"/>
              <w:bottom w:val="nil"/>
              <w:right w:val="nil"/>
            </w:tcBorders>
          </w:tcPr>
          <w:p w14:paraId="723634D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(0.00247)</w:t>
            </w:r>
          </w:p>
        </w:tc>
        <w:tc>
          <w:tcPr>
            <w:tcW w:w="1210" w:type="dxa"/>
            <w:tcBorders>
              <w:top w:val="nil"/>
              <w:left w:val="nil"/>
              <w:bottom w:val="nil"/>
              <w:right w:val="nil"/>
            </w:tcBorders>
          </w:tcPr>
          <w:p w14:paraId="2496B10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(0.00232)</w:t>
            </w:r>
          </w:p>
        </w:tc>
        <w:tc>
          <w:tcPr>
            <w:tcW w:w="1210" w:type="dxa"/>
            <w:tcBorders>
              <w:top w:val="nil"/>
              <w:left w:val="nil"/>
              <w:bottom w:val="nil"/>
              <w:right w:val="nil"/>
            </w:tcBorders>
          </w:tcPr>
          <w:p w14:paraId="4412B3A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(0.00260)</w:t>
            </w:r>
          </w:p>
        </w:tc>
        <w:tc>
          <w:tcPr>
            <w:tcW w:w="1573" w:type="dxa"/>
            <w:tcBorders>
              <w:top w:val="nil"/>
              <w:left w:val="nil"/>
              <w:bottom w:val="nil"/>
              <w:right w:val="nil"/>
            </w:tcBorders>
          </w:tcPr>
          <w:p w14:paraId="1C832AD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(0.00215)</w:t>
            </w:r>
          </w:p>
        </w:tc>
      </w:tr>
      <w:tr w:rsidR="00F94B19" w:rsidRPr="00C75122" w14:paraId="18211712" w14:textId="77777777" w:rsidTr="00B135FF">
        <w:trPr>
          <w:trHeight w:val="285"/>
          <w:jc w:val="center"/>
        </w:trPr>
        <w:tc>
          <w:tcPr>
            <w:tcW w:w="4421" w:type="dxa"/>
            <w:tcBorders>
              <w:top w:val="nil"/>
              <w:left w:val="nil"/>
              <w:bottom w:val="nil"/>
              <w:right w:val="nil"/>
            </w:tcBorders>
          </w:tcPr>
          <w:p w14:paraId="62CB27A6"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Rule of law</w:t>
            </w:r>
          </w:p>
        </w:tc>
        <w:tc>
          <w:tcPr>
            <w:tcW w:w="1210" w:type="dxa"/>
            <w:tcBorders>
              <w:top w:val="nil"/>
              <w:left w:val="nil"/>
              <w:bottom w:val="nil"/>
              <w:right w:val="nil"/>
            </w:tcBorders>
          </w:tcPr>
          <w:p w14:paraId="26BCF76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-0.115</w:t>
            </w:r>
          </w:p>
        </w:tc>
        <w:tc>
          <w:tcPr>
            <w:tcW w:w="1210" w:type="dxa"/>
            <w:tcBorders>
              <w:top w:val="nil"/>
              <w:left w:val="nil"/>
              <w:bottom w:val="nil"/>
              <w:right w:val="nil"/>
            </w:tcBorders>
          </w:tcPr>
          <w:p w14:paraId="3A6CEE8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-0.217**</w:t>
            </w:r>
          </w:p>
        </w:tc>
        <w:tc>
          <w:tcPr>
            <w:tcW w:w="1210" w:type="dxa"/>
            <w:tcBorders>
              <w:top w:val="nil"/>
              <w:left w:val="nil"/>
              <w:bottom w:val="nil"/>
              <w:right w:val="nil"/>
            </w:tcBorders>
          </w:tcPr>
          <w:p w14:paraId="0008B54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-0.204**</w:t>
            </w:r>
          </w:p>
        </w:tc>
        <w:tc>
          <w:tcPr>
            <w:tcW w:w="1210" w:type="dxa"/>
            <w:tcBorders>
              <w:top w:val="nil"/>
              <w:left w:val="nil"/>
              <w:bottom w:val="nil"/>
              <w:right w:val="nil"/>
            </w:tcBorders>
          </w:tcPr>
          <w:p w14:paraId="691E0EC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-0.188**</w:t>
            </w:r>
          </w:p>
        </w:tc>
        <w:tc>
          <w:tcPr>
            <w:tcW w:w="1573" w:type="dxa"/>
            <w:tcBorders>
              <w:top w:val="nil"/>
              <w:left w:val="nil"/>
              <w:bottom w:val="nil"/>
              <w:right w:val="nil"/>
            </w:tcBorders>
          </w:tcPr>
          <w:p w14:paraId="412A8AF1"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-0.131*</w:t>
            </w:r>
          </w:p>
        </w:tc>
      </w:tr>
      <w:tr w:rsidR="00F94B19" w:rsidRPr="00C75122" w14:paraId="2A972DFF" w14:textId="77777777" w:rsidTr="00B135FF">
        <w:trPr>
          <w:trHeight w:val="285"/>
          <w:jc w:val="center"/>
        </w:trPr>
        <w:tc>
          <w:tcPr>
            <w:tcW w:w="4421" w:type="dxa"/>
            <w:tcBorders>
              <w:top w:val="nil"/>
              <w:left w:val="nil"/>
              <w:bottom w:val="nil"/>
              <w:right w:val="nil"/>
            </w:tcBorders>
          </w:tcPr>
          <w:p w14:paraId="487EC702"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42A57DC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(0.0798)</w:t>
            </w:r>
          </w:p>
        </w:tc>
        <w:tc>
          <w:tcPr>
            <w:tcW w:w="1210" w:type="dxa"/>
            <w:tcBorders>
              <w:top w:val="nil"/>
              <w:left w:val="nil"/>
              <w:bottom w:val="nil"/>
              <w:right w:val="nil"/>
            </w:tcBorders>
          </w:tcPr>
          <w:p w14:paraId="61D7244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(0.0872)</w:t>
            </w:r>
          </w:p>
        </w:tc>
        <w:tc>
          <w:tcPr>
            <w:tcW w:w="1210" w:type="dxa"/>
            <w:tcBorders>
              <w:top w:val="nil"/>
              <w:left w:val="nil"/>
              <w:bottom w:val="nil"/>
              <w:right w:val="nil"/>
            </w:tcBorders>
          </w:tcPr>
          <w:p w14:paraId="159730E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(0.0821)</w:t>
            </w:r>
          </w:p>
        </w:tc>
        <w:tc>
          <w:tcPr>
            <w:tcW w:w="1210" w:type="dxa"/>
            <w:tcBorders>
              <w:top w:val="nil"/>
              <w:left w:val="nil"/>
              <w:bottom w:val="nil"/>
              <w:right w:val="nil"/>
            </w:tcBorders>
          </w:tcPr>
          <w:p w14:paraId="643BCC7B"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(0.0918)</w:t>
            </w:r>
          </w:p>
        </w:tc>
        <w:tc>
          <w:tcPr>
            <w:tcW w:w="1573" w:type="dxa"/>
            <w:tcBorders>
              <w:top w:val="nil"/>
              <w:left w:val="nil"/>
              <w:bottom w:val="nil"/>
              <w:right w:val="nil"/>
            </w:tcBorders>
          </w:tcPr>
          <w:p w14:paraId="65207E3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(0.0760)</w:t>
            </w:r>
          </w:p>
        </w:tc>
      </w:tr>
      <w:tr w:rsidR="00F94B19" w:rsidRPr="00C75122" w14:paraId="1B8F5B3F" w14:textId="77777777" w:rsidTr="00B135FF">
        <w:trPr>
          <w:trHeight w:val="285"/>
          <w:jc w:val="center"/>
        </w:trPr>
        <w:tc>
          <w:tcPr>
            <w:tcW w:w="4421" w:type="dxa"/>
            <w:tcBorders>
              <w:top w:val="nil"/>
              <w:left w:val="nil"/>
              <w:bottom w:val="nil"/>
              <w:right w:val="nil"/>
            </w:tcBorders>
          </w:tcPr>
          <w:p w14:paraId="04CC4896"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Log (Population)</w:t>
            </w:r>
          </w:p>
        </w:tc>
        <w:tc>
          <w:tcPr>
            <w:tcW w:w="1210" w:type="dxa"/>
            <w:tcBorders>
              <w:top w:val="nil"/>
              <w:left w:val="nil"/>
              <w:bottom w:val="nil"/>
              <w:right w:val="nil"/>
            </w:tcBorders>
          </w:tcPr>
          <w:p w14:paraId="2C0957C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2.197***</w:t>
            </w:r>
          </w:p>
        </w:tc>
        <w:tc>
          <w:tcPr>
            <w:tcW w:w="1210" w:type="dxa"/>
            <w:tcBorders>
              <w:top w:val="nil"/>
              <w:left w:val="nil"/>
              <w:bottom w:val="nil"/>
              <w:right w:val="nil"/>
            </w:tcBorders>
          </w:tcPr>
          <w:p w14:paraId="7D78D9A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1.975***</w:t>
            </w:r>
          </w:p>
        </w:tc>
        <w:tc>
          <w:tcPr>
            <w:tcW w:w="1210" w:type="dxa"/>
            <w:tcBorders>
              <w:top w:val="nil"/>
              <w:left w:val="nil"/>
              <w:bottom w:val="nil"/>
              <w:right w:val="nil"/>
            </w:tcBorders>
          </w:tcPr>
          <w:p w14:paraId="204311F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2.261***</w:t>
            </w:r>
          </w:p>
        </w:tc>
        <w:tc>
          <w:tcPr>
            <w:tcW w:w="1210" w:type="dxa"/>
            <w:tcBorders>
              <w:top w:val="nil"/>
              <w:left w:val="nil"/>
              <w:bottom w:val="nil"/>
              <w:right w:val="nil"/>
            </w:tcBorders>
          </w:tcPr>
          <w:p w14:paraId="48152E63"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2.308***</w:t>
            </w:r>
          </w:p>
        </w:tc>
        <w:tc>
          <w:tcPr>
            <w:tcW w:w="1573" w:type="dxa"/>
            <w:tcBorders>
              <w:top w:val="nil"/>
              <w:left w:val="nil"/>
              <w:bottom w:val="nil"/>
              <w:right w:val="nil"/>
            </w:tcBorders>
          </w:tcPr>
          <w:p w14:paraId="6FA156E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2.171***</w:t>
            </w:r>
          </w:p>
        </w:tc>
      </w:tr>
      <w:tr w:rsidR="00F94B19" w:rsidRPr="00C75122" w14:paraId="31F0993D" w14:textId="77777777" w:rsidTr="00B135FF">
        <w:trPr>
          <w:trHeight w:val="277"/>
          <w:jc w:val="center"/>
        </w:trPr>
        <w:tc>
          <w:tcPr>
            <w:tcW w:w="4421" w:type="dxa"/>
            <w:tcBorders>
              <w:top w:val="nil"/>
              <w:left w:val="nil"/>
              <w:bottom w:val="nil"/>
              <w:right w:val="nil"/>
            </w:tcBorders>
          </w:tcPr>
          <w:p w14:paraId="65AC4172"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1C57B02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(0.148)</w:t>
            </w:r>
          </w:p>
        </w:tc>
        <w:tc>
          <w:tcPr>
            <w:tcW w:w="1210" w:type="dxa"/>
            <w:tcBorders>
              <w:top w:val="nil"/>
              <w:left w:val="nil"/>
              <w:bottom w:val="nil"/>
              <w:right w:val="nil"/>
            </w:tcBorders>
          </w:tcPr>
          <w:p w14:paraId="6B0D4D5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(0.162)</w:t>
            </w:r>
          </w:p>
        </w:tc>
        <w:tc>
          <w:tcPr>
            <w:tcW w:w="1210" w:type="dxa"/>
            <w:tcBorders>
              <w:top w:val="nil"/>
              <w:left w:val="nil"/>
              <w:bottom w:val="nil"/>
              <w:right w:val="nil"/>
            </w:tcBorders>
          </w:tcPr>
          <w:p w14:paraId="785CCA8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(0.152)</w:t>
            </w:r>
          </w:p>
        </w:tc>
        <w:tc>
          <w:tcPr>
            <w:tcW w:w="1210" w:type="dxa"/>
            <w:tcBorders>
              <w:top w:val="nil"/>
              <w:left w:val="nil"/>
              <w:bottom w:val="nil"/>
              <w:right w:val="nil"/>
            </w:tcBorders>
          </w:tcPr>
          <w:p w14:paraId="1AD2D1F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(0.170)</w:t>
            </w:r>
          </w:p>
        </w:tc>
        <w:tc>
          <w:tcPr>
            <w:tcW w:w="1573" w:type="dxa"/>
            <w:tcBorders>
              <w:top w:val="nil"/>
              <w:left w:val="nil"/>
              <w:bottom w:val="nil"/>
              <w:right w:val="nil"/>
            </w:tcBorders>
          </w:tcPr>
          <w:p w14:paraId="24CEF09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(0.141)</w:t>
            </w:r>
          </w:p>
        </w:tc>
      </w:tr>
      <w:tr w:rsidR="00F94B19" w:rsidRPr="00C75122" w14:paraId="4116B8ED" w14:textId="77777777" w:rsidTr="00B135FF">
        <w:trPr>
          <w:trHeight w:val="285"/>
          <w:jc w:val="center"/>
        </w:trPr>
        <w:tc>
          <w:tcPr>
            <w:tcW w:w="4421" w:type="dxa"/>
            <w:tcBorders>
              <w:top w:val="nil"/>
              <w:left w:val="nil"/>
              <w:bottom w:val="nil"/>
              <w:right w:val="nil"/>
            </w:tcBorders>
          </w:tcPr>
          <w:p w14:paraId="76337E77"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Constant</w:t>
            </w:r>
          </w:p>
        </w:tc>
        <w:tc>
          <w:tcPr>
            <w:tcW w:w="1210" w:type="dxa"/>
            <w:tcBorders>
              <w:top w:val="nil"/>
              <w:left w:val="nil"/>
              <w:bottom w:val="nil"/>
              <w:right w:val="nil"/>
            </w:tcBorders>
          </w:tcPr>
          <w:p w14:paraId="30879C1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-24.67***</w:t>
            </w:r>
          </w:p>
        </w:tc>
        <w:tc>
          <w:tcPr>
            <w:tcW w:w="1210" w:type="dxa"/>
            <w:tcBorders>
              <w:top w:val="nil"/>
              <w:left w:val="nil"/>
              <w:bottom w:val="nil"/>
              <w:right w:val="nil"/>
            </w:tcBorders>
          </w:tcPr>
          <w:p w14:paraId="5D7CA1D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-27.74***</w:t>
            </w:r>
          </w:p>
        </w:tc>
        <w:tc>
          <w:tcPr>
            <w:tcW w:w="1210" w:type="dxa"/>
            <w:tcBorders>
              <w:top w:val="nil"/>
              <w:left w:val="nil"/>
              <w:bottom w:val="nil"/>
              <w:right w:val="nil"/>
            </w:tcBorders>
          </w:tcPr>
          <w:p w14:paraId="1159430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-28.47***</w:t>
            </w:r>
          </w:p>
        </w:tc>
        <w:tc>
          <w:tcPr>
            <w:tcW w:w="1210" w:type="dxa"/>
            <w:tcBorders>
              <w:top w:val="nil"/>
              <w:left w:val="nil"/>
              <w:bottom w:val="nil"/>
              <w:right w:val="nil"/>
            </w:tcBorders>
          </w:tcPr>
          <w:p w14:paraId="286DCE9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-27.50***</w:t>
            </w:r>
          </w:p>
        </w:tc>
        <w:tc>
          <w:tcPr>
            <w:tcW w:w="1573" w:type="dxa"/>
            <w:tcBorders>
              <w:top w:val="nil"/>
              <w:left w:val="nil"/>
              <w:bottom w:val="nil"/>
              <w:right w:val="nil"/>
            </w:tcBorders>
          </w:tcPr>
          <w:p w14:paraId="179B6FA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-25.16***</w:t>
            </w:r>
          </w:p>
        </w:tc>
      </w:tr>
      <w:tr w:rsidR="00F94B19" w:rsidRPr="00C75122" w14:paraId="3C8F6EE0" w14:textId="77777777" w:rsidTr="00B135FF">
        <w:trPr>
          <w:trHeight w:val="285"/>
          <w:jc w:val="center"/>
        </w:trPr>
        <w:tc>
          <w:tcPr>
            <w:tcW w:w="4421" w:type="dxa"/>
            <w:tcBorders>
              <w:top w:val="nil"/>
              <w:left w:val="nil"/>
              <w:bottom w:val="nil"/>
              <w:right w:val="nil"/>
            </w:tcBorders>
          </w:tcPr>
          <w:p w14:paraId="1FC1277A"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501442D2"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(1.918)</w:t>
            </w:r>
          </w:p>
        </w:tc>
        <w:tc>
          <w:tcPr>
            <w:tcW w:w="1210" w:type="dxa"/>
            <w:tcBorders>
              <w:top w:val="nil"/>
              <w:left w:val="nil"/>
              <w:bottom w:val="nil"/>
              <w:right w:val="nil"/>
            </w:tcBorders>
          </w:tcPr>
          <w:p w14:paraId="3454416A"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(2.095)</w:t>
            </w:r>
          </w:p>
        </w:tc>
        <w:tc>
          <w:tcPr>
            <w:tcW w:w="1210" w:type="dxa"/>
            <w:tcBorders>
              <w:top w:val="nil"/>
              <w:left w:val="nil"/>
              <w:bottom w:val="nil"/>
              <w:right w:val="nil"/>
            </w:tcBorders>
          </w:tcPr>
          <w:p w14:paraId="1F5E522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(1.973)</w:t>
            </w:r>
          </w:p>
        </w:tc>
        <w:tc>
          <w:tcPr>
            <w:tcW w:w="1210" w:type="dxa"/>
            <w:tcBorders>
              <w:top w:val="nil"/>
              <w:left w:val="nil"/>
              <w:bottom w:val="nil"/>
              <w:right w:val="nil"/>
            </w:tcBorders>
          </w:tcPr>
          <w:p w14:paraId="0082896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(2.207)</w:t>
            </w:r>
          </w:p>
        </w:tc>
        <w:tc>
          <w:tcPr>
            <w:tcW w:w="1573" w:type="dxa"/>
            <w:tcBorders>
              <w:top w:val="nil"/>
              <w:left w:val="nil"/>
              <w:bottom w:val="nil"/>
              <w:right w:val="nil"/>
            </w:tcBorders>
          </w:tcPr>
          <w:p w14:paraId="2ADEB34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(1.826)</w:t>
            </w:r>
          </w:p>
        </w:tc>
      </w:tr>
      <w:tr w:rsidR="00F94B19" w:rsidRPr="00C75122" w14:paraId="32E063EA" w14:textId="77777777" w:rsidTr="00B135FF">
        <w:trPr>
          <w:trHeight w:val="277"/>
          <w:jc w:val="center"/>
        </w:trPr>
        <w:tc>
          <w:tcPr>
            <w:tcW w:w="4421" w:type="dxa"/>
            <w:tcBorders>
              <w:top w:val="nil"/>
              <w:left w:val="nil"/>
              <w:bottom w:val="nil"/>
              <w:right w:val="nil"/>
            </w:tcBorders>
          </w:tcPr>
          <w:p w14:paraId="659D576F"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p>
        </w:tc>
        <w:tc>
          <w:tcPr>
            <w:tcW w:w="1210" w:type="dxa"/>
            <w:tcBorders>
              <w:top w:val="nil"/>
              <w:left w:val="nil"/>
              <w:bottom w:val="nil"/>
              <w:right w:val="nil"/>
            </w:tcBorders>
          </w:tcPr>
          <w:p w14:paraId="60302D91"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3350F143"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43446C2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210" w:type="dxa"/>
            <w:tcBorders>
              <w:top w:val="nil"/>
              <w:left w:val="nil"/>
              <w:bottom w:val="nil"/>
              <w:right w:val="nil"/>
            </w:tcBorders>
          </w:tcPr>
          <w:p w14:paraId="32F62C0C"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c>
          <w:tcPr>
            <w:tcW w:w="1573" w:type="dxa"/>
            <w:tcBorders>
              <w:top w:val="nil"/>
              <w:left w:val="nil"/>
              <w:bottom w:val="nil"/>
              <w:right w:val="nil"/>
            </w:tcBorders>
          </w:tcPr>
          <w:p w14:paraId="2904A951"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p>
        </w:tc>
      </w:tr>
      <w:tr w:rsidR="00F94B19" w:rsidRPr="00C75122" w14:paraId="3E04154B" w14:textId="77777777" w:rsidTr="00B135FF">
        <w:trPr>
          <w:trHeight w:val="285"/>
          <w:jc w:val="center"/>
        </w:trPr>
        <w:tc>
          <w:tcPr>
            <w:tcW w:w="4421" w:type="dxa"/>
            <w:tcBorders>
              <w:top w:val="nil"/>
              <w:left w:val="nil"/>
              <w:bottom w:val="nil"/>
              <w:right w:val="nil"/>
            </w:tcBorders>
          </w:tcPr>
          <w:p w14:paraId="6565D987"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Observations</w:t>
            </w:r>
          </w:p>
        </w:tc>
        <w:tc>
          <w:tcPr>
            <w:tcW w:w="1210" w:type="dxa"/>
            <w:tcBorders>
              <w:top w:val="nil"/>
              <w:left w:val="nil"/>
              <w:bottom w:val="nil"/>
              <w:right w:val="nil"/>
            </w:tcBorders>
          </w:tcPr>
          <w:p w14:paraId="0F5701DD"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364</w:t>
            </w:r>
          </w:p>
        </w:tc>
        <w:tc>
          <w:tcPr>
            <w:tcW w:w="1210" w:type="dxa"/>
            <w:tcBorders>
              <w:top w:val="nil"/>
              <w:left w:val="nil"/>
              <w:bottom w:val="nil"/>
              <w:right w:val="nil"/>
            </w:tcBorders>
          </w:tcPr>
          <w:p w14:paraId="17EF2B64"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364</w:t>
            </w:r>
          </w:p>
        </w:tc>
        <w:tc>
          <w:tcPr>
            <w:tcW w:w="1210" w:type="dxa"/>
            <w:tcBorders>
              <w:top w:val="nil"/>
              <w:left w:val="nil"/>
              <w:bottom w:val="nil"/>
              <w:right w:val="nil"/>
            </w:tcBorders>
          </w:tcPr>
          <w:p w14:paraId="4D60665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364</w:t>
            </w:r>
          </w:p>
        </w:tc>
        <w:tc>
          <w:tcPr>
            <w:tcW w:w="1210" w:type="dxa"/>
            <w:tcBorders>
              <w:top w:val="nil"/>
              <w:left w:val="nil"/>
              <w:bottom w:val="nil"/>
              <w:right w:val="nil"/>
            </w:tcBorders>
          </w:tcPr>
          <w:p w14:paraId="06429DE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364</w:t>
            </w:r>
          </w:p>
        </w:tc>
        <w:tc>
          <w:tcPr>
            <w:tcW w:w="1573" w:type="dxa"/>
            <w:tcBorders>
              <w:top w:val="nil"/>
              <w:left w:val="nil"/>
              <w:bottom w:val="nil"/>
              <w:right w:val="nil"/>
            </w:tcBorders>
          </w:tcPr>
          <w:p w14:paraId="44B06449"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364</w:t>
            </w:r>
          </w:p>
        </w:tc>
      </w:tr>
      <w:tr w:rsidR="00F94B19" w:rsidRPr="00C75122" w14:paraId="253C5342" w14:textId="77777777" w:rsidTr="00B135FF">
        <w:trPr>
          <w:trHeight w:val="285"/>
          <w:jc w:val="center"/>
        </w:trPr>
        <w:tc>
          <w:tcPr>
            <w:tcW w:w="4421" w:type="dxa"/>
            <w:tcBorders>
              <w:top w:val="nil"/>
              <w:left w:val="nil"/>
              <w:bottom w:val="nil"/>
              <w:right w:val="nil"/>
            </w:tcBorders>
          </w:tcPr>
          <w:p w14:paraId="3DB1B0BE"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R-squared</w:t>
            </w:r>
          </w:p>
        </w:tc>
        <w:tc>
          <w:tcPr>
            <w:tcW w:w="1210" w:type="dxa"/>
            <w:tcBorders>
              <w:top w:val="nil"/>
              <w:left w:val="nil"/>
              <w:bottom w:val="nil"/>
              <w:right w:val="nil"/>
            </w:tcBorders>
          </w:tcPr>
          <w:p w14:paraId="64D64256"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0.710</w:t>
            </w:r>
          </w:p>
        </w:tc>
        <w:tc>
          <w:tcPr>
            <w:tcW w:w="1210" w:type="dxa"/>
            <w:tcBorders>
              <w:top w:val="nil"/>
              <w:left w:val="nil"/>
              <w:bottom w:val="nil"/>
              <w:right w:val="nil"/>
            </w:tcBorders>
          </w:tcPr>
          <w:p w14:paraId="0ABBCADE"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0.727</w:t>
            </w:r>
          </w:p>
        </w:tc>
        <w:tc>
          <w:tcPr>
            <w:tcW w:w="1210" w:type="dxa"/>
            <w:tcBorders>
              <w:top w:val="nil"/>
              <w:left w:val="nil"/>
              <w:bottom w:val="nil"/>
              <w:right w:val="nil"/>
            </w:tcBorders>
          </w:tcPr>
          <w:p w14:paraId="61625028"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0.747</w:t>
            </w:r>
          </w:p>
        </w:tc>
        <w:tc>
          <w:tcPr>
            <w:tcW w:w="1210" w:type="dxa"/>
            <w:tcBorders>
              <w:top w:val="nil"/>
              <w:left w:val="nil"/>
              <w:bottom w:val="nil"/>
              <w:right w:val="nil"/>
            </w:tcBorders>
          </w:tcPr>
          <w:p w14:paraId="13AA0080"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0.683</w:t>
            </w:r>
          </w:p>
        </w:tc>
        <w:tc>
          <w:tcPr>
            <w:tcW w:w="1573" w:type="dxa"/>
            <w:tcBorders>
              <w:top w:val="nil"/>
              <w:left w:val="nil"/>
              <w:bottom w:val="nil"/>
              <w:right w:val="nil"/>
            </w:tcBorders>
          </w:tcPr>
          <w:p w14:paraId="7BE1EC8A"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0.743</w:t>
            </w:r>
          </w:p>
        </w:tc>
      </w:tr>
      <w:tr w:rsidR="00F94B19" w:rsidRPr="00C75122" w14:paraId="29EE244D" w14:textId="77777777" w:rsidTr="00B135FF">
        <w:tblPrEx>
          <w:tblBorders>
            <w:bottom w:val="single" w:sz="6" w:space="0" w:color="auto"/>
          </w:tblBorders>
        </w:tblPrEx>
        <w:trPr>
          <w:trHeight w:val="277"/>
          <w:jc w:val="center"/>
        </w:trPr>
        <w:tc>
          <w:tcPr>
            <w:tcW w:w="4421" w:type="dxa"/>
            <w:tcBorders>
              <w:top w:val="nil"/>
              <w:left w:val="nil"/>
              <w:bottom w:val="single" w:sz="6" w:space="0" w:color="auto"/>
              <w:right w:val="nil"/>
            </w:tcBorders>
          </w:tcPr>
          <w:p w14:paraId="1652DED3" w14:textId="77777777" w:rsidR="00F94B19" w:rsidRPr="00C75122" w:rsidRDefault="00F94B19" w:rsidP="00B135FF">
            <w:pPr>
              <w:widowControl w:val="0"/>
              <w:autoSpaceDE w:val="0"/>
              <w:autoSpaceDN w:val="0"/>
              <w:adjustRightInd w:val="0"/>
              <w:spacing w:after="0" w:line="240" w:lineRule="auto"/>
              <w:rPr>
                <w:rFonts w:ascii="Times New Roman" w:hAnsi="Times New Roman" w:cs="Times New Roman"/>
                <w:sz w:val="24"/>
                <w:szCs w:val="24"/>
              </w:rPr>
            </w:pPr>
            <w:r w:rsidRPr="00C75122">
              <w:rPr>
                <w:rFonts w:ascii="Times New Roman" w:hAnsi="Times New Roman" w:cs="Times New Roman"/>
                <w:sz w:val="24"/>
                <w:szCs w:val="24"/>
              </w:rPr>
              <w:t>Number of countryid</w:t>
            </w:r>
          </w:p>
        </w:tc>
        <w:tc>
          <w:tcPr>
            <w:tcW w:w="1210" w:type="dxa"/>
            <w:tcBorders>
              <w:top w:val="nil"/>
              <w:left w:val="nil"/>
              <w:bottom w:val="single" w:sz="6" w:space="0" w:color="auto"/>
              <w:right w:val="nil"/>
            </w:tcBorders>
          </w:tcPr>
          <w:p w14:paraId="043B01F3"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w:t>
            </w:r>
          </w:p>
        </w:tc>
        <w:tc>
          <w:tcPr>
            <w:tcW w:w="1210" w:type="dxa"/>
            <w:tcBorders>
              <w:top w:val="nil"/>
              <w:left w:val="nil"/>
              <w:bottom w:val="single" w:sz="6" w:space="0" w:color="auto"/>
              <w:right w:val="nil"/>
            </w:tcBorders>
          </w:tcPr>
          <w:p w14:paraId="66C66AB7"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w:t>
            </w:r>
          </w:p>
        </w:tc>
        <w:tc>
          <w:tcPr>
            <w:tcW w:w="1210" w:type="dxa"/>
            <w:tcBorders>
              <w:top w:val="nil"/>
              <w:left w:val="nil"/>
              <w:bottom w:val="single" w:sz="6" w:space="0" w:color="auto"/>
              <w:right w:val="nil"/>
            </w:tcBorders>
          </w:tcPr>
          <w:p w14:paraId="64F8EB75"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w:t>
            </w:r>
          </w:p>
        </w:tc>
        <w:tc>
          <w:tcPr>
            <w:tcW w:w="1210" w:type="dxa"/>
            <w:tcBorders>
              <w:top w:val="nil"/>
              <w:left w:val="nil"/>
              <w:bottom w:val="single" w:sz="6" w:space="0" w:color="auto"/>
              <w:right w:val="nil"/>
            </w:tcBorders>
          </w:tcPr>
          <w:p w14:paraId="3C6DE6CF"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w:t>
            </w:r>
          </w:p>
        </w:tc>
        <w:tc>
          <w:tcPr>
            <w:tcW w:w="1573" w:type="dxa"/>
            <w:tcBorders>
              <w:top w:val="nil"/>
              <w:left w:val="nil"/>
              <w:bottom w:val="single" w:sz="6" w:space="0" w:color="auto"/>
              <w:right w:val="nil"/>
            </w:tcBorders>
          </w:tcPr>
          <w:p w14:paraId="5F3C5DFA" w14:textId="77777777" w:rsidR="00F94B19" w:rsidRPr="00C75122" w:rsidRDefault="00F94B19" w:rsidP="00B135FF">
            <w:pPr>
              <w:widowControl w:val="0"/>
              <w:autoSpaceDE w:val="0"/>
              <w:autoSpaceDN w:val="0"/>
              <w:adjustRightInd w:val="0"/>
              <w:spacing w:after="0" w:line="240" w:lineRule="auto"/>
              <w:jc w:val="center"/>
              <w:rPr>
                <w:rFonts w:ascii="Times New Roman" w:hAnsi="Times New Roman" w:cs="Times New Roman"/>
                <w:sz w:val="24"/>
                <w:szCs w:val="24"/>
              </w:rPr>
            </w:pPr>
            <w:r w:rsidRPr="00C75122">
              <w:rPr>
                <w:rFonts w:ascii="Times New Roman" w:hAnsi="Times New Roman" w:cs="Times New Roman"/>
                <w:sz w:val="24"/>
                <w:szCs w:val="24"/>
              </w:rPr>
              <w:t>27</w:t>
            </w:r>
          </w:p>
        </w:tc>
      </w:tr>
    </w:tbl>
    <w:p w14:paraId="2FF367B4" w14:textId="77777777" w:rsidR="00F94B19" w:rsidRPr="00C75122" w:rsidRDefault="00F94B19" w:rsidP="00F94B19">
      <w:pPr>
        <w:spacing w:before="240" w:line="360" w:lineRule="auto"/>
        <w:jc w:val="center"/>
        <w:rPr>
          <w:rFonts w:ascii="Times New Roman" w:hAnsi="Times New Roman" w:cs="Times New Roman"/>
          <w:sz w:val="20"/>
          <w:szCs w:val="20"/>
        </w:rPr>
      </w:pPr>
      <w:r w:rsidRPr="00C75122">
        <w:rPr>
          <w:rFonts w:ascii="Times New Roman" w:hAnsi="Times New Roman" w:cs="Times New Roman"/>
          <w:sz w:val="20"/>
          <w:szCs w:val="20"/>
        </w:rPr>
        <w:t>Standard errors in parentheses. Asterisks ***, ** and * indicate significance at 1%, 5% and 10%, respectively. All variables are log-transformed except rule of law.</w:t>
      </w:r>
    </w:p>
    <w:p w14:paraId="6CEE2435" w14:textId="11D3ACAC" w:rsidR="002D4C05" w:rsidRPr="00C75122" w:rsidRDefault="002D4C05" w:rsidP="002D4C05">
      <w:pPr>
        <w:spacing w:line="360" w:lineRule="auto"/>
        <w:rPr>
          <w:rFonts w:ascii="Times New Roman" w:hAnsi="Times New Roman" w:cs="Times New Roman"/>
          <w:sz w:val="20"/>
          <w:szCs w:val="20"/>
        </w:rPr>
      </w:pPr>
      <w:r w:rsidRPr="00C75122">
        <w:rPr>
          <w:rFonts w:ascii="Times New Roman" w:hAnsi="Times New Roman" w:cs="Times New Roman"/>
          <w:sz w:val="20"/>
          <w:szCs w:val="20"/>
        </w:rPr>
        <w:t>Note: Variables with high correlation (corr&gt;0.6) excluded</w:t>
      </w:r>
    </w:p>
    <w:p w14:paraId="25BC7626" w14:textId="77777777" w:rsidR="0040259A" w:rsidRDefault="0040259A" w:rsidP="00667B4B">
      <w:pPr>
        <w:spacing w:line="480" w:lineRule="auto"/>
        <w:jc w:val="both"/>
        <w:rPr>
          <w:rFonts w:asciiTheme="majorBidi" w:hAnsiTheme="majorBidi" w:cstheme="majorBidi"/>
          <w:b/>
          <w:bCs/>
          <w:sz w:val="24"/>
          <w:szCs w:val="24"/>
        </w:rPr>
      </w:pPr>
    </w:p>
    <w:p w14:paraId="1AB1A26F" w14:textId="1909BDA1" w:rsidR="00667B4B" w:rsidRPr="00E4729C" w:rsidRDefault="00667B4B" w:rsidP="00667B4B">
      <w:pPr>
        <w:spacing w:line="480" w:lineRule="auto"/>
        <w:jc w:val="both"/>
        <w:rPr>
          <w:rFonts w:asciiTheme="majorBidi" w:hAnsiTheme="majorBidi" w:cstheme="majorBidi"/>
          <w:b/>
          <w:bCs/>
          <w:sz w:val="24"/>
          <w:szCs w:val="24"/>
        </w:rPr>
      </w:pPr>
      <w:r w:rsidRPr="00E4729C">
        <w:rPr>
          <w:rFonts w:asciiTheme="majorBidi" w:hAnsiTheme="majorBidi" w:cstheme="majorBidi"/>
          <w:b/>
          <w:bCs/>
          <w:sz w:val="24"/>
          <w:szCs w:val="24"/>
        </w:rPr>
        <w:t>Conclusions and policy implications</w:t>
      </w:r>
    </w:p>
    <w:p w14:paraId="2BB14AA0" w14:textId="61B1313A" w:rsidR="00667B4B" w:rsidRPr="00E4729C" w:rsidRDefault="00BA6424" w:rsidP="00667B4B">
      <w:pPr>
        <w:spacing w:line="480" w:lineRule="auto"/>
        <w:jc w:val="both"/>
        <w:rPr>
          <w:rFonts w:asciiTheme="majorBidi" w:eastAsiaTheme="minorEastAsia" w:hAnsiTheme="majorBidi" w:cstheme="majorBidi"/>
          <w:sz w:val="24"/>
          <w:szCs w:val="24"/>
        </w:rPr>
      </w:pPr>
      <w:r w:rsidRPr="00E4729C">
        <w:rPr>
          <w:rFonts w:asciiTheme="majorBidi" w:eastAsiaTheme="minorEastAsia" w:hAnsiTheme="majorBidi" w:cstheme="majorBidi"/>
          <w:sz w:val="24"/>
          <w:szCs w:val="24"/>
        </w:rPr>
        <w:t xml:space="preserve">Export and import shares of GDP have increased in Africa over the past two decades. </w:t>
      </w:r>
      <w:r w:rsidR="00EA64C8" w:rsidRPr="00E4729C">
        <w:rPr>
          <w:rFonts w:asciiTheme="majorBidi" w:eastAsiaTheme="minorEastAsia" w:hAnsiTheme="majorBidi" w:cstheme="majorBidi"/>
          <w:sz w:val="24"/>
          <w:szCs w:val="24"/>
        </w:rPr>
        <w:t>However, t</w:t>
      </w:r>
      <w:r w:rsidRPr="00E4729C">
        <w:rPr>
          <w:rFonts w:asciiTheme="majorBidi" w:eastAsiaTheme="minorEastAsia" w:hAnsiTheme="majorBidi" w:cstheme="majorBidi"/>
          <w:sz w:val="24"/>
          <w:szCs w:val="24"/>
        </w:rPr>
        <w:t xml:space="preserve">he corresponding increase in value-added embedded in the exports as well as participation rates of African countries in regional and global value chains </w:t>
      </w:r>
      <w:r w:rsidR="00EA64C8" w:rsidRPr="00E4729C">
        <w:rPr>
          <w:rFonts w:asciiTheme="majorBidi" w:eastAsiaTheme="minorEastAsia" w:hAnsiTheme="majorBidi" w:cstheme="majorBidi"/>
          <w:sz w:val="24"/>
          <w:szCs w:val="24"/>
        </w:rPr>
        <w:t>remain quite low</w:t>
      </w:r>
      <w:r w:rsidRPr="00E4729C">
        <w:rPr>
          <w:rFonts w:asciiTheme="majorBidi" w:eastAsiaTheme="minorEastAsia" w:hAnsiTheme="majorBidi" w:cstheme="majorBidi"/>
          <w:sz w:val="24"/>
          <w:szCs w:val="24"/>
        </w:rPr>
        <w:t xml:space="preserve">. </w:t>
      </w:r>
      <w:r w:rsidR="000F5B28" w:rsidRPr="00E4729C">
        <w:rPr>
          <w:rFonts w:asciiTheme="majorBidi" w:eastAsiaTheme="minorEastAsia" w:hAnsiTheme="majorBidi" w:cstheme="majorBidi"/>
          <w:sz w:val="24"/>
          <w:szCs w:val="24"/>
        </w:rPr>
        <w:t xml:space="preserve">A number of institutional and structural challenges keep many countries on the continent away from realizing </w:t>
      </w:r>
      <w:r w:rsidR="001C5E91" w:rsidRPr="00E4729C">
        <w:rPr>
          <w:rFonts w:asciiTheme="majorBidi" w:eastAsiaTheme="minorEastAsia" w:hAnsiTheme="majorBidi" w:cstheme="majorBidi"/>
          <w:sz w:val="24"/>
          <w:szCs w:val="24"/>
        </w:rPr>
        <w:t xml:space="preserve">full benefits from involvement in value chains and adding value to their exports. </w:t>
      </w:r>
      <w:r w:rsidR="00D327DA" w:rsidRPr="00E4729C">
        <w:rPr>
          <w:rFonts w:asciiTheme="majorBidi" w:eastAsiaTheme="minorEastAsia" w:hAnsiTheme="majorBidi" w:cstheme="majorBidi"/>
          <w:sz w:val="24"/>
          <w:szCs w:val="24"/>
        </w:rPr>
        <w:t xml:space="preserve">In this study, the determinants </w:t>
      </w:r>
      <w:r w:rsidR="00C4421E" w:rsidRPr="00E4729C">
        <w:rPr>
          <w:rFonts w:asciiTheme="majorBidi" w:eastAsiaTheme="minorEastAsia" w:hAnsiTheme="majorBidi" w:cstheme="majorBidi"/>
          <w:sz w:val="24"/>
          <w:szCs w:val="24"/>
        </w:rPr>
        <w:t xml:space="preserve">of domestic value-added embedded in exports is estimated using country-fixed </w:t>
      </w:r>
      <w:r w:rsidR="00EA64C8" w:rsidRPr="00E4729C">
        <w:rPr>
          <w:rFonts w:asciiTheme="majorBidi" w:eastAsiaTheme="minorEastAsia" w:hAnsiTheme="majorBidi" w:cstheme="majorBidi"/>
          <w:sz w:val="24"/>
          <w:szCs w:val="24"/>
        </w:rPr>
        <w:t xml:space="preserve">regression models </w:t>
      </w:r>
      <w:r w:rsidR="00C4421E" w:rsidRPr="00E4729C">
        <w:rPr>
          <w:rFonts w:asciiTheme="majorBidi" w:eastAsiaTheme="minorEastAsia" w:hAnsiTheme="majorBidi" w:cstheme="majorBidi"/>
          <w:sz w:val="24"/>
          <w:szCs w:val="24"/>
        </w:rPr>
        <w:t xml:space="preserve">applied to </w:t>
      </w:r>
      <w:r w:rsidR="00EA64C8" w:rsidRPr="00E4729C">
        <w:rPr>
          <w:rFonts w:asciiTheme="majorBidi" w:eastAsiaTheme="minorEastAsia" w:hAnsiTheme="majorBidi" w:cstheme="majorBidi"/>
          <w:sz w:val="24"/>
          <w:szCs w:val="24"/>
        </w:rPr>
        <w:t xml:space="preserve">value-added indicators from </w:t>
      </w:r>
      <w:r w:rsidR="00C4421E" w:rsidRPr="00E4729C">
        <w:rPr>
          <w:rFonts w:asciiTheme="majorBidi" w:eastAsiaTheme="minorEastAsia" w:hAnsiTheme="majorBidi" w:cstheme="majorBidi"/>
          <w:sz w:val="24"/>
          <w:szCs w:val="24"/>
        </w:rPr>
        <w:t>the UNCTAD-EORA multi-regional input-</w:t>
      </w:r>
      <w:r w:rsidR="00FD77AB" w:rsidRPr="00E4729C">
        <w:rPr>
          <w:rFonts w:asciiTheme="majorBidi" w:eastAsiaTheme="minorEastAsia" w:hAnsiTheme="majorBidi" w:cstheme="majorBidi"/>
          <w:sz w:val="24"/>
          <w:szCs w:val="24"/>
        </w:rPr>
        <w:t>output</w:t>
      </w:r>
      <w:r w:rsidR="00C4421E" w:rsidRPr="00E4729C">
        <w:rPr>
          <w:rFonts w:asciiTheme="majorBidi" w:eastAsiaTheme="minorEastAsia" w:hAnsiTheme="majorBidi" w:cstheme="majorBidi"/>
          <w:sz w:val="24"/>
          <w:szCs w:val="24"/>
        </w:rPr>
        <w:t xml:space="preserve"> tables for the 1990-2018 period. </w:t>
      </w:r>
      <w:r w:rsidR="00FD77AB" w:rsidRPr="00E4729C">
        <w:rPr>
          <w:rFonts w:asciiTheme="majorBidi" w:eastAsiaTheme="minorEastAsia" w:hAnsiTheme="majorBidi" w:cstheme="majorBidi"/>
          <w:sz w:val="24"/>
          <w:szCs w:val="24"/>
        </w:rPr>
        <w:t>The analysis focuses on Africa, a region that is largely underrepresented in existing literature partly due to data limitations</w:t>
      </w:r>
      <w:r w:rsidR="00276763" w:rsidRPr="00E4729C">
        <w:rPr>
          <w:rFonts w:asciiTheme="majorBidi" w:eastAsiaTheme="minorEastAsia" w:hAnsiTheme="majorBidi" w:cstheme="majorBidi"/>
          <w:sz w:val="24"/>
          <w:szCs w:val="24"/>
        </w:rPr>
        <w:t xml:space="preserve"> as several trade in value-added databases tend to </w:t>
      </w:r>
      <w:r w:rsidR="00EA64C8" w:rsidRPr="00E4729C">
        <w:rPr>
          <w:rFonts w:asciiTheme="majorBidi" w:eastAsiaTheme="minorEastAsia" w:hAnsiTheme="majorBidi" w:cstheme="majorBidi"/>
          <w:sz w:val="24"/>
          <w:szCs w:val="24"/>
        </w:rPr>
        <w:t>overly concentrate on</w:t>
      </w:r>
      <w:r w:rsidR="00276763" w:rsidRPr="00E4729C">
        <w:rPr>
          <w:rFonts w:asciiTheme="majorBidi" w:eastAsiaTheme="minorEastAsia" w:hAnsiTheme="majorBidi" w:cstheme="majorBidi"/>
          <w:sz w:val="24"/>
          <w:szCs w:val="24"/>
        </w:rPr>
        <w:t xml:space="preserve"> developed countries</w:t>
      </w:r>
      <w:r w:rsidR="00974237" w:rsidRPr="00E4729C">
        <w:rPr>
          <w:rFonts w:asciiTheme="majorBidi" w:eastAsiaTheme="minorEastAsia" w:hAnsiTheme="majorBidi" w:cstheme="majorBidi"/>
          <w:sz w:val="24"/>
          <w:szCs w:val="24"/>
        </w:rPr>
        <w:t xml:space="preserve">. </w:t>
      </w:r>
    </w:p>
    <w:p w14:paraId="7624D582" w14:textId="04FC3DEF" w:rsidR="004E655B" w:rsidRPr="00E4729C" w:rsidRDefault="004E655B" w:rsidP="00667B4B">
      <w:pPr>
        <w:spacing w:line="480" w:lineRule="auto"/>
        <w:jc w:val="both"/>
        <w:rPr>
          <w:rFonts w:asciiTheme="majorBidi" w:eastAsiaTheme="minorEastAsia" w:hAnsiTheme="majorBidi" w:cstheme="majorBidi"/>
          <w:sz w:val="24"/>
          <w:szCs w:val="24"/>
        </w:rPr>
      </w:pPr>
      <w:r w:rsidRPr="00E4729C">
        <w:rPr>
          <w:rFonts w:asciiTheme="majorBidi" w:eastAsiaTheme="minorEastAsia" w:hAnsiTheme="majorBidi" w:cstheme="majorBidi"/>
          <w:sz w:val="24"/>
          <w:szCs w:val="24"/>
        </w:rPr>
        <w:t xml:space="preserve">We find high diversity among African countries regarding value addition: countries with higher levels of development </w:t>
      </w:r>
      <w:r w:rsidR="00EA64C8" w:rsidRPr="00E4729C">
        <w:rPr>
          <w:rFonts w:asciiTheme="majorBidi" w:eastAsiaTheme="minorEastAsia" w:hAnsiTheme="majorBidi" w:cstheme="majorBidi"/>
          <w:sz w:val="24"/>
          <w:szCs w:val="24"/>
        </w:rPr>
        <w:t>are more able to add value to their exports domestically</w:t>
      </w:r>
      <w:r w:rsidRPr="00E4729C">
        <w:rPr>
          <w:rFonts w:asciiTheme="majorBidi" w:eastAsiaTheme="minorEastAsia" w:hAnsiTheme="majorBidi" w:cstheme="majorBidi"/>
          <w:sz w:val="24"/>
          <w:szCs w:val="24"/>
        </w:rPr>
        <w:t xml:space="preserve">. </w:t>
      </w:r>
      <w:r w:rsidR="0036682F" w:rsidRPr="00E4729C">
        <w:rPr>
          <w:rFonts w:asciiTheme="majorBidi" w:eastAsiaTheme="minorEastAsia" w:hAnsiTheme="majorBidi" w:cstheme="majorBidi"/>
          <w:sz w:val="24"/>
          <w:szCs w:val="24"/>
        </w:rPr>
        <w:t xml:space="preserve">We confirm the shared view in the literature that both domestic and foreign value addition and </w:t>
      </w:r>
      <w:r w:rsidR="00EA64C8" w:rsidRPr="00E4729C">
        <w:rPr>
          <w:rFonts w:asciiTheme="majorBidi" w:eastAsiaTheme="minorEastAsia" w:hAnsiTheme="majorBidi" w:cstheme="majorBidi"/>
          <w:sz w:val="24"/>
          <w:szCs w:val="24"/>
        </w:rPr>
        <w:t>the extent of</w:t>
      </w:r>
      <w:r w:rsidR="0036682F" w:rsidRPr="00E4729C">
        <w:rPr>
          <w:rFonts w:asciiTheme="majorBidi" w:eastAsiaTheme="minorEastAsia" w:hAnsiTheme="majorBidi" w:cstheme="majorBidi"/>
          <w:sz w:val="24"/>
          <w:szCs w:val="24"/>
        </w:rPr>
        <w:t xml:space="preserve"> global value chain engagement are generally lower in Africa relative to the rest of the world. </w:t>
      </w:r>
      <w:r w:rsidRPr="00E4729C">
        <w:rPr>
          <w:rFonts w:asciiTheme="majorBidi" w:eastAsiaTheme="minorEastAsia" w:hAnsiTheme="majorBidi" w:cstheme="majorBidi"/>
          <w:sz w:val="24"/>
          <w:szCs w:val="24"/>
        </w:rPr>
        <w:t>Our econometric results further reveal that a</w:t>
      </w:r>
      <w:r w:rsidR="003437E9" w:rsidRPr="00E4729C">
        <w:rPr>
          <w:rFonts w:asciiTheme="majorBidi" w:eastAsiaTheme="minorEastAsia" w:hAnsiTheme="majorBidi" w:cstheme="majorBidi"/>
          <w:sz w:val="24"/>
          <w:szCs w:val="24"/>
        </w:rPr>
        <w:t xml:space="preserve">mong the factors that </w:t>
      </w:r>
      <w:r w:rsidR="00580224" w:rsidRPr="00E4729C">
        <w:rPr>
          <w:rFonts w:asciiTheme="majorBidi" w:eastAsiaTheme="minorEastAsia" w:hAnsiTheme="majorBidi" w:cstheme="majorBidi"/>
          <w:sz w:val="24"/>
          <w:szCs w:val="24"/>
        </w:rPr>
        <w:t>hinder value addition and GVC participation on the continent are high rates of tariffs</w:t>
      </w:r>
      <w:r w:rsidR="00EA64C8" w:rsidRPr="00E4729C">
        <w:rPr>
          <w:rFonts w:asciiTheme="majorBidi" w:eastAsiaTheme="minorEastAsia" w:hAnsiTheme="majorBidi" w:cstheme="majorBidi"/>
          <w:sz w:val="24"/>
          <w:szCs w:val="24"/>
        </w:rPr>
        <w:t>. This perhaps suggests tariff reducti</w:t>
      </w:r>
      <w:r w:rsidR="00EA64C8" w:rsidRPr="00E4729C">
        <w:rPr>
          <w:rFonts w:asciiTheme="majorBidi" w:eastAsiaTheme="minorEastAsia" w:hAnsiTheme="majorBidi" w:cstheme="majorBidi"/>
          <w:sz w:val="24"/>
          <w:szCs w:val="24"/>
        </w:rPr>
        <w:lastRenderedPageBreak/>
        <w:t>on as potentially one of the pathways through which African countries could increase their value addition to their exports</w:t>
      </w:r>
      <w:r w:rsidR="00E4729C" w:rsidRPr="00E4729C">
        <w:rPr>
          <w:rFonts w:asciiTheme="majorBidi" w:eastAsiaTheme="minorEastAsia" w:hAnsiTheme="majorBidi" w:cstheme="majorBidi"/>
          <w:sz w:val="24"/>
          <w:szCs w:val="24"/>
        </w:rPr>
        <w:t xml:space="preserve"> and maximize benefits from trading under the AfCFTA.</w:t>
      </w:r>
      <w:r w:rsidRPr="00E4729C">
        <w:rPr>
          <w:rFonts w:asciiTheme="majorBidi" w:eastAsiaTheme="minorEastAsia" w:hAnsiTheme="majorBidi" w:cstheme="majorBidi"/>
          <w:sz w:val="24"/>
          <w:szCs w:val="24"/>
        </w:rPr>
        <w:t xml:space="preserve"> </w:t>
      </w:r>
    </w:p>
    <w:p w14:paraId="5CB97055" w14:textId="5117551A" w:rsidR="00604CD3" w:rsidRDefault="00604CD3" w:rsidP="0079133E">
      <w:pPr>
        <w:spacing w:line="360" w:lineRule="auto"/>
        <w:jc w:val="both"/>
        <w:rPr>
          <w:rFonts w:asciiTheme="majorBidi" w:hAnsiTheme="majorBidi" w:cstheme="majorBidi"/>
          <w:sz w:val="23"/>
          <w:szCs w:val="23"/>
        </w:rPr>
      </w:pPr>
    </w:p>
    <w:p w14:paraId="29EEA0BB" w14:textId="51A0E52D" w:rsidR="00F55527" w:rsidRPr="00F152F2" w:rsidRDefault="00F55527" w:rsidP="0079133E">
      <w:pPr>
        <w:spacing w:line="360" w:lineRule="auto"/>
        <w:jc w:val="both"/>
        <w:rPr>
          <w:rFonts w:asciiTheme="majorBidi" w:hAnsiTheme="majorBidi" w:cstheme="majorBidi"/>
          <w:b/>
          <w:bCs/>
          <w:sz w:val="23"/>
          <w:szCs w:val="23"/>
        </w:rPr>
      </w:pPr>
      <w:r w:rsidRPr="00F152F2">
        <w:rPr>
          <w:rFonts w:asciiTheme="majorBidi" w:hAnsiTheme="majorBidi" w:cstheme="majorBidi"/>
          <w:b/>
          <w:bCs/>
          <w:sz w:val="23"/>
          <w:szCs w:val="23"/>
        </w:rPr>
        <w:t>References</w:t>
      </w:r>
    </w:p>
    <w:p w14:paraId="731318A6" w14:textId="77777777" w:rsidR="007E417D" w:rsidRPr="002E1D57" w:rsidRDefault="007E417D" w:rsidP="00816FEF">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Aggarwal, S., Chakraborty, D., &amp; Bhattacharyya, R. (2021). Determinants of Domestic Value Added in Exports: Empirical Evidence from India’s Manufacturing Sectors. </w:t>
      </w:r>
      <w:r w:rsidRPr="002E1D57">
        <w:rPr>
          <w:rFonts w:asciiTheme="majorBidi" w:hAnsiTheme="majorBidi" w:cstheme="majorBidi"/>
          <w:i/>
          <w:iCs/>
          <w:sz w:val="24"/>
          <w:szCs w:val="24"/>
          <w:shd w:val="clear" w:color="auto" w:fill="FFFFFF"/>
        </w:rPr>
        <w:t>Global Business Review</w:t>
      </w:r>
      <w:r w:rsidRPr="002E1D57">
        <w:rPr>
          <w:rFonts w:asciiTheme="majorBidi" w:hAnsiTheme="majorBidi" w:cstheme="majorBidi"/>
          <w:sz w:val="24"/>
          <w:szCs w:val="24"/>
          <w:shd w:val="clear" w:color="auto" w:fill="FFFFFF"/>
        </w:rPr>
        <w:t>, 09721509211050138.</w:t>
      </w:r>
    </w:p>
    <w:p w14:paraId="3EA593C9" w14:textId="77777777" w:rsidR="007E417D" w:rsidRPr="002E1D57" w:rsidRDefault="007E417D" w:rsidP="00B5279B">
      <w:pPr>
        <w:spacing w:line="360" w:lineRule="auto"/>
        <w:ind w:left="720" w:hanging="720"/>
        <w:jc w:val="both"/>
        <w:rPr>
          <w:rFonts w:asciiTheme="majorBidi" w:hAnsiTheme="majorBidi" w:cstheme="majorBidi"/>
          <w:color w:val="222222"/>
          <w:sz w:val="24"/>
          <w:szCs w:val="24"/>
          <w:shd w:val="clear" w:color="auto" w:fill="FFFFFF"/>
        </w:rPr>
      </w:pPr>
      <w:r w:rsidRPr="002E1D57">
        <w:rPr>
          <w:rFonts w:asciiTheme="majorBidi" w:hAnsiTheme="majorBidi" w:cstheme="majorBidi"/>
          <w:color w:val="222222"/>
          <w:sz w:val="24"/>
          <w:szCs w:val="24"/>
          <w:shd w:val="clear" w:color="auto" w:fill="FFFFFF"/>
        </w:rPr>
        <w:t>Ahmed, A. D., Cheng, E., &amp; Messinis, G. (2011). The role of exports, FDI and imports in development: evidence from Sub-Saharan African countries. </w:t>
      </w:r>
      <w:r w:rsidRPr="002E1D57">
        <w:rPr>
          <w:rFonts w:asciiTheme="majorBidi" w:hAnsiTheme="majorBidi" w:cstheme="majorBidi"/>
          <w:i/>
          <w:iCs/>
          <w:color w:val="222222"/>
          <w:sz w:val="24"/>
          <w:szCs w:val="24"/>
          <w:shd w:val="clear" w:color="auto" w:fill="FFFFFF"/>
        </w:rPr>
        <w:t>Applied Economics</w:t>
      </w:r>
      <w:r w:rsidRPr="002E1D57">
        <w:rPr>
          <w:rFonts w:asciiTheme="majorBidi" w:hAnsiTheme="majorBidi" w:cstheme="majorBidi"/>
          <w:color w:val="222222"/>
          <w:sz w:val="24"/>
          <w:szCs w:val="24"/>
          <w:shd w:val="clear" w:color="auto" w:fill="FFFFFF"/>
        </w:rPr>
        <w:t>, </w:t>
      </w:r>
      <w:r w:rsidRPr="002E1D57">
        <w:rPr>
          <w:rFonts w:asciiTheme="majorBidi" w:hAnsiTheme="majorBidi" w:cstheme="majorBidi"/>
          <w:i/>
          <w:iCs/>
          <w:color w:val="222222"/>
          <w:sz w:val="24"/>
          <w:szCs w:val="24"/>
          <w:shd w:val="clear" w:color="auto" w:fill="FFFFFF"/>
        </w:rPr>
        <w:t>43</w:t>
      </w:r>
      <w:r w:rsidRPr="002E1D57">
        <w:rPr>
          <w:rFonts w:asciiTheme="majorBidi" w:hAnsiTheme="majorBidi" w:cstheme="majorBidi"/>
          <w:color w:val="222222"/>
          <w:sz w:val="24"/>
          <w:szCs w:val="24"/>
          <w:shd w:val="clear" w:color="auto" w:fill="FFFFFF"/>
        </w:rPr>
        <w:t>(26), 3719-3731.</w:t>
      </w:r>
    </w:p>
    <w:p w14:paraId="71236D0B"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A52F6A">
        <w:rPr>
          <w:rFonts w:asciiTheme="majorBidi" w:hAnsiTheme="majorBidi" w:cstheme="majorBidi"/>
          <w:color w:val="222222"/>
          <w:sz w:val="24"/>
          <w:szCs w:val="24"/>
          <w:shd w:val="clear" w:color="auto" w:fill="FFFFFF"/>
        </w:rPr>
        <w:t>Allard, C., Kriljenko, M. J. I. C., Gonzalez-Garcia, M. J. R., Kitsios, E., Trevino, M. J. P., &amp; Chen, M. W. (2016). </w:t>
      </w:r>
      <w:r w:rsidRPr="002E1D57">
        <w:rPr>
          <w:rFonts w:asciiTheme="majorBidi" w:hAnsiTheme="majorBidi" w:cstheme="majorBidi"/>
          <w:i/>
          <w:iCs/>
          <w:color w:val="222222"/>
          <w:sz w:val="24"/>
          <w:szCs w:val="24"/>
          <w:shd w:val="clear" w:color="auto" w:fill="FFFFFF"/>
        </w:rPr>
        <w:t>Trade integration and global value chains in sub-Saharan Africa: In pursuit of the missing link</w:t>
      </w:r>
      <w:r w:rsidRPr="002E1D57">
        <w:rPr>
          <w:rFonts w:asciiTheme="majorBidi" w:hAnsiTheme="majorBidi" w:cstheme="majorBidi"/>
          <w:color w:val="222222"/>
          <w:sz w:val="24"/>
          <w:szCs w:val="24"/>
          <w:shd w:val="clear" w:color="auto" w:fill="FFFFFF"/>
        </w:rPr>
        <w:t>. International Monetary Fund.</w:t>
      </w:r>
    </w:p>
    <w:p w14:paraId="771B35D4" w14:textId="77777777" w:rsidR="007E417D" w:rsidRPr="002E1D57" w:rsidRDefault="007E417D" w:rsidP="00D55331">
      <w:pPr>
        <w:spacing w:line="360" w:lineRule="auto"/>
        <w:ind w:left="720" w:hanging="720"/>
        <w:jc w:val="both"/>
        <w:rPr>
          <w:rFonts w:asciiTheme="majorBidi" w:hAnsiTheme="majorBidi" w:cstheme="majorBidi"/>
          <w:color w:val="222222"/>
          <w:sz w:val="24"/>
          <w:szCs w:val="24"/>
          <w:shd w:val="clear" w:color="auto" w:fill="FFFFFF"/>
        </w:rPr>
      </w:pPr>
      <w:r w:rsidRPr="00CE2C33">
        <w:rPr>
          <w:rFonts w:asciiTheme="majorBidi" w:hAnsiTheme="majorBidi" w:cstheme="majorBidi"/>
          <w:color w:val="222222"/>
          <w:sz w:val="24"/>
          <w:szCs w:val="24"/>
          <w:shd w:val="clear" w:color="auto" w:fill="FFFFFF"/>
          <w:lang w:val="fr-FR"/>
        </w:rPr>
        <w:t>Assamoi, G. R., Wang, S., Gnangoin</w:t>
      </w:r>
      <w:r w:rsidRPr="00E32EEC">
        <w:rPr>
          <w:rFonts w:asciiTheme="majorBidi" w:hAnsiTheme="majorBidi" w:cstheme="majorBidi"/>
          <w:color w:val="222222"/>
          <w:sz w:val="24"/>
          <w:szCs w:val="24"/>
          <w:shd w:val="clear" w:color="auto" w:fill="FFFFFF"/>
          <w:lang w:val="fr-FR"/>
        </w:rPr>
        <w:t xml:space="preserve">, Y. T. B., &amp; Edjoukou, A. J. R. (2019). </w:t>
      </w:r>
      <w:r w:rsidRPr="002E1D57">
        <w:rPr>
          <w:rFonts w:asciiTheme="majorBidi" w:hAnsiTheme="majorBidi" w:cstheme="majorBidi"/>
          <w:color w:val="222222"/>
          <w:sz w:val="24"/>
          <w:szCs w:val="24"/>
          <w:shd w:val="clear" w:color="auto" w:fill="FFFFFF"/>
        </w:rPr>
        <w:t>Foreign Inputs and Changes in Domestic Value Added Exports: Empirical Evidence from Latin American Countries. </w:t>
      </w:r>
      <w:r w:rsidRPr="002E1D57">
        <w:rPr>
          <w:rFonts w:asciiTheme="majorBidi" w:hAnsiTheme="majorBidi" w:cstheme="majorBidi"/>
          <w:i/>
          <w:iCs/>
          <w:color w:val="222222"/>
          <w:sz w:val="24"/>
          <w:szCs w:val="24"/>
          <w:shd w:val="clear" w:color="auto" w:fill="FFFFFF"/>
        </w:rPr>
        <w:t>International Journal of Economics and Financial Issues</w:t>
      </w:r>
      <w:r w:rsidRPr="002E1D57">
        <w:rPr>
          <w:rFonts w:asciiTheme="majorBidi" w:hAnsiTheme="majorBidi" w:cstheme="majorBidi"/>
          <w:color w:val="222222"/>
          <w:sz w:val="24"/>
          <w:szCs w:val="24"/>
          <w:shd w:val="clear" w:color="auto" w:fill="FFFFFF"/>
        </w:rPr>
        <w:t>, </w:t>
      </w:r>
      <w:r w:rsidRPr="002E1D57">
        <w:rPr>
          <w:rFonts w:asciiTheme="majorBidi" w:hAnsiTheme="majorBidi" w:cstheme="majorBidi"/>
          <w:i/>
          <w:iCs/>
          <w:color w:val="222222"/>
          <w:sz w:val="24"/>
          <w:szCs w:val="24"/>
          <w:shd w:val="clear" w:color="auto" w:fill="FFFFFF"/>
        </w:rPr>
        <w:t>9</w:t>
      </w:r>
      <w:r w:rsidRPr="002E1D57">
        <w:rPr>
          <w:rFonts w:asciiTheme="majorBidi" w:hAnsiTheme="majorBidi" w:cstheme="majorBidi"/>
          <w:color w:val="222222"/>
          <w:sz w:val="24"/>
          <w:szCs w:val="24"/>
          <w:shd w:val="clear" w:color="auto" w:fill="FFFFFF"/>
        </w:rPr>
        <w:t>(3), 244.</w:t>
      </w:r>
    </w:p>
    <w:p w14:paraId="69ED0983"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Baldwin, Richard and Javier Lopez-Gonzalez (2014), “Supply-chain Trade: A Portrait of Global Patterns and Several Testable Hypotheses”, The World Economy, doi: 10.111 l/twec.i2189</w:t>
      </w:r>
    </w:p>
    <w:p w14:paraId="4592DE66" w14:textId="77777777" w:rsidR="007E417D" w:rsidRPr="002E1D57" w:rsidRDefault="007E417D" w:rsidP="00D55331">
      <w:pPr>
        <w:spacing w:line="360" w:lineRule="auto"/>
        <w:ind w:left="720" w:hanging="720"/>
        <w:jc w:val="both"/>
        <w:rPr>
          <w:rFonts w:asciiTheme="majorBidi" w:hAnsiTheme="majorBidi" w:cstheme="majorBidi"/>
          <w:color w:val="222222"/>
          <w:sz w:val="24"/>
          <w:szCs w:val="24"/>
          <w:shd w:val="clear" w:color="auto" w:fill="FFFFFF"/>
        </w:rPr>
      </w:pPr>
      <w:r w:rsidRPr="002E1D57">
        <w:rPr>
          <w:rFonts w:asciiTheme="majorBidi" w:hAnsiTheme="majorBidi" w:cstheme="majorBidi"/>
          <w:color w:val="222222"/>
          <w:sz w:val="24"/>
          <w:szCs w:val="24"/>
          <w:shd w:val="clear" w:color="auto" w:fill="FFFFFF"/>
        </w:rPr>
        <w:t>Banerjee, B., &amp; Zeman, J. (2020). </w:t>
      </w:r>
      <w:r w:rsidRPr="002E1D57">
        <w:rPr>
          <w:rFonts w:asciiTheme="majorBidi" w:hAnsiTheme="majorBidi" w:cstheme="majorBidi"/>
          <w:i/>
          <w:iCs/>
          <w:color w:val="222222"/>
          <w:sz w:val="24"/>
          <w:szCs w:val="24"/>
          <w:shd w:val="clear" w:color="auto" w:fill="FFFFFF"/>
        </w:rPr>
        <w:t>Determinants of Global Value Chain Participation: Cross-country Analysis</w:t>
      </w:r>
      <w:r w:rsidRPr="002E1D57">
        <w:rPr>
          <w:rFonts w:asciiTheme="majorBidi" w:hAnsiTheme="majorBidi" w:cstheme="majorBidi"/>
          <w:color w:val="222222"/>
          <w:sz w:val="24"/>
          <w:szCs w:val="24"/>
          <w:shd w:val="clear" w:color="auto" w:fill="FFFFFF"/>
        </w:rPr>
        <w:t>. National Bank of Slovakia.</w:t>
      </w:r>
    </w:p>
    <w:p w14:paraId="2E6AD9E7" w14:textId="77777777" w:rsidR="007E417D" w:rsidRPr="002E1D57" w:rsidRDefault="007E417D" w:rsidP="00816FEF">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Bar</w:t>
      </w:r>
      <w:r w:rsidRPr="002E1D57">
        <w:rPr>
          <w:rFonts w:asciiTheme="majorBidi" w:hAnsiTheme="majorBidi" w:cstheme="majorBidi"/>
          <w:sz w:val="24"/>
          <w:szCs w:val="24"/>
          <w:shd w:val="clear" w:color="auto" w:fill="FFFFFF"/>
        </w:rPr>
        <w:lastRenderedPageBreak/>
        <w:t>rientos, S., Gereffi, G., &amp; Rossi, A. (2011). Economic and social upgrading in global production networks: A new paradigm for a changing world. </w:t>
      </w:r>
      <w:r w:rsidRPr="002E1D57">
        <w:rPr>
          <w:rFonts w:asciiTheme="majorBidi" w:hAnsiTheme="majorBidi" w:cstheme="majorBidi"/>
          <w:i/>
          <w:iCs/>
          <w:sz w:val="24"/>
          <w:szCs w:val="24"/>
          <w:shd w:val="clear" w:color="auto" w:fill="FFFFFF"/>
        </w:rPr>
        <w:t>International Labour Review</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150</w:t>
      </w:r>
      <w:r w:rsidRPr="002E1D57">
        <w:rPr>
          <w:rFonts w:asciiTheme="majorBidi" w:hAnsiTheme="majorBidi" w:cstheme="majorBidi"/>
          <w:sz w:val="24"/>
          <w:szCs w:val="24"/>
          <w:shd w:val="clear" w:color="auto" w:fill="FFFFFF"/>
        </w:rPr>
        <w:t>(3‐4), 319-340.</w:t>
      </w:r>
    </w:p>
    <w:p w14:paraId="54364D81"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Boys Julian and A. Andreoni (2020). “Value chain directionality, upgrading, and industrial policy in the Tanzanian textile and apparel sectors.” UNU-WIDER Working Paper 2020/93.</w:t>
      </w:r>
    </w:p>
    <w:p w14:paraId="42483EDB" w14:textId="77777777" w:rsidR="007E417D" w:rsidRPr="00835400" w:rsidRDefault="007E417D" w:rsidP="00835400">
      <w:pPr>
        <w:spacing w:line="360" w:lineRule="auto"/>
        <w:ind w:left="720" w:hanging="720"/>
        <w:jc w:val="both"/>
        <w:rPr>
          <w:rFonts w:asciiTheme="majorBidi" w:hAnsiTheme="majorBidi" w:cstheme="majorBidi"/>
          <w:sz w:val="24"/>
          <w:szCs w:val="24"/>
          <w:shd w:val="clear" w:color="auto" w:fill="FFFFFF"/>
        </w:rPr>
      </w:pPr>
      <w:r w:rsidRPr="00835400">
        <w:rPr>
          <w:rFonts w:asciiTheme="majorBidi" w:hAnsiTheme="majorBidi" w:cstheme="majorBidi"/>
          <w:sz w:val="24"/>
          <w:szCs w:val="24"/>
          <w:shd w:val="clear" w:color="auto" w:fill="FFFFFF"/>
        </w:rPr>
        <w:t>Cadot, O., &amp; Gourdon, J. (2016). Non-tariff measures, preferential trade agreements, and prices: new evidence. </w:t>
      </w:r>
      <w:r w:rsidRPr="00835400">
        <w:rPr>
          <w:rFonts w:asciiTheme="majorBidi" w:hAnsiTheme="majorBidi" w:cstheme="majorBidi"/>
          <w:i/>
          <w:iCs/>
          <w:sz w:val="24"/>
          <w:szCs w:val="24"/>
          <w:shd w:val="clear" w:color="auto" w:fill="FFFFFF"/>
        </w:rPr>
        <w:t>Review of World Economics</w:t>
      </w:r>
      <w:r w:rsidRPr="00835400">
        <w:rPr>
          <w:rFonts w:asciiTheme="majorBidi" w:hAnsiTheme="majorBidi" w:cstheme="majorBidi"/>
          <w:sz w:val="24"/>
          <w:szCs w:val="24"/>
          <w:shd w:val="clear" w:color="auto" w:fill="FFFFFF"/>
        </w:rPr>
        <w:t>, </w:t>
      </w:r>
      <w:r w:rsidRPr="00835400">
        <w:rPr>
          <w:rFonts w:asciiTheme="majorBidi" w:hAnsiTheme="majorBidi" w:cstheme="majorBidi"/>
          <w:i/>
          <w:iCs/>
          <w:sz w:val="24"/>
          <w:szCs w:val="24"/>
          <w:shd w:val="clear" w:color="auto" w:fill="FFFFFF"/>
        </w:rPr>
        <w:t>152</w:t>
      </w:r>
      <w:r w:rsidRPr="00835400">
        <w:rPr>
          <w:rFonts w:asciiTheme="majorBidi" w:hAnsiTheme="majorBidi" w:cstheme="majorBidi"/>
          <w:sz w:val="24"/>
          <w:szCs w:val="24"/>
          <w:shd w:val="clear" w:color="auto" w:fill="FFFFFF"/>
        </w:rPr>
        <w:t>(2), 227-249.</w:t>
      </w:r>
    </w:p>
    <w:p w14:paraId="68A02E19" w14:textId="77777777" w:rsidR="007E417D" w:rsidRPr="00E50CF4" w:rsidRDefault="007E417D" w:rsidP="00D55331">
      <w:pPr>
        <w:spacing w:line="360" w:lineRule="auto"/>
        <w:ind w:left="720" w:hanging="720"/>
        <w:jc w:val="both"/>
        <w:rPr>
          <w:rFonts w:asciiTheme="majorBidi" w:hAnsiTheme="majorBidi" w:cstheme="majorBidi"/>
          <w:sz w:val="32"/>
          <w:szCs w:val="32"/>
          <w:shd w:val="clear" w:color="auto" w:fill="FFFFFF"/>
        </w:rPr>
      </w:pPr>
      <w:r w:rsidRPr="00C74ECE">
        <w:rPr>
          <w:rFonts w:asciiTheme="majorBidi" w:hAnsiTheme="majorBidi" w:cstheme="majorBidi"/>
          <w:sz w:val="24"/>
          <w:szCs w:val="24"/>
          <w:shd w:val="clear" w:color="auto" w:fill="FFFFFF"/>
          <w:lang w:val="en-US"/>
        </w:rPr>
        <w:t xml:space="preserve">Caraballo, J. G., &amp; Jiang, X. (2016). </w:t>
      </w:r>
      <w:r w:rsidRPr="00E50CF4">
        <w:rPr>
          <w:rFonts w:asciiTheme="majorBidi" w:hAnsiTheme="majorBidi" w:cstheme="majorBidi"/>
          <w:sz w:val="24"/>
          <w:szCs w:val="24"/>
          <w:shd w:val="clear" w:color="auto" w:fill="FFFFFF"/>
        </w:rPr>
        <w:t>Value-added erosion in global value chains: an empirical assessment. </w:t>
      </w:r>
      <w:r w:rsidRPr="00E50CF4">
        <w:rPr>
          <w:rFonts w:asciiTheme="majorBidi" w:hAnsiTheme="majorBidi" w:cstheme="majorBidi"/>
          <w:i/>
          <w:iCs/>
          <w:sz w:val="24"/>
          <w:szCs w:val="24"/>
          <w:shd w:val="clear" w:color="auto" w:fill="FFFFFF"/>
        </w:rPr>
        <w:t>Journal of Economic Issues</w:t>
      </w:r>
      <w:r w:rsidRPr="00E50CF4">
        <w:rPr>
          <w:rFonts w:asciiTheme="majorBidi" w:hAnsiTheme="majorBidi" w:cstheme="majorBidi"/>
          <w:sz w:val="24"/>
          <w:szCs w:val="24"/>
          <w:shd w:val="clear" w:color="auto" w:fill="FFFFFF"/>
        </w:rPr>
        <w:t>, </w:t>
      </w:r>
      <w:r w:rsidRPr="00E50CF4">
        <w:rPr>
          <w:rFonts w:asciiTheme="majorBidi" w:hAnsiTheme="majorBidi" w:cstheme="majorBidi"/>
          <w:i/>
          <w:iCs/>
          <w:sz w:val="24"/>
          <w:szCs w:val="24"/>
          <w:shd w:val="clear" w:color="auto" w:fill="FFFFFF"/>
        </w:rPr>
        <w:t>50</w:t>
      </w:r>
      <w:r w:rsidRPr="00E50CF4">
        <w:rPr>
          <w:rFonts w:asciiTheme="majorBidi" w:hAnsiTheme="majorBidi" w:cstheme="majorBidi"/>
          <w:sz w:val="24"/>
          <w:szCs w:val="24"/>
          <w:shd w:val="clear" w:color="auto" w:fill="FFFFFF"/>
        </w:rPr>
        <w:t>(1), 288-296.</w:t>
      </w:r>
    </w:p>
    <w:p w14:paraId="64156D6A"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C74ECE">
        <w:rPr>
          <w:rFonts w:asciiTheme="majorBidi" w:hAnsiTheme="majorBidi" w:cstheme="majorBidi"/>
          <w:sz w:val="24"/>
          <w:szCs w:val="24"/>
          <w:shd w:val="clear" w:color="auto" w:fill="FFFFFF"/>
          <w:lang w:val="en-US"/>
        </w:rPr>
        <w:t xml:space="preserve">Casella, B., Bolwijn, R., Moran, D., &amp; Kanemoto, K. (2019). </w:t>
      </w:r>
      <w:r w:rsidRPr="002E1D57">
        <w:rPr>
          <w:rFonts w:asciiTheme="majorBidi" w:hAnsiTheme="majorBidi" w:cstheme="majorBidi"/>
          <w:sz w:val="24"/>
          <w:szCs w:val="24"/>
          <w:shd w:val="clear" w:color="auto" w:fill="FFFFFF"/>
        </w:rPr>
        <w:t>Improving the analysis of global value chains: the UNCTAD-Eora Database. </w:t>
      </w:r>
      <w:r w:rsidRPr="002E1D57">
        <w:rPr>
          <w:rFonts w:asciiTheme="majorBidi" w:hAnsiTheme="majorBidi" w:cstheme="majorBidi"/>
          <w:i/>
          <w:iCs/>
          <w:sz w:val="24"/>
          <w:szCs w:val="24"/>
          <w:shd w:val="clear" w:color="auto" w:fill="FFFFFF"/>
        </w:rPr>
        <w:t>Transnational Corporations</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26</w:t>
      </w:r>
      <w:r w:rsidRPr="002E1D57">
        <w:rPr>
          <w:rFonts w:asciiTheme="majorBidi" w:hAnsiTheme="majorBidi" w:cstheme="majorBidi"/>
          <w:sz w:val="24"/>
          <w:szCs w:val="24"/>
          <w:shd w:val="clear" w:color="auto" w:fill="FFFFFF"/>
        </w:rPr>
        <w:t>(3), 115-142.</w:t>
      </w:r>
    </w:p>
    <w:p w14:paraId="251370C6"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lastRenderedPageBreak/>
        <w:t>Casella, Bruno, Richard Bolwijn, Daniel Moran and Keiichiro Kanemoto (2019), “</w:t>
      </w:r>
      <w:hyperlink r:id="rId31" w:history="1">
        <w:r w:rsidRPr="002E1D57">
          <w:rPr>
            <w:rStyle w:val="Hyperlink"/>
            <w:rFonts w:asciiTheme="majorBidi" w:hAnsiTheme="majorBidi" w:cstheme="majorBidi"/>
            <w:sz w:val="24"/>
            <w:szCs w:val="24"/>
          </w:rPr>
          <w:t>Improving the analysis of global value chains: the UNCTAD-Eora Database</w:t>
        </w:r>
      </w:hyperlink>
      <w:r w:rsidRPr="002E1D57">
        <w:rPr>
          <w:rFonts w:asciiTheme="majorBidi" w:hAnsiTheme="majorBidi" w:cstheme="majorBidi"/>
          <w:sz w:val="24"/>
          <w:szCs w:val="24"/>
        </w:rPr>
        <w:t xml:space="preserve">”, </w:t>
      </w:r>
    </w:p>
    <w:p w14:paraId="75DA19AB"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de Melo, Jaime and Anna Twum (2021), “</w:t>
      </w:r>
      <w:hyperlink r:id="rId32" w:history="1">
        <w:r w:rsidRPr="002E1D57">
          <w:rPr>
            <w:rStyle w:val="Hyperlink"/>
            <w:rFonts w:asciiTheme="majorBidi" w:hAnsiTheme="majorBidi" w:cstheme="majorBidi"/>
            <w:sz w:val="24"/>
            <w:szCs w:val="24"/>
          </w:rPr>
          <w:t>Prospects and Challenges for Supply Chain Trade under the Africa Continental Free Trade Area</w:t>
        </w:r>
      </w:hyperlink>
      <w:r w:rsidRPr="002E1D57">
        <w:rPr>
          <w:rFonts w:asciiTheme="majorBidi" w:hAnsiTheme="majorBidi" w:cstheme="majorBidi"/>
          <w:sz w:val="24"/>
          <w:szCs w:val="24"/>
        </w:rPr>
        <w:t>”, Journal of African Trade,  Special Is</w:t>
      </w:r>
      <w:r w:rsidRPr="002E1D57">
        <w:rPr>
          <w:rFonts w:asciiTheme="majorBidi" w:hAnsiTheme="majorBidi" w:cstheme="majorBidi"/>
          <w:sz w:val="24"/>
          <w:szCs w:val="24"/>
        </w:rPr>
        <w:lastRenderedPageBreak/>
        <w:t xml:space="preserve">sue on Trade and the AfCFTA, January at: </w:t>
      </w:r>
      <w:hyperlink r:id="rId33" w:history="1">
        <w:r w:rsidRPr="002E1D57">
          <w:rPr>
            <w:rFonts w:asciiTheme="majorBidi" w:hAnsiTheme="majorBidi" w:cstheme="majorBidi"/>
            <w:sz w:val="24"/>
            <w:szCs w:val="24"/>
          </w:rPr>
          <w:t>https://dx.doi.org/10.2991/jat.k.210105.001</w:t>
        </w:r>
      </w:hyperlink>
    </w:p>
    <w:p w14:paraId="4B17A8BC" w14:textId="68E13DDF" w:rsidR="007E417D"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Dollar, D. Bilal Khan and Jiansuo (2019), “Should high domestic value added in exports be an objective of policy?” in WTO et. al (op.cit) pp. 141 -154</w:t>
      </w:r>
    </w:p>
    <w:p w14:paraId="240F7E69" w14:textId="34D74DB9" w:rsidR="00482DB6" w:rsidRPr="00482DB6" w:rsidRDefault="00482DB6" w:rsidP="00B5279B">
      <w:pPr>
        <w:spacing w:line="360" w:lineRule="auto"/>
        <w:ind w:left="720" w:hanging="720"/>
        <w:jc w:val="both"/>
        <w:rPr>
          <w:rFonts w:asciiTheme="majorBidi" w:hAnsiTheme="majorBidi" w:cstheme="majorBidi"/>
          <w:sz w:val="24"/>
          <w:szCs w:val="24"/>
        </w:rPr>
      </w:pPr>
      <w:r w:rsidRPr="00482DB6">
        <w:rPr>
          <w:rFonts w:asciiTheme="majorBidi" w:hAnsiTheme="majorBidi" w:cstheme="majorBidi"/>
          <w:color w:val="222222"/>
          <w:sz w:val="24"/>
          <w:szCs w:val="24"/>
          <w:shd w:val="clear" w:color="auto" w:fill="FFFFFF"/>
        </w:rPr>
        <w:t>Durongkaveroj, W. (2021). </w:t>
      </w:r>
      <w:r w:rsidRPr="00482DB6">
        <w:rPr>
          <w:rFonts w:asciiTheme="majorBidi" w:hAnsiTheme="majorBidi" w:cstheme="majorBidi"/>
          <w:i/>
          <w:iCs/>
          <w:color w:val="222222"/>
          <w:sz w:val="24"/>
          <w:szCs w:val="24"/>
          <w:shd w:val="clear" w:color="auto" w:fill="FFFFFF"/>
        </w:rPr>
        <w:t>Employment effects of joining global production networks: Does domestic value added matter?</w:t>
      </w:r>
      <w:r w:rsidRPr="00482DB6">
        <w:rPr>
          <w:rFonts w:asciiTheme="majorBidi" w:hAnsiTheme="majorBidi" w:cstheme="majorBidi"/>
          <w:color w:val="222222"/>
          <w:sz w:val="24"/>
          <w:szCs w:val="24"/>
          <w:shd w:val="clear" w:color="auto" w:fill="FFFFFF"/>
        </w:rPr>
        <w:t> (No. 2021/64). WIDER Working Paper.</w:t>
      </w:r>
    </w:p>
    <w:p w14:paraId="65B118A0" w14:textId="77777777" w:rsidR="007E417D" w:rsidRPr="002E1D57" w:rsidRDefault="007E417D" w:rsidP="00D55331">
      <w:pPr>
        <w:spacing w:line="360" w:lineRule="auto"/>
        <w:ind w:left="720" w:hanging="720"/>
        <w:jc w:val="both"/>
        <w:rPr>
          <w:rFonts w:asciiTheme="majorBidi" w:hAnsiTheme="majorBidi" w:cstheme="majorBidi"/>
          <w:color w:val="222222"/>
          <w:sz w:val="24"/>
          <w:szCs w:val="24"/>
          <w:shd w:val="clear" w:color="auto" w:fill="FFFFFF"/>
        </w:rPr>
      </w:pPr>
      <w:r w:rsidRPr="002E1D57">
        <w:rPr>
          <w:rFonts w:asciiTheme="majorBidi" w:hAnsiTheme="majorBidi" w:cstheme="majorBidi"/>
          <w:color w:val="222222"/>
          <w:sz w:val="24"/>
          <w:szCs w:val="24"/>
          <w:shd w:val="clear" w:color="auto" w:fill="FFFFFF"/>
        </w:rPr>
        <w:t>Fernandes, A. M., Kee, H. L., &amp; Winkler, D. E. (2020). Determinants of Global Value Chain Participation: Cross-Country Evidence. </w:t>
      </w:r>
      <w:r w:rsidRPr="002E1D57">
        <w:rPr>
          <w:rFonts w:asciiTheme="majorBidi" w:hAnsiTheme="majorBidi" w:cstheme="majorBidi"/>
          <w:i/>
          <w:iCs/>
          <w:color w:val="222222"/>
          <w:sz w:val="24"/>
          <w:szCs w:val="24"/>
          <w:shd w:val="clear" w:color="auto" w:fill="FFFFFF"/>
        </w:rPr>
        <w:t>World Bank Policy Research Working Paper</w:t>
      </w:r>
      <w:r w:rsidRPr="002E1D57">
        <w:rPr>
          <w:rFonts w:asciiTheme="majorBidi" w:hAnsiTheme="majorBidi" w:cstheme="majorBidi"/>
          <w:color w:val="222222"/>
          <w:sz w:val="24"/>
          <w:szCs w:val="24"/>
          <w:shd w:val="clear" w:color="auto" w:fill="FFFFFF"/>
        </w:rPr>
        <w:t>, (9197).</w:t>
      </w:r>
    </w:p>
    <w:p w14:paraId="560A9448"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Gabriele, A. (2006). Exports of services, exports of goods, and economic growth in developing countries. </w:t>
      </w:r>
      <w:r w:rsidRPr="002E1D57">
        <w:rPr>
          <w:rFonts w:asciiTheme="majorBidi" w:hAnsiTheme="majorBidi" w:cstheme="majorBidi"/>
          <w:i/>
          <w:iCs/>
          <w:sz w:val="24"/>
          <w:szCs w:val="24"/>
          <w:shd w:val="clear" w:color="auto" w:fill="FFFFFF"/>
        </w:rPr>
        <w:t>Journal of Economic Integration</w:t>
      </w:r>
      <w:r w:rsidRPr="002E1D57">
        <w:rPr>
          <w:rFonts w:asciiTheme="majorBidi" w:hAnsiTheme="majorBidi" w:cstheme="majorBidi"/>
          <w:sz w:val="24"/>
          <w:szCs w:val="24"/>
          <w:shd w:val="clear" w:color="auto" w:fill="FFFFFF"/>
        </w:rPr>
        <w:t>, 294-317.</w:t>
      </w:r>
    </w:p>
    <w:p w14:paraId="6EE7660B"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 xml:space="preserve">Gibbon, Peter and Stefano Ponte (2005), ‘Trading Down - Africa, value chains and the Global Economy’, Temple University Press, Philadelphia. </w:t>
      </w:r>
    </w:p>
    <w:p w14:paraId="3E42B6AC" w14:textId="77777777" w:rsidR="007E417D" w:rsidRPr="00835400" w:rsidRDefault="007E417D" w:rsidP="00835400">
      <w:pPr>
        <w:spacing w:line="360" w:lineRule="auto"/>
        <w:ind w:left="720" w:hanging="720"/>
        <w:jc w:val="both"/>
        <w:rPr>
          <w:rFonts w:asciiTheme="majorBidi" w:hAnsiTheme="majorBidi" w:cstheme="majorBidi"/>
          <w:sz w:val="24"/>
          <w:szCs w:val="24"/>
          <w:shd w:val="clear" w:color="auto" w:fill="FFFFFF"/>
        </w:rPr>
      </w:pPr>
      <w:r w:rsidRPr="00835400">
        <w:rPr>
          <w:rFonts w:asciiTheme="majorBidi" w:hAnsiTheme="majorBidi" w:cstheme="majorBidi"/>
          <w:sz w:val="24"/>
          <w:szCs w:val="24"/>
          <w:shd w:val="clear" w:color="auto" w:fill="FFFFFF"/>
        </w:rPr>
        <w:t>Halpern, L., Koren, M., &amp; Szeidl, A. (2015). Imported inputs and productivity. </w:t>
      </w:r>
      <w:r w:rsidRPr="00835400">
        <w:rPr>
          <w:rFonts w:asciiTheme="majorBidi" w:hAnsiTheme="majorBidi" w:cstheme="majorBidi"/>
          <w:i/>
          <w:iCs/>
          <w:sz w:val="24"/>
          <w:szCs w:val="24"/>
          <w:shd w:val="clear" w:color="auto" w:fill="FFFFFF"/>
        </w:rPr>
        <w:t>American Economic Review</w:t>
      </w:r>
      <w:r w:rsidRPr="00835400">
        <w:rPr>
          <w:rFonts w:asciiTheme="majorBidi" w:hAnsiTheme="majorBidi" w:cstheme="majorBidi"/>
          <w:sz w:val="24"/>
          <w:szCs w:val="24"/>
          <w:shd w:val="clear" w:color="auto" w:fill="FFFFFF"/>
        </w:rPr>
        <w:t>, </w:t>
      </w:r>
      <w:r w:rsidRPr="00835400">
        <w:rPr>
          <w:rFonts w:asciiTheme="majorBidi" w:hAnsiTheme="majorBidi" w:cstheme="majorBidi"/>
          <w:i/>
          <w:iCs/>
          <w:sz w:val="24"/>
          <w:szCs w:val="24"/>
          <w:shd w:val="clear" w:color="auto" w:fill="FFFFFF"/>
        </w:rPr>
        <w:t>105</w:t>
      </w:r>
      <w:r w:rsidRPr="00835400">
        <w:rPr>
          <w:rFonts w:asciiTheme="majorBidi" w:hAnsiTheme="majorBidi" w:cstheme="majorBidi"/>
          <w:sz w:val="24"/>
          <w:szCs w:val="24"/>
          <w:shd w:val="clear" w:color="auto" w:fill="FFFFFF"/>
        </w:rPr>
        <w:t>(12), 3660-3703.</w:t>
      </w:r>
    </w:p>
    <w:p w14:paraId="2066B5EF"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Johnson, R. C. (2014). Five facts about value-added exports and implications for macroeconomics and trade research. </w:t>
      </w:r>
      <w:r w:rsidRPr="002E1D57">
        <w:rPr>
          <w:rFonts w:asciiTheme="majorBidi" w:hAnsiTheme="majorBidi" w:cstheme="majorBidi"/>
          <w:i/>
          <w:iCs/>
          <w:sz w:val="24"/>
          <w:szCs w:val="24"/>
          <w:shd w:val="clear" w:color="auto" w:fill="FFFFFF"/>
        </w:rPr>
        <w:t>Journal of Economic Perspectives</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28</w:t>
      </w:r>
      <w:r w:rsidRPr="002E1D57">
        <w:rPr>
          <w:rFonts w:asciiTheme="majorBidi" w:hAnsiTheme="majorBidi" w:cstheme="majorBidi"/>
          <w:sz w:val="24"/>
          <w:szCs w:val="24"/>
          <w:shd w:val="clear" w:color="auto" w:fill="FFFFFF"/>
        </w:rPr>
        <w:t>(2), 119-42.</w:t>
      </w:r>
    </w:p>
    <w:p w14:paraId="1F5E5650" w14:textId="77777777" w:rsidR="007E417D" w:rsidRPr="002E1D57" w:rsidRDefault="007E417D" w:rsidP="00B5279B">
      <w:pPr>
        <w:spacing w:line="360" w:lineRule="auto"/>
        <w:ind w:left="720" w:hanging="720"/>
        <w:jc w:val="both"/>
        <w:rPr>
          <w:rFonts w:asciiTheme="majorBidi" w:hAnsiTheme="majorBidi" w:cstheme="majorBidi"/>
          <w:color w:val="222222"/>
          <w:sz w:val="24"/>
          <w:szCs w:val="24"/>
          <w:shd w:val="clear" w:color="auto" w:fill="FFFFFF"/>
        </w:rPr>
      </w:pPr>
      <w:r w:rsidRPr="00C74ECE">
        <w:rPr>
          <w:rFonts w:asciiTheme="majorBidi" w:hAnsiTheme="majorBidi" w:cstheme="majorBidi"/>
          <w:color w:val="222222"/>
          <w:sz w:val="24"/>
          <w:szCs w:val="24"/>
          <w:shd w:val="clear" w:color="auto" w:fill="FFFFFF"/>
          <w:lang w:val="en-US"/>
        </w:rPr>
        <w:t xml:space="preserve">Johnson, R. C., &amp; Noguera, G. (2012a). </w:t>
      </w:r>
      <w:r w:rsidRPr="002E1D57">
        <w:rPr>
          <w:rFonts w:asciiTheme="majorBidi" w:hAnsiTheme="majorBidi" w:cstheme="majorBidi"/>
          <w:color w:val="222222"/>
          <w:sz w:val="24"/>
          <w:szCs w:val="24"/>
          <w:shd w:val="clear" w:color="auto" w:fill="FFFFFF"/>
        </w:rPr>
        <w:t>Accounting for intermediates: Production sharing and trade in value added. </w:t>
      </w:r>
      <w:r w:rsidRPr="002E1D57">
        <w:rPr>
          <w:rFonts w:asciiTheme="majorBidi" w:hAnsiTheme="majorBidi" w:cstheme="majorBidi"/>
          <w:i/>
          <w:iCs/>
          <w:color w:val="222222"/>
          <w:sz w:val="24"/>
          <w:szCs w:val="24"/>
          <w:shd w:val="clear" w:color="auto" w:fill="FFFFFF"/>
        </w:rPr>
        <w:t>Journal of international Economics</w:t>
      </w:r>
      <w:r w:rsidRPr="002E1D57">
        <w:rPr>
          <w:rFonts w:asciiTheme="majorBidi" w:hAnsiTheme="majorBidi" w:cstheme="majorBidi"/>
          <w:color w:val="222222"/>
          <w:sz w:val="24"/>
          <w:szCs w:val="24"/>
          <w:shd w:val="clear" w:color="auto" w:fill="FFFFFF"/>
        </w:rPr>
        <w:t>, </w:t>
      </w:r>
      <w:r w:rsidRPr="002E1D57">
        <w:rPr>
          <w:rFonts w:asciiTheme="majorBidi" w:hAnsiTheme="majorBidi" w:cstheme="majorBidi"/>
          <w:i/>
          <w:iCs/>
          <w:color w:val="222222"/>
          <w:sz w:val="24"/>
          <w:szCs w:val="24"/>
          <w:shd w:val="clear" w:color="auto" w:fill="FFFFFF"/>
        </w:rPr>
        <w:t>86</w:t>
      </w:r>
      <w:r w:rsidRPr="002E1D57">
        <w:rPr>
          <w:rFonts w:asciiTheme="majorBidi" w:hAnsiTheme="majorBidi" w:cstheme="majorBidi"/>
          <w:color w:val="222222"/>
          <w:sz w:val="24"/>
          <w:szCs w:val="24"/>
          <w:shd w:val="clear" w:color="auto" w:fill="FFFFFF"/>
        </w:rPr>
        <w:t>(2), 224-236.</w:t>
      </w:r>
    </w:p>
    <w:p w14:paraId="0121EF4B" w14:textId="77777777" w:rsidR="007E417D" w:rsidRPr="002E1D57" w:rsidRDefault="007E417D" w:rsidP="00D55331">
      <w:pPr>
        <w:spacing w:line="360" w:lineRule="auto"/>
        <w:ind w:left="720" w:hanging="720"/>
        <w:jc w:val="both"/>
        <w:rPr>
          <w:rFonts w:asciiTheme="majorBidi" w:hAnsiTheme="majorBidi" w:cstheme="majorBidi"/>
          <w:color w:val="222222"/>
          <w:sz w:val="24"/>
          <w:szCs w:val="24"/>
          <w:shd w:val="clear" w:color="auto" w:fill="FFFFFF"/>
        </w:rPr>
      </w:pPr>
      <w:r w:rsidRPr="002E1D57">
        <w:rPr>
          <w:rFonts w:asciiTheme="majorBidi" w:hAnsiTheme="majorBidi" w:cstheme="majorBidi"/>
          <w:color w:val="222222"/>
          <w:sz w:val="24"/>
          <w:szCs w:val="24"/>
          <w:shd w:val="clear" w:color="auto" w:fill="FFFFFF"/>
        </w:rPr>
        <w:t>Kee, H. L., &amp; Tang, H. (2016). Domestic value added in exports: Theory and firm evidence from China. </w:t>
      </w:r>
      <w:r w:rsidRPr="002E1D57">
        <w:rPr>
          <w:rFonts w:asciiTheme="majorBidi" w:hAnsiTheme="majorBidi" w:cstheme="majorBidi"/>
          <w:i/>
          <w:iCs/>
          <w:color w:val="222222"/>
          <w:sz w:val="24"/>
          <w:szCs w:val="24"/>
          <w:shd w:val="clear" w:color="auto" w:fill="FFFFFF"/>
        </w:rPr>
        <w:t>American Economic Review</w:t>
      </w:r>
      <w:r w:rsidRPr="002E1D57">
        <w:rPr>
          <w:rFonts w:asciiTheme="majorBidi" w:hAnsiTheme="majorBidi" w:cstheme="majorBidi"/>
          <w:color w:val="222222"/>
          <w:sz w:val="24"/>
          <w:szCs w:val="24"/>
          <w:shd w:val="clear" w:color="auto" w:fill="FFFFFF"/>
        </w:rPr>
        <w:t>, </w:t>
      </w:r>
      <w:r w:rsidRPr="002E1D57">
        <w:rPr>
          <w:rFonts w:asciiTheme="majorBidi" w:hAnsiTheme="majorBidi" w:cstheme="majorBidi"/>
          <w:i/>
          <w:iCs/>
          <w:color w:val="222222"/>
          <w:sz w:val="24"/>
          <w:szCs w:val="24"/>
          <w:shd w:val="clear" w:color="auto" w:fill="FFFFFF"/>
        </w:rPr>
        <w:t>106</w:t>
      </w:r>
      <w:r w:rsidRPr="002E1D57">
        <w:rPr>
          <w:rFonts w:asciiTheme="majorBidi" w:hAnsiTheme="majorBidi" w:cstheme="majorBidi"/>
          <w:color w:val="222222"/>
          <w:sz w:val="24"/>
          <w:szCs w:val="24"/>
          <w:shd w:val="clear" w:color="auto" w:fill="FFFFFF"/>
        </w:rPr>
        <w:t>(6), 1402-36.</w:t>
      </w:r>
    </w:p>
    <w:p w14:paraId="0DE5B484" w14:textId="77777777" w:rsidR="007E417D" w:rsidRPr="00487657" w:rsidRDefault="007E417D" w:rsidP="00D55331">
      <w:pPr>
        <w:spacing w:line="360" w:lineRule="auto"/>
        <w:ind w:left="720" w:hanging="720"/>
        <w:jc w:val="both"/>
        <w:rPr>
          <w:rFonts w:asciiTheme="majorBidi" w:hAnsiTheme="majorBidi" w:cstheme="majorBidi"/>
          <w:sz w:val="24"/>
          <w:szCs w:val="24"/>
          <w:shd w:val="clear" w:color="auto" w:fill="FFFFFF"/>
        </w:rPr>
      </w:pPr>
      <w:r w:rsidRPr="00487657">
        <w:rPr>
          <w:rFonts w:asciiTheme="majorBidi" w:hAnsiTheme="majorBidi" w:cstheme="majorBidi"/>
          <w:color w:val="222222"/>
          <w:sz w:val="24"/>
          <w:szCs w:val="24"/>
          <w:shd w:val="clear" w:color="auto" w:fill="FFFFFF"/>
        </w:rPr>
        <w:t>Kee, H. L., &amp; Tang, H. (2016). Domestic value added in exports: Theory and firm evidence from China. </w:t>
      </w:r>
      <w:r w:rsidRPr="00487657">
        <w:rPr>
          <w:rFonts w:asciiTheme="majorBidi" w:hAnsiTheme="majorBidi" w:cstheme="majorBidi"/>
          <w:i/>
          <w:iCs/>
          <w:color w:val="222222"/>
          <w:sz w:val="24"/>
          <w:szCs w:val="24"/>
          <w:shd w:val="clear" w:color="auto" w:fill="FFFFFF"/>
        </w:rPr>
        <w:t>American Economic Review</w:t>
      </w:r>
      <w:r w:rsidRPr="00487657">
        <w:rPr>
          <w:rFonts w:asciiTheme="majorBidi" w:hAnsiTheme="majorBidi" w:cstheme="majorBidi"/>
          <w:color w:val="222222"/>
          <w:sz w:val="24"/>
          <w:szCs w:val="24"/>
          <w:shd w:val="clear" w:color="auto" w:fill="FFFFFF"/>
        </w:rPr>
        <w:t>, </w:t>
      </w:r>
      <w:r w:rsidRPr="00487657">
        <w:rPr>
          <w:rFonts w:asciiTheme="majorBidi" w:hAnsiTheme="majorBidi" w:cstheme="majorBidi"/>
          <w:i/>
          <w:iCs/>
          <w:color w:val="222222"/>
          <w:sz w:val="24"/>
          <w:szCs w:val="24"/>
          <w:shd w:val="clear" w:color="auto" w:fill="FFFFFF"/>
        </w:rPr>
        <w:t>106</w:t>
      </w:r>
      <w:r w:rsidRPr="00487657">
        <w:rPr>
          <w:rFonts w:asciiTheme="majorBidi" w:hAnsiTheme="majorBidi" w:cstheme="majorBidi"/>
          <w:color w:val="222222"/>
          <w:sz w:val="24"/>
          <w:szCs w:val="24"/>
          <w:shd w:val="clear" w:color="auto" w:fill="FFFFFF"/>
        </w:rPr>
        <w:t>(6), 1402-36.</w:t>
      </w:r>
    </w:p>
    <w:p w14:paraId="404ADC22" w14:textId="77777777" w:rsidR="007E417D" w:rsidRPr="00704ABA" w:rsidRDefault="007E417D" w:rsidP="00704ABA">
      <w:pPr>
        <w:spacing w:line="360" w:lineRule="auto"/>
        <w:ind w:left="720" w:hanging="720"/>
        <w:jc w:val="both"/>
        <w:rPr>
          <w:rFonts w:asciiTheme="majorBidi" w:hAnsiTheme="majorBidi" w:cstheme="majorBidi"/>
          <w:sz w:val="24"/>
          <w:szCs w:val="24"/>
          <w:shd w:val="clear" w:color="auto" w:fill="FFFFFF"/>
        </w:rPr>
      </w:pPr>
      <w:r w:rsidRPr="00C74ECE">
        <w:rPr>
          <w:rFonts w:asciiTheme="majorBidi" w:hAnsiTheme="majorBidi" w:cstheme="majorBidi"/>
          <w:sz w:val="24"/>
          <w:szCs w:val="24"/>
          <w:shd w:val="clear" w:color="auto" w:fill="FFFFFF"/>
          <w:lang w:val="en-US"/>
        </w:rPr>
        <w:t xml:space="preserve">Kowalski, P., Gonzalez, J. L., Ragoussis, A., &amp; Ugarte, C. (2015). </w:t>
      </w:r>
      <w:r w:rsidRPr="00704ABA">
        <w:rPr>
          <w:rFonts w:asciiTheme="majorBidi" w:hAnsiTheme="majorBidi" w:cstheme="majorBidi"/>
          <w:sz w:val="24"/>
          <w:szCs w:val="24"/>
          <w:shd w:val="clear" w:color="auto" w:fill="FFFFFF"/>
        </w:rPr>
        <w:t>Participation of developing countries in global value chains: Implications for trade and trade-related policies.</w:t>
      </w:r>
    </w:p>
    <w:p w14:paraId="12EBE1D4"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lastRenderedPageBreak/>
        <w:t>Lenzen, M., Moran, D., Kanemoto, K., &amp; Geschke, A. (2013). Building Eora: a global multi-region input–output database at high country and sector resolution. </w:t>
      </w:r>
      <w:r w:rsidRPr="002E1D57">
        <w:rPr>
          <w:rFonts w:asciiTheme="majorBidi" w:hAnsiTheme="majorBidi" w:cstheme="majorBidi"/>
          <w:i/>
          <w:iCs/>
          <w:sz w:val="24"/>
          <w:szCs w:val="24"/>
          <w:shd w:val="clear" w:color="auto" w:fill="FFFFFF"/>
        </w:rPr>
        <w:t>Economic S</w:t>
      </w:r>
      <w:r w:rsidRPr="002E1D57">
        <w:rPr>
          <w:rFonts w:asciiTheme="majorBidi" w:hAnsiTheme="majorBidi" w:cstheme="majorBidi"/>
          <w:i/>
          <w:iCs/>
          <w:sz w:val="24"/>
          <w:szCs w:val="24"/>
          <w:shd w:val="clear" w:color="auto" w:fill="FFFFFF"/>
        </w:rPr>
        <w:lastRenderedPageBreak/>
        <w:t>ystems Research</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25</w:t>
      </w:r>
      <w:r w:rsidRPr="002E1D57">
        <w:rPr>
          <w:rFonts w:asciiTheme="majorBidi" w:hAnsiTheme="majorBidi" w:cstheme="majorBidi"/>
          <w:sz w:val="24"/>
          <w:szCs w:val="24"/>
          <w:shd w:val="clear" w:color="auto" w:fill="FFFFFF"/>
        </w:rPr>
        <w:t>(1), 20-49.’</w:t>
      </w:r>
    </w:p>
    <w:p w14:paraId="7E433929" w14:textId="77777777" w:rsidR="007E417D" w:rsidRPr="002E1D57" w:rsidRDefault="007E417D" w:rsidP="00B0313A">
      <w:pPr>
        <w:spacing w:line="360" w:lineRule="auto"/>
        <w:ind w:left="720" w:hanging="720"/>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Lopez Gonzalez, J. (2016). </w:t>
      </w:r>
      <w:r w:rsidRPr="002E1D57">
        <w:rPr>
          <w:rFonts w:asciiTheme="majorBidi" w:hAnsiTheme="majorBidi" w:cstheme="majorBidi"/>
          <w:i/>
          <w:iCs/>
          <w:sz w:val="24"/>
          <w:szCs w:val="24"/>
          <w:shd w:val="clear" w:color="auto" w:fill="FFFFFF"/>
        </w:rPr>
        <w:t>Using foreign factors to enhance domestic export performance: A focus on Southeast Asia</w:t>
      </w:r>
      <w:r w:rsidRPr="002E1D57">
        <w:rPr>
          <w:rFonts w:asciiTheme="majorBidi" w:hAnsiTheme="majorBidi" w:cstheme="majorBidi"/>
          <w:sz w:val="24"/>
          <w:szCs w:val="24"/>
          <w:shd w:val="clear" w:color="auto" w:fill="FFFFFF"/>
        </w:rPr>
        <w:t> (No. 191). OECD Publishing.</w:t>
      </w:r>
    </w:p>
    <w:p w14:paraId="73F4CE1B"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Njike, A. (2021). Are African exports that weak? A trade in value added approach. </w:t>
      </w:r>
      <w:r w:rsidRPr="002E1D57">
        <w:rPr>
          <w:rFonts w:asciiTheme="majorBidi" w:hAnsiTheme="majorBidi" w:cstheme="majorBidi"/>
          <w:i/>
          <w:iCs/>
          <w:sz w:val="24"/>
          <w:szCs w:val="24"/>
          <w:shd w:val="clear" w:color="auto" w:fill="FFFFFF"/>
        </w:rPr>
        <w:t>The World Economy</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44</w:t>
      </w:r>
      <w:r w:rsidRPr="002E1D57">
        <w:rPr>
          <w:rFonts w:asciiTheme="majorBidi" w:hAnsiTheme="majorBidi" w:cstheme="majorBidi"/>
          <w:sz w:val="24"/>
          <w:szCs w:val="24"/>
          <w:shd w:val="clear" w:color="auto" w:fill="FFFFFF"/>
        </w:rPr>
        <w:t>(3), 733-755.</w:t>
      </w:r>
    </w:p>
    <w:p w14:paraId="1193D786" w14:textId="77777777" w:rsidR="007E417D" w:rsidRPr="006224DE" w:rsidRDefault="007E417D" w:rsidP="006224DE">
      <w:pPr>
        <w:spacing w:line="360" w:lineRule="auto"/>
        <w:ind w:left="720" w:hanging="720"/>
        <w:jc w:val="both"/>
        <w:rPr>
          <w:rFonts w:asciiTheme="majorBidi" w:hAnsiTheme="majorBidi" w:cstheme="majorBidi"/>
          <w:sz w:val="32"/>
          <w:szCs w:val="32"/>
          <w:shd w:val="clear" w:color="auto" w:fill="FFFFFF"/>
        </w:rPr>
      </w:pPr>
      <w:r w:rsidRPr="006224DE">
        <w:rPr>
          <w:rFonts w:asciiTheme="majorBidi" w:hAnsiTheme="majorBidi" w:cstheme="majorBidi"/>
          <w:color w:val="222222"/>
          <w:sz w:val="24"/>
          <w:szCs w:val="24"/>
          <w:shd w:val="clear" w:color="auto" w:fill="FFFFFF"/>
        </w:rPr>
        <w:t>Nunn, N., &amp; Trefler, D. (2014). Domestic institutions as a source of comparative advantage. </w:t>
      </w:r>
      <w:r w:rsidRPr="006224DE">
        <w:rPr>
          <w:rFonts w:asciiTheme="majorBidi" w:hAnsiTheme="majorBidi" w:cstheme="majorBidi"/>
          <w:i/>
          <w:iCs/>
          <w:color w:val="222222"/>
          <w:sz w:val="24"/>
          <w:szCs w:val="24"/>
          <w:shd w:val="clear" w:color="auto" w:fill="FFFFFF"/>
        </w:rPr>
        <w:t>Handbook of international economics</w:t>
      </w:r>
      <w:r w:rsidRPr="006224DE">
        <w:rPr>
          <w:rFonts w:asciiTheme="majorBidi" w:hAnsiTheme="majorBidi" w:cstheme="majorBidi"/>
          <w:color w:val="222222"/>
          <w:sz w:val="24"/>
          <w:szCs w:val="24"/>
          <w:shd w:val="clear" w:color="auto" w:fill="FFFFFF"/>
        </w:rPr>
        <w:t>, </w:t>
      </w:r>
      <w:r w:rsidRPr="006224DE">
        <w:rPr>
          <w:rFonts w:asciiTheme="majorBidi" w:hAnsiTheme="majorBidi" w:cstheme="majorBidi"/>
          <w:i/>
          <w:iCs/>
          <w:color w:val="222222"/>
          <w:sz w:val="24"/>
          <w:szCs w:val="24"/>
          <w:shd w:val="clear" w:color="auto" w:fill="FFFFFF"/>
        </w:rPr>
        <w:t>4</w:t>
      </w:r>
      <w:r w:rsidRPr="006224DE">
        <w:rPr>
          <w:rFonts w:asciiTheme="majorBidi" w:hAnsiTheme="majorBidi" w:cstheme="majorBidi"/>
          <w:color w:val="222222"/>
          <w:sz w:val="24"/>
          <w:szCs w:val="24"/>
          <w:shd w:val="clear" w:color="auto" w:fill="FFFFFF"/>
        </w:rPr>
        <w:t>, 263-315.</w:t>
      </w:r>
    </w:p>
    <w:p w14:paraId="6FBFF0F1"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OECD. (2018). ‘Trade in Value Added database’, oe.cd/tiva.</w:t>
      </w:r>
    </w:p>
    <w:p w14:paraId="318B2F69" w14:textId="77777777" w:rsidR="007E417D" w:rsidRPr="00CB4AA4" w:rsidRDefault="007E417D" w:rsidP="00704ABA">
      <w:pPr>
        <w:spacing w:line="360" w:lineRule="auto"/>
        <w:ind w:left="720" w:hanging="720"/>
        <w:jc w:val="both"/>
        <w:rPr>
          <w:rFonts w:asciiTheme="majorBidi" w:hAnsiTheme="majorBidi" w:cstheme="majorBidi"/>
          <w:sz w:val="32"/>
          <w:szCs w:val="32"/>
          <w:shd w:val="clear" w:color="auto" w:fill="FFFFFF"/>
        </w:rPr>
      </w:pPr>
      <w:r w:rsidRPr="00CB4AA4">
        <w:rPr>
          <w:rFonts w:asciiTheme="majorBidi" w:hAnsiTheme="majorBidi" w:cstheme="majorBidi"/>
          <w:sz w:val="24"/>
          <w:szCs w:val="24"/>
          <w:shd w:val="clear" w:color="auto" w:fill="FFFFFF"/>
        </w:rPr>
        <w:t>Olczyk, M., &amp; Kordalska, A. (2017). Gross exports versus value-added exports: determinants and policy implications for manufacturing sectors in selected CEE countries. </w:t>
      </w:r>
      <w:r w:rsidRPr="00CB4AA4">
        <w:rPr>
          <w:rFonts w:asciiTheme="majorBidi" w:hAnsiTheme="majorBidi" w:cstheme="majorBidi"/>
          <w:i/>
          <w:iCs/>
          <w:sz w:val="24"/>
          <w:szCs w:val="24"/>
          <w:shd w:val="clear" w:color="auto" w:fill="FFFFFF"/>
        </w:rPr>
        <w:t>Eastern European Economics</w:t>
      </w:r>
      <w:r w:rsidRPr="00CB4AA4">
        <w:rPr>
          <w:rFonts w:asciiTheme="majorBidi" w:hAnsiTheme="majorBidi" w:cstheme="majorBidi"/>
          <w:sz w:val="24"/>
          <w:szCs w:val="24"/>
          <w:shd w:val="clear" w:color="auto" w:fill="FFFFFF"/>
        </w:rPr>
        <w:t>, </w:t>
      </w:r>
      <w:r w:rsidRPr="00CB4AA4">
        <w:rPr>
          <w:rFonts w:asciiTheme="majorBidi" w:hAnsiTheme="majorBidi" w:cstheme="majorBidi"/>
          <w:i/>
          <w:iCs/>
          <w:sz w:val="24"/>
          <w:szCs w:val="24"/>
          <w:shd w:val="clear" w:color="auto" w:fill="FFFFFF"/>
        </w:rPr>
        <w:t>55</w:t>
      </w:r>
      <w:r w:rsidRPr="00CB4AA4">
        <w:rPr>
          <w:rFonts w:asciiTheme="majorBidi" w:hAnsiTheme="majorBidi" w:cstheme="majorBidi"/>
          <w:sz w:val="24"/>
          <w:szCs w:val="24"/>
          <w:shd w:val="clear" w:color="auto" w:fill="FFFFFF"/>
        </w:rPr>
        <w:t>(1), 91-109.</w:t>
      </w:r>
    </w:p>
    <w:p w14:paraId="43A68B50"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Pla-Barber J, Villar C, Narula R. (2021), “Governance of global value chains after the Covid-19 pandemic: A new wave of regionalization?” BRQ Business Research Quarterly. 2021;24(3):204-213. doi:10.1177/23409444211020761</w:t>
      </w:r>
    </w:p>
    <w:p w14:paraId="673B506E" w14:textId="77777777" w:rsidR="007E417D" w:rsidRPr="002E1D57" w:rsidRDefault="007E417D" w:rsidP="00B5279B">
      <w:pPr>
        <w:spacing w:line="360" w:lineRule="auto"/>
        <w:ind w:left="720" w:hanging="720"/>
        <w:jc w:val="both"/>
        <w:rPr>
          <w:rFonts w:asciiTheme="majorBidi" w:hAnsiTheme="majorBidi" w:cstheme="majorBidi"/>
          <w:i/>
          <w:iCs/>
          <w:color w:val="222222"/>
          <w:sz w:val="24"/>
          <w:szCs w:val="24"/>
          <w:shd w:val="clear" w:color="auto" w:fill="FFFFFF"/>
        </w:rPr>
      </w:pPr>
      <w:r w:rsidRPr="002E1D57">
        <w:rPr>
          <w:rFonts w:asciiTheme="majorBidi" w:hAnsiTheme="majorBidi" w:cstheme="majorBidi"/>
          <w:color w:val="222222"/>
          <w:sz w:val="24"/>
          <w:szCs w:val="24"/>
          <w:shd w:val="clear" w:color="auto" w:fill="FFFFFF"/>
        </w:rPr>
        <w:t>Ram, R. (1985). Exports and economic growth: Some additional evidence. </w:t>
      </w:r>
      <w:r w:rsidRPr="002E1D57">
        <w:rPr>
          <w:rFonts w:asciiTheme="majorBidi" w:hAnsiTheme="majorBidi" w:cstheme="majorBidi"/>
          <w:i/>
          <w:iCs/>
          <w:color w:val="222222"/>
          <w:sz w:val="24"/>
          <w:szCs w:val="24"/>
          <w:shd w:val="clear" w:color="auto" w:fill="FFFFFF"/>
        </w:rPr>
        <w:t>Economic Development and Cultural Change</w:t>
      </w:r>
      <w:r w:rsidRPr="002E1D57">
        <w:rPr>
          <w:rFonts w:asciiTheme="majorBidi" w:hAnsiTheme="majorBidi" w:cstheme="majorBidi"/>
          <w:color w:val="222222"/>
          <w:sz w:val="24"/>
          <w:szCs w:val="24"/>
          <w:shd w:val="clear" w:color="auto" w:fill="FFFFFF"/>
        </w:rPr>
        <w:t>, </w:t>
      </w:r>
      <w:r w:rsidRPr="002E1D57">
        <w:rPr>
          <w:rFonts w:asciiTheme="majorBidi" w:hAnsiTheme="majorBidi" w:cstheme="majorBidi"/>
          <w:i/>
          <w:iCs/>
          <w:color w:val="222222"/>
          <w:sz w:val="24"/>
          <w:szCs w:val="24"/>
          <w:shd w:val="clear" w:color="auto" w:fill="FFFFFF"/>
        </w:rPr>
        <w:t>33</w:t>
      </w:r>
      <w:r w:rsidRPr="002E1D57">
        <w:rPr>
          <w:rFonts w:asciiTheme="majorBidi" w:hAnsiTheme="majorBidi" w:cstheme="majorBidi"/>
          <w:color w:val="222222"/>
          <w:sz w:val="24"/>
          <w:szCs w:val="24"/>
          <w:shd w:val="clear" w:color="auto" w:fill="FFFFFF"/>
        </w:rPr>
        <w:t>(2), 415-425.</w:t>
      </w:r>
    </w:p>
    <w:p w14:paraId="69897A07"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 xml:space="preserve">Tang,Heiwai; Zeng,Zhihua; Zeufack,Albert (2021), </w:t>
      </w:r>
      <w:hyperlink r:id="rId34" w:history="1">
        <w:r w:rsidRPr="002E1D57">
          <w:rPr>
            <w:rStyle w:val="Hyperlink"/>
            <w:rFonts w:asciiTheme="majorBidi" w:hAnsiTheme="majorBidi" w:cstheme="majorBidi"/>
            <w:sz w:val="24"/>
            <w:szCs w:val="24"/>
          </w:rPr>
          <w:t>Assessing Asia : Sub-Saharan Africa Global Value Chain Linkages</w:t>
        </w:r>
      </w:hyperlink>
      <w:r w:rsidRPr="002E1D57">
        <w:rPr>
          <w:rFonts w:asciiTheme="majorBidi" w:hAnsiTheme="majorBidi" w:cstheme="majorBidi"/>
          <w:sz w:val="24"/>
          <w:szCs w:val="24"/>
        </w:rPr>
        <w:t xml:space="preserve">, Washington, D.C. : World Bank Group. </w:t>
      </w:r>
      <w:hyperlink r:id="rId35" w:history="1">
        <w:r w:rsidRPr="002E1D57">
          <w:rPr>
            <w:rStyle w:val="Hyperlink"/>
            <w:rFonts w:asciiTheme="majorBidi" w:hAnsiTheme="majorBidi" w:cstheme="majorBidi"/>
            <w:sz w:val="24"/>
            <w:szCs w:val="24"/>
          </w:rPr>
          <w:t>http://documents.worldbank.org/curated/en/564331623060653603/Assessing-Asia-Sub-Saharan-Africa-Global-Value-Chain-Linkages</w:t>
        </w:r>
      </w:hyperlink>
    </w:p>
    <w:p w14:paraId="5A1B583A" w14:textId="77777777" w:rsidR="007E417D" w:rsidRPr="002E1D57" w:rsidRDefault="007E417D" w:rsidP="00B5279B">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lang w:val="fr-FR"/>
        </w:rPr>
        <w:t xml:space="preserve">Timmer, M. P., Dietzenbacher, E., Los, B., Stehrer, R., &amp; De Vries, G. J. (2015). </w:t>
      </w:r>
      <w:r w:rsidRPr="002E1D57">
        <w:rPr>
          <w:rFonts w:asciiTheme="majorBidi" w:hAnsiTheme="majorBidi" w:cstheme="majorBidi"/>
          <w:sz w:val="24"/>
          <w:szCs w:val="24"/>
          <w:shd w:val="clear" w:color="auto" w:fill="FFFFFF"/>
        </w:rPr>
        <w:t>An illustrated user guide to the world input–output database: the case of global automotive production. </w:t>
      </w:r>
      <w:r w:rsidRPr="002E1D57">
        <w:rPr>
          <w:rFonts w:asciiTheme="majorBidi" w:hAnsiTheme="majorBidi" w:cstheme="majorBidi"/>
          <w:i/>
          <w:iCs/>
          <w:sz w:val="24"/>
          <w:szCs w:val="24"/>
          <w:shd w:val="clear" w:color="auto" w:fill="FFFFFF"/>
        </w:rPr>
        <w:t>Review of International Economics</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23</w:t>
      </w:r>
      <w:r w:rsidRPr="002E1D57">
        <w:rPr>
          <w:rFonts w:asciiTheme="majorBidi" w:hAnsiTheme="majorBidi" w:cstheme="majorBidi"/>
          <w:sz w:val="24"/>
          <w:szCs w:val="24"/>
          <w:shd w:val="clear" w:color="auto" w:fill="FFFFFF"/>
        </w:rPr>
        <w:t>(3), 575-605.</w:t>
      </w:r>
    </w:p>
    <w:p w14:paraId="6614824F" w14:textId="77777777" w:rsidR="007E417D" w:rsidRPr="002E1D57" w:rsidRDefault="007E417D" w:rsidP="00D55331">
      <w:pPr>
        <w:spacing w:line="360" w:lineRule="auto"/>
        <w:ind w:left="720" w:hanging="720"/>
        <w:jc w:val="both"/>
        <w:rPr>
          <w:rFonts w:asciiTheme="majorBidi" w:hAnsiTheme="majorBidi" w:cstheme="majorBidi"/>
          <w:sz w:val="24"/>
          <w:szCs w:val="24"/>
          <w:shd w:val="clear" w:color="auto" w:fill="FFFFFF"/>
        </w:rPr>
      </w:pPr>
      <w:r w:rsidRPr="00C74ECE">
        <w:rPr>
          <w:rFonts w:asciiTheme="majorBidi" w:hAnsiTheme="majorBidi" w:cstheme="majorBidi"/>
          <w:sz w:val="24"/>
          <w:szCs w:val="24"/>
          <w:shd w:val="clear" w:color="auto" w:fill="FFFFFF"/>
          <w:lang w:val="en-US"/>
        </w:rPr>
        <w:t xml:space="preserve">Timmer, M. P., Dietzenbacher, E., Los, B., Stehrer, R., &amp; De Vries, G. J. (2015). </w:t>
      </w:r>
      <w:r w:rsidRPr="002E1D57">
        <w:rPr>
          <w:rFonts w:asciiTheme="majorBidi" w:hAnsiTheme="majorBidi" w:cstheme="majorBidi"/>
          <w:sz w:val="24"/>
          <w:szCs w:val="24"/>
          <w:shd w:val="clear" w:color="auto" w:fill="FFFFFF"/>
        </w:rPr>
        <w:t>An illustrated user guide to the world input–output database: the case of global automotive production. </w:t>
      </w:r>
      <w:r w:rsidRPr="002E1D57">
        <w:rPr>
          <w:rFonts w:asciiTheme="majorBidi" w:hAnsiTheme="majorBidi" w:cstheme="majorBidi"/>
          <w:i/>
          <w:iCs/>
          <w:sz w:val="24"/>
          <w:szCs w:val="24"/>
          <w:shd w:val="clear" w:color="auto" w:fill="FFFFFF"/>
        </w:rPr>
        <w:t>Review of International Economics</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23</w:t>
      </w:r>
      <w:r w:rsidRPr="002E1D57">
        <w:rPr>
          <w:rFonts w:asciiTheme="majorBidi" w:hAnsiTheme="majorBidi" w:cstheme="majorBidi"/>
          <w:sz w:val="24"/>
          <w:szCs w:val="24"/>
          <w:shd w:val="clear" w:color="auto" w:fill="FFFFFF"/>
        </w:rPr>
        <w:t>(3), 575-605.</w:t>
      </w:r>
    </w:p>
    <w:p w14:paraId="3BD7F75A" w14:textId="77777777" w:rsidR="007E417D" w:rsidRPr="002E1D57" w:rsidRDefault="007E417D" w:rsidP="00B0313A">
      <w:pPr>
        <w:spacing w:line="360" w:lineRule="auto"/>
        <w:ind w:left="720" w:hanging="720"/>
        <w:jc w:val="both"/>
        <w:rPr>
          <w:rFonts w:asciiTheme="majorBidi" w:hAnsiTheme="majorBidi" w:cstheme="majorBidi"/>
          <w:color w:val="222222"/>
          <w:sz w:val="24"/>
          <w:szCs w:val="24"/>
          <w:shd w:val="clear" w:color="auto" w:fill="FFFFFF"/>
        </w:rPr>
      </w:pPr>
      <w:r w:rsidRPr="00C74ECE">
        <w:rPr>
          <w:rFonts w:asciiTheme="majorBidi" w:hAnsiTheme="majorBidi" w:cstheme="majorBidi"/>
          <w:color w:val="222222"/>
          <w:sz w:val="24"/>
          <w:szCs w:val="24"/>
          <w:shd w:val="clear" w:color="auto" w:fill="FFFFFF"/>
          <w:lang w:val="en-US"/>
        </w:rPr>
        <w:lastRenderedPageBreak/>
        <w:t xml:space="preserve">Van Biesebroeck, J., &amp; Mensah, E. B. (2019). </w:t>
      </w:r>
      <w:r w:rsidRPr="002E1D57">
        <w:rPr>
          <w:rFonts w:asciiTheme="majorBidi" w:hAnsiTheme="majorBidi" w:cstheme="majorBidi"/>
          <w:color w:val="222222"/>
          <w:sz w:val="24"/>
          <w:szCs w:val="24"/>
          <w:shd w:val="clear" w:color="auto" w:fill="FFFFFF"/>
        </w:rPr>
        <w:t>The extent of GVC engagement in sub-Saharan Africa. </w:t>
      </w:r>
      <w:r w:rsidRPr="002E1D57">
        <w:rPr>
          <w:rFonts w:asciiTheme="majorBidi" w:hAnsiTheme="majorBidi" w:cstheme="majorBidi"/>
          <w:i/>
          <w:iCs/>
          <w:color w:val="222222"/>
          <w:sz w:val="24"/>
          <w:szCs w:val="24"/>
          <w:shd w:val="clear" w:color="auto" w:fill="FFFFFF"/>
        </w:rPr>
        <w:t>World Bank policy research working paper</w:t>
      </w:r>
      <w:r w:rsidRPr="002E1D57">
        <w:rPr>
          <w:rFonts w:asciiTheme="majorBidi" w:hAnsiTheme="majorBidi" w:cstheme="majorBidi"/>
          <w:color w:val="222222"/>
          <w:sz w:val="24"/>
          <w:szCs w:val="24"/>
          <w:shd w:val="clear" w:color="auto" w:fill="FFFFFF"/>
        </w:rPr>
        <w:t>, (8937).</w:t>
      </w:r>
    </w:p>
    <w:p w14:paraId="67390BB0" w14:textId="77777777" w:rsidR="007E417D" w:rsidRPr="00704ABA" w:rsidRDefault="007E417D" w:rsidP="00704ABA">
      <w:pPr>
        <w:spacing w:line="360" w:lineRule="auto"/>
        <w:ind w:left="720" w:hanging="720"/>
        <w:jc w:val="both"/>
        <w:rPr>
          <w:rFonts w:asciiTheme="majorBidi" w:hAnsiTheme="majorBidi" w:cstheme="majorBidi"/>
          <w:sz w:val="24"/>
          <w:szCs w:val="24"/>
          <w:shd w:val="clear" w:color="auto" w:fill="FFFFFF"/>
        </w:rPr>
      </w:pPr>
      <w:r w:rsidRPr="00704ABA">
        <w:rPr>
          <w:rFonts w:asciiTheme="majorBidi" w:hAnsiTheme="majorBidi" w:cstheme="majorBidi"/>
          <w:sz w:val="24"/>
          <w:szCs w:val="24"/>
          <w:shd w:val="clear" w:color="auto" w:fill="FFFFFF"/>
        </w:rPr>
        <w:t>Vrh, N. (2018). What drives the differences in domestic value added in exports between old and new EU member states?. </w:t>
      </w:r>
      <w:r w:rsidRPr="00704ABA">
        <w:rPr>
          <w:rFonts w:asciiTheme="majorBidi" w:hAnsiTheme="majorBidi" w:cstheme="majorBidi"/>
          <w:i/>
          <w:iCs/>
          <w:sz w:val="24"/>
          <w:szCs w:val="24"/>
          <w:shd w:val="clear" w:color="auto" w:fill="FFFFFF"/>
        </w:rPr>
        <w:t>Economic research-Ekonomska istraživanja</w:t>
      </w:r>
      <w:r w:rsidRPr="00704ABA">
        <w:rPr>
          <w:rFonts w:asciiTheme="majorBidi" w:hAnsiTheme="majorBidi" w:cstheme="majorBidi"/>
          <w:sz w:val="24"/>
          <w:szCs w:val="24"/>
          <w:shd w:val="clear" w:color="auto" w:fill="FFFFFF"/>
        </w:rPr>
        <w:t>, </w:t>
      </w:r>
      <w:r w:rsidRPr="00704ABA">
        <w:rPr>
          <w:rFonts w:asciiTheme="majorBidi" w:hAnsiTheme="majorBidi" w:cstheme="majorBidi"/>
          <w:i/>
          <w:iCs/>
          <w:sz w:val="24"/>
          <w:szCs w:val="24"/>
          <w:shd w:val="clear" w:color="auto" w:fill="FFFFFF"/>
        </w:rPr>
        <w:t>31</w:t>
      </w:r>
      <w:r w:rsidRPr="00704ABA">
        <w:rPr>
          <w:rFonts w:asciiTheme="majorBidi" w:hAnsiTheme="majorBidi" w:cstheme="majorBidi"/>
          <w:sz w:val="24"/>
          <w:szCs w:val="24"/>
          <w:shd w:val="clear" w:color="auto" w:fill="FFFFFF"/>
        </w:rPr>
        <w:t>(1), 645-663.</w:t>
      </w:r>
    </w:p>
    <w:p w14:paraId="12825088"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World Bank (2020), “</w:t>
      </w:r>
      <w:hyperlink r:id="rId36" w:history="1">
        <w:r w:rsidRPr="002E1D57">
          <w:rPr>
            <w:rStyle w:val="Hyperlink"/>
            <w:rFonts w:asciiTheme="majorBidi" w:hAnsiTheme="majorBidi" w:cstheme="majorBidi"/>
            <w:sz w:val="24"/>
            <w:szCs w:val="24"/>
          </w:rPr>
          <w:t>The World Development Report (WDR) 2020: Trading for Development in the Age of Global Value Chains</w:t>
        </w:r>
      </w:hyperlink>
      <w:r w:rsidRPr="002E1D57">
        <w:rPr>
          <w:rFonts w:asciiTheme="majorBidi" w:hAnsiTheme="majorBidi" w:cstheme="majorBidi"/>
          <w:sz w:val="24"/>
          <w:szCs w:val="24"/>
        </w:rPr>
        <w:t>”, World Bank, Washington.</w:t>
      </w:r>
    </w:p>
    <w:p w14:paraId="2C5832F8" w14:textId="77777777" w:rsidR="007E417D" w:rsidRPr="002E1D57" w:rsidRDefault="007E417D" w:rsidP="00B5279B">
      <w:pPr>
        <w:spacing w:line="360" w:lineRule="auto"/>
        <w:ind w:left="720" w:hanging="720"/>
        <w:jc w:val="both"/>
        <w:rPr>
          <w:rFonts w:asciiTheme="majorBidi" w:hAnsiTheme="majorBidi" w:cstheme="majorBidi"/>
          <w:sz w:val="24"/>
          <w:szCs w:val="24"/>
        </w:rPr>
      </w:pPr>
      <w:r w:rsidRPr="002E1D57">
        <w:rPr>
          <w:rFonts w:asciiTheme="majorBidi" w:hAnsiTheme="majorBidi" w:cstheme="majorBidi"/>
          <w:sz w:val="24"/>
          <w:szCs w:val="24"/>
        </w:rPr>
        <w:t>WTO et. al. (2019), “</w:t>
      </w:r>
      <w:hyperlink r:id="rId37" w:history="1">
        <w:r w:rsidRPr="002E1D57">
          <w:rPr>
            <w:rStyle w:val="Hyperlink"/>
            <w:rFonts w:asciiTheme="majorBidi" w:hAnsiTheme="majorBidi" w:cstheme="majorBidi"/>
            <w:sz w:val="24"/>
            <w:szCs w:val="24"/>
          </w:rPr>
          <w:t>Technological Innovation, Supply Chain Trade, And Workers in a Globalized World</w:t>
        </w:r>
      </w:hyperlink>
      <w:r w:rsidRPr="002E1D57">
        <w:rPr>
          <w:rFonts w:asciiTheme="majorBidi" w:hAnsiTheme="majorBidi" w:cstheme="majorBidi"/>
          <w:sz w:val="24"/>
          <w:szCs w:val="24"/>
        </w:rPr>
        <w:t>”, WTO, Geneva</w:t>
      </w:r>
    </w:p>
    <w:p w14:paraId="4EA82B76" w14:textId="77777777" w:rsidR="007E417D" w:rsidRDefault="007E417D" w:rsidP="006A61E0">
      <w:pPr>
        <w:spacing w:line="360" w:lineRule="auto"/>
        <w:ind w:left="720" w:hanging="720"/>
        <w:jc w:val="both"/>
        <w:rPr>
          <w:rFonts w:asciiTheme="majorBidi" w:hAnsiTheme="majorBidi" w:cstheme="majorBidi"/>
          <w:sz w:val="24"/>
          <w:szCs w:val="24"/>
          <w:shd w:val="clear" w:color="auto" w:fill="FFFFFF"/>
        </w:rPr>
      </w:pPr>
      <w:r w:rsidRPr="002E1D57">
        <w:rPr>
          <w:rFonts w:asciiTheme="majorBidi" w:hAnsiTheme="majorBidi" w:cstheme="majorBidi"/>
          <w:sz w:val="24"/>
          <w:szCs w:val="24"/>
          <w:shd w:val="clear" w:color="auto" w:fill="FFFFFF"/>
        </w:rPr>
        <w:t>Yu, C., &amp; Luo, Z. (2018). What are China's real gains within global value chains? Measuring domestic value added in China's exports of manufactures. </w:t>
      </w:r>
      <w:r w:rsidRPr="002E1D57">
        <w:rPr>
          <w:rFonts w:asciiTheme="majorBidi" w:hAnsiTheme="majorBidi" w:cstheme="majorBidi"/>
          <w:i/>
          <w:iCs/>
          <w:sz w:val="24"/>
          <w:szCs w:val="24"/>
          <w:shd w:val="clear" w:color="auto" w:fill="FFFFFF"/>
        </w:rPr>
        <w:t>China Economic Review</w:t>
      </w:r>
      <w:r w:rsidRPr="002E1D57">
        <w:rPr>
          <w:rFonts w:asciiTheme="majorBidi" w:hAnsiTheme="majorBidi" w:cstheme="majorBidi"/>
          <w:sz w:val="24"/>
          <w:szCs w:val="24"/>
          <w:shd w:val="clear" w:color="auto" w:fill="FFFFFF"/>
        </w:rPr>
        <w:t>, </w:t>
      </w:r>
      <w:r w:rsidRPr="002E1D57">
        <w:rPr>
          <w:rFonts w:asciiTheme="majorBidi" w:hAnsiTheme="majorBidi" w:cstheme="majorBidi"/>
          <w:i/>
          <w:iCs/>
          <w:sz w:val="24"/>
          <w:szCs w:val="24"/>
          <w:shd w:val="clear" w:color="auto" w:fill="FFFFFF"/>
        </w:rPr>
        <w:t>47</w:t>
      </w:r>
      <w:r w:rsidRPr="002E1D57">
        <w:rPr>
          <w:rFonts w:asciiTheme="majorBidi" w:hAnsiTheme="majorBidi" w:cstheme="majorBidi"/>
          <w:sz w:val="24"/>
          <w:szCs w:val="24"/>
          <w:shd w:val="clear" w:color="auto" w:fill="FFFFFF"/>
        </w:rPr>
        <w:t>, 263-273.</w:t>
      </w:r>
    </w:p>
    <w:p w14:paraId="3123842A" w14:textId="77777777" w:rsidR="00835400" w:rsidRPr="006A61E0" w:rsidRDefault="00835400" w:rsidP="006A61E0">
      <w:pPr>
        <w:spacing w:line="360" w:lineRule="auto"/>
        <w:ind w:left="720" w:hanging="720"/>
        <w:jc w:val="both"/>
        <w:rPr>
          <w:rFonts w:asciiTheme="majorBidi" w:hAnsiTheme="majorBidi" w:cstheme="majorBidi"/>
          <w:sz w:val="24"/>
          <w:szCs w:val="24"/>
          <w:shd w:val="clear" w:color="auto" w:fill="FFFFFF"/>
        </w:rPr>
      </w:pPr>
    </w:p>
    <w:p w14:paraId="4DF1A7A4" w14:textId="77777777" w:rsidR="006A61E0" w:rsidRDefault="006A61E0" w:rsidP="006224DE">
      <w:pPr>
        <w:spacing w:line="360" w:lineRule="auto"/>
        <w:ind w:left="720" w:hanging="720"/>
        <w:jc w:val="both"/>
        <w:rPr>
          <w:rFonts w:asciiTheme="majorBidi" w:hAnsiTheme="majorBidi" w:cstheme="majorBidi"/>
          <w:sz w:val="24"/>
          <w:szCs w:val="24"/>
          <w:shd w:val="clear" w:color="auto" w:fill="FFFFFF"/>
        </w:rPr>
      </w:pPr>
    </w:p>
    <w:p w14:paraId="6C73A002" w14:textId="77777777" w:rsidR="006224DE" w:rsidRDefault="006224DE" w:rsidP="00704ABA">
      <w:pPr>
        <w:spacing w:line="360" w:lineRule="auto"/>
        <w:ind w:left="720" w:hanging="720"/>
        <w:jc w:val="both"/>
        <w:rPr>
          <w:rFonts w:asciiTheme="majorBidi" w:hAnsiTheme="majorBidi" w:cstheme="majorBidi"/>
          <w:sz w:val="24"/>
          <w:szCs w:val="24"/>
          <w:shd w:val="clear" w:color="auto" w:fill="FFFFFF"/>
        </w:rPr>
      </w:pPr>
    </w:p>
    <w:p w14:paraId="067AE655" w14:textId="77777777" w:rsidR="00704ABA" w:rsidRDefault="00704ABA" w:rsidP="00D55331">
      <w:pPr>
        <w:spacing w:line="360" w:lineRule="auto"/>
        <w:ind w:left="720" w:hanging="720"/>
        <w:jc w:val="both"/>
        <w:rPr>
          <w:rFonts w:asciiTheme="majorBidi" w:hAnsiTheme="majorBidi" w:cstheme="majorBidi"/>
          <w:sz w:val="24"/>
          <w:szCs w:val="24"/>
          <w:shd w:val="clear" w:color="auto" w:fill="FFFFFF"/>
        </w:rPr>
      </w:pPr>
    </w:p>
    <w:sectPr w:rsidR="00704ABA" w:rsidSect="00CE137E">
      <w:footerReference w:type="default" r:id="rId38"/>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drew Mold" w:date="2022-04-11T12:00:00Z" w:initials="AM">
    <w:p w14:paraId="15D0B84F" w14:textId="77777777" w:rsidR="000C5AA3" w:rsidRDefault="000C5AA3">
      <w:pPr>
        <w:pStyle w:val="CommentText"/>
      </w:pPr>
      <w:r>
        <w:rPr>
          <w:rStyle w:val="CommentReference"/>
        </w:rPr>
        <w:annotationRef/>
      </w:r>
      <w:r>
        <w:t xml:space="preserve">Surely this is a statistical artifact? If DVA+FVA=100%, then the higher one, the lower the other? </w:t>
      </w:r>
    </w:p>
    <w:p w14:paraId="1A1AEB0A" w14:textId="77777777" w:rsidR="00EF17C8" w:rsidRDefault="00EF17C8">
      <w:pPr>
        <w:pStyle w:val="CommentText"/>
      </w:pPr>
    </w:p>
    <w:p w14:paraId="2B3EF5CC" w14:textId="0F491E77" w:rsidR="00EF17C8" w:rsidRDefault="002F3F81">
      <w:pPr>
        <w:pStyle w:val="CommentText"/>
      </w:pPr>
      <w:r>
        <w:rPr>
          <w:color w:val="00B050"/>
        </w:rPr>
        <w:t xml:space="preserve">True. </w:t>
      </w:r>
      <w:r w:rsidR="005F7CD4">
        <w:rPr>
          <w:color w:val="00B050"/>
        </w:rPr>
        <w:t>Should we</w:t>
      </w:r>
      <w:r w:rsidR="00ED531C" w:rsidRPr="00ED531C">
        <w:rPr>
          <w:color w:val="00B050"/>
        </w:rPr>
        <w:t xml:space="preserve"> drop this entire subsection</w:t>
      </w:r>
      <w:r w:rsidR="005F7CD4">
        <w:rPr>
          <w:color w:val="00B050"/>
        </w:rPr>
        <w:t>? Please advise</w:t>
      </w:r>
      <w:r w:rsidR="00ED531C" w:rsidRPr="00ED531C">
        <w:rPr>
          <w:color w:val="00B050"/>
        </w:rPr>
        <w:t xml:space="preserve">. </w:t>
      </w:r>
    </w:p>
  </w:comment>
  <w:comment w:id="2" w:author="Andrew Mold" w:date="2022-04-11T12:14:00Z" w:initials="AM">
    <w:p w14:paraId="71F3F91A" w14:textId="77777777" w:rsidR="0040073C" w:rsidRDefault="0040073C">
      <w:pPr>
        <w:pStyle w:val="CommentText"/>
        <w:rPr>
          <w:noProof/>
        </w:rPr>
      </w:pPr>
      <w:r>
        <w:rPr>
          <w:rStyle w:val="CommentReference"/>
        </w:rPr>
        <w:annotationRef/>
      </w:r>
      <w:r w:rsidR="00F67036">
        <w:rPr>
          <w:noProof/>
        </w:rPr>
        <w:t xml:space="preserve">The interesting question here is how this is compatible with the literature which discusses the 'resource curse', and the literature which shows that FDI in the oil and mineral sector is not embedded in the domestic economy, and rather ends up 'hollowing out' domestic industry. </w:t>
      </w:r>
    </w:p>
    <w:p w14:paraId="502EC989" w14:textId="77777777" w:rsidR="00DD492B" w:rsidRDefault="00DD492B">
      <w:pPr>
        <w:pStyle w:val="CommentText"/>
        <w:rPr>
          <w:noProof/>
        </w:rPr>
      </w:pPr>
    </w:p>
    <w:p w14:paraId="04313DED" w14:textId="5BD317E0" w:rsidR="00DD492B" w:rsidRDefault="00B5203D">
      <w:pPr>
        <w:pStyle w:val="CommentText"/>
      </w:pPr>
      <w:r w:rsidRPr="00B5203D">
        <w:rPr>
          <w:noProof/>
          <w:color w:val="00B050"/>
        </w:rPr>
        <w:t xml:space="preserve">Interesting. </w:t>
      </w:r>
      <w:r w:rsidR="00DD492B" w:rsidRPr="00B5203D">
        <w:rPr>
          <w:noProof/>
          <w:color w:val="00B050"/>
        </w:rPr>
        <w:t>We could explore this</w:t>
      </w:r>
      <w:r w:rsidRPr="00B5203D">
        <w:rPr>
          <w:noProof/>
          <w:color w:val="00B050"/>
        </w:rPr>
        <w:t xml:space="preserve"> during further revisions.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3EF5CC" w15:done="0"/>
  <w15:commentEx w15:paraId="04313D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96E4" w16cex:dateUtc="2022-04-11T10:00:00Z"/>
  <w16cex:commentExtensible w16cex:durableId="25FE9A3E" w16cex:dateUtc="2022-04-11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3EF5CC" w16cid:durableId="25FE96E4"/>
  <w16cid:commentId w16cid:paraId="04313DED" w16cid:durableId="25FE9A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54329" w14:textId="77777777" w:rsidR="00652975" w:rsidRDefault="00652975" w:rsidP="002E57D0">
      <w:pPr>
        <w:spacing w:after="0" w:line="240" w:lineRule="auto"/>
      </w:pPr>
      <w:r>
        <w:separator/>
      </w:r>
    </w:p>
  </w:endnote>
  <w:endnote w:type="continuationSeparator" w:id="0">
    <w:p w14:paraId="395783D0" w14:textId="77777777" w:rsidR="00652975" w:rsidRDefault="00652975" w:rsidP="002E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340865"/>
      <w:docPartObj>
        <w:docPartGallery w:val="Page Numbers (Bottom of Page)"/>
        <w:docPartUnique/>
      </w:docPartObj>
    </w:sdtPr>
    <w:sdtEndPr>
      <w:rPr>
        <w:noProof/>
      </w:rPr>
    </w:sdtEndPr>
    <w:sdtContent>
      <w:p w14:paraId="5CC46787" w14:textId="10171F82" w:rsidR="00C828AC" w:rsidRDefault="00C828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D4788B" w14:textId="77777777" w:rsidR="00C828AC" w:rsidRDefault="00C8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2FB9" w14:textId="77777777" w:rsidR="00652975" w:rsidRDefault="00652975" w:rsidP="002E57D0">
      <w:pPr>
        <w:spacing w:after="0" w:line="240" w:lineRule="auto"/>
      </w:pPr>
      <w:r>
        <w:separator/>
      </w:r>
    </w:p>
  </w:footnote>
  <w:footnote w:type="continuationSeparator" w:id="0">
    <w:p w14:paraId="300C2615" w14:textId="77777777" w:rsidR="00652975" w:rsidRDefault="00652975" w:rsidP="002E57D0">
      <w:pPr>
        <w:spacing w:after="0" w:line="240" w:lineRule="auto"/>
      </w:pPr>
      <w:r>
        <w:continuationSeparator/>
      </w:r>
    </w:p>
  </w:footnote>
  <w:footnote w:id="1">
    <w:p w14:paraId="0EF867F3" w14:textId="42EE5E08" w:rsidR="00C828AC" w:rsidRPr="0055024F" w:rsidRDefault="00C828AC">
      <w:pPr>
        <w:pStyle w:val="FootnoteText"/>
        <w:rPr>
          <w:rFonts w:asciiTheme="majorBidi" w:hAnsiTheme="majorBidi" w:cstheme="majorBidi"/>
          <w:lang w:val="en-US"/>
        </w:rPr>
      </w:pPr>
      <w:r w:rsidRPr="0055024F">
        <w:rPr>
          <w:rStyle w:val="FootnoteReference"/>
          <w:rFonts w:asciiTheme="majorBidi" w:hAnsiTheme="majorBidi" w:cstheme="majorBidi"/>
        </w:rPr>
        <w:footnoteRef/>
      </w:r>
      <w:r w:rsidRPr="0055024F">
        <w:rPr>
          <w:rFonts w:asciiTheme="majorBidi" w:hAnsiTheme="majorBidi" w:cstheme="majorBidi"/>
        </w:rPr>
        <w:t xml:space="preserve"> </w:t>
      </w:r>
      <w:r w:rsidRPr="0055024F">
        <w:rPr>
          <w:rFonts w:asciiTheme="majorBidi" w:hAnsiTheme="majorBidi" w:cstheme="majorBidi"/>
          <w:lang w:val="en-US"/>
        </w:rPr>
        <w:t xml:space="preserve">United Nations Economic Commission for Africa (UNECA) </w:t>
      </w:r>
      <w:r>
        <w:rPr>
          <w:rFonts w:asciiTheme="majorBidi" w:hAnsiTheme="majorBidi" w:cstheme="majorBidi"/>
          <w:lang w:val="en-US"/>
        </w:rPr>
        <w:t>R</w:t>
      </w:r>
      <w:r w:rsidRPr="0055024F">
        <w:rPr>
          <w:rFonts w:asciiTheme="majorBidi" w:hAnsiTheme="majorBidi" w:cstheme="majorBidi"/>
          <w:lang w:val="en-US"/>
        </w:rPr>
        <w:t>egion</w:t>
      </w:r>
      <w:r>
        <w:rPr>
          <w:rFonts w:asciiTheme="majorBidi" w:hAnsiTheme="majorBidi" w:cstheme="majorBidi"/>
          <w:lang w:val="en-US"/>
        </w:rPr>
        <w:t>al</w:t>
      </w:r>
      <w:r w:rsidRPr="0055024F">
        <w:rPr>
          <w:rFonts w:asciiTheme="majorBidi" w:hAnsiTheme="majorBidi" w:cstheme="majorBidi"/>
          <w:lang w:val="en-US"/>
        </w:rPr>
        <w:t xml:space="preserve"> Office for Eastern Africa</w:t>
      </w:r>
      <w:r>
        <w:rPr>
          <w:rFonts w:asciiTheme="majorBidi" w:hAnsiTheme="majorBidi" w:cstheme="majorBidi"/>
          <w:lang w:val="en-US"/>
        </w:rPr>
        <w:t>, Kigali Rwanda</w:t>
      </w:r>
      <w:r w:rsidR="00F27569">
        <w:rPr>
          <w:rFonts w:asciiTheme="majorBidi" w:hAnsiTheme="majorBidi" w:cstheme="majorBidi"/>
          <w:lang w:val="en-US"/>
        </w:rPr>
        <w:t xml:space="preserve">. </w:t>
      </w:r>
      <w:r w:rsidR="00F27569" w:rsidRPr="00F27569">
        <w:rPr>
          <w:rFonts w:asciiTheme="majorBidi" w:hAnsiTheme="majorBidi" w:cstheme="majorBidi"/>
          <w:lang w:val="en-US"/>
        </w:rPr>
        <w:t>The views expressed herein are those of the author</w:t>
      </w:r>
      <w:r w:rsidR="00F27569">
        <w:rPr>
          <w:rFonts w:asciiTheme="majorBidi" w:hAnsiTheme="majorBidi" w:cstheme="majorBidi"/>
          <w:lang w:val="en-US"/>
        </w:rPr>
        <w:t>s</w:t>
      </w:r>
      <w:r w:rsidR="00F27569" w:rsidRPr="00F27569">
        <w:rPr>
          <w:rFonts w:asciiTheme="majorBidi" w:hAnsiTheme="majorBidi" w:cstheme="majorBidi"/>
          <w:lang w:val="en-US"/>
        </w:rPr>
        <w:t xml:space="preserve"> and do not necessarily reflect the views of the United Nations. </w:t>
      </w:r>
      <w:r w:rsidRPr="0055024F">
        <w:rPr>
          <w:rFonts w:asciiTheme="majorBidi" w:hAnsiTheme="majorBidi" w:cstheme="majorBidi"/>
          <w:lang w:val="en-US"/>
        </w:rPr>
        <w:t xml:space="preserve"> </w:t>
      </w:r>
    </w:p>
  </w:footnote>
  <w:footnote w:id="2">
    <w:p w14:paraId="581934B5" w14:textId="77777777" w:rsidR="00F27569" w:rsidRDefault="00F27569" w:rsidP="00F27569">
      <w:pPr>
        <w:pStyle w:val="EndnoteText"/>
        <w:spacing w:before="120"/>
        <w:jc w:val="both"/>
      </w:pPr>
      <w:r>
        <w:rPr>
          <w:rStyle w:val="FootnoteReference"/>
        </w:rPr>
        <w:footnoteRef/>
      </w:r>
      <w:r>
        <w:t xml:space="preserve"> </w:t>
      </w:r>
      <w:r>
        <w:rPr>
          <w:rStyle w:val="EndnoteReference"/>
        </w:rPr>
        <w:footnoteRef/>
      </w:r>
      <w:r>
        <w:t xml:space="preserve"> On the problems of trade data, see </w:t>
      </w:r>
      <w:hyperlink r:id="rId1" w:history="1">
        <w:r w:rsidRPr="000C3AEC">
          <w:rPr>
            <w:rStyle w:val="Hyperlink"/>
          </w:rPr>
          <w:t>Ortiz-Ospina and Beltekian (2018)</w:t>
        </w:r>
      </w:hyperlink>
      <w:r>
        <w:t xml:space="preserve">, </w:t>
      </w:r>
      <w:hyperlink r:id="rId2" w:history="1">
        <w:r w:rsidRPr="000C3AEC">
          <w:rPr>
            <w:rStyle w:val="Hyperlink"/>
          </w:rPr>
          <w:t>OECD/WTO (2012</w:t>
        </w:r>
      </w:hyperlink>
      <w:r>
        <w:t xml:space="preserve">). Double-counting is a particularly serious problem and may result in an overvaluing of trade by around 25 percent. The treatment of re-exports is also a challenge. See </w:t>
      </w:r>
      <w:hyperlink r:id="rId3" w:history="1">
        <w:r w:rsidRPr="00105FC3">
          <w:rPr>
            <w:rStyle w:val="Hyperlink"/>
          </w:rPr>
          <w:t xml:space="preserve">Koopman et. al. (2012). </w:t>
        </w:r>
      </w:hyperlink>
      <w:r>
        <w:t xml:space="preserve"> On the challenges specifically of intra-African trade statistics, see Yeats (1990), </w:t>
      </w:r>
      <w:hyperlink r:id="rId4" w:history="1">
        <w:r w:rsidRPr="00D00AFA">
          <w:rPr>
            <w:rStyle w:val="Hyperlink"/>
          </w:rPr>
          <w:t>Je</w:t>
        </w:r>
        <w:r>
          <w:rPr>
            <w:rStyle w:val="Hyperlink"/>
          </w:rPr>
          <w:t>r</w:t>
        </w:r>
        <w:r w:rsidRPr="00D00AFA">
          <w:rPr>
            <w:rStyle w:val="Hyperlink"/>
          </w:rPr>
          <w:t>ven (2014</w:t>
        </w:r>
      </w:hyperlink>
      <w:r>
        <w:t xml:space="preserve">). </w:t>
      </w:r>
    </w:p>
    <w:p w14:paraId="7BC8948C" w14:textId="5A07E263" w:rsidR="00F27569" w:rsidRPr="00CE137E" w:rsidRDefault="00F27569">
      <w:pPr>
        <w:pStyle w:val="FootnoteText"/>
        <w:rPr>
          <w:lang w:val="en-US"/>
        </w:rPr>
      </w:pPr>
    </w:p>
  </w:footnote>
  <w:footnote w:id="3">
    <w:p w14:paraId="3E5E2445" w14:textId="1808F513" w:rsidR="004722C0" w:rsidRDefault="004722C0" w:rsidP="00C75122">
      <w:pPr>
        <w:pStyle w:val="FootnoteText"/>
        <w:jc w:val="both"/>
      </w:pPr>
      <w:r>
        <w:rPr>
          <w:rStyle w:val="FootnoteReference"/>
        </w:rPr>
        <w:footnoteRef/>
      </w:r>
      <w:r>
        <w:t xml:space="preserve"> </w:t>
      </w:r>
      <w:r w:rsidRPr="004722C0">
        <w:t>Nonetheless, this general trend is subject to variations across space and time: Domestic value-added in Chinese exports, for example, increased from 65% to 70% between 2000-2007 (Kee and Tang, 2016).</w:t>
      </w:r>
    </w:p>
  </w:footnote>
  <w:footnote w:id="4">
    <w:p w14:paraId="7AC470EF" w14:textId="42B77BAE" w:rsidR="000A64B3" w:rsidRPr="00785137" w:rsidRDefault="000A64B3" w:rsidP="003779CA">
      <w:pPr>
        <w:pStyle w:val="FootnoteText"/>
        <w:jc w:val="both"/>
        <w:rPr>
          <w:lang w:val="en-US"/>
        </w:rPr>
      </w:pPr>
      <w:r>
        <w:rPr>
          <w:rStyle w:val="FootnoteReference"/>
        </w:rPr>
        <w:footnoteRef/>
      </w:r>
      <w:r w:rsidRPr="00785137">
        <w:rPr>
          <w:lang w:val="fr-FR"/>
        </w:rPr>
        <w:t xml:space="preserve"> </w:t>
      </w:r>
      <w:r w:rsidRPr="003779CA">
        <w:rPr>
          <w:rFonts w:asciiTheme="majorBidi" w:hAnsiTheme="majorBidi" w:cstheme="majorBidi"/>
          <w:lang w:val="fr-FR"/>
        </w:rPr>
        <w:t xml:space="preserve">Alard et al. </w:t>
      </w:r>
      <w:r w:rsidRPr="003779CA">
        <w:rPr>
          <w:rFonts w:asciiTheme="majorBidi" w:hAnsiTheme="majorBidi" w:cstheme="majorBidi"/>
          <w:lang w:val="en-US"/>
        </w:rPr>
        <w:t xml:space="preserve">(2016) </w:t>
      </w:r>
      <w:r w:rsidR="00714E26" w:rsidRPr="003779CA">
        <w:rPr>
          <w:rFonts w:asciiTheme="majorBidi" w:hAnsiTheme="majorBidi" w:cstheme="majorBidi"/>
          <w:lang w:val="en-US"/>
        </w:rPr>
        <w:t>explain</w:t>
      </w:r>
      <w:r w:rsidRPr="003779CA">
        <w:rPr>
          <w:rFonts w:asciiTheme="majorBidi" w:hAnsiTheme="majorBidi" w:cstheme="majorBidi"/>
          <w:lang w:val="en-US"/>
        </w:rPr>
        <w:t xml:space="preserve"> centrality</w:t>
      </w:r>
      <w:r w:rsidR="00714E26" w:rsidRPr="003779CA">
        <w:rPr>
          <w:rFonts w:asciiTheme="majorBidi" w:hAnsiTheme="majorBidi" w:cstheme="majorBidi"/>
          <w:lang w:val="en-US"/>
        </w:rPr>
        <w:t xml:space="preserve"> to be a multi-demen</w:t>
      </w:r>
      <w:r w:rsidR="00C66978" w:rsidRPr="003779CA">
        <w:rPr>
          <w:rFonts w:asciiTheme="majorBidi" w:hAnsiTheme="majorBidi" w:cstheme="majorBidi"/>
          <w:lang w:val="en-US"/>
        </w:rPr>
        <w:t>tional measure of a country’s network connectivity in global trade. The measure incorporates the size of exports, number of trade partners and relative weight of trade partners in global trade.</w:t>
      </w:r>
      <w:r w:rsidR="00C66978">
        <w:rPr>
          <w:lang w:val="en-US"/>
        </w:rPr>
        <w:t xml:space="preserve"> </w:t>
      </w:r>
      <w:r w:rsidRPr="00785137">
        <w:rPr>
          <w:lang w:val="en-US"/>
        </w:rPr>
        <w:t xml:space="preserve"> </w:t>
      </w:r>
    </w:p>
  </w:footnote>
  <w:footnote w:id="5">
    <w:p w14:paraId="5E2B60AC" w14:textId="77777777" w:rsidR="004D1FFC" w:rsidRPr="00B15691" w:rsidRDefault="004D1FFC" w:rsidP="004D1FFC">
      <w:pPr>
        <w:pStyle w:val="FootnoteText"/>
        <w:rPr>
          <w:lang w:val="en-US"/>
        </w:rPr>
      </w:pPr>
      <w:r>
        <w:rPr>
          <w:rStyle w:val="FootnoteReference"/>
        </w:rPr>
        <w:footnoteRef/>
      </w:r>
      <w:r w:rsidRPr="00B15691">
        <w:rPr>
          <w:lang w:val="en-US"/>
        </w:rPr>
        <w:t xml:space="preserve"> </w:t>
      </w:r>
      <w:r w:rsidRPr="00E308B0">
        <w:rPr>
          <w:rFonts w:asciiTheme="majorBidi" w:hAnsiTheme="majorBidi" w:cstheme="majorBidi"/>
          <w:lang w:val="en-US"/>
        </w:rPr>
        <w:t>In some regressions, this is interchanged with GDP per capita in constant (2015) USD</w:t>
      </w:r>
    </w:p>
  </w:footnote>
  <w:footnote w:id="6">
    <w:p w14:paraId="03592964" w14:textId="50D79EFC" w:rsidR="00C828AC" w:rsidRPr="00CE137E" w:rsidRDefault="00C828AC">
      <w:pPr>
        <w:pStyle w:val="FootnoteText"/>
        <w:rPr>
          <w:rFonts w:asciiTheme="majorBidi" w:hAnsiTheme="majorBidi" w:cstheme="majorBidi"/>
          <w:lang w:val="es-ES"/>
        </w:rPr>
      </w:pPr>
      <w:r w:rsidRPr="002729F6">
        <w:rPr>
          <w:rStyle w:val="FootnoteReference"/>
          <w:rFonts w:asciiTheme="majorBidi" w:hAnsiTheme="majorBidi" w:cstheme="majorBidi"/>
        </w:rPr>
        <w:footnoteRef/>
      </w:r>
      <w:r w:rsidRPr="00CE137E">
        <w:rPr>
          <w:rFonts w:asciiTheme="majorBidi" w:hAnsiTheme="majorBidi" w:cstheme="majorBidi"/>
          <w:lang w:val="es-ES"/>
        </w:rPr>
        <w:t xml:space="preserve"> </w:t>
      </w:r>
      <w:hyperlink r:id="rId5" w:history="1">
        <w:r w:rsidRPr="00CE137E">
          <w:rPr>
            <w:rStyle w:val="Hyperlink"/>
            <w:rFonts w:asciiTheme="majorBidi" w:hAnsiTheme="majorBidi" w:cstheme="majorBidi"/>
            <w:lang w:val="es-ES"/>
          </w:rPr>
          <w:t>https://tcdata360.worldbank.org/</w:t>
        </w:r>
      </w:hyperlink>
    </w:p>
  </w:footnote>
  <w:footnote w:id="7">
    <w:p w14:paraId="2EC78447" w14:textId="3AF25C3E" w:rsidR="00C828AC" w:rsidRPr="001B5CEE" w:rsidRDefault="00C828AC">
      <w:pPr>
        <w:pStyle w:val="FootnoteText"/>
        <w:rPr>
          <w:lang w:val="en-US"/>
        </w:rPr>
      </w:pPr>
      <w:r>
        <w:rPr>
          <w:rStyle w:val="FootnoteReference"/>
        </w:rPr>
        <w:footnoteRef/>
      </w:r>
      <w:r>
        <w:t xml:space="preserve"> </w:t>
      </w:r>
      <w:hyperlink r:id="rId6" w:history="1">
        <w:r w:rsidRPr="001B5CEE">
          <w:rPr>
            <w:rStyle w:val="Hyperlink"/>
            <w:rFonts w:asciiTheme="majorBidi" w:hAnsiTheme="majorBidi" w:cstheme="majorBidi"/>
          </w:rPr>
          <w:t>http://info.worldbank.org/governance/wgi/</w:t>
        </w:r>
      </w:hyperlink>
    </w:p>
  </w:footnote>
  <w:footnote w:id="8">
    <w:p w14:paraId="2553F8CD" w14:textId="4D1E0078" w:rsidR="00C828AC" w:rsidRPr="00D068AA" w:rsidRDefault="00C828AC">
      <w:pPr>
        <w:pStyle w:val="FootnoteText"/>
        <w:rPr>
          <w:rFonts w:asciiTheme="majorBidi" w:hAnsiTheme="majorBidi" w:cstheme="majorBidi"/>
        </w:rPr>
      </w:pPr>
      <w:r w:rsidRPr="00D068AA">
        <w:rPr>
          <w:rStyle w:val="FootnoteReference"/>
          <w:rFonts w:asciiTheme="majorBidi" w:hAnsiTheme="majorBidi" w:cstheme="majorBidi"/>
        </w:rPr>
        <w:footnoteRef/>
      </w:r>
      <w:r w:rsidRPr="00D068AA">
        <w:rPr>
          <w:rFonts w:asciiTheme="majorBidi" w:hAnsiTheme="majorBidi" w:cstheme="majorBidi"/>
        </w:rPr>
        <w:t xml:space="preserve"> This is </w:t>
      </w:r>
      <w:r w:rsidRPr="00D068AA">
        <w:rPr>
          <w:rFonts w:asciiTheme="majorBidi" w:eastAsiaTheme="minorEastAsia" w:hAnsiTheme="majorBidi" w:cstheme="majorBidi"/>
        </w:rPr>
        <w:t>entered in the regression interchangeably with the ratio of total investment to GDP</w:t>
      </w:r>
    </w:p>
  </w:footnote>
  <w:footnote w:id="9">
    <w:p w14:paraId="0015FE8E" w14:textId="77777777" w:rsidR="00C828AC" w:rsidRPr="00863049" w:rsidRDefault="00C828AC" w:rsidP="00E852D0">
      <w:pPr>
        <w:pStyle w:val="FootnoteText"/>
        <w:rPr>
          <w:rFonts w:asciiTheme="majorBidi" w:hAnsiTheme="majorBidi" w:cstheme="majorBidi"/>
        </w:rPr>
      </w:pPr>
      <w:r w:rsidRPr="00863049">
        <w:rPr>
          <w:rStyle w:val="FootnoteReference"/>
          <w:rFonts w:asciiTheme="majorBidi" w:hAnsiTheme="majorBidi" w:cstheme="majorBidi"/>
        </w:rPr>
        <w:footnoteRef/>
      </w:r>
      <w:r w:rsidRPr="00863049">
        <w:rPr>
          <w:rFonts w:asciiTheme="majorBidi" w:hAnsiTheme="majorBidi" w:cstheme="majorBidi"/>
        </w:rPr>
        <w:t xml:space="preserve"> The high fluctuation and volatility of the DVA and FVA shares however warrant further examination over a longer-term horizon beyond 2018 once data becomes available. </w:t>
      </w:r>
    </w:p>
  </w:footnote>
  <w:footnote w:id="10">
    <w:p w14:paraId="38A4E9A2" w14:textId="39FA77E9" w:rsidR="00D75B37" w:rsidRPr="00D75B37" w:rsidRDefault="00D75B37">
      <w:pPr>
        <w:pStyle w:val="FootnoteText"/>
      </w:pPr>
      <w:r>
        <w:rPr>
          <w:rStyle w:val="FootnoteReference"/>
        </w:rPr>
        <w:footnoteRef/>
      </w:r>
      <w:r>
        <w:t xml:space="preserve"> </w:t>
      </w:r>
      <w:r w:rsidR="003E43DE">
        <w:rPr>
          <w:rFonts w:asciiTheme="majorBidi" w:eastAsiaTheme="minorEastAsia" w:hAnsiTheme="majorBidi" w:cstheme="majorBidi"/>
          <w:sz w:val="24"/>
          <w:szCs w:val="24"/>
        </w:rPr>
        <w:t>We exclude</w:t>
      </w:r>
      <w:r w:rsidR="003E43DE" w:rsidRPr="00223BBD">
        <w:rPr>
          <w:rFonts w:asciiTheme="majorBidi" w:eastAsiaTheme="minorEastAsia" w:hAnsiTheme="majorBidi" w:cstheme="majorBidi"/>
          <w:sz w:val="24"/>
          <w:szCs w:val="24"/>
        </w:rPr>
        <w:t xml:space="preserve"> re-exports and re-imports </w:t>
      </w:r>
      <w:r w:rsidR="003E43DE">
        <w:rPr>
          <w:rFonts w:asciiTheme="majorBidi" w:eastAsiaTheme="minorEastAsia" w:hAnsiTheme="majorBidi" w:cstheme="majorBidi"/>
          <w:sz w:val="24"/>
          <w:szCs w:val="24"/>
        </w:rPr>
        <w:t xml:space="preserve">which are </w:t>
      </w:r>
      <w:r w:rsidR="00BD4A1C">
        <w:rPr>
          <w:rFonts w:asciiTheme="majorBidi" w:eastAsiaTheme="minorEastAsia" w:hAnsiTheme="majorBidi" w:cstheme="majorBidi"/>
          <w:sz w:val="24"/>
          <w:szCs w:val="24"/>
        </w:rPr>
        <w:t xml:space="preserve">almost entirely </w:t>
      </w:r>
      <w:r w:rsidR="003E43DE" w:rsidRPr="00223BBD">
        <w:rPr>
          <w:rFonts w:asciiTheme="majorBidi" w:eastAsiaTheme="minorEastAsia" w:hAnsiTheme="majorBidi" w:cstheme="majorBidi"/>
          <w:sz w:val="24"/>
          <w:szCs w:val="24"/>
        </w:rPr>
        <w:t>accounted for by foreign content</w:t>
      </w:r>
    </w:p>
  </w:footnote>
  <w:footnote w:id="11">
    <w:p w14:paraId="467110E0" w14:textId="6D97ADD8" w:rsidR="009E48D3" w:rsidRPr="00E46D4F" w:rsidRDefault="009E48D3">
      <w:pPr>
        <w:pStyle w:val="FootnoteText"/>
        <w:rPr>
          <w:rFonts w:asciiTheme="majorBidi" w:hAnsiTheme="majorBidi" w:cstheme="majorBidi"/>
        </w:rPr>
      </w:pPr>
      <w:r w:rsidRPr="00E46D4F">
        <w:rPr>
          <w:rStyle w:val="FootnoteReference"/>
          <w:rFonts w:asciiTheme="majorBidi" w:hAnsiTheme="majorBidi" w:cstheme="majorBidi"/>
        </w:rPr>
        <w:footnoteRef/>
      </w:r>
      <w:r w:rsidRPr="00E46D4F">
        <w:rPr>
          <w:rFonts w:asciiTheme="majorBidi" w:hAnsiTheme="majorBidi" w:cstheme="majorBidi"/>
        </w:rPr>
        <w:t xml:space="preserve"> </w:t>
      </w:r>
      <w:r w:rsidR="00B23222" w:rsidRPr="00E46D4F">
        <w:rPr>
          <w:rFonts w:asciiTheme="majorBidi" w:hAnsiTheme="majorBidi" w:cstheme="majorBidi"/>
        </w:rPr>
        <w:t>We produce alternative estimates in which GDP is replaced with GDP per capita. The positive effect on DVA holds.</w:t>
      </w:r>
    </w:p>
  </w:footnote>
  <w:footnote w:id="12">
    <w:p w14:paraId="5587DE8A" w14:textId="1EC455D2" w:rsidR="00CB63C0" w:rsidRPr="00CB63C0" w:rsidRDefault="00CB63C0">
      <w:pPr>
        <w:pStyle w:val="FootnoteText"/>
      </w:pPr>
      <w:r w:rsidRPr="00E46D4F">
        <w:rPr>
          <w:rStyle w:val="FootnoteReference"/>
          <w:rFonts w:asciiTheme="majorBidi" w:hAnsiTheme="majorBidi" w:cstheme="majorBidi"/>
        </w:rPr>
        <w:footnoteRef/>
      </w:r>
      <w:r w:rsidRPr="00E46D4F">
        <w:rPr>
          <w:rFonts w:asciiTheme="majorBidi" w:hAnsiTheme="majorBidi" w:cstheme="majorBidi"/>
        </w:rPr>
        <w:t xml:space="preserve"> In alter</w:t>
      </w:r>
      <w:r w:rsidR="00F35173" w:rsidRPr="00E46D4F">
        <w:rPr>
          <w:rFonts w:asciiTheme="majorBidi" w:hAnsiTheme="majorBidi" w:cstheme="majorBidi"/>
        </w:rPr>
        <w:t xml:space="preserve">native specifications, this study replaces labor productivity with GDP per capita as a </w:t>
      </w:r>
      <w:r w:rsidR="00E46D4F" w:rsidRPr="00E46D4F">
        <w:rPr>
          <w:rFonts w:asciiTheme="majorBidi" w:hAnsiTheme="majorBidi" w:cstheme="majorBidi"/>
        </w:rPr>
        <w:t>rough proxy given lack of skilled-disaggregated labor productivity.</w:t>
      </w:r>
    </w:p>
  </w:footnote>
  <w:footnote w:id="13">
    <w:p w14:paraId="53C0EAD4" w14:textId="77777777" w:rsidR="002D4C05" w:rsidRPr="00B46A5C" w:rsidRDefault="002D4C05" w:rsidP="002D4C05">
      <w:pPr>
        <w:pStyle w:val="FootnoteText"/>
        <w:rPr>
          <w:rFonts w:asciiTheme="majorBidi" w:hAnsiTheme="majorBidi" w:cstheme="majorBidi"/>
          <w:lang w:val="en-US"/>
        </w:rPr>
      </w:pPr>
      <w:r w:rsidRPr="00B46A5C">
        <w:rPr>
          <w:rStyle w:val="FootnoteReference"/>
          <w:rFonts w:asciiTheme="majorBidi" w:hAnsiTheme="majorBidi" w:cstheme="majorBidi"/>
        </w:rPr>
        <w:footnoteRef/>
      </w:r>
      <w:r w:rsidRPr="00B46A5C">
        <w:rPr>
          <w:rFonts w:asciiTheme="majorBidi" w:hAnsiTheme="majorBidi" w:cstheme="majorBidi"/>
        </w:rPr>
        <w:t xml:space="preserve"> </w:t>
      </w:r>
      <w:r w:rsidRPr="00B46A5C">
        <w:rPr>
          <w:rFonts w:asciiTheme="majorBidi" w:hAnsiTheme="majorBidi" w:cstheme="majorBidi"/>
          <w:lang w:val="en-US"/>
        </w:rPr>
        <w:t>Tariff rates averaged 7.1% in Sub-Saharan Africa during the period 1990-2013, compared to global average of 1.6%.</w:t>
      </w:r>
    </w:p>
  </w:footnote>
  <w:footnote w:id="14">
    <w:p w14:paraId="366947B1" w14:textId="7A50715E" w:rsidR="00790132" w:rsidRPr="00790132" w:rsidRDefault="00790132">
      <w:pPr>
        <w:pStyle w:val="FootnoteText"/>
        <w:rPr>
          <w:lang w:val="en-US"/>
        </w:rPr>
      </w:pPr>
      <w:r w:rsidRPr="00B46A5C">
        <w:rPr>
          <w:rStyle w:val="FootnoteReference"/>
          <w:rFonts w:asciiTheme="majorBidi" w:hAnsiTheme="majorBidi" w:cstheme="majorBidi"/>
        </w:rPr>
        <w:footnoteRef/>
      </w:r>
      <w:r w:rsidRPr="00B46A5C">
        <w:rPr>
          <w:rFonts w:asciiTheme="majorBidi" w:hAnsiTheme="majorBidi" w:cstheme="majorBidi"/>
        </w:rPr>
        <w:t xml:space="preserve"> </w:t>
      </w:r>
      <w:r w:rsidRPr="00B46A5C">
        <w:rPr>
          <w:rFonts w:asciiTheme="majorBidi" w:hAnsiTheme="majorBidi" w:cstheme="majorBidi"/>
          <w:lang w:val="en-US"/>
        </w:rPr>
        <w:t xml:space="preserve">A similar observation is found in unreported results when using the </w:t>
      </w:r>
      <w:r w:rsidR="00B46A5C" w:rsidRPr="00B46A5C">
        <w:rPr>
          <w:rFonts w:asciiTheme="majorBidi" w:hAnsiTheme="majorBidi" w:cstheme="majorBidi"/>
          <w:lang w:val="en-US"/>
        </w:rPr>
        <w:t>ratio of manufacturing value added to GDP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A8A"/>
    <w:multiLevelType w:val="multilevel"/>
    <w:tmpl w:val="AA2270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AA7344"/>
    <w:multiLevelType w:val="hybridMultilevel"/>
    <w:tmpl w:val="DA4AE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2027DB"/>
    <w:multiLevelType w:val="hybridMultilevel"/>
    <w:tmpl w:val="909635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605020">
    <w:abstractNumId w:val="2"/>
  </w:num>
  <w:num w:numId="2" w16cid:durableId="1304390877">
    <w:abstractNumId w:val="0"/>
  </w:num>
  <w:num w:numId="3" w16cid:durableId="1329179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Mold">
    <w15:presenceInfo w15:providerId="AD" w15:userId="S::mold@un.org::73cf5d4d-4475-4188-90b2-93c85203b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K2tDA1MzYxNzexNDNS0lEKTi0uzszPAykwrAUAf6ftFywAAAA="/>
  </w:docVars>
  <w:rsids>
    <w:rsidRoot w:val="001C007A"/>
    <w:rsid w:val="000055C4"/>
    <w:rsid w:val="0000702F"/>
    <w:rsid w:val="0001116B"/>
    <w:rsid w:val="000131B7"/>
    <w:rsid w:val="00013964"/>
    <w:rsid w:val="0001458F"/>
    <w:rsid w:val="00014A49"/>
    <w:rsid w:val="0001619D"/>
    <w:rsid w:val="00016579"/>
    <w:rsid w:val="00016695"/>
    <w:rsid w:val="00016712"/>
    <w:rsid w:val="00016847"/>
    <w:rsid w:val="00017B15"/>
    <w:rsid w:val="00020451"/>
    <w:rsid w:val="00024B5F"/>
    <w:rsid w:val="00026FEA"/>
    <w:rsid w:val="00031D14"/>
    <w:rsid w:val="000331EF"/>
    <w:rsid w:val="0003413D"/>
    <w:rsid w:val="00034B4C"/>
    <w:rsid w:val="00034FD0"/>
    <w:rsid w:val="00043EFE"/>
    <w:rsid w:val="00044B29"/>
    <w:rsid w:val="00045596"/>
    <w:rsid w:val="000506E0"/>
    <w:rsid w:val="0005720E"/>
    <w:rsid w:val="00060DBA"/>
    <w:rsid w:val="0006321E"/>
    <w:rsid w:val="00063FA3"/>
    <w:rsid w:val="00066EA9"/>
    <w:rsid w:val="000709F6"/>
    <w:rsid w:val="0007359A"/>
    <w:rsid w:val="000810FA"/>
    <w:rsid w:val="00082D65"/>
    <w:rsid w:val="0008311D"/>
    <w:rsid w:val="0008339F"/>
    <w:rsid w:val="00085175"/>
    <w:rsid w:val="0008537E"/>
    <w:rsid w:val="00091A98"/>
    <w:rsid w:val="00092C2A"/>
    <w:rsid w:val="000A1BC9"/>
    <w:rsid w:val="000A26D0"/>
    <w:rsid w:val="000A41E6"/>
    <w:rsid w:val="000A64B3"/>
    <w:rsid w:val="000B01FB"/>
    <w:rsid w:val="000B0315"/>
    <w:rsid w:val="000B0C9D"/>
    <w:rsid w:val="000B72D7"/>
    <w:rsid w:val="000C0A37"/>
    <w:rsid w:val="000C1829"/>
    <w:rsid w:val="000C3C5E"/>
    <w:rsid w:val="000C5AA3"/>
    <w:rsid w:val="000C65AC"/>
    <w:rsid w:val="000D152C"/>
    <w:rsid w:val="000D2F73"/>
    <w:rsid w:val="000D38CC"/>
    <w:rsid w:val="000D409A"/>
    <w:rsid w:val="000D4F58"/>
    <w:rsid w:val="000D523A"/>
    <w:rsid w:val="000D5256"/>
    <w:rsid w:val="000D7223"/>
    <w:rsid w:val="000E099A"/>
    <w:rsid w:val="000E1127"/>
    <w:rsid w:val="000E11F9"/>
    <w:rsid w:val="000E2284"/>
    <w:rsid w:val="000E69B9"/>
    <w:rsid w:val="000F589D"/>
    <w:rsid w:val="000F5B28"/>
    <w:rsid w:val="0010113E"/>
    <w:rsid w:val="00101A2C"/>
    <w:rsid w:val="00102FED"/>
    <w:rsid w:val="0010305C"/>
    <w:rsid w:val="00105130"/>
    <w:rsid w:val="00107B05"/>
    <w:rsid w:val="00111CA8"/>
    <w:rsid w:val="001131AA"/>
    <w:rsid w:val="001163FA"/>
    <w:rsid w:val="001216F7"/>
    <w:rsid w:val="00121AC7"/>
    <w:rsid w:val="0012726E"/>
    <w:rsid w:val="00132330"/>
    <w:rsid w:val="00134839"/>
    <w:rsid w:val="00143878"/>
    <w:rsid w:val="0015150F"/>
    <w:rsid w:val="001527CE"/>
    <w:rsid w:val="00153E43"/>
    <w:rsid w:val="001547FE"/>
    <w:rsid w:val="00162F43"/>
    <w:rsid w:val="00163AA6"/>
    <w:rsid w:val="00164D5A"/>
    <w:rsid w:val="00166B6C"/>
    <w:rsid w:val="00166BC7"/>
    <w:rsid w:val="00170BFE"/>
    <w:rsid w:val="00171A67"/>
    <w:rsid w:val="0017652B"/>
    <w:rsid w:val="00182FB0"/>
    <w:rsid w:val="00190621"/>
    <w:rsid w:val="00191AEA"/>
    <w:rsid w:val="00192F22"/>
    <w:rsid w:val="00193012"/>
    <w:rsid w:val="00193750"/>
    <w:rsid w:val="001942E1"/>
    <w:rsid w:val="00196022"/>
    <w:rsid w:val="001A01AD"/>
    <w:rsid w:val="001A031F"/>
    <w:rsid w:val="001A0A33"/>
    <w:rsid w:val="001A2BB5"/>
    <w:rsid w:val="001A4157"/>
    <w:rsid w:val="001A4F68"/>
    <w:rsid w:val="001A7B26"/>
    <w:rsid w:val="001B3573"/>
    <w:rsid w:val="001B3CEC"/>
    <w:rsid w:val="001B5709"/>
    <w:rsid w:val="001B5CEE"/>
    <w:rsid w:val="001B7D6C"/>
    <w:rsid w:val="001C007A"/>
    <w:rsid w:val="001C08F9"/>
    <w:rsid w:val="001C5E91"/>
    <w:rsid w:val="001C6989"/>
    <w:rsid w:val="001D1D6C"/>
    <w:rsid w:val="001D7B62"/>
    <w:rsid w:val="001E33E8"/>
    <w:rsid w:val="001E3E3B"/>
    <w:rsid w:val="001E46DB"/>
    <w:rsid w:val="001F081F"/>
    <w:rsid w:val="001F2CED"/>
    <w:rsid w:val="001F44FD"/>
    <w:rsid w:val="001F5209"/>
    <w:rsid w:val="00203870"/>
    <w:rsid w:val="00211186"/>
    <w:rsid w:val="002222AB"/>
    <w:rsid w:val="00223BBD"/>
    <w:rsid w:val="0022489F"/>
    <w:rsid w:val="00234AE1"/>
    <w:rsid w:val="00236635"/>
    <w:rsid w:val="002406C8"/>
    <w:rsid w:val="00241460"/>
    <w:rsid w:val="00245020"/>
    <w:rsid w:val="00245965"/>
    <w:rsid w:val="00245C5D"/>
    <w:rsid w:val="00252362"/>
    <w:rsid w:val="00253DA0"/>
    <w:rsid w:val="00261723"/>
    <w:rsid w:val="00261882"/>
    <w:rsid w:val="00261DFC"/>
    <w:rsid w:val="00262644"/>
    <w:rsid w:val="00265840"/>
    <w:rsid w:val="00266A1F"/>
    <w:rsid w:val="00270942"/>
    <w:rsid w:val="002729F6"/>
    <w:rsid w:val="00274615"/>
    <w:rsid w:val="0027481A"/>
    <w:rsid w:val="00275837"/>
    <w:rsid w:val="00276763"/>
    <w:rsid w:val="002769EE"/>
    <w:rsid w:val="00276C7A"/>
    <w:rsid w:val="00281ED8"/>
    <w:rsid w:val="00285EDF"/>
    <w:rsid w:val="00290495"/>
    <w:rsid w:val="00290F36"/>
    <w:rsid w:val="002910B1"/>
    <w:rsid w:val="002910DD"/>
    <w:rsid w:val="00291D1A"/>
    <w:rsid w:val="00292D5D"/>
    <w:rsid w:val="00293435"/>
    <w:rsid w:val="00297EE4"/>
    <w:rsid w:val="00297EF1"/>
    <w:rsid w:val="002A4C5F"/>
    <w:rsid w:val="002B3EC1"/>
    <w:rsid w:val="002B4430"/>
    <w:rsid w:val="002B4BB8"/>
    <w:rsid w:val="002C004C"/>
    <w:rsid w:val="002C3CF7"/>
    <w:rsid w:val="002C4BFA"/>
    <w:rsid w:val="002C5AC8"/>
    <w:rsid w:val="002D090C"/>
    <w:rsid w:val="002D115F"/>
    <w:rsid w:val="002D191B"/>
    <w:rsid w:val="002D1C94"/>
    <w:rsid w:val="002D4C05"/>
    <w:rsid w:val="002D4EF1"/>
    <w:rsid w:val="002D7807"/>
    <w:rsid w:val="002E04A3"/>
    <w:rsid w:val="002E0634"/>
    <w:rsid w:val="002E0FB7"/>
    <w:rsid w:val="002E17E7"/>
    <w:rsid w:val="002E1D57"/>
    <w:rsid w:val="002E20C3"/>
    <w:rsid w:val="002E3454"/>
    <w:rsid w:val="002E400D"/>
    <w:rsid w:val="002E57D0"/>
    <w:rsid w:val="002F1209"/>
    <w:rsid w:val="002F1453"/>
    <w:rsid w:val="002F1CA8"/>
    <w:rsid w:val="002F38C8"/>
    <w:rsid w:val="002F3F81"/>
    <w:rsid w:val="002F7886"/>
    <w:rsid w:val="00303519"/>
    <w:rsid w:val="00305DE0"/>
    <w:rsid w:val="0030606E"/>
    <w:rsid w:val="00306FC0"/>
    <w:rsid w:val="00311044"/>
    <w:rsid w:val="00312465"/>
    <w:rsid w:val="003146F0"/>
    <w:rsid w:val="0031574B"/>
    <w:rsid w:val="00317076"/>
    <w:rsid w:val="003170AB"/>
    <w:rsid w:val="00321B2D"/>
    <w:rsid w:val="003246A1"/>
    <w:rsid w:val="0032571E"/>
    <w:rsid w:val="003276D9"/>
    <w:rsid w:val="00330310"/>
    <w:rsid w:val="003309C3"/>
    <w:rsid w:val="00333CA9"/>
    <w:rsid w:val="00334AA7"/>
    <w:rsid w:val="003437E9"/>
    <w:rsid w:val="003539F5"/>
    <w:rsid w:val="00354624"/>
    <w:rsid w:val="003560DB"/>
    <w:rsid w:val="003607C1"/>
    <w:rsid w:val="00360FF7"/>
    <w:rsid w:val="0036346C"/>
    <w:rsid w:val="00365BE6"/>
    <w:rsid w:val="00365BEE"/>
    <w:rsid w:val="0036682F"/>
    <w:rsid w:val="00366CA1"/>
    <w:rsid w:val="0037280E"/>
    <w:rsid w:val="00375F1A"/>
    <w:rsid w:val="0037731E"/>
    <w:rsid w:val="003779CA"/>
    <w:rsid w:val="00383241"/>
    <w:rsid w:val="00383508"/>
    <w:rsid w:val="00386791"/>
    <w:rsid w:val="0038681C"/>
    <w:rsid w:val="00391CBD"/>
    <w:rsid w:val="003A1608"/>
    <w:rsid w:val="003A59C5"/>
    <w:rsid w:val="003B4CEE"/>
    <w:rsid w:val="003B4F2E"/>
    <w:rsid w:val="003B7FF2"/>
    <w:rsid w:val="003C0E7C"/>
    <w:rsid w:val="003C143C"/>
    <w:rsid w:val="003C1EC7"/>
    <w:rsid w:val="003C2A21"/>
    <w:rsid w:val="003C6607"/>
    <w:rsid w:val="003C6FCB"/>
    <w:rsid w:val="003C701B"/>
    <w:rsid w:val="003D2F21"/>
    <w:rsid w:val="003D37CE"/>
    <w:rsid w:val="003D5AE7"/>
    <w:rsid w:val="003E1BD4"/>
    <w:rsid w:val="003E43DE"/>
    <w:rsid w:val="003E45C6"/>
    <w:rsid w:val="003E6260"/>
    <w:rsid w:val="003E6556"/>
    <w:rsid w:val="003E784A"/>
    <w:rsid w:val="003E7855"/>
    <w:rsid w:val="003F4FDE"/>
    <w:rsid w:val="003F64E4"/>
    <w:rsid w:val="003F7AC4"/>
    <w:rsid w:val="0040073C"/>
    <w:rsid w:val="00401F46"/>
    <w:rsid w:val="00402347"/>
    <w:rsid w:val="0040259A"/>
    <w:rsid w:val="00410F90"/>
    <w:rsid w:val="004149BB"/>
    <w:rsid w:val="00414EC7"/>
    <w:rsid w:val="0041511A"/>
    <w:rsid w:val="00422747"/>
    <w:rsid w:val="00423503"/>
    <w:rsid w:val="0042471A"/>
    <w:rsid w:val="004261C0"/>
    <w:rsid w:val="004308C0"/>
    <w:rsid w:val="0043099B"/>
    <w:rsid w:val="00432B05"/>
    <w:rsid w:val="00434513"/>
    <w:rsid w:val="00437FA1"/>
    <w:rsid w:val="00446695"/>
    <w:rsid w:val="00446F47"/>
    <w:rsid w:val="004471B3"/>
    <w:rsid w:val="0044734F"/>
    <w:rsid w:val="00450A70"/>
    <w:rsid w:val="00457AF7"/>
    <w:rsid w:val="00457D59"/>
    <w:rsid w:val="004618B6"/>
    <w:rsid w:val="00462104"/>
    <w:rsid w:val="0046451E"/>
    <w:rsid w:val="00464C46"/>
    <w:rsid w:val="00465967"/>
    <w:rsid w:val="00470CC0"/>
    <w:rsid w:val="00470F36"/>
    <w:rsid w:val="004722C0"/>
    <w:rsid w:val="00476052"/>
    <w:rsid w:val="004773C4"/>
    <w:rsid w:val="004814D1"/>
    <w:rsid w:val="00482DB6"/>
    <w:rsid w:val="00485B62"/>
    <w:rsid w:val="0048622B"/>
    <w:rsid w:val="00487657"/>
    <w:rsid w:val="00487A82"/>
    <w:rsid w:val="00490FAE"/>
    <w:rsid w:val="00490FF7"/>
    <w:rsid w:val="00491534"/>
    <w:rsid w:val="004934DE"/>
    <w:rsid w:val="004939C0"/>
    <w:rsid w:val="004952C8"/>
    <w:rsid w:val="004959CC"/>
    <w:rsid w:val="004961DC"/>
    <w:rsid w:val="004A6406"/>
    <w:rsid w:val="004A7BD4"/>
    <w:rsid w:val="004A7F8A"/>
    <w:rsid w:val="004B3873"/>
    <w:rsid w:val="004B65DE"/>
    <w:rsid w:val="004B7682"/>
    <w:rsid w:val="004C0E8F"/>
    <w:rsid w:val="004C244C"/>
    <w:rsid w:val="004C43CF"/>
    <w:rsid w:val="004C583C"/>
    <w:rsid w:val="004C5B8F"/>
    <w:rsid w:val="004C6003"/>
    <w:rsid w:val="004C6779"/>
    <w:rsid w:val="004C77F3"/>
    <w:rsid w:val="004D1FFC"/>
    <w:rsid w:val="004E3E2F"/>
    <w:rsid w:val="004E52BF"/>
    <w:rsid w:val="004E5B9B"/>
    <w:rsid w:val="004E655B"/>
    <w:rsid w:val="004E69C7"/>
    <w:rsid w:val="004E7456"/>
    <w:rsid w:val="004E7CAC"/>
    <w:rsid w:val="004F062C"/>
    <w:rsid w:val="004F2EF7"/>
    <w:rsid w:val="004F3B35"/>
    <w:rsid w:val="004F560A"/>
    <w:rsid w:val="0050007D"/>
    <w:rsid w:val="005012A6"/>
    <w:rsid w:val="005029E1"/>
    <w:rsid w:val="00502E3F"/>
    <w:rsid w:val="00503F55"/>
    <w:rsid w:val="00507E75"/>
    <w:rsid w:val="00510019"/>
    <w:rsid w:val="00515B91"/>
    <w:rsid w:val="00531FCE"/>
    <w:rsid w:val="0053213E"/>
    <w:rsid w:val="00534D16"/>
    <w:rsid w:val="00536061"/>
    <w:rsid w:val="005427DF"/>
    <w:rsid w:val="00544D85"/>
    <w:rsid w:val="00545A57"/>
    <w:rsid w:val="00546E52"/>
    <w:rsid w:val="0055024F"/>
    <w:rsid w:val="00555331"/>
    <w:rsid w:val="005605B2"/>
    <w:rsid w:val="005611A6"/>
    <w:rsid w:val="00563C94"/>
    <w:rsid w:val="0056613D"/>
    <w:rsid w:val="005703D8"/>
    <w:rsid w:val="00570AB6"/>
    <w:rsid w:val="005736E0"/>
    <w:rsid w:val="00573898"/>
    <w:rsid w:val="005745C8"/>
    <w:rsid w:val="00580224"/>
    <w:rsid w:val="00581880"/>
    <w:rsid w:val="00585B01"/>
    <w:rsid w:val="00585EAA"/>
    <w:rsid w:val="0059116E"/>
    <w:rsid w:val="00595592"/>
    <w:rsid w:val="005A0C23"/>
    <w:rsid w:val="005A2438"/>
    <w:rsid w:val="005A3BEA"/>
    <w:rsid w:val="005A4360"/>
    <w:rsid w:val="005A44FB"/>
    <w:rsid w:val="005A6CFF"/>
    <w:rsid w:val="005B0499"/>
    <w:rsid w:val="005C14CD"/>
    <w:rsid w:val="005C1DB4"/>
    <w:rsid w:val="005C36F0"/>
    <w:rsid w:val="005C508E"/>
    <w:rsid w:val="005C6017"/>
    <w:rsid w:val="005C7A6B"/>
    <w:rsid w:val="005D4094"/>
    <w:rsid w:val="005D5802"/>
    <w:rsid w:val="005E0E27"/>
    <w:rsid w:val="005E2FBD"/>
    <w:rsid w:val="005E46D7"/>
    <w:rsid w:val="005E72CE"/>
    <w:rsid w:val="005F01C2"/>
    <w:rsid w:val="005F0F77"/>
    <w:rsid w:val="005F4DC0"/>
    <w:rsid w:val="005F5000"/>
    <w:rsid w:val="005F5255"/>
    <w:rsid w:val="005F61C4"/>
    <w:rsid w:val="005F74AE"/>
    <w:rsid w:val="005F7CD4"/>
    <w:rsid w:val="005F7E18"/>
    <w:rsid w:val="00600F10"/>
    <w:rsid w:val="00601444"/>
    <w:rsid w:val="006017AF"/>
    <w:rsid w:val="00601877"/>
    <w:rsid w:val="00602AE5"/>
    <w:rsid w:val="00604A0E"/>
    <w:rsid w:val="00604CD3"/>
    <w:rsid w:val="00607456"/>
    <w:rsid w:val="00611084"/>
    <w:rsid w:val="00612069"/>
    <w:rsid w:val="00613C63"/>
    <w:rsid w:val="00616422"/>
    <w:rsid w:val="00617152"/>
    <w:rsid w:val="0062040E"/>
    <w:rsid w:val="006224DE"/>
    <w:rsid w:val="00622DE1"/>
    <w:rsid w:val="00623E8C"/>
    <w:rsid w:val="00626A7E"/>
    <w:rsid w:val="006324C8"/>
    <w:rsid w:val="00632A4B"/>
    <w:rsid w:val="00632F76"/>
    <w:rsid w:val="00637709"/>
    <w:rsid w:val="00641A04"/>
    <w:rsid w:val="0065062F"/>
    <w:rsid w:val="00652975"/>
    <w:rsid w:val="00652BCE"/>
    <w:rsid w:val="006536F8"/>
    <w:rsid w:val="006540F5"/>
    <w:rsid w:val="006546ED"/>
    <w:rsid w:val="00656CD7"/>
    <w:rsid w:val="00661CCA"/>
    <w:rsid w:val="006632DE"/>
    <w:rsid w:val="00663EB7"/>
    <w:rsid w:val="00667B4B"/>
    <w:rsid w:val="0067422C"/>
    <w:rsid w:val="0067636C"/>
    <w:rsid w:val="00677D31"/>
    <w:rsid w:val="00686453"/>
    <w:rsid w:val="00690C9D"/>
    <w:rsid w:val="00692814"/>
    <w:rsid w:val="0069341C"/>
    <w:rsid w:val="006966C4"/>
    <w:rsid w:val="00696EE5"/>
    <w:rsid w:val="006A0818"/>
    <w:rsid w:val="006A2AF3"/>
    <w:rsid w:val="006A38FF"/>
    <w:rsid w:val="006A61E0"/>
    <w:rsid w:val="006B18E5"/>
    <w:rsid w:val="006B2C38"/>
    <w:rsid w:val="006B57E3"/>
    <w:rsid w:val="006B7C8C"/>
    <w:rsid w:val="006C1CF4"/>
    <w:rsid w:val="006C449A"/>
    <w:rsid w:val="006C5E77"/>
    <w:rsid w:val="006C5F55"/>
    <w:rsid w:val="006C6D39"/>
    <w:rsid w:val="006C6D74"/>
    <w:rsid w:val="006C6F43"/>
    <w:rsid w:val="006D6AB6"/>
    <w:rsid w:val="006D7132"/>
    <w:rsid w:val="006E0243"/>
    <w:rsid w:val="006E1696"/>
    <w:rsid w:val="006E63D3"/>
    <w:rsid w:val="006E70E9"/>
    <w:rsid w:val="006E7542"/>
    <w:rsid w:val="006F1892"/>
    <w:rsid w:val="007000B8"/>
    <w:rsid w:val="0070059F"/>
    <w:rsid w:val="007026EA"/>
    <w:rsid w:val="00704ABA"/>
    <w:rsid w:val="00705B92"/>
    <w:rsid w:val="007105D8"/>
    <w:rsid w:val="00713230"/>
    <w:rsid w:val="00714088"/>
    <w:rsid w:val="00714358"/>
    <w:rsid w:val="00714E26"/>
    <w:rsid w:val="007162BA"/>
    <w:rsid w:val="00720829"/>
    <w:rsid w:val="0072338A"/>
    <w:rsid w:val="00724688"/>
    <w:rsid w:val="00730732"/>
    <w:rsid w:val="00732BDD"/>
    <w:rsid w:val="00733CC4"/>
    <w:rsid w:val="007348B2"/>
    <w:rsid w:val="00735E17"/>
    <w:rsid w:val="00736B21"/>
    <w:rsid w:val="0074088E"/>
    <w:rsid w:val="00741633"/>
    <w:rsid w:val="00743E9A"/>
    <w:rsid w:val="00744498"/>
    <w:rsid w:val="00752ED9"/>
    <w:rsid w:val="00754B0B"/>
    <w:rsid w:val="00757BB9"/>
    <w:rsid w:val="00757D11"/>
    <w:rsid w:val="00760EC8"/>
    <w:rsid w:val="00763634"/>
    <w:rsid w:val="00763C5C"/>
    <w:rsid w:val="00766D97"/>
    <w:rsid w:val="00767B6D"/>
    <w:rsid w:val="007748EB"/>
    <w:rsid w:val="0078007A"/>
    <w:rsid w:val="007802CD"/>
    <w:rsid w:val="00780919"/>
    <w:rsid w:val="00783881"/>
    <w:rsid w:val="00784CD9"/>
    <w:rsid w:val="00785137"/>
    <w:rsid w:val="007866A1"/>
    <w:rsid w:val="00790132"/>
    <w:rsid w:val="0079133E"/>
    <w:rsid w:val="00791889"/>
    <w:rsid w:val="007943C4"/>
    <w:rsid w:val="007A2652"/>
    <w:rsid w:val="007A2B79"/>
    <w:rsid w:val="007A7554"/>
    <w:rsid w:val="007B2483"/>
    <w:rsid w:val="007B40CA"/>
    <w:rsid w:val="007B7FDD"/>
    <w:rsid w:val="007C3235"/>
    <w:rsid w:val="007C44F9"/>
    <w:rsid w:val="007C7997"/>
    <w:rsid w:val="007D0270"/>
    <w:rsid w:val="007D2A4D"/>
    <w:rsid w:val="007D3CDC"/>
    <w:rsid w:val="007D3F70"/>
    <w:rsid w:val="007D482F"/>
    <w:rsid w:val="007E2684"/>
    <w:rsid w:val="007E417D"/>
    <w:rsid w:val="007E41D1"/>
    <w:rsid w:val="007E44C0"/>
    <w:rsid w:val="007E55B4"/>
    <w:rsid w:val="007E676B"/>
    <w:rsid w:val="007E707B"/>
    <w:rsid w:val="007F3AE2"/>
    <w:rsid w:val="007F7906"/>
    <w:rsid w:val="00804FF0"/>
    <w:rsid w:val="00814983"/>
    <w:rsid w:val="00816FEF"/>
    <w:rsid w:val="008258EB"/>
    <w:rsid w:val="008313CD"/>
    <w:rsid w:val="00831C64"/>
    <w:rsid w:val="00831F4F"/>
    <w:rsid w:val="00835400"/>
    <w:rsid w:val="00836EED"/>
    <w:rsid w:val="00837A43"/>
    <w:rsid w:val="0084079D"/>
    <w:rsid w:val="00840869"/>
    <w:rsid w:val="00840DC9"/>
    <w:rsid w:val="00841616"/>
    <w:rsid w:val="008416FB"/>
    <w:rsid w:val="00843D03"/>
    <w:rsid w:val="0084691F"/>
    <w:rsid w:val="008569C7"/>
    <w:rsid w:val="00863049"/>
    <w:rsid w:val="008632FB"/>
    <w:rsid w:val="008700ED"/>
    <w:rsid w:val="008701EF"/>
    <w:rsid w:val="00871004"/>
    <w:rsid w:val="00873C8D"/>
    <w:rsid w:val="00891221"/>
    <w:rsid w:val="0089161C"/>
    <w:rsid w:val="00891A20"/>
    <w:rsid w:val="008956F2"/>
    <w:rsid w:val="00897CAE"/>
    <w:rsid w:val="008A1A08"/>
    <w:rsid w:val="008A5219"/>
    <w:rsid w:val="008B1E92"/>
    <w:rsid w:val="008B2F57"/>
    <w:rsid w:val="008B3300"/>
    <w:rsid w:val="008B3F2B"/>
    <w:rsid w:val="008B46FE"/>
    <w:rsid w:val="008B4FDC"/>
    <w:rsid w:val="008B6D1B"/>
    <w:rsid w:val="008C70C3"/>
    <w:rsid w:val="008C7CF3"/>
    <w:rsid w:val="008D721A"/>
    <w:rsid w:val="008E4A93"/>
    <w:rsid w:val="008E567F"/>
    <w:rsid w:val="008E62E0"/>
    <w:rsid w:val="008E664B"/>
    <w:rsid w:val="008F7407"/>
    <w:rsid w:val="00902858"/>
    <w:rsid w:val="00922FD6"/>
    <w:rsid w:val="0092447C"/>
    <w:rsid w:val="00925232"/>
    <w:rsid w:val="009300FF"/>
    <w:rsid w:val="00930F57"/>
    <w:rsid w:val="00932E00"/>
    <w:rsid w:val="00933D31"/>
    <w:rsid w:val="009401AE"/>
    <w:rsid w:val="009440DC"/>
    <w:rsid w:val="00946F0A"/>
    <w:rsid w:val="00950567"/>
    <w:rsid w:val="00954CFF"/>
    <w:rsid w:val="00955046"/>
    <w:rsid w:val="009558AE"/>
    <w:rsid w:val="00956876"/>
    <w:rsid w:val="0096147B"/>
    <w:rsid w:val="00963E9C"/>
    <w:rsid w:val="0097092F"/>
    <w:rsid w:val="00974237"/>
    <w:rsid w:val="0097500D"/>
    <w:rsid w:val="0098130F"/>
    <w:rsid w:val="00981ED3"/>
    <w:rsid w:val="00981F77"/>
    <w:rsid w:val="00982AEE"/>
    <w:rsid w:val="00982CD5"/>
    <w:rsid w:val="00983491"/>
    <w:rsid w:val="00992D0A"/>
    <w:rsid w:val="00992D97"/>
    <w:rsid w:val="00996EF6"/>
    <w:rsid w:val="009A0890"/>
    <w:rsid w:val="009A47A0"/>
    <w:rsid w:val="009A787C"/>
    <w:rsid w:val="009B0810"/>
    <w:rsid w:val="009B2B24"/>
    <w:rsid w:val="009B78A6"/>
    <w:rsid w:val="009C13B5"/>
    <w:rsid w:val="009C31C3"/>
    <w:rsid w:val="009C6ED9"/>
    <w:rsid w:val="009C7211"/>
    <w:rsid w:val="009C7D36"/>
    <w:rsid w:val="009D02B4"/>
    <w:rsid w:val="009D0D45"/>
    <w:rsid w:val="009D0F06"/>
    <w:rsid w:val="009D2612"/>
    <w:rsid w:val="009D3990"/>
    <w:rsid w:val="009D6FFA"/>
    <w:rsid w:val="009E0891"/>
    <w:rsid w:val="009E0F67"/>
    <w:rsid w:val="009E3D50"/>
    <w:rsid w:val="009E3E17"/>
    <w:rsid w:val="009E48D3"/>
    <w:rsid w:val="009E4C22"/>
    <w:rsid w:val="009E69E3"/>
    <w:rsid w:val="009F0A4A"/>
    <w:rsid w:val="009F479C"/>
    <w:rsid w:val="009F4BCF"/>
    <w:rsid w:val="009F4C58"/>
    <w:rsid w:val="009F70DA"/>
    <w:rsid w:val="00A032DB"/>
    <w:rsid w:val="00A0339A"/>
    <w:rsid w:val="00A0352C"/>
    <w:rsid w:val="00A04C6C"/>
    <w:rsid w:val="00A20584"/>
    <w:rsid w:val="00A20EF4"/>
    <w:rsid w:val="00A21174"/>
    <w:rsid w:val="00A22DBD"/>
    <w:rsid w:val="00A2485B"/>
    <w:rsid w:val="00A25DC3"/>
    <w:rsid w:val="00A27783"/>
    <w:rsid w:val="00A30601"/>
    <w:rsid w:val="00A34E8E"/>
    <w:rsid w:val="00A432BD"/>
    <w:rsid w:val="00A4498C"/>
    <w:rsid w:val="00A45BCD"/>
    <w:rsid w:val="00A52F6A"/>
    <w:rsid w:val="00A5564A"/>
    <w:rsid w:val="00A5621F"/>
    <w:rsid w:val="00A6139B"/>
    <w:rsid w:val="00A62135"/>
    <w:rsid w:val="00A62589"/>
    <w:rsid w:val="00A6300A"/>
    <w:rsid w:val="00A6486D"/>
    <w:rsid w:val="00A676C6"/>
    <w:rsid w:val="00A90DF8"/>
    <w:rsid w:val="00A913A8"/>
    <w:rsid w:val="00A91BFE"/>
    <w:rsid w:val="00A94FD8"/>
    <w:rsid w:val="00AA0314"/>
    <w:rsid w:val="00AA4275"/>
    <w:rsid w:val="00AA45B8"/>
    <w:rsid w:val="00AA4883"/>
    <w:rsid w:val="00AA5CF8"/>
    <w:rsid w:val="00AB20D0"/>
    <w:rsid w:val="00AC01F6"/>
    <w:rsid w:val="00AC0C6E"/>
    <w:rsid w:val="00AC1026"/>
    <w:rsid w:val="00AC353D"/>
    <w:rsid w:val="00AC4983"/>
    <w:rsid w:val="00AC64EC"/>
    <w:rsid w:val="00AC690A"/>
    <w:rsid w:val="00AD2556"/>
    <w:rsid w:val="00AD3B50"/>
    <w:rsid w:val="00AD5D18"/>
    <w:rsid w:val="00AD5FBA"/>
    <w:rsid w:val="00AD6EA4"/>
    <w:rsid w:val="00AD7F66"/>
    <w:rsid w:val="00AE034E"/>
    <w:rsid w:val="00AE188B"/>
    <w:rsid w:val="00AE4830"/>
    <w:rsid w:val="00AE4FC8"/>
    <w:rsid w:val="00AE665A"/>
    <w:rsid w:val="00AE66B9"/>
    <w:rsid w:val="00AE6DF1"/>
    <w:rsid w:val="00AF28C6"/>
    <w:rsid w:val="00AF33D4"/>
    <w:rsid w:val="00AF36D0"/>
    <w:rsid w:val="00AF48CA"/>
    <w:rsid w:val="00AF74EF"/>
    <w:rsid w:val="00B000BA"/>
    <w:rsid w:val="00B0313A"/>
    <w:rsid w:val="00B032B5"/>
    <w:rsid w:val="00B04FBC"/>
    <w:rsid w:val="00B05E8E"/>
    <w:rsid w:val="00B07452"/>
    <w:rsid w:val="00B10285"/>
    <w:rsid w:val="00B11D69"/>
    <w:rsid w:val="00B13C0E"/>
    <w:rsid w:val="00B165A5"/>
    <w:rsid w:val="00B2004C"/>
    <w:rsid w:val="00B203C9"/>
    <w:rsid w:val="00B23222"/>
    <w:rsid w:val="00B24DE6"/>
    <w:rsid w:val="00B26DD5"/>
    <w:rsid w:val="00B26FEC"/>
    <w:rsid w:val="00B3077D"/>
    <w:rsid w:val="00B30B98"/>
    <w:rsid w:val="00B31D73"/>
    <w:rsid w:val="00B34A59"/>
    <w:rsid w:val="00B35C81"/>
    <w:rsid w:val="00B37AF4"/>
    <w:rsid w:val="00B405F6"/>
    <w:rsid w:val="00B4352A"/>
    <w:rsid w:val="00B46223"/>
    <w:rsid w:val="00B46A5C"/>
    <w:rsid w:val="00B501EF"/>
    <w:rsid w:val="00B5203D"/>
    <w:rsid w:val="00B5279B"/>
    <w:rsid w:val="00B52D45"/>
    <w:rsid w:val="00B54D15"/>
    <w:rsid w:val="00B57412"/>
    <w:rsid w:val="00B6316D"/>
    <w:rsid w:val="00B65D4F"/>
    <w:rsid w:val="00B705D7"/>
    <w:rsid w:val="00B73B8D"/>
    <w:rsid w:val="00B73F4F"/>
    <w:rsid w:val="00B747EC"/>
    <w:rsid w:val="00B748F7"/>
    <w:rsid w:val="00B83716"/>
    <w:rsid w:val="00B83C69"/>
    <w:rsid w:val="00B85F57"/>
    <w:rsid w:val="00B90A7E"/>
    <w:rsid w:val="00B9282A"/>
    <w:rsid w:val="00B92B3E"/>
    <w:rsid w:val="00B95BA4"/>
    <w:rsid w:val="00BA6424"/>
    <w:rsid w:val="00BB066F"/>
    <w:rsid w:val="00BB0B5B"/>
    <w:rsid w:val="00BB19FC"/>
    <w:rsid w:val="00BB331A"/>
    <w:rsid w:val="00BB63A5"/>
    <w:rsid w:val="00BC1A3A"/>
    <w:rsid w:val="00BC4C42"/>
    <w:rsid w:val="00BC53BF"/>
    <w:rsid w:val="00BC6BDA"/>
    <w:rsid w:val="00BC784B"/>
    <w:rsid w:val="00BD1DB0"/>
    <w:rsid w:val="00BD4A1C"/>
    <w:rsid w:val="00BD55F7"/>
    <w:rsid w:val="00BE0028"/>
    <w:rsid w:val="00BE3873"/>
    <w:rsid w:val="00BE3BDD"/>
    <w:rsid w:val="00BE4367"/>
    <w:rsid w:val="00BE5394"/>
    <w:rsid w:val="00BF2053"/>
    <w:rsid w:val="00BF3679"/>
    <w:rsid w:val="00C0233A"/>
    <w:rsid w:val="00C05251"/>
    <w:rsid w:val="00C053F4"/>
    <w:rsid w:val="00C07997"/>
    <w:rsid w:val="00C11198"/>
    <w:rsid w:val="00C13DAD"/>
    <w:rsid w:val="00C1626C"/>
    <w:rsid w:val="00C22507"/>
    <w:rsid w:val="00C237C7"/>
    <w:rsid w:val="00C24CA4"/>
    <w:rsid w:val="00C256FA"/>
    <w:rsid w:val="00C25EFF"/>
    <w:rsid w:val="00C26681"/>
    <w:rsid w:val="00C27CBE"/>
    <w:rsid w:val="00C27E3D"/>
    <w:rsid w:val="00C30658"/>
    <w:rsid w:val="00C33CA5"/>
    <w:rsid w:val="00C33F9D"/>
    <w:rsid w:val="00C36DE0"/>
    <w:rsid w:val="00C403FF"/>
    <w:rsid w:val="00C4188A"/>
    <w:rsid w:val="00C43FAD"/>
    <w:rsid w:val="00C4421E"/>
    <w:rsid w:val="00C47BAE"/>
    <w:rsid w:val="00C507EB"/>
    <w:rsid w:val="00C550C9"/>
    <w:rsid w:val="00C6212E"/>
    <w:rsid w:val="00C6640B"/>
    <w:rsid w:val="00C66978"/>
    <w:rsid w:val="00C7109C"/>
    <w:rsid w:val="00C730AA"/>
    <w:rsid w:val="00C73396"/>
    <w:rsid w:val="00C74580"/>
    <w:rsid w:val="00C74ECE"/>
    <w:rsid w:val="00C75122"/>
    <w:rsid w:val="00C76A30"/>
    <w:rsid w:val="00C76F0F"/>
    <w:rsid w:val="00C7730C"/>
    <w:rsid w:val="00C81AEE"/>
    <w:rsid w:val="00C828AC"/>
    <w:rsid w:val="00C83AF3"/>
    <w:rsid w:val="00C856AD"/>
    <w:rsid w:val="00C857AE"/>
    <w:rsid w:val="00C9058D"/>
    <w:rsid w:val="00C939B7"/>
    <w:rsid w:val="00C96A8F"/>
    <w:rsid w:val="00CA198D"/>
    <w:rsid w:val="00CA2708"/>
    <w:rsid w:val="00CA272D"/>
    <w:rsid w:val="00CA4A05"/>
    <w:rsid w:val="00CA7F90"/>
    <w:rsid w:val="00CB106F"/>
    <w:rsid w:val="00CB331A"/>
    <w:rsid w:val="00CB46B0"/>
    <w:rsid w:val="00CB4810"/>
    <w:rsid w:val="00CB4AA4"/>
    <w:rsid w:val="00CB63C0"/>
    <w:rsid w:val="00CB6610"/>
    <w:rsid w:val="00CC3349"/>
    <w:rsid w:val="00CC436A"/>
    <w:rsid w:val="00CC6F7C"/>
    <w:rsid w:val="00CD510E"/>
    <w:rsid w:val="00CD5337"/>
    <w:rsid w:val="00CD67E1"/>
    <w:rsid w:val="00CD7262"/>
    <w:rsid w:val="00CE00F3"/>
    <w:rsid w:val="00CE0E6D"/>
    <w:rsid w:val="00CE137E"/>
    <w:rsid w:val="00CE1D06"/>
    <w:rsid w:val="00CE2C33"/>
    <w:rsid w:val="00CF3C2C"/>
    <w:rsid w:val="00CF747D"/>
    <w:rsid w:val="00D00409"/>
    <w:rsid w:val="00D02B83"/>
    <w:rsid w:val="00D046FF"/>
    <w:rsid w:val="00D04954"/>
    <w:rsid w:val="00D05D12"/>
    <w:rsid w:val="00D068AA"/>
    <w:rsid w:val="00D06C0E"/>
    <w:rsid w:val="00D120A0"/>
    <w:rsid w:val="00D12547"/>
    <w:rsid w:val="00D12EC2"/>
    <w:rsid w:val="00D13E87"/>
    <w:rsid w:val="00D151D4"/>
    <w:rsid w:val="00D15424"/>
    <w:rsid w:val="00D16007"/>
    <w:rsid w:val="00D17667"/>
    <w:rsid w:val="00D30201"/>
    <w:rsid w:val="00D30347"/>
    <w:rsid w:val="00D31853"/>
    <w:rsid w:val="00D32279"/>
    <w:rsid w:val="00D327DA"/>
    <w:rsid w:val="00D35C03"/>
    <w:rsid w:val="00D3694E"/>
    <w:rsid w:val="00D37508"/>
    <w:rsid w:val="00D4044C"/>
    <w:rsid w:val="00D42C7C"/>
    <w:rsid w:val="00D540B3"/>
    <w:rsid w:val="00D545F5"/>
    <w:rsid w:val="00D55331"/>
    <w:rsid w:val="00D55401"/>
    <w:rsid w:val="00D56747"/>
    <w:rsid w:val="00D56C82"/>
    <w:rsid w:val="00D57106"/>
    <w:rsid w:val="00D66549"/>
    <w:rsid w:val="00D66CAB"/>
    <w:rsid w:val="00D67F8A"/>
    <w:rsid w:val="00D70C12"/>
    <w:rsid w:val="00D74C31"/>
    <w:rsid w:val="00D75421"/>
    <w:rsid w:val="00D75B37"/>
    <w:rsid w:val="00D778A9"/>
    <w:rsid w:val="00D77A63"/>
    <w:rsid w:val="00D81A85"/>
    <w:rsid w:val="00D822EC"/>
    <w:rsid w:val="00D86495"/>
    <w:rsid w:val="00D9150B"/>
    <w:rsid w:val="00D92038"/>
    <w:rsid w:val="00D95CC9"/>
    <w:rsid w:val="00D95EE3"/>
    <w:rsid w:val="00D96A46"/>
    <w:rsid w:val="00D97B37"/>
    <w:rsid w:val="00DA0C7E"/>
    <w:rsid w:val="00DA1C00"/>
    <w:rsid w:val="00DA4BB6"/>
    <w:rsid w:val="00DA4CCB"/>
    <w:rsid w:val="00DA6396"/>
    <w:rsid w:val="00DB16D5"/>
    <w:rsid w:val="00DB4CA2"/>
    <w:rsid w:val="00DB5543"/>
    <w:rsid w:val="00DB6EEB"/>
    <w:rsid w:val="00DB7570"/>
    <w:rsid w:val="00DB7DD2"/>
    <w:rsid w:val="00DC1A9B"/>
    <w:rsid w:val="00DD3235"/>
    <w:rsid w:val="00DD3B67"/>
    <w:rsid w:val="00DD492B"/>
    <w:rsid w:val="00DD7288"/>
    <w:rsid w:val="00DD740F"/>
    <w:rsid w:val="00DE29E2"/>
    <w:rsid w:val="00DE2E72"/>
    <w:rsid w:val="00DE51FE"/>
    <w:rsid w:val="00DE6640"/>
    <w:rsid w:val="00DF0A79"/>
    <w:rsid w:val="00DF264A"/>
    <w:rsid w:val="00DF3219"/>
    <w:rsid w:val="00DF6552"/>
    <w:rsid w:val="00DF7E2E"/>
    <w:rsid w:val="00E00205"/>
    <w:rsid w:val="00E016CD"/>
    <w:rsid w:val="00E02FB0"/>
    <w:rsid w:val="00E04BB0"/>
    <w:rsid w:val="00E1027A"/>
    <w:rsid w:val="00E1040F"/>
    <w:rsid w:val="00E10C1F"/>
    <w:rsid w:val="00E12B58"/>
    <w:rsid w:val="00E14022"/>
    <w:rsid w:val="00E1437F"/>
    <w:rsid w:val="00E14A3C"/>
    <w:rsid w:val="00E208E9"/>
    <w:rsid w:val="00E2116E"/>
    <w:rsid w:val="00E2510F"/>
    <w:rsid w:val="00E27AE0"/>
    <w:rsid w:val="00E30CCC"/>
    <w:rsid w:val="00E32EEC"/>
    <w:rsid w:val="00E33164"/>
    <w:rsid w:val="00E33947"/>
    <w:rsid w:val="00E346CE"/>
    <w:rsid w:val="00E36D25"/>
    <w:rsid w:val="00E424AA"/>
    <w:rsid w:val="00E46D4F"/>
    <w:rsid w:val="00E471F9"/>
    <w:rsid w:val="00E4729C"/>
    <w:rsid w:val="00E50053"/>
    <w:rsid w:val="00E50CF4"/>
    <w:rsid w:val="00E5187B"/>
    <w:rsid w:val="00E523AE"/>
    <w:rsid w:val="00E5303C"/>
    <w:rsid w:val="00E543B4"/>
    <w:rsid w:val="00E63868"/>
    <w:rsid w:val="00E65F3A"/>
    <w:rsid w:val="00E726AF"/>
    <w:rsid w:val="00E812AD"/>
    <w:rsid w:val="00E820ED"/>
    <w:rsid w:val="00E83930"/>
    <w:rsid w:val="00E852D0"/>
    <w:rsid w:val="00E94767"/>
    <w:rsid w:val="00EA64C8"/>
    <w:rsid w:val="00EB57C4"/>
    <w:rsid w:val="00EC11BD"/>
    <w:rsid w:val="00EC2BC1"/>
    <w:rsid w:val="00EC2FE2"/>
    <w:rsid w:val="00EC32DF"/>
    <w:rsid w:val="00EC3FC4"/>
    <w:rsid w:val="00EC4BF1"/>
    <w:rsid w:val="00EC6856"/>
    <w:rsid w:val="00ED0E13"/>
    <w:rsid w:val="00ED531C"/>
    <w:rsid w:val="00ED5B38"/>
    <w:rsid w:val="00EE0110"/>
    <w:rsid w:val="00EE2136"/>
    <w:rsid w:val="00EE3950"/>
    <w:rsid w:val="00EE3CD0"/>
    <w:rsid w:val="00EF17C8"/>
    <w:rsid w:val="00EF35B2"/>
    <w:rsid w:val="00EF5225"/>
    <w:rsid w:val="00EF6E0E"/>
    <w:rsid w:val="00F056D2"/>
    <w:rsid w:val="00F05D28"/>
    <w:rsid w:val="00F10043"/>
    <w:rsid w:val="00F152F2"/>
    <w:rsid w:val="00F1614E"/>
    <w:rsid w:val="00F220A9"/>
    <w:rsid w:val="00F226FB"/>
    <w:rsid w:val="00F25141"/>
    <w:rsid w:val="00F26868"/>
    <w:rsid w:val="00F27569"/>
    <w:rsid w:val="00F31DC5"/>
    <w:rsid w:val="00F35173"/>
    <w:rsid w:val="00F36220"/>
    <w:rsid w:val="00F376AE"/>
    <w:rsid w:val="00F41201"/>
    <w:rsid w:val="00F44949"/>
    <w:rsid w:val="00F475C4"/>
    <w:rsid w:val="00F5061E"/>
    <w:rsid w:val="00F5513F"/>
    <w:rsid w:val="00F55527"/>
    <w:rsid w:val="00F55CFD"/>
    <w:rsid w:val="00F62AD8"/>
    <w:rsid w:val="00F67036"/>
    <w:rsid w:val="00F67BCA"/>
    <w:rsid w:val="00F748EF"/>
    <w:rsid w:val="00F77682"/>
    <w:rsid w:val="00F776F8"/>
    <w:rsid w:val="00F815A9"/>
    <w:rsid w:val="00F82AB1"/>
    <w:rsid w:val="00F84663"/>
    <w:rsid w:val="00F84893"/>
    <w:rsid w:val="00F8542F"/>
    <w:rsid w:val="00F928D7"/>
    <w:rsid w:val="00F92AB7"/>
    <w:rsid w:val="00F92BDF"/>
    <w:rsid w:val="00F94B19"/>
    <w:rsid w:val="00FA10E2"/>
    <w:rsid w:val="00FA1DC1"/>
    <w:rsid w:val="00FA2ABA"/>
    <w:rsid w:val="00FA5806"/>
    <w:rsid w:val="00FA5998"/>
    <w:rsid w:val="00FA5A0B"/>
    <w:rsid w:val="00FB2438"/>
    <w:rsid w:val="00FB77BE"/>
    <w:rsid w:val="00FC38F1"/>
    <w:rsid w:val="00FC512D"/>
    <w:rsid w:val="00FD4941"/>
    <w:rsid w:val="00FD506A"/>
    <w:rsid w:val="00FD5427"/>
    <w:rsid w:val="00FD6190"/>
    <w:rsid w:val="00FD77AB"/>
    <w:rsid w:val="00FE01D2"/>
    <w:rsid w:val="00FE6646"/>
    <w:rsid w:val="00FF3ADC"/>
    <w:rsid w:val="00FF6C1A"/>
    <w:rsid w:val="00FF77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973E9"/>
  <w15:chartTrackingRefBased/>
  <w15:docId w15:val="{DB3623B0-249F-42FC-A57C-513F00D3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5527"/>
    <w:rPr>
      <w:color w:val="0563C1" w:themeColor="hyperlink"/>
      <w:u w:val="single"/>
    </w:rPr>
  </w:style>
  <w:style w:type="character" w:styleId="UnresolvedMention">
    <w:name w:val="Unresolved Mention"/>
    <w:basedOn w:val="DefaultParagraphFont"/>
    <w:uiPriority w:val="99"/>
    <w:semiHidden/>
    <w:unhideWhenUsed/>
    <w:rsid w:val="00F55527"/>
    <w:rPr>
      <w:color w:val="605E5C"/>
      <w:shd w:val="clear" w:color="auto" w:fill="E1DFDD"/>
    </w:rPr>
  </w:style>
  <w:style w:type="paragraph" w:styleId="BalloonText">
    <w:name w:val="Balloon Text"/>
    <w:basedOn w:val="Normal"/>
    <w:link w:val="BalloonTextChar"/>
    <w:uiPriority w:val="99"/>
    <w:semiHidden/>
    <w:unhideWhenUsed/>
    <w:rsid w:val="009F0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A4A"/>
    <w:rPr>
      <w:rFonts w:ascii="Segoe UI" w:hAnsi="Segoe UI" w:cs="Segoe UI"/>
      <w:sz w:val="18"/>
      <w:szCs w:val="18"/>
    </w:rPr>
  </w:style>
  <w:style w:type="paragraph" w:styleId="Header">
    <w:name w:val="header"/>
    <w:basedOn w:val="Normal"/>
    <w:link w:val="HeaderChar"/>
    <w:uiPriority w:val="99"/>
    <w:unhideWhenUsed/>
    <w:rsid w:val="002E5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D0"/>
  </w:style>
  <w:style w:type="paragraph" w:styleId="Footer">
    <w:name w:val="footer"/>
    <w:basedOn w:val="Normal"/>
    <w:link w:val="FooterChar"/>
    <w:uiPriority w:val="99"/>
    <w:unhideWhenUsed/>
    <w:rsid w:val="002E5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D0"/>
  </w:style>
  <w:style w:type="character" w:styleId="FollowedHyperlink">
    <w:name w:val="FollowedHyperlink"/>
    <w:basedOn w:val="DefaultParagraphFont"/>
    <w:uiPriority w:val="99"/>
    <w:semiHidden/>
    <w:unhideWhenUsed/>
    <w:rsid w:val="00EB57C4"/>
    <w:rPr>
      <w:color w:val="954F72" w:themeColor="followedHyperlink"/>
      <w:u w:val="single"/>
    </w:rPr>
  </w:style>
  <w:style w:type="character" w:styleId="PlaceholderText">
    <w:name w:val="Placeholder Text"/>
    <w:basedOn w:val="DefaultParagraphFont"/>
    <w:uiPriority w:val="99"/>
    <w:semiHidden/>
    <w:rsid w:val="006966C4"/>
    <w:rPr>
      <w:color w:val="808080"/>
    </w:rPr>
  </w:style>
  <w:style w:type="paragraph" w:styleId="ListParagraph">
    <w:name w:val="List Paragraph"/>
    <w:basedOn w:val="Normal"/>
    <w:uiPriority w:val="34"/>
    <w:qFormat/>
    <w:rsid w:val="0062040E"/>
    <w:pPr>
      <w:ind w:left="720"/>
      <w:contextualSpacing/>
    </w:pPr>
    <w:rPr>
      <w:rFonts w:eastAsiaTheme="minorEastAsia"/>
      <w:lang w:val="en-US" w:eastAsia="zh-CN"/>
    </w:rPr>
  </w:style>
  <w:style w:type="paragraph" w:styleId="FootnoteText">
    <w:name w:val="footnote text"/>
    <w:basedOn w:val="Normal"/>
    <w:link w:val="FootnoteTextChar"/>
    <w:uiPriority w:val="99"/>
    <w:semiHidden/>
    <w:unhideWhenUsed/>
    <w:rsid w:val="00550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24F"/>
    <w:rPr>
      <w:sz w:val="20"/>
      <w:szCs w:val="20"/>
    </w:rPr>
  </w:style>
  <w:style w:type="character" w:styleId="FootnoteReference">
    <w:name w:val="footnote reference"/>
    <w:basedOn w:val="DefaultParagraphFont"/>
    <w:uiPriority w:val="99"/>
    <w:semiHidden/>
    <w:unhideWhenUsed/>
    <w:rsid w:val="0055024F"/>
    <w:rPr>
      <w:vertAlign w:val="superscript"/>
    </w:rPr>
  </w:style>
  <w:style w:type="paragraph" w:styleId="EndnoteText">
    <w:name w:val="endnote text"/>
    <w:basedOn w:val="Normal"/>
    <w:link w:val="EndnoteTextChar"/>
    <w:uiPriority w:val="99"/>
    <w:unhideWhenUsed/>
    <w:rsid w:val="00F27569"/>
    <w:pPr>
      <w:spacing w:after="0" w:line="240" w:lineRule="auto"/>
    </w:pPr>
    <w:rPr>
      <w:sz w:val="20"/>
      <w:szCs w:val="20"/>
      <w:lang w:val="en-US"/>
    </w:rPr>
  </w:style>
  <w:style w:type="character" w:customStyle="1" w:styleId="EndnoteTextChar">
    <w:name w:val="Endnote Text Char"/>
    <w:basedOn w:val="DefaultParagraphFont"/>
    <w:link w:val="EndnoteText"/>
    <w:uiPriority w:val="99"/>
    <w:rsid w:val="00F27569"/>
    <w:rPr>
      <w:sz w:val="20"/>
      <w:szCs w:val="20"/>
      <w:lang w:val="en-US"/>
    </w:rPr>
  </w:style>
  <w:style w:type="character" w:styleId="EndnoteReference">
    <w:name w:val="endnote reference"/>
    <w:basedOn w:val="DefaultParagraphFont"/>
    <w:uiPriority w:val="99"/>
    <w:semiHidden/>
    <w:unhideWhenUsed/>
    <w:rsid w:val="00F27569"/>
    <w:rPr>
      <w:vertAlign w:val="superscript"/>
    </w:rPr>
  </w:style>
  <w:style w:type="character" w:styleId="CommentReference">
    <w:name w:val="annotation reference"/>
    <w:basedOn w:val="DefaultParagraphFont"/>
    <w:uiPriority w:val="99"/>
    <w:semiHidden/>
    <w:unhideWhenUsed/>
    <w:rsid w:val="000D5256"/>
    <w:rPr>
      <w:sz w:val="16"/>
      <w:szCs w:val="16"/>
    </w:rPr>
  </w:style>
  <w:style w:type="paragraph" w:styleId="CommentText">
    <w:name w:val="annotation text"/>
    <w:basedOn w:val="Normal"/>
    <w:link w:val="CommentTextChar"/>
    <w:uiPriority w:val="99"/>
    <w:semiHidden/>
    <w:unhideWhenUsed/>
    <w:rsid w:val="000D5256"/>
    <w:pPr>
      <w:spacing w:line="240" w:lineRule="auto"/>
    </w:pPr>
    <w:rPr>
      <w:sz w:val="20"/>
      <w:szCs w:val="20"/>
    </w:rPr>
  </w:style>
  <w:style w:type="character" w:customStyle="1" w:styleId="CommentTextChar">
    <w:name w:val="Comment Text Char"/>
    <w:basedOn w:val="DefaultParagraphFont"/>
    <w:link w:val="CommentText"/>
    <w:uiPriority w:val="99"/>
    <w:semiHidden/>
    <w:rsid w:val="000D5256"/>
    <w:rPr>
      <w:sz w:val="20"/>
      <w:szCs w:val="20"/>
    </w:rPr>
  </w:style>
  <w:style w:type="paragraph" w:styleId="CommentSubject">
    <w:name w:val="annotation subject"/>
    <w:basedOn w:val="CommentText"/>
    <w:next w:val="CommentText"/>
    <w:link w:val="CommentSubjectChar"/>
    <w:uiPriority w:val="99"/>
    <w:semiHidden/>
    <w:unhideWhenUsed/>
    <w:rsid w:val="000D5256"/>
    <w:rPr>
      <w:b/>
      <w:bCs/>
    </w:rPr>
  </w:style>
  <w:style w:type="character" w:customStyle="1" w:styleId="CommentSubjectChar">
    <w:name w:val="Comment Subject Char"/>
    <w:basedOn w:val="CommentTextChar"/>
    <w:link w:val="CommentSubject"/>
    <w:uiPriority w:val="99"/>
    <w:semiHidden/>
    <w:rsid w:val="000D5256"/>
    <w:rPr>
      <w:b/>
      <w:bCs/>
      <w:sz w:val="20"/>
      <w:szCs w:val="20"/>
    </w:rPr>
  </w:style>
  <w:style w:type="paragraph" w:styleId="Revision">
    <w:name w:val="Revision"/>
    <w:hidden/>
    <w:uiPriority w:val="99"/>
    <w:semiHidden/>
    <w:rsid w:val="000D52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904602">
      <w:bodyDiv w:val="1"/>
      <w:marLeft w:val="0"/>
      <w:marRight w:val="0"/>
      <w:marTop w:val="0"/>
      <w:marBottom w:val="0"/>
      <w:divBdr>
        <w:top w:val="none" w:sz="0" w:space="0" w:color="auto"/>
        <w:left w:val="none" w:sz="0" w:space="0" w:color="auto"/>
        <w:bottom w:val="none" w:sz="0" w:space="0" w:color="auto"/>
        <w:right w:val="none" w:sz="0" w:space="0" w:color="auto"/>
      </w:divBdr>
      <w:divsChild>
        <w:div w:id="106391093">
          <w:marLeft w:val="0"/>
          <w:marRight w:val="0"/>
          <w:marTop w:val="0"/>
          <w:marBottom w:val="0"/>
          <w:divBdr>
            <w:top w:val="none" w:sz="0" w:space="0" w:color="auto"/>
            <w:left w:val="none" w:sz="0" w:space="0" w:color="auto"/>
            <w:bottom w:val="none" w:sz="0" w:space="0" w:color="auto"/>
            <w:right w:val="none" w:sz="0" w:space="0" w:color="auto"/>
          </w:divBdr>
          <w:divsChild>
            <w:div w:id="1629360876">
              <w:marLeft w:val="0"/>
              <w:marRight w:val="0"/>
              <w:marTop w:val="0"/>
              <w:marBottom w:val="0"/>
              <w:divBdr>
                <w:top w:val="none" w:sz="0" w:space="0" w:color="auto"/>
                <w:left w:val="none" w:sz="0" w:space="0" w:color="auto"/>
                <w:bottom w:val="none" w:sz="0" w:space="0" w:color="auto"/>
                <w:right w:val="none" w:sz="0" w:space="0" w:color="auto"/>
              </w:divBdr>
            </w:div>
            <w:div w:id="1778482632">
              <w:marLeft w:val="0"/>
              <w:marRight w:val="0"/>
              <w:marTop w:val="0"/>
              <w:marBottom w:val="0"/>
              <w:divBdr>
                <w:top w:val="none" w:sz="0" w:space="0" w:color="auto"/>
                <w:left w:val="none" w:sz="0" w:space="0" w:color="auto"/>
                <w:bottom w:val="none" w:sz="0" w:space="0" w:color="auto"/>
                <w:right w:val="none" w:sz="0" w:space="0" w:color="auto"/>
              </w:divBdr>
            </w:div>
            <w:div w:id="1546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957224">
      <w:bodyDiv w:val="1"/>
      <w:marLeft w:val="0"/>
      <w:marRight w:val="0"/>
      <w:marTop w:val="0"/>
      <w:marBottom w:val="0"/>
      <w:divBdr>
        <w:top w:val="none" w:sz="0" w:space="0" w:color="auto"/>
        <w:left w:val="none" w:sz="0" w:space="0" w:color="auto"/>
        <w:bottom w:val="none" w:sz="0" w:space="0" w:color="auto"/>
        <w:right w:val="none" w:sz="0" w:space="0" w:color="auto"/>
      </w:divBdr>
      <w:divsChild>
        <w:div w:id="2015298892">
          <w:marLeft w:val="0"/>
          <w:marRight w:val="0"/>
          <w:marTop w:val="0"/>
          <w:marBottom w:val="0"/>
          <w:divBdr>
            <w:top w:val="none" w:sz="0" w:space="0" w:color="auto"/>
            <w:left w:val="none" w:sz="0" w:space="0" w:color="auto"/>
            <w:bottom w:val="none" w:sz="0" w:space="0" w:color="auto"/>
            <w:right w:val="none" w:sz="0" w:space="0" w:color="auto"/>
          </w:divBdr>
          <w:divsChild>
            <w:div w:id="1164513305">
              <w:marLeft w:val="0"/>
              <w:marRight w:val="0"/>
              <w:marTop w:val="0"/>
              <w:marBottom w:val="0"/>
              <w:divBdr>
                <w:top w:val="none" w:sz="0" w:space="0" w:color="auto"/>
                <w:left w:val="none" w:sz="0" w:space="0" w:color="auto"/>
                <w:bottom w:val="none" w:sz="0" w:space="0" w:color="auto"/>
                <w:right w:val="none" w:sz="0" w:space="0" w:color="auto"/>
              </w:divBdr>
            </w:div>
            <w:div w:id="449709122">
              <w:marLeft w:val="0"/>
              <w:marRight w:val="0"/>
              <w:marTop w:val="0"/>
              <w:marBottom w:val="0"/>
              <w:divBdr>
                <w:top w:val="none" w:sz="0" w:space="0" w:color="auto"/>
                <w:left w:val="none" w:sz="0" w:space="0" w:color="auto"/>
                <w:bottom w:val="none" w:sz="0" w:space="0" w:color="auto"/>
                <w:right w:val="none" w:sz="0" w:space="0" w:color="auto"/>
              </w:divBdr>
            </w:div>
            <w:div w:id="18152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3256">
      <w:bodyDiv w:val="1"/>
      <w:marLeft w:val="0"/>
      <w:marRight w:val="0"/>
      <w:marTop w:val="0"/>
      <w:marBottom w:val="0"/>
      <w:divBdr>
        <w:top w:val="none" w:sz="0" w:space="0" w:color="auto"/>
        <w:left w:val="none" w:sz="0" w:space="0" w:color="auto"/>
        <w:bottom w:val="none" w:sz="0" w:space="0" w:color="auto"/>
        <w:right w:val="none" w:sz="0" w:space="0" w:color="auto"/>
      </w:divBdr>
      <w:divsChild>
        <w:div w:id="254168148">
          <w:marLeft w:val="0"/>
          <w:marRight w:val="0"/>
          <w:marTop w:val="0"/>
          <w:marBottom w:val="0"/>
          <w:divBdr>
            <w:top w:val="none" w:sz="0" w:space="0" w:color="auto"/>
            <w:left w:val="none" w:sz="0" w:space="0" w:color="auto"/>
            <w:bottom w:val="none" w:sz="0" w:space="0" w:color="auto"/>
            <w:right w:val="none" w:sz="0" w:space="0" w:color="auto"/>
          </w:divBdr>
          <w:divsChild>
            <w:div w:id="1969966873">
              <w:marLeft w:val="0"/>
              <w:marRight w:val="0"/>
              <w:marTop w:val="0"/>
              <w:marBottom w:val="0"/>
              <w:divBdr>
                <w:top w:val="none" w:sz="0" w:space="0" w:color="auto"/>
                <w:left w:val="none" w:sz="0" w:space="0" w:color="auto"/>
                <w:bottom w:val="none" w:sz="0" w:space="0" w:color="auto"/>
                <w:right w:val="none" w:sz="0" w:space="0" w:color="auto"/>
              </w:divBdr>
            </w:div>
            <w:div w:id="2135370573">
              <w:marLeft w:val="0"/>
              <w:marRight w:val="0"/>
              <w:marTop w:val="0"/>
              <w:marBottom w:val="0"/>
              <w:divBdr>
                <w:top w:val="none" w:sz="0" w:space="0" w:color="auto"/>
                <w:left w:val="none" w:sz="0" w:space="0" w:color="auto"/>
                <w:bottom w:val="none" w:sz="0" w:space="0" w:color="auto"/>
                <w:right w:val="none" w:sz="0" w:space="0" w:color="auto"/>
              </w:divBdr>
            </w:div>
            <w:div w:id="12463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99986">
      <w:bodyDiv w:val="1"/>
      <w:marLeft w:val="0"/>
      <w:marRight w:val="0"/>
      <w:marTop w:val="0"/>
      <w:marBottom w:val="0"/>
      <w:divBdr>
        <w:top w:val="none" w:sz="0" w:space="0" w:color="auto"/>
        <w:left w:val="none" w:sz="0" w:space="0" w:color="auto"/>
        <w:bottom w:val="none" w:sz="0" w:space="0" w:color="auto"/>
        <w:right w:val="none" w:sz="0" w:space="0" w:color="auto"/>
      </w:divBdr>
      <w:divsChild>
        <w:div w:id="1922640171">
          <w:marLeft w:val="0"/>
          <w:marRight w:val="0"/>
          <w:marTop w:val="0"/>
          <w:marBottom w:val="0"/>
          <w:divBdr>
            <w:top w:val="none" w:sz="0" w:space="0" w:color="auto"/>
            <w:left w:val="none" w:sz="0" w:space="0" w:color="auto"/>
            <w:bottom w:val="none" w:sz="0" w:space="0" w:color="auto"/>
            <w:right w:val="none" w:sz="0" w:space="0" w:color="auto"/>
          </w:divBdr>
          <w:divsChild>
            <w:div w:id="282926434">
              <w:marLeft w:val="0"/>
              <w:marRight w:val="0"/>
              <w:marTop w:val="0"/>
              <w:marBottom w:val="0"/>
              <w:divBdr>
                <w:top w:val="none" w:sz="0" w:space="0" w:color="auto"/>
                <w:left w:val="none" w:sz="0" w:space="0" w:color="auto"/>
                <w:bottom w:val="none" w:sz="0" w:space="0" w:color="auto"/>
                <w:right w:val="none" w:sz="0" w:space="0" w:color="auto"/>
              </w:divBdr>
            </w:div>
            <w:div w:id="1352999176">
              <w:marLeft w:val="0"/>
              <w:marRight w:val="0"/>
              <w:marTop w:val="0"/>
              <w:marBottom w:val="0"/>
              <w:divBdr>
                <w:top w:val="none" w:sz="0" w:space="0" w:color="auto"/>
                <w:left w:val="none" w:sz="0" w:space="0" w:color="auto"/>
                <w:bottom w:val="none" w:sz="0" w:space="0" w:color="auto"/>
                <w:right w:val="none" w:sz="0" w:space="0" w:color="auto"/>
              </w:divBdr>
            </w:div>
            <w:div w:id="105034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microsoft.com/office/2016/09/relationships/commentsIds" Target="commentsIds.xml"/><Relationship Id="rId26" Type="http://schemas.openxmlformats.org/officeDocument/2006/relationships/hyperlink" Target="https://www.imf.org/-/media/Files/Publications/REO/AFR/2019/April/English/statapp.ashx" TargetMode="External"/><Relationship Id="rId39" Type="http://schemas.openxmlformats.org/officeDocument/2006/relationships/fontTable" Target="fontTable.xml"/><Relationship Id="rId21" Type="http://schemas.openxmlformats.org/officeDocument/2006/relationships/image" Target="media/image5.emf"/><Relationship Id="rId34" Type="http://schemas.openxmlformats.org/officeDocument/2006/relationships/hyperlink" Target="https://documents.worldbank.org/en/publication/documents-reports/documentdetail/564331623060653603/assessing-asia-sub-saharan-africa-global-value-chain-linkag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4.emf"/><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x.doi.org/10.2991/jat.k.210105.001" TargetMode="External"/><Relationship Id="rId24" Type="http://schemas.openxmlformats.org/officeDocument/2006/relationships/image" Target="media/image8.emf"/><Relationship Id="rId32" Type="http://schemas.openxmlformats.org/officeDocument/2006/relationships/hyperlink" Target="https://dx.doi.org/10.2991/jat.k.210105.001" TargetMode="External"/><Relationship Id="rId37" Type="http://schemas.openxmlformats.org/officeDocument/2006/relationships/hyperlink" Target="https://www.wto.org/english/res_e/booksp_e/gvc_dev_report_2019_e.pdf" TargetMode="Externa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11.emf"/><Relationship Id="rId36" Type="http://schemas.openxmlformats.org/officeDocument/2006/relationships/hyperlink" Target="https://www.worldbank.org/en/publication/wdr2020" TargetMode="Externa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hyperlink" Target="https://unctad.org/system/files/official-document/diaeia2019d3a5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documents.worldbank.org/curated/en/564331623060653603/Assessing-Asia-Sub-Saharan-Africa-Global-Value-Chain-Linkag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lostat.ilo.org/topics/labour-productivity/" TargetMode="External"/><Relationship Id="rId17" Type="http://schemas.microsoft.com/office/2011/relationships/commentsExtended" Target="commentsExtended.xml"/><Relationship Id="rId25" Type="http://schemas.openxmlformats.org/officeDocument/2006/relationships/image" Target="media/image9.emf"/><Relationship Id="rId33" Type="http://schemas.openxmlformats.org/officeDocument/2006/relationships/hyperlink" Target="https://dx.doi.org/10.2991/jat.k.210105.001"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ber.org/system/files/working_papers/w18579/w18579.pdf" TargetMode="External"/><Relationship Id="rId2" Type="http://schemas.openxmlformats.org/officeDocument/2006/relationships/hyperlink" Target="https://www.oecd.org/sti/ind/49894138.pdf" TargetMode="External"/><Relationship Id="rId1" Type="http://schemas.openxmlformats.org/officeDocument/2006/relationships/hyperlink" Target="https://ourworldindata.org/trade-data-sources-discrepancies" TargetMode="External"/><Relationship Id="rId6" Type="http://schemas.openxmlformats.org/officeDocument/2006/relationships/hyperlink" Target="http://info.worldbank.org/governance/wgi/" TargetMode="External"/><Relationship Id="rId5" Type="http://schemas.openxmlformats.org/officeDocument/2006/relationships/hyperlink" Target="https://tcdata360.worldbank.org/" TargetMode="External"/><Relationship Id="rId4" Type="http://schemas.openxmlformats.org/officeDocument/2006/relationships/hyperlink" Target="https://www.sciencedirect.com/science/article/pii/S2214851514000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50B611C6FD04799A00837A8BFEB89" ma:contentTypeVersion="9" ma:contentTypeDescription="Create a new document." ma:contentTypeScope="" ma:versionID="e756d496e6e2a0d3fb7dd6e6277117f1">
  <xsd:schema xmlns:xsd="http://www.w3.org/2001/XMLSchema" xmlns:xs="http://www.w3.org/2001/XMLSchema" xmlns:p="http://schemas.microsoft.com/office/2006/metadata/properties" xmlns:ns3="49644015-057e-4672-bb78-23e01e5568ca" targetNamespace="http://schemas.microsoft.com/office/2006/metadata/properties" ma:root="true" ma:fieldsID="75a7ce58c95093f7f88cc0ed70949e0c" ns3:_="">
    <xsd:import namespace="49644015-057e-4672-bb78-23e01e5568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44015-057e-4672-bb78-23e01e556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E621F-D1CA-4115-8498-94413A106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44015-057e-4672-bb78-23e01e556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2BF03-45AA-4F8A-968F-A6876C6AA71D}">
  <ds:schemaRefs>
    <ds:schemaRef ds:uri="http://schemas.openxmlformats.org/officeDocument/2006/bibliography"/>
  </ds:schemaRefs>
</ds:datastoreItem>
</file>

<file path=customXml/itemProps3.xml><?xml version="1.0" encoding="utf-8"?>
<ds:datastoreItem xmlns:ds="http://schemas.openxmlformats.org/officeDocument/2006/customXml" ds:itemID="{99F30688-3BDC-469A-B5B0-35C317FD28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33FD5C-FF5B-4A32-B497-8D8274EE5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6545</Words>
  <Characters>37313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Mold</dc:creator>
  <cp:keywords/>
  <dc:description/>
  <cp:lastModifiedBy>Andrew Mold</cp:lastModifiedBy>
  <cp:revision>3</cp:revision>
  <dcterms:created xsi:type="dcterms:W3CDTF">2022-04-15T20:35:00Z</dcterms:created>
  <dcterms:modified xsi:type="dcterms:W3CDTF">2022-04-15T20:36:00Z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0x010100B6F50B611C6FD04799A00837A8BFEB89</vt:lpwstr>
  </property>
</Properties>
</file>