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32374A" w14:textId="100F9537" w:rsidR="00D47362" w:rsidRPr="002F7FAD" w:rsidRDefault="00D368DC" w:rsidP="002F7FAD">
      <w:pPr>
        <w:autoSpaceDE w:val="0"/>
        <w:autoSpaceDN w:val="0"/>
        <w:adjustRightInd w:val="0"/>
        <w:spacing w:after="0" w:line="240" w:lineRule="auto"/>
        <w:jc w:val="center"/>
        <w:rPr>
          <w:b/>
          <w:bCs/>
          <w:sz w:val="24"/>
          <w:szCs w:val="24"/>
        </w:rPr>
      </w:pPr>
      <w:r w:rsidRPr="002F7FAD">
        <w:rPr>
          <w:b/>
          <w:bCs/>
          <w:sz w:val="24"/>
          <w:szCs w:val="24"/>
        </w:rPr>
        <w:t xml:space="preserve">Assessing current </w:t>
      </w:r>
      <w:r w:rsidR="00396E54" w:rsidRPr="002F7FAD">
        <w:rPr>
          <w:b/>
          <w:bCs/>
          <w:sz w:val="24"/>
          <w:szCs w:val="24"/>
        </w:rPr>
        <w:t>climate</w:t>
      </w:r>
      <w:r w:rsidRPr="002F7FAD">
        <w:rPr>
          <w:b/>
          <w:bCs/>
          <w:sz w:val="24"/>
          <w:szCs w:val="24"/>
        </w:rPr>
        <w:t>-related</w:t>
      </w:r>
      <w:r w:rsidR="00396E54" w:rsidRPr="002F7FAD">
        <w:rPr>
          <w:b/>
          <w:bCs/>
          <w:sz w:val="24"/>
          <w:szCs w:val="24"/>
        </w:rPr>
        <w:t xml:space="preserve"> policies impact on GHGs emissions </w:t>
      </w:r>
      <w:r w:rsidRPr="002F7FAD">
        <w:rPr>
          <w:b/>
          <w:bCs/>
          <w:sz w:val="24"/>
          <w:szCs w:val="24"/>
        </w:rPr>
        <w:t>changes</w:t>
      </w:r>
      <w:r w:rsidR="00A223FE" w:rsidRPr="002F7FAD">
        <w:rPr>
          <w:b/>
          <w:bCs/>
          <w:sz w:val="24"/>
          <w:szCs w:val="24"/>
        </w:rPr>
        <w:t xml:space="preserve">: </w:t>
      </w:r>
      <w:r w:rsidR="00F13A68" w:rsidRPr="002F7FAD">
        <w:rPr>
          <w:b/>
          <w:bCs/>
          <w:sz w:val="24"/>
          <w:szCs w:val="24"/>
        </w:rPr>
        <w:t>a model linking strategy</w:t>
      </w:r>
      <w:r w:rsidR="00105996" w:rsidRPr="002F7FAD">
        <w:rPr>
          <w:b/>
          <w:bCs/>
          <w:sz w:val="24"/>
          <w:szCs w:val="24"/>
        </w:rPr>
        <w:t xml:space="preserve"> for Switzerland</w:t>
      </w:r>
      <w:r w:rsidRPr="002F7FAD">
        <w:rPr>
          <w:b/>
          <w:bCs/>
          <w:sz w:val="24"/>
          <w:szCs w:val="24"/>
        </w:rPr>
        <w:t>.</w:t>
      </w:r>
    </w:p>
    <w:p w14:paraId="53634062" w14:textId="77777777" w:rsidR="00284623" w:rsidRPr="00085CE6" w:rsidRDefault="00284623" w:rsidP="002F7FAD">
      <w:pPr>
        <w:autoSpaceDE w:val="0"/>
        <w:autoSpaceDN w:val="0"/>
        <w:adjustRightInd w:val="0"/>
        <w:spacing w:after="0" w:line="240" w:lineRule="auto"/>
        <w:jc w:val="center"/>
        <w:rPr>
          <w:b/>
          <w:bCs/>
          <w:sz w:val="20"/>
          <w:szCs w:val="20"/>
        </w:rPr>
      </w:pPr>
    </w:p>
    <w:p w14:paraId="0A0F00D0" w14:textId="4B920EEF" w:rsidR="00284623" w:rsidRDefault="00284623" w:rsidP="002F7FAD">
      <w:pPr>
        <w:autoSpaceDE w:val="0"/>
        <w:autoSpaceDN w:val="0"/>
        <w:adjustRightInd w:val="0"/>
        <w:spacing w:after="0" w:line="240" w:lineRule="auto"/>
        <w:jc w:val="center"/>
        <w:rPr>
          <w:b/>
          <w:bCs/>
          <w:sz w:val="20"/>
          <w:szCs w:val="20"/>
        </w:rPr>
      </w:pPr>
      <w:r w:rsidRPr="00085CE6">
        <w:rPr>
          <w:b/>
          <w:bCs/>
          <w:sz w:val="20"/>
          <w:szCs w:val="20"/>
        </w:rPr>
        <w:t>Jean Chateau (OECD, Economic</w:t>
      </w:r>
      <w:r w:rsidR="00760001" w:rsidRPr="00085CE6">
        <w:rPr>
          <w:b/>
          <w:bCs/>
          <w:sz w:val="20"/>
          <w:szCs w:val="20"/>
        </w:rPr>
        <w:t>s</w:t>
      </w:r>
      <w:r w:rsidRPr="00085CE6">
        <w:rPr>
          <w:b/>
          <w:bCs/>
          <w:sz w:val="20"/>
          <w:szCs w:val="20"/>
        </w:rPr>
        <w:t xml:space="preserve"> De</w:t>
      </w:r>
      <w:r w:rsidR="00760001" w:rsidRPr="00085CE6">
        <w:rPr>
          <w:b/>
          <w:bCs/>
          <w:sz w:val="20"/>
          <w:szCs w:val="20"/>
        </w:rPr>
        <w:t>partment)</w:t>
      </w:r>
    </w:p>
    <w:p w14:paraId="30E35289" w14:textId="77777777" w:rsidR="002F7FAD" w:rsidRDefault="002F7FAD" w:rsidP="002F7FAD">
      <w:pPr>
        <w:autoSpaceDE w:val="0"/>
        <w:autoSpaceDN w:val="0"/>
        <w:adjustRightInd w:val="0"/>
        <w:spacing w:after="0" w:line="240" w:lineRule="auto"/>
        <w:jc w:val="center"/>
        <w:rPr>
          <w:b/>
          <w:bCs/>
          <w:sz w:val="20"/>
          <w:szCs w:val="20"/>
        </w:rPr>
      </w:pPr>
    </w:p>
    <w:p w14:paraId="4C6B2B78" w14:textId="3420E389" w:rsidR="002F7FAD" w:rsidRPr="00085CE6" w:rsidRDefault="002F7FAD" w:rsidP="002F7FAD">
      <w:pPr>
        <w:autoSpaceDE w:val="0"/>
        <w:autoSpaceDN w:val="0"/>
        <w:adjustRightInd w:val="0"/>
        <w:spacing w:after="0" w:line="240" w:lineRule="auto"/>
        <w:jc w:val="center"/>
        <w:rPr>
          <w:b/>
          <w:bCs/>
          <w:sz w:val="20"/>
          <w:szCs w:val="20"/>
        </w:rPr>
      </w:pPr>
      <w:r>
        <w:rPr>
          <w:b/>
          <w:bCs/>
          <w:sz w:val="20"/>
          <w:szCs w:val="20"/>
        </w:rPr>
        <w:t>VERY PRELIMINARY DRAFT – DO NOT QUOTE</w:t>
      </w:r>
    </w:p>
    <w:p w14:paraId="198CFE8F" w14:textId="6361E799" w:rsidR="00D368DC" w:rsidRPr="00085CE6" w:rsidRDefault="00D368DC" w:rsidP="00D1732D">
      <w:pPr>
        <w:autoSpaceDE w:val="0"/>
        <w:autoSpaceDN w:val="0"/>
        <w:adjustRightInd w:val="0"/>
        <w:spacing w:after="0" w:line="240" w:lineRule="auto"/>
        <w:jc w:val="both"/>
        <w:rPr>
          <w:sz w:val="20"/>
          <w:szCs w:val="20"/>
        </w:rPr>
      </w:pPr>
    </w:p>
    <w:p w14:paraId="5A058994" w14:textId="5BCCAF51" w:rsidR="00D368DC" w:rsidRPr="00085CE6" w:rsidRDefault="00D368DC" w:rsidP="0041365F">
      <w:pPr>
        <w:autoSpaceDE w:val="0"/>
        <w:autoSpaceDN w:val="0"/>
        <w:adjustRightInd w:val="0"/>
        <w:spacing w:after="0" w:line="240" w:lineRule="auto"/>
        <w:jc w:val="both"/>
        <w:rPr>
          <w:sz w:val="20"/>
          <w:szCs w:val="20"/>
        </w:rPr>
      </w:pPr>
      <w:r w:rsidRPr="00085CE6">
        <w:rPr>
          <w:sz w:val="20"/>
          <w:szCs w:val="20"/>
        </w:rPr>
        <w:t xml:space="preserve">The paper presents the modelling </w:t>
      </w:r>
      <w:r w:rsidR="00E661BF" w:rsidRPr="00085CE6">
        <w:rPr>
          <w:sz w:val="20"/>
          <w:szCs w:val="20"/>
        </w:rPr>
        <w:t xml:space="preserve">methodology </w:t>
      </w:r>
      <w:r w:rsidRPr="00085CE6">
        <w:rPr>
          <w:sz w:val="20"/>
          <w:szCs w:val="20"/>
        </w:rPr>
        <w:t>and preliminary (non-official) results</w:t>
      </w:r>
      <w:r w:rsidR="00E661BF" w:rsidRPr="00085CE6">
        <w:rPr>
          <w:sz w:val="20"/>
          <w:szCs w:val="20"/>
        </w:rPr>
        <w:t xml:space="preserve"> for </w:t>
      </w:r>
      <w:r w:rsidR="00EE43EB" w:rsidRPr="00085CE6">
        <w:rPr>
          <w:sz w:val="20"/>
          <w:szCs w:val="20"/>
        </w:rPr>
        <w:t xml:space="preserve">Switzerland </w:t>
      </w:r>
      <w:r w:rsidR="0038235B" w:rsidRPr="00085CE6">
        <w:rPr>
          <w:sz w:val="20"/>
          <w:szCs w:val="20"/>
        </w:rPr>
        <w:t xml:space="preserve">in the context of the </w:t>
      </w:r>
      <w:r w:rsidR="00E661BF" w:rsidRPr="00085CE6">
        <w:rPr>
          <w:sz w:val="20"/>
          <w:szCs w:val="20"/>
        </w:rPr>
        <w:t>Inclusive Forum on Carbon Mitigation Approaches</w:t>
      </w:r>
      <w:r w:rsidR="0038235B" w:rsidRPr="00085CE6">
        <w:rPr>
          <w:sz w:val="20"/>
          <w:szCs w:val="20"/>
        </w:rPr>
        <w:t xml:space="preserve"> (IFCMA) initiative. </w:t>
      </w:r>
      <w:r w:rsidRPr="00085CE6">
        <w:rPr>
          <w:sz w:val="20"/>
          <w:szCs w:val="20"/>
        </w:rPr>
        <w:t xml:space="preserve">The </w:t>
      </w:r>
      <w:r w:rsidR="0041365F" w:rsidRPr="00085CE6">
        <w:rPr>
          <w:sz w:val="20"/>
          <w:szCs w:val="20"/>
        </w:rPr>
        <w:t>IFCM</w:t>
      </w:r>
      <w:r w:rsidR="00E661BF" w:rsidRPr="00085CE6">
        <w:rPr>
          <w:sz w:val="20"/>
          <w:szCs w:val="20"/>
        </w:rPr>
        <w:t>A</w:t>
      </w:r>
      <w:r w:rsidR="0041365F" w:rsidRPr="00085CE6">
        <w:rPr>
          <w:sz w:val="20"/>
          <w:szCs w:val="20"/>
        </w:rPr>
        <w:t xml:space="preserve"> </w:t>
      </w:r>
      <w:r w:rsidRPr="00085CE6">
        <w:rPr>
          <w:sz w:val="20"/>
          <w:szCs w:val="20"/>
        </w:rPr>
        <w:t xml:space="preserve">is the OECD’s initiative </w:t>
      </w:r>
      <w:r w:rsidR="00FA26B2" w:rsidRPr="00085CE6">
        <w:rPr>
          <w:sz w:val="20"/>
          <w:szCs w:val="20"/>
        </w:rPr>
        <w:t>“</w:t>
      </w:r>
      <w:r w:rsidRPr="00085CE6">
        <w:rPr>
          <w:i/>
          <w:iCs/>
          <w:sz w:val="20"/>
          <w:szCs w:val="20"/>
        </w:rPr>
        <w:t>to help optimise the global impact of emissions reduction efforts around the world</w:t>
      </w:r>
      <w:r w:rsidR="00FA26B2" w:rsidRPr="00085CE6">
        <w:rPr>
          <w:sz w:val="20"/>
          <w:szCs w:val="20"/>
        </w:rPr>
        <w:t>”</w:t>
      </w:r>
      <w:r w:rsidRPr="00085CE6">
        <w:rPr>
          <w:sz w:val="20"/>
          <w:szCs w:val="20"/>
        </w:rPr>
        <w:t xml:space="preserve">. </w:t>
      </w:r>
      <w:r w:rsidR="003257D6" w:rsidRPr="00085CE6">
        <w:rPr>
          <w:sz w:val="20"/>
          <w:szCs w:val="20"/>
        </w:rPr>
        <w:t>The first part</w:t>
      </w:r>
      <w:r w:rsidR="0041365F" w:rsidRPr="00085CE6">
        <w:rPr>
          <w:sz w:val="20"/>
          <w:szCs w:val="20"/>
        </w:rPr>
        <w:t xml:space="preserve"> of the </w:t>
      </w:r>
      <w:r w:rsidR="00FA26B2" w:rsidRPr="00085CE6">
        <w:rPr>
          <w:sz w:val="20"/>
          <w:szCs w:val="20"/>
        </w:rPr>
        <w:t xml:space="preserve">IFCMA </w:t>
      </w:r>
      <w:r w:rsidR="0041365F" w:rsidRPr="00085CE6">
        <w:rPr>
          <w:sz w:val="20"/>
          <w:szCs w:val="20"/>
        </w:rPr>
        <w:t>project</w:t>
      </w:r>
      <w:r w:rsidR="00987C6D" w:rsidRPr="00085CE6">
        <w:rPr>
          <w:sz w:val="20"/>
          <w:szCs w:val="20"/>
        </w:rPr>
        <w:t>,</w:t>
      </w:r>
      <w:r w:rsidR="0041365F" w:rsidRPr="00085CE6">
        <w:rPr>
          <w:sz w:val="20"/>
          <w:szCs w:val="20"/>
        </w:rPr>
        <w:t xml:space="preserve"> is a stocktaking exercise </w:t>
      </w:r>
      <w:r w:rsidRPr="00085CE6">
        <w:rPr>
          <w:sz w:val="20"/>
          <w:szCs w:val="20"/>
        </w:rPr>
        <w:t xml:space="preserve">of </w:t>
      </w:r>
      <w:r w:rsidR="0041365F" w:rsidRPr="00085CE6">
        <w:rPr>
          <w:sz w:val="20"/>
          <w:szCs w:val="20"/>
        </w:rPr>
        <w:t xml:space="preserve">the </w:t>
      </w:r>
      <w:r w:rsidRPr="00085CE6">
        <w:rPr>
          <w:sz w:val="20"/>
          <w:szCs w:val="20"/>
        </w:rPr>
        <w:t xml:space="preserve">different carbon mitigation </w:t>
      </w:r>
      <w:r w:rsidR="00105996" w:rsidRPr="00085CE6">
        <w:rPr>
          <w:sz w:val="20"/>
          <w:szCs w:val="20"/>
        </w:rPr>
        <w:t>approaches;</w:t>
      </w:r>
      <w:r w:rsidR="0041365F" w:rsidRPr="00085CE6">
        <w:rPr>
          <w:sz w:val="20"/>
          <w:szCs w:val="20"/>
        </w:rPr>
        <w:t xml:space="preserve"> </w:t>
      </w:r>
      <w:r w:rsidR="00987C6D" w:rsidRPr="00085CE6">
        <w:rPr>
          <w:sz w:val="20"/>
          <w:szCs w:val="20"/>
        </w:rPr>
        <w:t>t</w:t>
      </w:r>
      <w:r w:rsidR="0041365F" w:rsidRPr="00085CE6">
        <w:rPr>
          <w:sz w:val="20"/>
          <w:szCs w:val="20"/>
        </w:rPr>
        <w:t>he second part</w:t>
      </w:r>
      <w:r w:rsidR="00FA26B2" w:rsidRPr="00085CE6">
        <w:rPr>
          <w:sz w:val="20"/>
          <w:szCs w:val="20"/>
        </w:rPr>
        <w:t>,</w:t>
      </w:r>
      <w:r w:rsidR="0041365F" w:rsidRPr="00085CE6">
        <w:rPr>
          <w:sz w:val="20"/>
          <w:szCs w:val="20"/>
        </w:rPr>
        <w:t xml:space="preserve"> </w:t>
      </w:r>
      <w:r w:rsidR="00D261F2" w:rsidRPr="00085CE6">
        <w:rPr>
          <w:sz w:val="20"/>
          <w:szCs w:val="20"/>
        </w:rPr>
        <w:t>and the subject of this paper</w:t>
      </w:r>
      <w:r w:rsidR="00FA26B2" w:rsidRPr="00085CE6">
        <w:rPr>
          <w:sz w:val="20"/>
          <w:szCs w:val="20"/>
        </w:rPr>
        <w:t>,</w:t>
      </w:r>
      <w:r w:rsidR="00D261F2" w:rsidRPr="00085CE6">
        <w:rPr>
          <w:sz w:val="20"/>
          <w:szCs w:val="20"/>
        </w:rPr>
        <w:t xml:space="preserve"> </w:t>
      </w:r>
      <w:r w:rsidR="00FA26B2" w:rsidRPr="00085CE6">
        <w:rPr>
          <w:sz w:val="20"/>
          <w:szCs w:val="20"/>
        </w:rPr>
        <w:t xml:space="preserve">is </w:t>
      </w:r>
      <w:r w:rsidR="0041365F" w:rsidRPr="00085CE6">
        <w:rPr>
          <w:sz w:val="20"/>
          <w:szCs w:val="20"/>
        </w:rPr>
        <w:t xml:space="preserve">an ex-ante modelling exercise to assess their </w:t>
      </w:r>
      <w:r w:rsidRPr="00085CE6">
        <w:rPr>
          <w:sz w:val="20"/>
          <w:szCs w:val="20"/>
        </w:rPr>
        <w:t xml:space="preserve">comparative impact in terms of emissions </w:t>
      </w:r>
      <w:r w:rsidR="0041365F" w:rsidRPr="00085CE6">
        <w:rPr>
          <w:sz w:val="20"/>
          <w:szCs w:val="20"/>
        </w:rPr>
        <w:t>changes.</w:t>
      </w:r>
      <w:r w:rsidR="00D261F2" w:rsidRPr="00085CE6">
        <w:rPr>
          <w:sz w:val="20"/>
          <w:szCs w:val="20"/>
        </w:rPr>
        <w:t xml:space="preserve"> </w:t>
      </w:r>
    </w:p>
    <w:p w14:paraId="77F05463" w14:textId="77777777" w:rsidR="00396E54" w:rsidRPr="00085CE6" w:rsidRDefault="00396E54" w:rsidP="00D1732D">
      <w:pPr>
        <w:autoSpaceDE w:val="0"/>
        <w:autoSpaceDN w:val="0"/>
        <w:adjustRightInd w:val="0"/>
        <w:spacing w:after="0" w:line="240" w:lineRule="auto"/>
        <w:jc w:val="both"/>
      </w:pPr>
    </w:p>
    <w:p w14:paraId="5EC7CCBC" w14:textId="41282711" w:rsidR="0041365F" w:rsidRPr="00085CE6" w:rsidRDefault="007863E6" w:rsidP="00D1732D">
      <w:pPr>
        <w:autoSpaceDE w:val="0"/>
        <w:autoSpaceDN w:val="0"/>
        <w:adjustRightInd w:val="0"/>
        <w:spacing w:after="0" w:line="240" w:lineRule="auto"/>
        <w:jc w:val="both"/>
        <w:rPr>
          <w:sz w:val="20"/>
          <w:szCs w:val="20"/>
        </w:rPr>
      </w:pPr>
      <w:r w:rsidRPr="00085CE6">
        <w:rPr>
          <w:sz w:val="20"/>
          <w:szCs w:val="20"/>
        </w:rPr>
        <w:t xml:space="preserve">The </w:t>
      </w:r>
      <w:r w:rsidR="00221274" w:rsidRPr="00085CE6">
        <w:rPr>
          <w:sz w:val="20"/>
          <w:szCs w:val="20"/>
        </w:rPr>
        <w:t xml:space="preserve">first part of the </w:t>
      </w:r>
      <w:r w:rsidRPr="00085CE6">
        <w:rPr>
          <w:sz w:val="20"/>
          <w:szCs w:val="20"/>
        </w:rPr>
        <w:t xml:space="preserve">paper </w:t>
      </w:r>
      <w:r w:rsidR="00221274" w:rsidRPr="00085CE6">
        <w:rPr>
          <w:sz w:val="20"/>
          <w:szCs w:val="20"/>
        </w:rPr>
        <w:t>is informative, it discuss</w:t>
      </w:r>
      <w:r w:rsidR="00597862" w:rsidRPr="00085CE6">
        <w:rPr>
          <w:sz w:val="20"/>
          <w:szCs w:val="20"/>
        </w:rPr>
        <w:t>es</w:t>
      </w:r>
      <w:r w:rsidR="00221274" w:rsidRPr="00085CE6">
        <w:rPr>
          <w:sz w:val="20"/>
          <w:szCs w:val="20"/>
        </w:rPr>
        <w:t xml:space="preserve"> the</w:t>
      </w:r>
      <w:r w:rsidRPr="00085CE6">
        <w:rPr>
          <w:sz w:val="20"/>
          <w:szCs w:val="20"/>
        </w:rPr>
        <w:t xml:space="preserve"> </w:t>
      </w:r>
      <w:r w:rsidR="00542667" w:rsidRPr="00085CE6">
        <w:rPr>
          <w:sz w:val="20"/>
          <w:szCs w:val="20"/>
        </w:rPr>
        <w:t xml:space="preserve">broad </w:t>
      </w:r>
      <w:r w:rsidR="0041365F" w:rsidRPr="00085CE6">
        <w:rPr>
          <w:sz w:val="20"/>
          <w:szCs w:val="20"/>
        </w:rPr>
        <w:t>model</w:t>
      </w:r>
      <w:r w:rsidR="000109A5" w:rsidRPr="00085CE6">
        <w:rPr>
          <w:sz w:val="20"/>
          <w:szCs w:val="20"/>
        </w:rPr>
        <w:t>l</w:t>
      </w:r>
      <w:r w:rsidR="0041365F" w:rsidRPr="00085CE6">
        <w:rPr>
          <w:sz w:val="20"/>
          <w:szCs w:val="20"/>
        </w:rPr>
        <w:t xml:space="preserve">ing strategy </w:t>
      </w:r>
      <w:r w:rsidR="00542667" w:rsidRPr="00085CE6">
        <w:rPr>
          <w:sz w:val="20"/>
          <w:szCs w:val="20"/>
        </w:rPr>
        <w:t xml:space="preserve">envisaged </w:t>
      </w:r>
      <w:r w:rsidR="00221274" w:rsidRPr="00085CE6">
        <w:rPr>
          <w:sz w:val="20"/>
          <w:szCs w:val="20"/>
        </w:rPr>
        <w:t xml:space="preserve">for the </w:t>
      </w:r>
      <w:r w:rsidR="0041365F" w:rsidRPr="00085CE6">
        <w:rPr>
          <w:sz w:val="20"/>
          <w:szCs w:val="20"/>
        </w:rPr>
        <w:t xml:space="preserve">IFCMA. </w:t>
      </w:r>
      <w:r w:rsidR="00F043BC" w:rsidRPr="00085CE6">
        <w:rPr>
          <w:sz w:val="20"/>
          <w:szCs w:val="20"/>
        </w:rPr>
        <w:t xml:space="preserve">This strategy starts by setting reference projections: a set of consistent socio-macro-economic projections (i.e. elaborated with the same tool) for each IFCMA member country, as well as harmonizing the common historical databases. </w:t>
      </w:r>
      <w:r w:rsidR="007011F5" w:rsidRPr="00085CE6">
        <w:rPr>
          <w:sz w:val="20"/>
          <w:szCs w:val="20"/>
        </w:rPr>
        <w:t>These projections will feed two types of models: i.) some country (or region)-specific sectoral bottom-up (BU) models, and ii) a global and dynamic CGE model (the OECD ENV-Linkages model). Then the model</w:t>
      </w:r>
      <w:r w:rsidR="00424D03" w:rsidRPr="00085CE6">
        <w:rPr>
          <w:sz w:val="20"/>
          <w:szCs w:val="20"/>
        </w:rPr>
        <w:t>li</w:t>
      </w:r>
      <w:r w:rsidR="007011F5" w:rsidRPr="00085CE6">
        <w:rPr>
          <w:sz w:val="20"/>
          <w:szCs w:val="20"/>
        </w:rPr>
        <w:t>ng strategy rel</w:t>
      </w:r>
      <w:r w:rsidR="001601B6" w:rsidRPr="00085CE6">
        <w:rPr>
          <w:sz w:val="20"/>
          <w:szCs w:val="20"/>
        </w:rPr>
        <w:t>ies</w:t>
      </w:r>
      <w:r w:rsidR="007011F5" w:rsidRPr="00085CE6">
        <w:rPr>
          <w:sz w:val="20"/>
          <w:szCs w:val="20"/>
        </w:rPr>
        <w:t xml:space="preserve">, for each country, on BU models' assessment of emission impacts of currently implemented climate-related policies. </w:t>
      </w:r>
      <w:r w:rsidR="00A17D89" w:rsidRPr="00085CE6">
        <w:rPr>
          <w:sz w:val="20"/>
          <w:szCs w:val="20"/>
        </w:rPr>
        <w:t xml:space="preserve">The </w:t>
      </w:r>
      <w:r w:rsidR="00542667" w:rsidRPr="00085CE6">
        <w:rPr>
          <w:sz w:val="20"/>
          <w:szCs w:val="20"/>
        </w:rPr>
        <w:t xml:space="preserve">final </w:t>
      </w:r>
      <w:r w:rsidR="00A17D89" w:rsidRPr="00085CE6">
        <w:rPr>
          <w:sz w:val="20"/>
          <w:szCs w:val="20"/>
        </w:rPr>
        <w:t>step is to perform a top-down modelling assessment</w:t>
      </w:r>
      <w:r w:rsidR="00542667" w:rsidRPr="00085CE6">
        <w:rPr>
          <w:sz w:val="20"/>
          <w:szCs w:val="20"/>
        </w:rPr>
        <w:t>. This requires</w:t>
      </w:r>
      <w:r w:rsidR="00A17D89" w:rsidRPr="00085CE6">
        <w:rPr>
          <w:sz w:val="20"/>
          <w:szCs w:val="20"/>
        </w:rPr>
        <w:t xml:space="preserve"> </w:t>
      </w:r>
      <w:r w:rsidR="00542667" w:rsidRPr="00085CE6">
        <w:rPr>
          <w:sz w:val="20"/>
          <w:szCs w:val="20"/>
        </w:rPr>
        <w:t xml:space="preserve">a </w:t>
      </w:r>
      <w:r w:rsidR="00761FF1" w:rsidRPr="00085CE6">
        <w:rPr>
          <w:sz w:val="20"/>
          <w:szCs w:val="20"/>
        </w:rPr>
        <w:t>soft linking</w:t>
      </w:r>
      <w:r w:rsidR="00542667" w:rsidRPr="00085CE6">
        <w:rPr>
          <w:sz w:val="20"/>
          <w:szCs w:val="20"/>
        </w:rPr>
        <w:t xml:space="preserve"> of </w:t>
      </w:r>
      <w:r w:rsidR="00A17D89" w:rsidRPr="00085CE6">
        <w:rPr>
          <w:sz w:val="20"/>
          <w:szCs w:val="20"/>
        </w:rPr>
        <w:t>the CGE model to</w:t>
      </w:r>
      <w:r w:rsidR="00542667" w:rsidRPr="00085CE6">
        <w:rPr>
          <w:sz w:val="20"/>
          <w:szCs w:val="20"/>
        </w:rPr>
        <w:t xml:space="preserve"> </w:t>
      </w:r>
      <w:r w:rsidR="00761FF1" w:rsidRPr="00085CE6">
        <w:rPr>
          <w:sz w:val="20"/>
          <w:szCs w:val="20"/>
        </w:rPr>
        <w:t>BU</w:t>
      </w:r>
      <w:r w:rsidR="00542667" w:rsidRPr="00085CE6">
        <w:rPr>
          <w:sz w:val="20"/>
          <w:szCs w:val="20"/>
        </w:rPr>
        <w:t xml:space="preserve"> models</w:t>
      </w:r>
      <w:r w:rsidR="00A17D89" w:rsidRPr="00085CE6">
        <w:rPr>
          <w:sz w:val="20"/>
          <w:szCs w:val="20"/>
        </w:rPr>
        <w:t xml:space="preserve">: by transmitting </w:t>
      </w:r>
      <w:r w:rsidR="00761FF1" w:rsidRPr="00085CE6">
        <w:rPr>
          <w:sz w:val="20"/>
          <w:szCs w:val="20"/>
        </w:rPr>
        <w:t>changes in relevant variables due to policies calculated by BU</w:t>
      </w:r>
      <w:r w:rsidR="00A17D89" w:rsidRPr="00085CE6">
        <w:rPr>
          <w:sz w:val="20"/>
          <w:szCs w:val="20"/>
        </w:rPr>
        <w:t xml:space="preserve"> models </w:t>
      </w:r>
      <w:r w:rsidR="00761FF1" w:rsidRPr="00085CE6">
        <w:rPr>
          <w:sz w:val="20"/>
          <w:szCs w:val="20"/>
        </w:rPr>
        <w:t xml:space="preserve">into </w:t>
      </w:r>
      <w:r w:rsidR="00A17D89" w:rsidRPr="00085CE6">
        <w:rPr>
          <w:sz w:val="20"/>
          <w:szCs w:val="20"/>
        </w:rPr>
        <w:t>the CGE</w:t>
      </w:r>
      <w:r w:rsidR="00542667" w:rsidRPr="00085CE6">
        <w:rPr>
          <w:sz w:val="20"/>
          <w:szCs w:val="20"/>
        </w:rPr>
        <w:t xml:space="preserve"> (changes in technological costs, in production prices, etc)</w:t>
      </w:r>
      <w:r w:rsidR="00A17D89" w:rsidRPr="00085CE6">
        <w:rPr>
          <w:sz w:val="20"/>
          <w:szCs w:val="20"/>
        </w:rPr>
        <w:t>. Finally</w:t>
      </w:r>
      <w:r w:rsidR="00542667" w:rsidRPr="00085CE6">
        <w:rPr>
          <w:sz w:val="20"/>
          <w:szCs w:val="20"/>
        </w:rPr>
        <w:t>,</w:t>
      </w:r>
      <w:r w:rsidR="00A17D89" w:rsidRPr="00085CE6">
        <w:rPr>
          <w:sz w:val="20"/>
          <w:szCs w:val="20"/>
        </w:rPr>
        <w:t xml:space="preserve"> the CGE model will assess indirect impacts </w:t>
      </w:r>
      <w:r w:rsidR="00761FF1" w:rsidRPr="00085CE6">
        <w:rPr>
          <w:sz w:val="20"/>
          <w:szCs w:val="20"/>
        </w:rPr>
        <w:t>on emissions</w:t>
      </w:r>
      <w:r w:rsidR="00A17D89" w:rsidRPr="00085CE6">
        <w:rPr>
          <w:sz w:val="20"/>
          <w:szCs w:val="20"/>
        </w:rPr>
        <w:t xml:space="preserve"> (on other sector</w:t>
      </w:r>
      <w:r w:rsidR="00761FF1" w:rsidRPr="00085CE6">
        <w:rPr>
          <w:sz w:val="20"/>
          <w:szCs w:val="20"/>
        </w:rPr>
        <w:t>s</w:t>
      </w:r>
      <w:r w:rsidR="00A17D89" w:rsidRPr="00085CE6">
        <w:rPr>
          <w:sz w:val="20"/>
          <w:szCs w:val="20"/>
        </w:rPr>
        <w:t xml:space="preserve"> of the economy</w:t>
      </w:r>
      <w:r w:rsidR="00761FF1" w:rsidRPr="00085CE6">
        <w:rPr>
          <w:sz w:val="20"/>
          <w:szCs w:val="20"/>
        </w:rPr>
        <w:t xml:space="preserve"> not covered by BU models</w:t>
      </w:r>
      <w:r w:rsidR="00A17D89" w:rsidRPr="00085CE6">
        <w:rPr>
          <w:sz w:val="20"/>
          <w:szCs w:val="20"/>
        </w:rPr>
        <w:t>) as well as feedback impact</w:t>
      </w:r>
      <w:r w:rsidR="00761FF1" w:rsidRPr="00085CE6">
        <w:rPr>
          <w:sz w:val="20"/>
          <w:szCs w:val="20"/>
        </w:rPr>
        <w:t>s</w:t>
      </w:r>
      <w:r w:rsidR="00A17D89" w:rsidRPr="00085CE6">
        <w:rPr>
          <w:sz w:val="20"/>
          <w:szCs w:val="20"/>
        </w:rPr>
        <w:t xml:space="preserve"> (like </w:t>
      </w:r>
      <w:r w:rsidR="00761FF1" w:rsidRPr="00085CE6">
        <w:rPr>
          <w:sz w:val="20"/>
          <w:szCs w:val="20"/>
        </w:rPr>
        <w:t xml:space="preserve">how changes in </w:t>
      </w:r>
      <w:r w:rsidR="00A17D89" w:rsidRPr="00085CE6">
        <w:rPr>
          <w:sz w:val="20"/>
          <w:szCs w:val="20"/>
        </w:rPr>
        <w:t xml:space="preserve">macro conditions </w:t>
      </w:r>
      <w:r w:rsidR="00761FF1" w:rsidRPr="00085CE6">
        <w:rPr>
          <w:sz w:val="20"/>
          <w:szCs w:val="20"/>
        </w:rPr>
        <w:t>alter original changes from BU models</w:t>
      </w:r>
      <w:r w:rsidR="00C17068" w:rsidRPr="00085CE6">
        <w:rPr>
          <w:sz w:val="20"/>
          <w:szCs w:val="20"/>
        </w:rPr>
        <w:t>)</w:t>
      </w:r>
      <w:r w:rsidR="00761FF1" w:rsidRPr="00085CE6">
        <w:rPr>
          <w:sz w:val="20"/>
          <w:szCs w:val="20"/>
        </w:rPr>
        <w:t>.</w:t>
      </w:r>
    </w:p>
    <w:p w14:paraId="670BAABE" w14:textId="45A23B9A" w:rsidR="00221274" w:rsidRPr="00085CE6" w:rsidRDefault="00221274" w:rsidP="00D1732D">
      <w:pPr>
        <w:autoSpaceDE w:val="0"/>
        <w:autoSpaceDN w:val="0"/>
        <w:adjustRightInd w:val="0"/>
        <w:spacing w:after="0" w:line="240" w:lineRule="auto"/>
        <w:jc w:val="both"/>
        <w:rPr>
          <w:sz w:val="20"/>
          <w:szCs w:val="20"/>
        </w:rPr>
      </w:pPr>
    </w:p>
    <w:p w14:paraId="23C6B745" w14:textId="4916D343" w:rsidR="00221274" w:rsidRPr="00085CE6" w:rsidRDefault="00221274" w:rsidP="00D1732D">
      <w:pPr>
        <w:autoSpaceDE w:val="0"/>
        <w:autoSpaceDN w:val="0"/>
        <w:adjustRightInd w:val="0"/>
        <w:spacing w:after="0" w:line="240" w:lineRule="auto"/>
        <w:jc w:val="both"/>
        <w:rPr>
          <w:sz w:val="20"/>
          <w:szCs w:val="20"/>
        </w:rPr>
      </w:pPr>
      <w:r w:rsidRPr="00085CE6">
        <w:rPr>
          <w:sz w:val="20"/>
          <w:szCs w:val="20"/>
        </w:rPr>
        <w:t>The second part of the paper present</w:t>
      </w:r>
      <w:r w:rsidR="00761FF1" w:rsidRPr="00085CE6">
        <w:rPr>
          <w:sz w:val="20"/>
          <w:szCs w:val="20"/>
        </w:rPr>
        <w:t>s</w:t>
      </w:r>
      <w:r w:rsidRPr="00085CE6">
        <w:rPr>
          <w:sz w:val="20"/>
          <w:szCs w:val="20"/>
        </w:rPr>
        <w:t xml:space="preserve"> the construction of </w:t>
      </w:r>
      <w:r w:rsidR="00CA55A9" w:rsidRPr="00085CE6">
        <w:rPr>
          <w:sz w:val="20"/>
          <w:szCs w:val="20"/>
        </w:rPr>
        <w:t xml:space="preserve">the </w:t>
      </w:r>
      <w:r w:rsidRPr="00085CE6">
        <w:rPr>
          <w:sz w:val="20"/>
          <w:szCs w:val="20"/>
        </w:rPr>
        <w:t xml:space="preserve">reference </w:t>
      </w:r>
      <w:r w:rsidR="00761FF1" w:rsidRPr="00085CE6">
        <w:rPr>
          <w:sz w:val="20"/>
          <w:szCs w:val="20"/>
        </w:rPr>
        <w:t>projection</w:t>
      </w:r>
      <w:r w:rsidRPr="00085CE6">
        <w:rPr>
          <w:sz w:val="20"/>
          <w:szCs w:val="20"/>
        </w:rPr>
        <w:t xml:space="preserve"> for the modelling assessment</w:t>
      </w:r>
      <w:r w:rsidR="00761FF1" w:rsidRPr="00085CE6">
        <w:rPr>
          <w:sz w:val="20"/>
          <w:szCs w:val="20"/>
        </w:rPr>
        <w:t xml:space="preserve"> </w:t>
      </w:r>
      <w:r w:rsidR="00565357" w:rsidRPr="00085CE6">
        <w:rPr>
          <w:sz w:val="20"/>
          <w:szCs w:val="20"/>
        </w:rPr>
        <w:t>for each IFCMA member countries</w:t>
      </w:r>
      <w:r w:rsidRPr="00085CE6">
        <w:rPr>
          <w:sz w:val="20"/>
          <w:szCs w:val="20"/>
        </w:rPr>
        <w:t xml:space="preserve">. </w:t>
      </w:r>
      <w:r w:rsidR="008C1763" w:rsidRPr="00085CE6">
        <w:rPr>
          <w:sz w:val="20"/>
          <w:szCs w:val="20"/>
        </w:rPr>
        <w:t>The macro-economic pr</w:t>
      </w:r>
      <w:r w:rsidR="00291E9E" w:rsidRPr="00085CE6">
        <w:rPr>
          <w:sz w:val="20"/>
          <w:szCs w:val="20"/>
        </w:rPr>
        <w:t>ojections rely on OECD Long Term Model projections</w:t>
      </w:r>
      <w:r w:rsidR="00692CFC" w:rsidRPr="00085CE6">
        <w:rPr>
          <w:sz w:val="20"/>
          <w:szCs w:val="20"/>
        </w:rPr>
        <w:t xml:space="preserve"> complemented with projections</w:t>
      </w:r>
      <w:r w:rsidR="00CE17C8" w:rsidRPr="00085CE6">
        <w:rPr>
          <w:sz w:val="20"/>
          <w:szCs w:val="20"/>
        </w:rPr>
        <w:t xml:space="preserve"> and some common assumptions about future energy trends based on the IEA world energy outlook. </w:t>
      </w:r>
      <w:r w:rsidR="00A50471" w:rsidRPr="00085CE6">
        <w:rPr>
          <w:sz w:val="20"/>
          <w:szCs w:val="20"/>
        </w:rPr>
        <w:t xml:space="preserve">Energy and Emission </w:t>
      </w:r>
      <w:r w:rsidR="00FD32A5" w:rsidRPr="00085CE6">
        <w:rPr>
          <w:sz w:val="20"/>
          <w:szCs w:val="20"/>
        </w:rPr>
        <w:t xml:space="preserve">historical </w:t>
      </w:r>
      <w:r w:rsidR="00A50471" w:rsidRPr="00085CE6">
        <w:rPr>
          <w:sz w:val="20"/>
          <w:szCs w:val="20"/>
        </w:rPr>
        <w:t xml:space="preserve">databases </w:t>
      </w:r>
      <w:r w:rsidR="00FD32A5" w:rsidRPr="00085CE6">
        <w:rPr>
          <w:sz w:val="20"/>
          <w:szCs w:val="20"/>
        </w:rPr>
        <w:t xml:space="preserve">come from national inventory </w:t>
      </w:r>
      <w:r w:rsidR="00FF2D46" w:rsidRPr="00085CE6">
        <w:rPr>
          <w:sz w:val="20"/>
          <w:szCs w:val="20"/>
        </w:rPr>
        <w:t>complemented,</w:t>
      </w:r>
      <w:r w:rsidR="00FD32A5" w:rsidRPr="00085CE6">
        <w:rPr>
          <w:sz w:val="20"/>
          <w:szCs w:val="20"/>
        </w:rPr>
        <w:t xml:space="preserve"> if </w:t>
      </w:r>
      <w:r w:rsidR="00FF2D46" w:rsidRPr="00085CE6">
        <w:rPr>
          <w:sz w:val="20"/>
          <w:szCs w:val="20"/>
        </w:rPr>
        <w:t>necessary,</w:t>
      </w:r>
      <w:r w:rsidR="00FD32A5" w:rsidRPr="00085CE6">
        <w:rPr>
          <w:sz w:val="20"/>
          <w:szCs w:val="20"/>
        </w:rPr>
        <w:t xml:space="preserve"> by IEA and JRC-EDGAR databases. </w:t>
      </w:r>
      <w:r w:rsidR="00FB1596" w:rsidRPr="00085CE6">
        <w:rPr>
          <w:sz w:val="20"/>
          <w:szCs w:val="20"/>
        </w:rPr>
        <w:t>The emphasis is placed on the two ongoing pilot studies for Switzerland and Chile. Indeed, the first phase of the IFCMA initiative focuses only on a few countries and policies (i.e., pilot studies) to "test" the feasibility of this modelling strategy before expanding it on a larger scale (covering all IFCMA country members and as many policies as possible).</w:t>
      </w:r>
      <w:r w:rsidR="00FF2D46" w:rsidRPr="00085CE6">
        <w:rPr>
          <w:sz w:val="20"/>
          <w:szCs w:val="20"/>
        </w:rPr>
        <w:t xml:space="preserve"> It should be noticed that the reference </w:t>
      </w:r>
      <w:r w:rsidR="00557984" w:rsidRPr="00085CE6">
        <w:rPr>
          <w:sz w:val="20"/>
          <w:szCs w:val="20"/>
        </w:rPr>
        <w:t>projection</w:t>
      </w:r>
      <w:r w:rsidR="00FF2D46" w:rsidRPr="00085CE6">
        <w:rPr>
          <w:sz w:val="20"/>
          <w:szCs w:val="20"/>
        </w:rPr>
        <w:t xml:space="preserve"> includes current policies related to climate</w:t>
      </w:r>
      <w:r w:rsidR="00557984" w:rsidRPr="00085CE6">
        <w:rPr>
          <w:sz w:val="20"/>
          <w:szCs w:val="20"/>
        </w:rPr>
        <w:t xml:space="preserve"> </w:t>
      </w:r>
      <w:r w:rsidR="00F50746" w:rsidRPr="00085CE6">
        <w:rPr>
          <w:sz w:val="20"/>
          <w:szCs w:val="20"/>
        </w:rPr>
        <w:t>(</w:t>
      </w:r>
      <w:r w:rsidR="00971DA6" w:rsidRPr="00085CE6">
        <w:rPr>
          <w:sz w:val="20"/>
          <w:szCs w:val="20"/>
        </w:rPr>
        <w:t>in</w:t>
      </w:r>
      <w:r w:rsidR="00F50746" w:rsidRPr="00085CE6">
        <w:rPr>
          <w:sz w:val="20"/>
          <w:szCs w:val="20"/>
        </w:rPr>
        <w:t>cluding regulation</w:t>
      </w:r>
      <w:r w:rsidR="00971DA6" w:rsidRPr="00085CE6">
        <w:rPr>
          <w:sz w:val="20"/>
          <w:szCs w:val="20"/>
        </w:rPr>
        <w:t xml:space="preserve">, price-based instruments, national infrastructure plans, etc.) </w:t>
      </w:r>
      <w:r w:rsidR="00557984" w:rsidRPr="00085CE6">
        <w:rPr>
          <w:sz w:val="20"/>
          <w:szCs w:val="20"/>
        </w:rPr>
        <w:t xml:space="preserve">but not project any future policies that are not yet legislated. In other </w:t>
      </w:r>
      <w:r w:rsidR="00F50746" w:rsidRPr="00085CE6">
        <w:rPr>
          <w:sz w:val="20"/>
          <w:szCs w:val="20"/>
        </w:rPr>
        <w:t>words,</w:t>
      </w:r>
      <w:r w:rsidR="00557984" w:rsidRPr="00085CE6">
        <w:rPr>
          <w:sz w:val="20"/>
          <w:szCs w:val="20"/>
        </w:rPr>
        <w:t xml:space="preserve"> the </w:t>
      </w:r>
      <w:r w:rsidR="00F50746" w:rsidRPr="00085CE6">
        <w:rPr>
          <w:sz w:val="20"/>
          <w:szCs w:val="20"/>
        </w:rPr>
        <w:t>aim</w:t>
      </w:r>
      <w:r w:rsidR="00557984" w:rsidRPr="00085CE6">
        <w:rPr>
          <w:sz w:val="20"/>
          <w:szCs w:val="20"/>
        </w:rPr>
        <w:t xml:space="preserve"> of the project is not </w:t>
      </w:r>
      <w:r w:rsidR="00A2230F" w:rsidRPr="00085CE6">
        <w:rPr>
          <w:sz w:val="20"/>
          <w:szCs w:val="20"/>
        </w:rPr>
        <w:t>to build scenarios about future trajectory of emissions</w:t>
      </w:r>
      <w:r w:rsidR="0028095D" w:rsidRPr="00085CE6">
        <w:rPr>
          <w:sz w:val="20"/>
          <w:szCs w:val="20"/>
        </w:rPr>
        <w:t>,</w:t>
      </w:r>
      <w:r w:rsidR="00A2230F" w:rsidRPr="00085CE6">
        <w:rPr>
          <w:sz w:val="20"/>
          <w:szCs w:val="20"/>
        </w:rPr>
        <w:t xml:space="preserve"> to reach some </w:t>
      </w:r>
      <w:r w:rsidR="00DD7F2A" w:rsidRPr="00085CE6">
        <w:rPr>
          <w:sz w:val="20"/>
          <w:szCs w:val="20"/>
        </w:rPr>
        <w:t>targets</w:t>
      </w:r>
      <w:r w:rsidR="0028095D" w:rsidRPr="00085CE6">
        <w:rPr>
          <w:sz w:val="20"/>
          <w:szCs w:val="20"/>
        </w:rPr>
        <w:t xml:space="preserve">, etc. but to </w:t>
      </w:r>
      <w:r w:rsidR="00F50746" w:rsidRPr="00085CE6">
        <w:rPr>
          <w:sz w:val="20"/>
          <w:szCs w:val="20"/>
        </w:rPr>
        <w:t>assess</w:t>
      </w:r>
      <w:r w:rsidR="0028095D" w:rsidRPr="00085CE6">
        <w:rPr>
          <w:sz w:val="20"/>
          <w:szCs w:val="20"/>
        </w:rPr>
        <w:t xml:space="preserve"> current (and historical) emission reduction efforts. </w:t>
      </w:r>
    </w:p>
    <w:p w14:paraId="3C496265" w14:textId="77777777" w:rsidR="00565357" w:rsidRPr="00085CE6" w:rsidRDefault="00565357" w:rsidP="00D1732D">
      <w:pPr>
        <w:autoSpaceDE w:val="0"/>
        <w:autoSpaceDN w:val="0"/>
        <w:adjustRightInd w:val="0"/>
        <w:spacing w:after="0" w:line="240" w:lineRule="auto"/>
        <w:jc w:val="both"/>
        <w:rPr>
          <w:sz w:val="20"/>
          <w:szCs w:val="20"/>
        </w:rPr>
      </w:pPr>
    </w:p>
    <w:p w14:paraId="6EA0F930" w14:textId="74FA67EB" w:rsidR="00284623" w:rsidRPr="00085CE6" w:rsidRDefault="00565357" w:rsidP="002D5636">
      <w:pPr>
        <w:autoSpaceDE w:val="0"/>
        <w:autoSpaceDN w:val="0"/>
        <w:adjustRightInd w:val="0"/>
        <w:spacing w:after="0" w:line="240" w:lineRule="auto"/>
        <w:jc w:val="both"/>
        <w:rPr>
          <w:sz w:val="20"/>
          <w:szCs w:val="20"/>
        </w:rPr>
      </w:pPr>
      <w:r w:rsidRPr="00085CE6">
        <w:rPr>
          <w:sz w:val="20"/>
          <w:szCs w:val="20"/>
        </w:rPr>
        <w:t>Finally</w:t>
      </w:r>
      <w:r w:rsidR="008E2DCE" w:rsidRPr="00085CE6">
        <w:rPr>
          <w:sz w:val="20"/>
          <w:szCs w:val="20"/>
        </w:rPr>
        <w:t>,</w:t>
      </w:r>
      <w:r w:rsidRPr="00085CE6">
        <w:rPr>
          <w:sz w:val="20"/>
          <w:szCs w:val="20"/>
        </w:rPr>
        <w:t xml:space="preserve"> the last part of the paper present</w:t>
      </w:r>
      <w:r w:rsidR="00720CA0" w:rsidRPr="00085CE6">
        <w:rPr>
          <w:sz w:val="20"/>
          <w:szCs w:val="20"/>
        </w:rPr>
        <w:t>s</w:t>
      </w:r>
      <w:r w:rsidRPr="00085CE6">
        <w:rPr>
          <w:sz w:val="20"/>
          <w:szCs w:val="20"/>
        </w:rPr>
        <w:t xml:space="preserve"> </w:t>
      </w:r>
      <w:r w:rsidR="00A344AD" w:rsidRPr="00085CE6">
        <w:rPr>
          <w:sz w:val="20"/>
          <w:szCs w:val="20"/>
        </w:rPr>
        <w:t>some</w:t>
      </w:r>
      <w:r w:rsidR="008E2DCE" w:rsidRPr="00085CE6">
        <w:rPr>
          <w:sz w:val="20"/>
          <w:szCs w:val="20"/>
        </w:rPr>
        <w:t xml:space="preserve"> </w:t>
      </w:r>
      <w:r w:rsidR="00221274" w:rsidRPr="00085CE6">
        <w:rPr>
          <w:sz w:val="20"/>
          <w:szCs w:val="20"/>
        </w:rPr>
        <w:t xml:space="preserve">preliminary results for </w:t>
      </w:r>
      <w:r w:rsidR="006A2CCE" w:rsidRPr="00085CE6">
        <w:rPr>
          <w:sz w:val="20"/>
          <w:szCs w:val="20"/>
        </w:rPr>
        <w:t xml:space="preserve">the </w:t>
      </w:r>
      <w:r w:rsidR="00BC070F" w:rsidRPr="00085CE6">
        <w:rPr>
          <w:sz w:val="20"/>
          <w:szCs w:val="20"/>
        </w:rPr>
        <w:t>Switzerland</w:t>
      </w:r>
      <w:r w:rsidR="006A2CCE" w:rsidRPr="00085CE6">
        <w:rPr>
          <w:sz w:val="20"/>
          <w:szCs w:val="20"/>
        </w:rPr>
        <w:t xml:space="preserve"> Pilot study</w:t>
      </w:r>
      <w:r w:rsidR="00BC070F" w:rsidRPr="00085CE6">
        <w:rPr>
          <w:sz w:val="20"/>
          <w:szCs w:val="20"/>
        </w:rPr>
        <w:t xml:space="preserve">. </w:t>
      </w:r>
      <w:r w:rsidR="004C4570" w:rsidRPr="00085CE6">
        <w:rPr>
          <w:sz w:val="20"/>
          <w:szCs w:val="20"/>
        </w:rPr>
        <w:t xml:space="preserve">The BU part of the analysis </w:t>
      </w:r>
      <w:r w:rsidR="00720CA0" w:rsidRPr="00085CE6">
        <w:rPr>
          <w:sz w:val="20"/>
          <w:szCs w:val="20"/>
        </w:rPr>
        <w:t>is</w:t>
      </w:r>
      <w:r w:rsidR="004C4570" w:rsidRPr="00085CE6">
        <w:rPr>
          <w:sz w:val="20"/>
          <w:szCs w:val="20"/>
        </w:rPr>
        <w:t xml:space="preserve"> </w:t>
      </w:r>
      <w:r w:rsidR="007F3377" w:rsidRPr="00085CE6">
        <w:rPr>
          <w:sz w:val="20"/>
          <w:szCs w:val="20"/>
        </w:rPr>
        <w:t xml:space="preserve">done with </w:t>
      </w:r>
      <w:r w:rsidR="00CC2442" w:rsidRPr="00085CE6">
        <w:rPr>
          <w:sz w:val="20"/>
          <w:szCs w:val="20"/>
        </w:rPr>
        <w:t xml:space="preserve">a version of the </w:t>
      </w:r>
      <w:r w:rsidR="00720CA0" w:rsidRPr="00085CE6">
        <w:rPr>
          <w:sz w:val="20"/>
          <w:szCs w:val="20"/>
        </w:rPr>
        <w:t xml:space="preserve">JRC EU TIMES model and focus on </w:t>
      </w:r>
      <w:r w:rsidR="002447AA" w:rsidRPr="00085CE6">
        <w:rPr>
          <w:sz w:val="20"/>
          <w:szCs w:val="20"/>
        </w:rPr>
        <w:t>“Buildings</w:t>
      </w:r>
      <w:r w:rsidR="00FE4C29" w:rsidRPr="00085CE6">
        <w:rPr>
          <w:sz w:val="20"/>
          <w:szCs w:val="20"/>
        </w:rPr>
        <w:t>”</w:t>
      </w:r>
      <w:r w:rsidR="00186ACD" w:rsidRPr="00085CE6">
        <w:rPr>
          <w:sz w:val="20"/>
          <w:szCs w:val="20"/>
        </w:rPr>
        <w:t xml:space="preserve"> and industry</w:t>
      </w:r>
      <w:r w:rsidR="002447AA" w:rsidRPr="00085CE6">
        <w:rPr>
          <w:sz w:val="20"/>
          <w:szCs w:val="20"/>
        </w:rPr>
        <w:t xml:space="preserve"> policies</w:t>
      </w:r>
      <w:r w:rsidR="00186ACD" w:rsidRPr="00085CE6">
        <w:rPr>
          <w:sz w:val="20"/>
          <w:szCs w:val="20"/>
        </w:rPr>
        <w:t xml:space="preserve">, including </w:t>
      </w:r>
      <w:r w:rsidR="00DE7035" w:rsidRPr="00085CE6">
        <w:rPr>
          <w:sz w:val="20"/>
          <w:szCs w:val="20"/>
        </w:rPr>
        <w:t xml:space="preserve">the </w:t>
      </w:r>
      <w:r w:rsidR="00186ACD" w:rsidRPr="00085CE6">
        <w:rPr>
          <w:sz w:val="20"/>
          <w:szCs w:val="20"/>
        </w:rPr>
        <w:t>“</w:t>
      </w:r>
      <w:r w:rsidR="00DE7035" w:rsidRPr="00085CE6">
        <w:rPr>
          <w:sz w:val="20"/>
          <w:szCs w:val="20"/>
        </w:rPr>
        <w:t xml:space="preserve">Swiss </w:t>
      </w:r>
      <w:r w:rsidR="00186ACD" w:rsidRPr="00085CE6">
        <w:rPr>
          <w:sz w:val="20"/>
          <w:szCs w:val="20"/>
        </w:rPr>
        <w:t xml:space="preserve">CO2 levy”, </w:t>
      </w:r>
      <w:r w:rsidR="00DE7035" w:rsidRPr="00085CE6">
        <w:rPr>
          <w:sz w:val="20"/>
          <w:szCs w:val="20"/>
        </w:rPr>
        <w:t xml:space="preserve">the </w:t>
      </w:r>
      <w:r w:rsidR="00186ACD" w:rsidRPr="00085CE6">
        <w:rPr>
          <w:sz w:val="20"/>
          <w:szCs w:val="20"/>
        </w:rPr>
        <w:t xml:space="preserve">EU-ETS and </w:t>
      </w:r>
      <w:r w:rsidR="00DE7035" w:rsidRPr="00085CE6">
        <w:rPr>
          <w:sz w:val="20"/>
          <w:szCs w:val="20"/>
        </w:rPr>
        <w:t xml:space="preserve">the </w:t>
      </w:r>
      <w:r w:rsidR="00DB496A" w:rsidRPr="00085CE6">
        <w:rPr>
          <w:sz w:val="20"/>
          <w:szCs w:val="20"/>
        </w:rPr>
        <w:t>“</w:t>
      </w:r>
      <w:r w:rsidR="00DE7035" w:rsidRPr="00085CE6">
        <w:rPr>
          <w:sz w:val="20"/>
          <w:szCs w:val="20"/>
        </w:rPr>
        <w:t xml:space="preserve">Swiss </w:t>
      </w:r>
      <w:r w:rsidR="00DB496A" w:rsidRPr="00085CE6">
        <w:rPr>
          <w:sz w:val="20"/>
          <w:szCs w:val="20"/>
        </w:rPr>
        <w:t xml:space="preserve">Buildings codes on energy consumption”. The </w:t>
      </w:r>
      <w:r w:rsidR="00573F40" w:rsidRPr="00085CE6">
        <w:rPr>
          <w:sz w:val="20"/>
          <w:szCs w:val="20"/>
        </w:rPr>
        <w:t xml:space="preserve">paper </w:t>
      </w:r>
      <w:r w:rsidR="00B92920" w:rsidRPr="00085CE6">
        <w:rPr>
          <w:sz w:val="20"/>
          <w:szCs w:val="20"/>
        </w:rPr>
        <w:t>explains</w:t>
      </w:r>
      <w:r w:rsidR="00573F40" w:rsidRPr="00085CE6">
        <w:rPr>
          <w:sz w:val="20"/>
          <w:szCs w:val="20"/>
        </w:rPr>
        <w:t xml:space="preserve"> how the </w:t>
      </w:r>
      <w:r w:rsidR="00DB496A" w:rsidRPr="00085CE6">
        <w:rPr>
          <w:sz w:val="20"/>
          <w:szCs w:val="20"/>
        </w:rPr>
        <w:t xml:space="preserve">resulting </w:t>
      </w:r>
      <w:r w:rsidR="006B4444" w:rsidRPr="00085CE6">
        <w:rPr>
          <w:sz w:val="20"/>
          <w:szCs w:val="20"/>
        </w:rPr>
        <w:t xml:space="preserve">emission </w:t>
      </w:r>
      <w:r w:rsidR="00DB496A" w:rsidRPr="00085CE6">
        <w:rPr>
          <w:sz w:val="20"/>
          <w:szCs w:val="20"/>
        </w:rPr>
        <w:t xml:space="preserve">impacts </w:t>
      </w:r>
      <w:r w:rsidR="00DE7035" w:rsidRPr="00085CE6">
        <w:rPr>
          <w:sz w:val="20"/>
          <w:szCs w:val="20"/>
        </w:rPr>
        <w:t xml:space="preserve">and the </w:t>
      </w:r>
      <w:r w:rsidR="00DB496A" w:rsidRPr="00085CE6">
        <w:rPr>
          <w:sz w:val="20"/>
          <w:szCs w:val="20"/>
        </w:rPr>
        <w:t xml:space="preserve">changes in prices and quantity </w:t>
      </w:r>
      <w:r w:rsidR="006B4444" w:rsidRPr="00085CE6">
        <w:rPr>
          <w:sz w:val="20"/>
          <w:szCs w:val="20"/>
        </w:rPr>
        <w:t xml:space="preserve">from </w:t>
      </w:r>
      <w:r w:rsidR="00971DA6" w:rsidRPr="00085CE6">
        <w:rPr>
          <w:sz w:val="20"/>
          <w:szCs w:val="20"/>
        </w:rPr>
        <w:t xml:space="preserve">the </w:t>
      </w:r>
      <w:r w:rsidR="006B4444" w:rsidRPr="00085CE6">
        <w:rPr>
          <w:sz w:val="20"/>
          <w:szCs w:val="20"/>
        </w:rPr>
        <w:t xml:space="preserve">TIMES </w:t>
      </w:r>
      <w:r w:rsidR="00971DA6" w:rsidRPr="00085CE6">
        <w:rPr>
          <w:sz w:val="20"/>
          <w:szCs w:val="20"/>
        </w:rPr>
        <w:t xml:space="preserve">model </w:t>
      </w:r>
      <w:r w:rsidR="006B4444" w:rsidRPr="00085CE6">
        <w:rPr>
          <w:sz w:val="20"/>
          <w:szCs w:val="20"/>
        </w:rPr>
        <w:t xml:space="preserve">are transmitted and reproduced in the OECD ENV-Linkages model. </w:t>
      </w:r>
      <w:r w:rsidR="004E52D6" w:rsidRPr="00085CE6">
        <w:rPr>
          <w:sz w:val="20"/>
          <w:szCs w:val="20"/>
        </w:rPr>
        <w:t>As far as possible policies (or policy package) are run one by one with the TIMES model</w:t>
      </w:r>
      <w:r w:rsidR="008D795A" w:rsidRPr="00085CE6">
        <w:rPr>
          <w:sz w:val="20"/>
          <w:szCs w:val="20"/>
        </w:rPr>
        <w:t xml:space="preserve"> and ENV-Linkages will adjust for each of them and not for all together. </w:t>
      </w:r>
      <w:r w:rsidR="006B4444" w:rsidRPr="00085CE6">
        <w:rPr>
          <w:sz w:val="20"/>
          <w:szCs w:val="20"/>
        </w:rPr>
        <w:t xml:space="preserve">Then </w:t>
      </w:r>
      <w:r w:rsidR="00DE7035" w:rsidRPr="00085CE6">
        <w:rPr>
          <w:sz w:val="20"/>
          <w:szCs w:val="20"/>
        </w:rPr>
        <w:t xml:space="preserve">a </w:t>
      </w:r>
      <w:r w:rsidR="006B4444" w:rsidRPr="00085CE6">
        <w:rPr>
          <w:sz w:val="20"/>
          <w:szCs w:val="20"/>
        </w:rPr>
        <w:t>comparison of BU and CGE assessment on emission will be discussed.</w:t>
      </w:r>
      <w:r w:rsidR="008D795A" w:rsidRPr="00085CE6">
        <w:rPr>
          <w:sz w:val="20"/>
          <w:szCs w:val="20"/>
        </w:rPr>
        <w:t xml:space="preserve"> </w:t>
      </w:r>
      <w:r w:rsidR="00573F40" w:rsidRPr="00085CE6">
        <w:rPr>
          <w:sz w:val="20"/>
          <w:szCs w:val="20"/>
        </w:rPr>
        <w:t xml:space="preserve"> </w:t>
      </w:r>
      <w:r w:rsidR="00720CA0" w:rsidRPr="00085CE6">
        <w:rPr>
          <w:sz w:val="20"/>
          <w:szCs w:val="20"/>
        </w:rPr>
        <w:t xml:space="preserve"> </w:t>
      </w:r>
    </w:p>
    <w:p w14:paraId="4571A50C" w14:textId="77777777" w:rsidR="00284623" w:rsidRPr="00085CE6" w:rsidRDefault="00284623">
      <w:pPr>
        <w:rPr>
          <w:sz w:val="20"/>
          <w:szCs w:val="20"/>
        </w:rPr>
      </w:pPr>
      <w:r w:rsidRPr="00085CE6">
        <w:rPr>
          <w:sz w:val="20"/>
          <w:szCs w:val="20"/>
        </w:rPr>
        <w:br w:type="page"/>
      </w:r>
    </w:p>
    <w:p w14:paraId="1A93EE2F" w14:textId="1375D3E3" w:rsidR="006F713D" w:rsidRPr="006F713D" w:rsidRDefault="006F713D" w:rsidP="006F713D">
      <w:pPr>
        <w:pStyle w:val="Heading1"/>
      </w:pPr>
      <w:r>
        <w:lastRenderedPageBreak/>
        <w:t>Introduction</w:t>
      </w:r>
      <w:r w:rsidR="00085CE6">
        <w:t xml:space="preserve">: </w:t>
      </w:r>
      <w:r>
        <w:t xml:space="preserve">the OECD </w:t>
      </w:r>
      <w:r w:rsidRPr="006F713D">
        <w:t>Inclusive Forum on Carbon Mitigation Approaches</w:t>
      </w:r>
      <w:r w:rsidRPr="006F713D">
        <w:t xml:space="preserve"> (IFCMA)</w:t>
      </w:r>
    </w:p>
    <w:p w14:paraId="54B9BFA8" w14:textId="3825330D" w:rsidR="00E64991" w:rsidRPr="00085CE6" w:rsidRDefault="00E64991" w:rsidP="002D5636">
      <w:pPr>
        <w:autoSpaceDE w:val="0"/>
        <w:autoSpaceDN w:val="0"/>
        <w:adjustRightInd w:val="0"/>
        <w:spacing w:after="0" w:line="240" w:lineRule="auto"/>
        <w:jc w:val="both"/>
        <w:rPr>
          <w:sz w:val="20"/>
          <w:szCs w:val="20"/>
        </w:rPr>
      </w:pPr>
    </w:p>
    <w:p w14:paraId="1BB05E45" w14:textId="77777777" w:rsidR="006F713D" w:rsidRPr="00C34479" w:rsidRDefault="006F713D" w:rsidP="006F713D">
      <w:pPr>
        <w:pStyle w:val="Para"/>
        <w:numPr>
          <w:ilvl w:val="0"/>
          <w:numId w:val="0"/>
        </w:numPr>
      </w:pPr>
      <w:r>
        <w:t>Greenhouse gas emissions from a wide range of anthropogenic activities contribute to climate change. Correspondingly, an ambitious set of mitigation actions is required, covering a broad set of sectors, products, gases, and economic agents. A system-wide perspective on how emissions are linked to economic activities and interactions between economic sectors is important to develop a comprehensive view on the impact of climate action on greenhouse gas emissions.</w:t>
      </w:r>
    </w:p>
    <w:p w14:paraId="581D4AD7" w14:textId="77777777" w:rsidR="006F713D" w:rsidRDefault="006F713D" w:rsidP="006F713D">
      <w:pPr>
        <w:pStyle w:val="Para"/>
        <w:numPr>
          <w:ilvl w:val="0"/>
          <w:numId w:val="0"/>
        </w:numPr>
      </w:pPr>
      <w:r>
        <w:t>At the same time, sectors and countries differ significantly with regards to the sources of emissions, sectoral structure of the economy, natural resource availability, infrastructure development, and technology options. Differences in the policy approaches and instruments implemented in each sector further enhance this diversity. Pricing, regulation, investments, or other types of public intervention differ in how they affect behaviours, technology choices, and the corresponding impact on greenhouse gas emissions. Given this diversity, adopting an approach that takes country- and sector-specific circumstances into account is key for developing valuable insight into the potential impact of policy approaches and instruments on greenhouse gas emissions.</w:t>
      </w:r>
    </w:p>
    <w:p w14:paraId="737D8C41" w14:textId="3A427783" w:rsidR="006F713D" w:rsidRDefault="006F713D" w:rsidP="004A085C">
      <w:pPr>
        <w:pStyle w:val="Para"/>
        <w:numPr>
          <w:ilvl w:val="0"/>
          <w:numId w:val="0"/>
        </w:numPr>
      </w:pPr>
      <w:r>
        <w:t>[</w:t>
      </w:r>
      <w:r w:rsidR="004A085C">
        <w:t xml:space="preserve">ADD THE </w:t>
      </w:r>
      <w:r>
        <w:t>GENERIC PARA ON IFCMA]</w:t>
      </w:r>
    </w:p>
    <w:p w14:paraId="76CD08C6" w14:textId="0D741828" w:rsidR="006F713D" w:rsidRDefault="006F713D" w:rsidP="006F713D">
      <w:pPr>
        <w:pStyle w:val="Para"/>
        <w:numPr>
          <w:ilvl w:val="0"/>
          <w:numId w:val="0"/>
        </w:numPr>
      </w:pPr>
      <w:r>
        <w:t xml:space="preserve">The modelling analysis undertaken </w:t>
      </w:r>
      <w:r>
        <w:t>for</w:t>
      </w:r>
      <w:r>
        <w:t xml:space="preserve"> the Inclusive Forum on Carbon Mitigation Approaches (IFCMA) aims to develop and apply a consistent methodology to </w:t>
      </w:r>
      <w:bookmarkStart w:id="0" w:name="_Hlk146640962"/>
      <w:r>
        <w:t xml:space="preserve">assess the </w:t>
      </w:r>
      <w:r w:rsidRPr="00AD4E27">
        <w:t>effects</w:t>
      </w:r>
      <w:r>
        <w:t xml:space="preserve"> of implemented climate-relevant policies on greenhouse gas emissions</w:t>
      </w:r>
      <w:bookmarkEnd w:id="0"/>
      <w:r>
        <w:t xml:space="preserve"> across a wide range of countries and sectors. The IFCMA’s quantitative modelling framework will capture both sectoral and economy-wide consequences of specific climate change mitigation action, marrying a broad system-wide perspective with country- and sector-specific detail.</w:t>
      </w:r>
      <w:r>
        <w:t xml:space="preserve"> Linink</w:t>
      </w:r>
      <w:r>
        <w:t xml:space="preserve"> sectoral </w:t>
      </w:r>
      <w:r>
        <w:t>models/</w:t>
      </w:r>
      <w:r>
        <w:t xml:space="preserve">approaches </w:t>
      </w:r>
      <w:r>
        <w:t>(</w:t>
      </w:r>
      <w:r>
        <w:t>offering a disaggregated representation of mitigation options</w:t>
      </w:r>
      <w:r>
        <w:t>)</w:t>
      </w:r>
      <w:r>
        <w:t xml:space="preserve"> with </w:t>
      </w:r>
      <w:r>
        <w:t xml:space="preserve">the </w:t>
      </w:r>
      <w:r>
        <w:t>economy-wide Computable General Equilibrium models</w:t>
      </w:r>
      <w:r>
        <w:t>,</w:t>
      </w:r>
      <w:r>
        <w:t xml:space="preserve"> </w:t>
      </w:r>
      <w:r>
        <w:t xml:space="preserve">the </w:t>
      </w:r>
      <w:r>
        <w:t>OECD ENV-Linkages model</w:t>
      </w:r>
      <w:r w:rsidR="00665F23">
        <w:t xml:space="preserve"> </w:t>
      </w:r>
      <w:sdt>
        <w:sdtPr>
          <w:id w:val="169225932"/>
          <w:citation/>
        </w:sdtPr>
        <w:sdtContent>
          <w:r w:rsidR="00665F23">
            <w:fldChar w:fldCharType="begin"/>
          </w:r>
          <w:r w:rsidR="00665F23">
            <w:instrText xml:space="preserve"> CITATION Kappa_g27a24cf \l 2057 </w:instrText>
          </w:r>
          <w:r w:rsidR="00665F23">
            <w:fldChar w:fldCharType="separate"/>
          </w:r>
          <w:r w:rsidR="00665F23" w:rsidRPr="003562E4">
            <w:rPr>
              <w:noProof/>
            </w:rPr>
            <w:t>(</w:t>
          </w:r>
          <w:bookmarkStart w:id="1" w:name="Kappa_g27a24cf_12"/>
          <w:r w:rsidR="00665F23" w:rsidRPr="003562E4">
            <w:rPr>
              <w:noProof/>
            </w:rPr>
            <w:t>Château, Dellink and Lanzi, 2014</w:t>
          </w:r>
          <w:r w:rsidR="00665F23" w:rsidRPr="003562E4">
            <w:rPr>
              <w:noProof/>
              <w:vertAlign w:val="subscript"/>
            </w:rPr>
            <w:t>[12]</w:t>
          </w:r>
          <w:r w:rsidR="00665F23" w:rsidRPr="003562E4">
            <w:rPr>
              <w:noProof/>
            </w:rPr>
            <w:t>)</w:t>
          </w:r>
          <w:bookmarkEnd w:id="1"/>
          <w:r w:rsidR="00665F23">
            <w:fldChar w:fldCharType="end"/>
          </w:r>
        </w:sdtContent>
      </w:sdt>
      <w:r>
        <w:t>,</w:t>
      </w:r>
      <w:r>
        <w:t xml:space="preserve"> is the </w:t>
      </w:r>
      <w:r>
        <w:t>key modelling strategy of the project.</w:t>
      </w:r>
      <w:r w:rsidR="00665F23">
        <w:t xml:space="preserve"> </w:t>
      </w:r>
      <w:r w:rsidR="00665F23">
        <w:t>Overall, linking sectoral models with CGE models can capture country- and sector-specific details while maintaining a broad coverage that includes economy-wide feedback effects.</w:t>
      </w:r>
    </w:p>
    <w:p w14:paraId="30AC7FF4" w14:textId="19180B30" w:rsidR="006F713D" w:rsidRDefault="006F713D" w:rsidP="006F713D">
      <w:pPr>
        <w:pStyle w:val="Para"/>
        <w:numPr>
          <w:ilvl w:val="0"/>
          <w:numId w:val="0"/>
        </w:numPr>
      </w:pPr>
      <w:r>
        <w:rPr>
          <w:b/>
          <w:bCs/>
        </w:rPr>
        <w:t>S</w:t>
      </w:r>
      <w:r w:rsidRPr="008A1331">
        <w:rPr>
          <w:b/>
          <w:bCs/>
        </w:rPr>
        <w:t>ectoral models</w:t>
      </w:r>
      <w:r>
        <w:t xml:space="preserve"> are highly granular models that can represent technological, behavioural and policy detail while capturing a sector and country-specific context. This enables a granular assessment of emission changes associated with measures targeting specific emission sources. However, sectoral models provide an incomplete perspective on the emission changes in other parts of the economy or resulting from economic interactions across sectors, policies, agents, countries and through macroeconomic adjustments. </w:t>
      </w:r>
      <w:r>
        <w:t>In this paper the sectoral model chose is the EU-TIMES model than PSI is managing, it is a version of the EU JRC-TIMES model.</w:t>
      </w:r>
    </w:p>
    <w:p w14:paraId="357EC8A3" w14:textId="36027D30" w:rsidR="006F713D" w:rsidRDefault="006F713D" w:rsidP="006F713D">
      <w:pPr>
        <w:pStyle w:val="Para"/>
        <w:numPr>
          <w:ilvl w:val="0"/>
          <w:numId w:val="0"/>
        </w:numPr>
      </w:pPr>
      <w:r w:rsidRPr="008A1331">
        <w:rPr>
          <w:b/>
          <w:bCs/>
        </w:rPr>
        <w:t>Economy-wide models</w:t>
      </w:r>
      <w:r>
        <w:t>, such as Computable General Equilibrium (CGE) models, represent a complete economy, including intersectoral-linkages and, in the case of the OECD ENV-Linkages model</w:t>
      </w:r>
      <w:r>
        <w:t xml:space="preserve"> used in this paper</w:t>
      </w:r>
      <w:r>
        <w:t xml:space="preserve">, inter-country linkages. However, general equilibrium models are typically less detailed than sectoral models on technology options, definitions of goods and subsectors, and their possible interactions with policies. Furthermore, CGE models focus on market variables and often do not explicitly represent biophysical processes underlying climate, energy transformation, land use, crop growth or resource depletion. They provide a more generic or aggregate depiction of mitigation options than what is captured in detailed sectoral models </w:t>
      </w:r>
      <w:sdt>
        <w:sdtPr>
          <w:id w:val="-495029758"/>
          <w:citation/>
        </w:sdtPr>
        <w:sdtContent>
          <w:r>
            <w:fldChar w:fldCharType="begin"/>
          </w:r>
          <w:r>
            <w:instrText xml:space="preserve"> CITATION CrossRef_qUYIWFt1JieWKaNhoC94fw \l 2057 </w:instrText>
          </w:r>
          <w:r>
            <w:fldChar w:fldCharType="separate"/>
          </w:r>
          <w:r w:rsidRPr="003562E4">
            <w:rPr>
              <w:noProof/>
            </w:rPr>
            <w:t>(Delzeit et al., 2020</w:t>
          </w:r>
          <w:r w:rsidRPr="003562E4">
            <w:rPr>
              <w:noProof/>
              <w:vertAlign w:val="subscript"/>
            </w:rPr>
            <w:t>[2]</w:t>
          </w:r>
          <w:r w:rsidRPr="003562E4">
            <w:rPr>
              <w:noProof/>
            </w:rPr>
            <w:t>)</w:t>
          </w:r>
          <w:r>
            <w:fldChar w:fldCharType="end"/>
          </w:r>
        </w:sdtContent>
      </w:sdt>
      <w:r>
        <w:t xml:space="preserve">. Economy-wide models can represent emission changes resulting from policies taking into account the interactions between agents, sectors, policies, and countries. However, in these models the granularity of the representation of mitigation options and technological choices is limited. </w:t>
      </w:r>
    </w:p>
    <w:p w14:paraId="529E9951" w14:textId="3040D9BE" w:rsidR="007C3310" w:rsidRDefault="006F713D" w:rsidP="006F713D">
      <w:pPr>
        <w:pStyle w:val="Para"/>
        <w:numPr>
          <w:ilvl w:val="0"/>
          <w:numId w:val="0"/>
        </w:numPr>
      </w:pPr>
      <w:r w:rsidRPr="007C3310">
        <w:rPr>
          <w:b/>
          <w:bCs/>
        </w:rPr>
        <w:t>Linking</w:t>
      </w:r>
      <w:r>
        <w:t xml:space="preserve"> sectoral and economy-wide models offers a way to overcome their respective limitations, combining </w:t>
      </w:r>
      <w:r w:rsidRPr="005B0F32">
        <w:t>the granularity of sectoral modelling and the ability of economy-wide models to assess indirect effects of climate policy</w:t>
      </w:r>
      <w:r>
        <w:t xml:space="preserve">. </w:t>
      </w:r>
      <w:bookmarkStart w:id="2" w:name="_Hlk144901396"/>
      <w:r>
        <w:t xml:space="preserve">For instance, improvements in efficiency in the energy supply sector can ‘rebound’ when other sectors expand output or energy use in response to lower energy prices, (partially) compensating the reduction in energy use due to energy efficiency gains </w:t>
      </w:r>
      <w:sdt>
        <w:sdtPr>
          <w:id w:val="668059256"/>
          <w:citation/>
        </w:sdtPr>
        <w:sdtContent>
          <w:r>
            <w:fldChar w:fldCharType="begin"/>
          </w:r>
          <w:r>
            <w:instrText xml:space="preserve"> CITATION CrossRef_ziqSHLZoP2PtwtfUhACrIw \l 2057 </w:instrText>
          </w:r>
          <w:r>
            <w:fldChar w:fldCharType="separate"/>
          </w:r>
          <w:r w:rsidRPr="003562E4">
            <w:rPr>
              <w:noProof/>
            </w:rPr>
            <w:t>(Lemoine, 2020</w:t>
          </w:r>
          <w:r w:rsidRPr="007C3310">
            <w:rPr>
              <w:noProof/>
              <w:vertAlign w:val="subscript"/>
            </w:rPr>
            <w:t>[6]</w:t>
          </w:r>
          <w:r w:rsidRPr="003562E4">
            <w:rPr>
              <w:noProof/>
            </w:rPr>
            <w:t>)</w:t>
          </w:r>
          <w:r>
            <w:fldChar w:fldCharType="end"/>
          </w:r>
        </w:sdtContent>
      </w:sdt>
      <w:r>
        <w:t xml:space="preserve">. </w:t>
      </w:r>
      <w:bookmarkEnd w:id="2"/>
      <w:r>
        <w:t xml:space="preserve">Likewise, macro-economic and trade feedback effects, income effects, price effects, interactions with overlapping and complementary policies, fiscal interactions and tax revenue use, and labour market effects are channels that can amplify or mitigate the </w:t>
      </w:r>
      <w:r>
        <w:lastRenderedPageBreak/>
        <w:t>impacts of policies on greenhouse gas emissions. Combined, these indirect effects can exert a large influence over the total effect of policy measures on greenhouse gas emissions and are therefore important to capture.</w:t>
      </w:r>
    </w:p>
    <w:p w14:paraId="3EAF75CE" w14:textId="69BC4E7A" w:rsidR="007C3310" w:rsidRDefault="007C3310" w:rsidP="007C3310">
      <w:pPr>
        <w:pStyle w:val="Para"/>
      </w:pPr>
      <w:r>
        <w:t xml:space="preserve">On a technical level, several approaches exist to link sectoral and macroeconomic general equilibrium models, varying in the degree of model integration </w:t>
      </w:r>
      <w:sdt>
        <w:sdtPr>
          <w:id w:val="1030764037"/>
          <w:citation/>
        </w:sdtPr>
        <w:sdtContent>
          <w:r>
            <w:fldChar w:fldCharType="begin"/>
          </w:r>
          <w:r>
            <w:instrText xml:space="preserve"> CITATION CrossRef_qUYIWFt1JieWKaNhoC94fw \l 2057 </w:instrText>
          </w:r>
          <w:r>
            <w:fldChar w:fldCharType="separate"/>
          </w:r>
          <w:r w:rsidRPr="003562E4">
            <w:rPr>
              <w:noProof/>
            </w:rPr>
            <w:t>(</w:t>
          </w:r>
          <w:bookmarkStart w:id="3" w:name="CrossRef_qUYIWFt1JieWKaNhoC94fw_2"/>
          <w:r w:rsidRPr="003562E4">
            <w:rPr>
              <w:noProof/>
            </w:rPr>
            <w:t>Delzeit et al., 2020</w:t>
          </w:r>
          <w:r w:rsidRPr="00F01D4B">
            <w:rPr>
              <w:noProof/>
              <w:vertAlign w:val="subscript"/>
            </w:rPr>
            <w:t>[2]</w:t>
          </w:r>
          <w:r w:rsidRPr="003562E4">
            <w:rPr>
              <w:noProof/>
            </w:rPr>
            <w:t>)</w:t>
          </w:r>
          <w:bookmarkEnd w:id="3"/>
          <w:r>
            <w:fldChar w:fldCharType="end"/>
          </w:r>
        </w:sdtContent>
      </w:sdt>
      <w:r>
        <w:t xml:space="preserve">. </w:t>
      </w:r>
      <w:r>
        <w:t xml:space="preserve">But since the IFCMA projects aims at providing a similar exercise for all country members (actually 41) and since it will relies both on sectoral models dedicated to each country and on ENV-Linkages it is not possible to undertake all the work at OECD. The strategy is that for each country a specific partnership will be elaborated with different teams managing some PE model (here PSI). For this reason the </w:t>
      </w:r>
      <w:r w:rsidRPr="00F01D4B">
        <w:rPr>
          <w:b/>
          <w:bCs/>
        </w:rPr>
        <w:t>one-way linking</w:t>
      </w:r>
      <w:r w:rsidRPr="00F01D4B">
        <w:rPr>
          <w:b/>
          <w:bCs/>
        </w:rPr>
        <w:t xml:space="preserve"> of both is the only practical method here:</w:t>
      </w:r>
      <w:r>
        <w:t xml:space="preserve"> the output of a model is used as an exogenous parameter or variable in the other, so that information flows only in one direction. One-way linking can be bottom-up when information flows from the granular model to the general one or top-down when information flows from the general to the granular model.. In bottom-up linking, the parameters in the general equilibrium model are adjusted so that its results are aligned with the predictions of the sectoral model.</w:t>
      </w:r>
      <w:r>
        <w:t xml:space="preserve"> The </w:t>
      </w:r>
      <w:r>
        <w:t>O</w:t>
      </w:r>
      <w:r w:rsidRPr="00176910">
        <w:t>ne-way</w:t>
      </w:r>
      <w:r w:rsidRPr="00F01D4B">
        <w:rPr>
          <w:b/>
          <w:bCs/>
        </w:rPr>
        <w:t xml:space="preserve"> top-down linking</w:t>
      </w:r>
      <w:r>
        <w:t xml:space="preserve"> is predominantly used</w:t>
      </w:r>
      <w:r w:rsidRPr="00234211">
        <w:t xml:space="preserve"> </w:t>
      </w:r>
      <w:r>
        <w:t>to offer macroeconomic input</w:t>
      </w:r>
      <w:r w:rsidDel="00A05EA0">
        <w:t xml:space="preserve"> </w:t>
      </w:r>
      <w:r>
        <w:t xml:space="preserve">to sectoral models. In top-down linking, the endogenous variables of the general equilibrium model are taken as exogenous inputs of the sectoral model. This mostly includes aggregate variables such as GDP, employment, or international fossil fuels prices, but it can also be extended to some other features, </w:t>
      </w:r>
      <w:r>
        <w:t xml:space="preserve">in the present paper TIMES model use for its reference scenario the projection </w:t>
      </w:r>
      <w:r w:rsidR="00F01D4B">
        <w:t xml:space="preserve">for activity </w:t>
      </w:r>
      <w:r>
        <w:t xml:space="preserve">by aggregate sectors (55 sectors) and </w:t>
      </w:r>
      <w:r w:rsidR="00F01D4B">
        <w:t xml:space="preserve">projection of some </w:t>
      </w:r>
      <w:r>
        <w:t xml:space="preserve">trade patterns </w:t>
      </w:r>
      <w:r w:rsidR="00F01D4B">
        <w:t>from the OECD model.</w:t>
      </w:r>
    </w:p>
    <w:p w14:paraId="4818AE2B" w14:textId="77777777" w:rsidR="00665F23" w:rsidRDefault="00665F23" w:rsidP="00665F23">
      <w:pPr>
        <w:pStyle w:val="Heading1"/>
      </w:pPr>
      <w:r>
        <w:t xml:space="preserve">Section1: An example of the IFCMA </w:t>
      </w:r>
      <w:r w:rsidRPr="008B29D5">
        <w:t>methodological</w:t>
      </w:r>
      <w:r>
        <w:t xml:space="preserve"> framework in the Swiss Case</w:t>
      </w:r>
    </w:p>
    <w:p w14:paraId="7822A6D9" w14:textId="77777777" w:rsidR="00665F23" w:rsidRDefault="00665F23" w:rsidP="00665F23">
      <w:pPr>
        <w:pStyle w:val="Para"/>
      </w:pPr>
      <w:r>
        <w:t>Building on the evaluation of methodological options in the previous section, this section advances one approach with strong merits: one-way linking of sectoral and CGE models. Moving from a conceptual to operational modelling framework for the purpose of the pilots in IFCMA involves a number of steps. Concretely, the modelling strategy to assess the impact of policies on greenhouse gas emissions by</w:t>
      </w:r>
      <w:r w:rsidDel="00C22BE1">
        <w:t xml:space="preserve"> </w:t>
      </w:r>
      <w:r>
        <w:t xml:space="preserve">linking sectoral models to the OECD economy-wide model ENV-Linkages </w:t>
      </w:r>
      <w:bookmarkStart w:id="4" w:name="_Hlk164076288"/>
      <w:sdt>
        <w:sdtPr>
          <w:id w:val="-362445259"/>
          <w:citation/>
        </w:sdtPr>
        <w:sdtContent>
          <w:r>
            <w:fldChar w:fldCharType="begin"/>
          </w:r>
          <w:r>
            <w:instrText xml:space="preserve"> CITATION Kappa_g27a24cf \l 2057 </w:instrText>
          </w:r>
          <w:r>
            <w:fldChar w:fldCharType="separate"/>
          </w:r>
          <w:r w:rsidRPr="003562E4">
            <w:rPr>
              <w:noProof/>
            </w:rPr>
            <w:t>(Château, Dellink and Lanzi, 2014</w:t>
          </w:r>
          <w:r w:rsidRPr="003562E4">
            <w:rPr>
              <w:noProof/>
              <w:vertAlign w:val="subscript"/>
            </w:rPr>
            <w:t>[12]</w:t>
          </w:r>
          <w:r w:rsidRPr="003562E4">
            <w:rPr>
              <w:noProof/>
            </w:rPr>
            <w:t>)</w:t>
          </w:r>
          <w:r>
            <w:fldChar w:fldCharType="end"/>
          </w:r>
        </w:sdtContent>
      </w:sdt>
      <w:bookmarkEnd w:id="4"/>
      <w:r>
        <w:t xml:space="preserve"> involves three distinct steps (</w:t>
      </w:r>
      <w:r>
        <w:fldChar w:fldCharType="begin"/>
      </w:r>
      <w:r>
        <w:instrText xml:space="preserve"> REF _Ref148715967 \h </w:instrText>
      </w:r>
      <w:r>
        <w:fldChar w:fldCharType="separate"/>
      </w:r>
      <w:r w:rsidRPr="0027550B">
        <w:t xml:space="preserve">Figure </w:t>
      </w:r>
      <w:r>
        <w:rPr>
          <w:noProof/>
        </w:rPr>
        <w:t>2</w:t>
      </w:r>
      <w:r>
        <w:fldChar w:fldCharType="end"/>
      </w:r>
      <w:r>
        <w:t>), each of which is discussed in detail in the paragraphs below:</w:t>
      </w:r>
    </w:p>
    <w:p w14:paraId="6467CC10" w14:textId="77777777" w:rsidR="00665F23" w:rsidRDefault="00665F23" w:rsidP="00665F23">
      <w:pPr>
        <w:pStyle w:val="Para"/>
        <w:numPr>
          <w:ilvl w:val="0"/>
          <w:numId w:val="2"/>
        </w:numPr>
      </w:pPr>
      <w:r w:rsidRPr="00806B45">
        <w:rPr>
          <w:b/>
          <w:bCs/>
        </w:rPr>
        <w:t>Harmonisation of inputs</w:t>
      </w:r>
      <w:r>
        <w:t xml:space="preserve">. The first step consists of setting up a common set of historical values (or common databases), including a stocktake of existing implemented policies, and in selecting a common set of macroeconomic projections for the main aggregate variables. </w:t>
      </w:r>
    </w:p>
    <w:p w14:paraId="7D0C7E1D" w14:textId="77777777" w:rsidR="00665F23" w:rsidRDefault="00665F23" w:rsidP="00665F23">
      <w:pPr>
        <w:pStyle w:val="Para"/>
        <w:numPr>
          <w:ilvl w:val="0"/>
          <w:numId w:val="2"/>
        </w:numPr>
      </w:pPr>
      <w:r w:rsidRPr="00806B45">
        <w:rPr>
          <w:b/>
          <w:bCs/>
        </w:rPr>
        <w:t>Constructing a Reference scenario</w:t>
      </w:r>
      <w:r>
        <w:t>.  The second step of the strategy consists of</w:t>
      </w:r>
      <w:r w:rsidDel="00894969">
        <w:t xml:space="preserve"> </w:t>
      </w:r>
      <w:r>
        <w:t>building a harmonised “Reference scenario” for the models, using input from step 1 and exchanging information between different models.</w:t>
      </w:r>
    </w:p>
    <w:p w14:paraId="634F2BD9" w14:textId="77777777" w:rsidR="00665F23" w:rsidRDefault="00665F23" w:rsidP="00665F23">
      <w:pPr>
        <w:pStyle w:val="Para"/>
        <w:numPr>
          <w:ilvl w:val="0"/>
          <w:numId w:val="2"/>
        </w:numPr>
      </w:pPr>
      <w:r w:rsidRPr="003108F7">
        <w:rPr>
          <w:b/>
          <w:bCs/>
        </w:rPr>
        <w:t>Developing the Counterfactual policy scenario</w:t>
      </w:r>
      <w:r>
        <w:t>.</w:t>
      </w:r>
      <w:r w:rsidDel="0073155D">
        <w:t xml:space="preserve"> </w:t>
      </w:r>
      <w:r>
        <w:t xml:space="preserve">The final and key step is to assess emission impacts of a policy (or a policy package) in sectoral models and use information from sectoral models to assess economy-wide impacts on emissions with ENV-Linkages.  </w:t>
      </w:r>
    </w:p>
    <w:p w14:paraId="20FD6F60" w14:textId="77777777" w:rsidR="00665F23" w:rsidRDefault="00665F23" w:rsidP="00665F23">
      <w:pPr>
        <w:pStyle w:val="Para"/>
        <w:numPr>
          <w:ilvl w:val="0"/>
          <w:numId w:val="0"/>
        </w:numPr>
        <w:ind w:left="680"/>
      </w:pPr>
    </w:p>
    <w:p w14:paraId="7D14B240" w14:textId="77777777" w:rsidR="00665F23" w:rsidRDefault="00665F23" w:rsidP="00665F23">
      <w:pPr>
        <w:pStyle w:val="Para"/>
      </w:pPr>
      <w:r>
        <w:t xml:space="preserve"> </w:t>
      </w:r>
      <w:r>
        <w:t>Throughout the process, interaction with experts and key stakeholders can facilitate the development of a consistent methodological framework. Sufficient time must be devoted to foster a fruitful technical dialogue, as mutual understanding of the tools’ operation, strengths, and weaknesses will enable informed model linkage that exploits complementarities in an optimal manner. While organisational elements are certainly important in operationalising a methodological framework that involves multiple models and teams, this section focuses on technical, model-related aspects.</w:t>
      </w:r>
    </w:p>
    <w:p w14:paraId="67F66401" w14:textId="1E074726" w:rsidR="007C3310" w:rsidRDefault="007C3310" w:rsidP="00665F23">
      <w:pPr>
        <w:pStyle w:val="Heading1"/>
      </w:pPr>
    </w:p>
    <w:p w14:paraId="45BE93EE" w14:textId="72675613" w:rsidR="007C3310" w:rsidRDefault="007C3310" w:rsidP="006F713D">
      <w:pPr>
        <w:pStyle w:val="Para"/>
        <w:numPr>
          <w:ilvl w:val="0"/>
          <w:numId w:val="0"/>
        </w:numPr>
      </w:pPr>
    </w:p>
    <w:p w14:paraId="42EE0F83" w14:textId="77777777" w:rsidR="007C3310" w:rsidRDefault="007C3310">
      <w:pPr>
        <w:rPr>
          <w:sz w:val="20"/>
        </w:rPr>
      </w:pPr>
      <w:r>
        <w:br w:type="page"/>
      </w:r>
    </w:p>
    <w:p w14:paraId="36B28714" w14:textId="77777777" w:rsidR="00665F23" w:rsidRDefault="00665F23" w:rsidP="00665F23">
      <w:pPr>
        <w:pStyle w:val="Caption"/>
      </w:pPr>
      <w:bookmarkStart w:id="5" w:name="_Ref148715967"/>
      <w:bookmarkStart w:id="6" w:name="_Toc150426525"/>
      <w:r w:rsidRPr="0027550B">
        <w:lastRenderedPageBreak/>
        <w:t xml:space="preserve">Figure </w:t>
      </w:r>
      <w:r>
        <w:fldChar w:fldCharType="begin"/>
      </w:r>
      <w:r>
        <w:instrText xml:space="preserve"> SEQ Figure \* ARABIC </w:instrText>
      </w:r>
      <w:r>
        <w:fldChar w:fldCharType="separate"/>
      </w:r>
      <w:r>
        <w:rPr>
          <w:noProof/>
        </w:rPr>
        <w:t>3</w:t>
      </w:r>
      <w:r>
        <w:rPr>
          <w:noProof/>
        </w:rPr>
        <w:fldChar w:fldCharType="end"/>
      </w:r>
      <w:bookmarkEnd w:id="5"/>
      <w:r w:rsidRPr="0027550B">
        <w:t>. Schematic representation of proposed approach to model linking</w:t>
      </w:r>
      <w:bookmarkEnd w:id="6"/>
    </w:p>
    <w:p w14:paraId="79F4CF7F" w14:textId="77777777" w:rsidR="00665F23" w:rsidRDefault="00665F23" w:rsidP="00665F23">
      <w:pPr>
        <w:keepNext/>
        <w:jc w:val="center"/>
      </w:pPr>
      <w:r>
        <w:rPr>
          <w:noProof/>
        </w:rPr>
        <w:drawing>
          <wp:inline distT="0" distB="0" distL="0" distR="0" wp14:anchorId="3FC9350C" wp14:editId="2504D538">
            <wp:extent cx="5760000" cy="278798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0000" cy="2787980"/>
                    </a:xfrm>
                    <a:prstGeom prst="rect">
                      <a:avLst/>
                    </a:prstGeom>
                    <a:noFill/>
                  </pic:spPr>
                </pic:pic>
              </a:graphicData>
            </a:graphic>
          </wp:inline>
        </w:drawing>
      </w:r>
    </w:p>
    <w:p w14:paraId="6A3DE6CA" w14:textId="77777777" w:rsidR="00665F23" w:rsidRDefault="00665F23" w:rsidP="00665F23">
      <w:pPr>
        <w:keepNext/>
        <w:jc w:val="center"/>
      </w:pPr>
    </w:p>
    <w:p w14:paraId="022C2716" w14:textId="77777777" w:rsidR="00665F23" w:rsidRDefault="00665F23" w:rsidP="00665F23">
      <w:pPr>
        <w:pStyle w:val="Heading2"/>
      </w:pPr>
      <w:bookmarkStart w:id="7" w:name="_Toc150426517"/>
      <w:r>
        <w:t>Step 1: Collect and harmonise databases across models</w:t>
      </w:r>
      <w:bookmarkEnd w:id="7"/>
    </w:p>
    <w:p w14:paraId="72E42884" w14:textId="22629B34" w:rsidR="00665F23" w:rsidRDefault="00665F23" w:rsidP="004A085C">
      <w:pPr>
        <w:pStyle w:val="Para"/>
        <w:numPr>
          <w:ilvl w:val="0"/>
          <w:numId w:val="0"/>
        </w:numPr>
      </w:pPr>
      <w:r>
        <w:t>The</w:t>
      </w:r>
      <w:r w:rsidRPr="0027550B">
        <w:t xml:space="preserve"> first </w:t>
      </w:r>
      <w:r>
        <w:t>and preliminary step of the IFCMA modelling strategy</w:t>
      </w:r>
      <w:r w:rsidRPr="0027550B">
        <w:t xml:space="preserve"> is to </w:t>
      </w:r>
      <w:r>
        <w:t xml:space="preserve">collect and </w:t>
      </w:r>
      <w:r w:rsidRPr="00240436">
        <w:rPr>
          <w:b/>
          <w:bCs/>
        </w:rPr>
        <w:t>harmonise the data</w:t>
      </w:r>
      <w:r>
        <w:t xml:space="preserve"> across models</w:t>
      </w:r>
      <w:r w:rsidRPr="0027550B">
        <w:t xml:space="preserve"> for the base </w:t>
      </w:r>
      <w:r>
        <w:t xml:space="preserve">year and historical periods, and to harmonise socio-demographic and macroeconomic projections that will be used in Step 2. Micro- and macro-level data sources are often inconsistent. For instance, different sectoral definitions need to be harmonised. Similarly, the models might adopt different geographical disaggregation, meaning that importing and exporting countries are aggregated in regions that do not coincide. </w:t>
      </w:r>
    </w:p>
    <w:p w14:paraId="35F352A2" w14:textId="77777777" w:rsidR="00665F23" w:rsidRDefault="00665F23" w:rsidP="004A085C">
      <w:pPr>
        <w:pStyle w:val="Para"/>
        <w:numPr>
          <w:ilvl w:val="0"/>
          <w:numId w:val="0"/>
        </w:numPr>
      </w:pPr>
      <w:r>
        <w:t xml:space="preserve">Data harmonisation starts from a comparison of existing data used in different models, calls for a prioritisation of key areas to harmonise and requires mapping the sectoral, geographical and time dimensions across models. This can be a tedious task, especially when it involves splitting of sectors when data is scarce. One important question is how to strike a balance between building on databases from national sources and leveraging internationally consistent sources. At a first glance, national databases may appear to be more comprehensive in their coverage (e.g. across time and sectors), and more up-to-date. Using national data could furthermore facilitate linking between economy-wide and country-specific sectoral models in the pilots, since national authorities as well as domestic modelling teams generally both rely on these domestic sources of information. </w:t>
      </w:r>
    </w:p>
    <w:p w14:paraId="52B5D303" w14:textId="77777777" w:rsidR="00665F23" w:rsidRDefault="00665F23" w:rsidP="004A085C">
      <w:pPr>
        <w:pStyle w:val="Para"/>
        <w:numPr>
          <w:ilvl w:val="0"/>
          <w:numId w:val="0"/>
        </w:numPr>
      </w:pPr>
      <w:r>
        <w:t>On the other hand, internationally consistent databases offer an easier and more consistent treatment across countries, which is important for scalability in the context of the IFCMA. Furthermore, building on scientific or international efforts to collect and combine, gap-fill, and update data (sometimes with proxy data or ‘satellite’ accounts) will facilitate efficient use of resources when scaling up the modelling work. The pilots offer an opportunity to explore the trade-off between national and international datasets in the modelling work to better evaluate underlying challenges and opportunities, to reveal the importance of this choice in different circumstances, to identify cases where a deviation from globally harmonised datasets is valuable, and to develop strategies to reconcile advantages of different approaches.</w:t>
      </w:r>
    </w:p>
    <w:p w14:paraId="246D02D7" w14:textId="77777777" w:rsidR="00665F23" w:rsidRDefault="00665F23" w:rsidP="004A085C">
      <w:pPr>
        <w:pStyle w:val="Para"/>
        <w:numPr>
          <w:ilvl w:val="0"/>
          <w:numId w:val="0"/>
        </w:numPr>
      </w:pPr>
      <w:r>
        <w:t xml:space="preserve">The first key aspect to harmonise between models and potentially across countries is the historical data on greenhouse gas emissions. National sources are sometimes cumbersome to collect but are mostly compiled under the </w:t>
      </w:r>
      <w:hyperlink r:id="rId9" w:history="1">
        <w:r>
          <w:t>National Inventory Submissions</w:t>
        </w:r>
      </w:hyperlink>
      <w:r>
        <w:t xml:space="preserve"> by UNFCCC. Nevertheless, these national databases are typically incomplete in terms of year and country coverage. Using (and further harmonising) international databases like EDGAR </w:t>
      </w:r>
      <w:sdt>
        <w:sdtPr>
          <w:id w:val="1102463732"/>
          <w:citation/>
        </w:sdtPr>
        <w:sdtContent>
          <w:r>
            <w:fldChar w:fldCharType="begin"/>
          </w:r>
          <w:r>
            <w:instrText xml:space="preserve"> CITATION Cri22 \l 2057 </w:instrText>
          </w:r>
          <w:r>
            <w:fldChar w:fldCharType="separate"/>
          </w:r>
          <w:r w:rsidRPr="003562E4">
            <w:rPr>
              <w:noProof/>
            </w:rPr>
            <w:t>(Crippa et al., 2022</w:t>
          </w:r>
          <w:r w:rsidRPr="003562E4">
            <w:rPr>
              <w:noProof/>
              <w:vertAlign w:val="subscript"/>
            </w:rPr>
            <w:t>[13]</w:t>
          </w:r>
          <w:r w:rsidRPr="003562E4">
            <w:rPr>
              <w:noProof/>
            </w:rPr>
            <w:t>)</w:t>
          </w:r>
          <w:r>
            <w:fldChar w:fldCharType="end"/>
          </w:r>
        </w:sdtContent>
      </w:sdt>
      <w:r>
        <w:t xml:space="preserve">, CEDS </w:t>
      </w:r>
      <w:sdt>
        <w:sdtPr>
          <w:id w:val="-865204365"/>
          <w:citation/>
        </w:sdtPr>
        <w:sdtContent>
          <w:r>
            <w:fldChar w:fldCharType="begin"/>
          </w:r>
          <w:r>
            <w:instrText xml:space="preserve"> CITATION CrossRef_kx55OXEfolJTnfV0R__8A1g \l 2057 </w:instrText>
          </w:r>
          <w:r>
            <w:fldChar w:fldCharType="separate"/>
          </w:r>
          <w:r w:rsidRPr="003562E4">
            <w:rPr>
              <w:noProof/>
            </w:rPr>
            <w:t>(McDuffie et al., 2020</w:t>
          </w:r>
          <w:r w:rsidRPr="003562E4">
            <w:rPr>
              <w:noProof/>
              <w:vertAlign w:val="subscript"/>
            </w:rPr>
            <w:t>[14]</w:t>
          </w:r>
          <w:r w:rsidRPr="003562E4">
            <w:rPr>
              <w:noProof/>
            </w:rPr>
            <w:t>)</w:t>
          </w:r>
          <w:r>
            <w:fldChar w:fldCharType="end"/>
          </w:r>
        </w:sdtContent>
      </w:sdt>
      <w:r>
        <w:t>, or data from US Environmental Protection Agency (EPA) or the International Energy Agency (IEA) (for CO</w:t>
      </w:r>
      <w:r w:rsidRPr="001A3DCC">
        <w:rPr>
          <w:vertAlign w:val="subscript"/>
        </w:rPr>
        <w:t>2</w:t>
      </w:r>
      <w:r>
        <w:t xml:space="preserve"> emissions) is a relevant option that deserves consideration.  </w:t>
      </w:r>
    </w:p>
    <w:p w14:paraId="0512C967" w14:textId="77777777" w:rsidR="00665F23" w:rsidRDefault="00665F23" w:rsidP="004A085C">
      <w:pPr>
        <w:pStyle w:val="Para"/>
        <w:numPr>
          <w:ilvl w:val="0"/>
          <w:numId w:val="0"/>
        </w:numPr>
      </w:pPr>
      <w:r>
        <w:lastRenderedPageBreak/>
        <w:t xml:space="preserve">The second key data inputs for economy-wide sectoral models are Social Accounting Matrices (SAM) from national accounts, including international trade. As exports from country A to country B need to match imports of country B from country A, and due to the input-output structure of the data, multi-country datasets of this type require reconciliation of different data sources. The ENV-Linkages model uses the GTAP database developed at Purdue University </w:t>
      </w:r>
      <w:sdt>
        <w:sdtPr>
          <w:id w:val="-1560706132"/>
          <w:citation/>
        </w:sdtPr>
        <w:sdtContent>
          <w:r>
            <w:fldChar w:fldCharType="begin"/>
          </w:r>
          <w:r>
            <w:instrText xml:space="preserve"> CITATION CrossRef_ySYqESDPQmncr9UdSY5rXw \l 2057 </w:instrText>
          </w:r>
          <w:r>
            <w:fldChar w:fldCharType="separate"/>
          </w:r>
          <w:r w:rsidRPr="003562E4">
            <w:rPr>
              <w:noProof/>
            </w:rPr>
            <w:t>(</w:t>
          </w:r>
          <w:bookmarkStart w:id="8" w:name="CrossRef_ySYqESDPQmncr9UdSY5rXw_15"/>
          <w:r w:rsidRPr="003562E4">
            <w:rPr>
              <w:noProof/>
            </w:rPr>
            <w:t>Aguiar et al., 2022</w:t>
          </w:r>
          <w:r w:rsidRPr="003562E4">
            <w:rPr>
              <w:noProof/>
              <w:vertAlign w:val="subscript"/>
            </w:rPr>
            <w:t>[15]</w:t>
          </w:r>
          <w:r w:rsidRPr="003562E4">
            <w:rPr>
              <w:noProof/>
            </w:rPr>
            <w:t>)</w:t>
          </w:r>
          <w:bookmarkEnd w:id="8"/>
          <w:r>
            <w:fldChar w:fldCharType="end"/>
          </w:r>
        </w:sdtContent>
      </w:sdt>
      <w:r>
        <w:t>, a unique dataset for economy-wide modelling.  Therefore, a multi-country analysis with the ENV-Linkages model is bound by the sectoral definitions used in the GTAP database.</w:t>
      </w:r>
    </w:p>
    <w:p w14:paraId="3CC518FC" w14:textId="53563B82" w:rsidR="00665F23" w:rsidRDefault="00665F23" w:rsidP="004A085C">
      <w:pPr>
        <w:pStyle w:val="Para"/>
        <w:numPr>
          <w:ilvl w:val="0"/>
          <w:numId w:val="0"/>
        </w:numPr>
      </w:pPr>
      <w:r>
        <w:t>A third set of inputs is to collect and to harmonize macro-economic and socio-demographic historical data and projections.</w:t>
      </w:r>
      <w:r w:rsidDel="00E56931">
        <w:t xml:space="preserve"> </w:t>
      </w:r>
      <w:r>
        <w:t xml:space="preserve">The OECD long-term (macro-economic) model </w:t>
      </w:r>
      <w:r>
        <w:fldChar w:fldCharType="begin"/>
      </w:r>
      <w:r>
        <w:instrText xml:space="preserve">CITATION Kappa_b4f4e03e \m Kappa_a112307e \n  \l 2057 </w:instrText>
      </w:r>
      <w:r>
        <w:fldChar w:fldCharType="separate"/>
      </w:r>
      <w:r>
        <w:rPr>
          <w:noProof/>
        </w:rPr>
        <w:t xml:space="preserve"> </w:t>
      </w:r>
      <w:r w:rsidRPr="003562E4">
        <w:rPr>
          <w:noProof/>
        </w:rPr>
        <w:t>(Guillemette and Turner, 2018</w:t>
      </w:r>
      <w:r w:rsidRPr="003562E4">
        <w:rPr>
          <w:noProof/>
          <w:vertAlign w:val="subscript"/>
        </w:rPr>
        <w:t>[16]</w:t>
      </w:r>
      <w:r w:rsidRPr="003562E4">
        <w:rPr>
          <w:noProof/>
        </w:rPr>
        <w:t>; 2021</w:t>
      </w:r>
      <w:r w:rsidRPr="003562E4">
        <w:rPr>
          <w:noProof/>
          <w:vertAlign w:val="subscript"/>
        </w:rPr>
        <w:t>[17]</w:t>
      </w:r>
      <w:r w:rsidRPr="003562E4">
        <w:rPr>
          <w:noProof/>
        </w:rPr>
        <w:t>)</w:t>
      </w:r>
      <w:r>
        <w:fldChar w:fldCharType="end"/>
      </w:r>
      <w:r>
        <w:t xml:space="preserve"> provides long-run socio-economic projections that are reviewed periodically by the OECD Economics Department committees</w:t>
      </w:r>
      <w:r w:rsidRPr="00A91EEC">
        <w:t>.</w:t>
      </w:r>
      <w:r>
        <w:t xml:space="preserve"> These projections are based on historical databases of the OECD Economic Outlook together with the UN and EUROSTAT population databases. In previous OECD reports, ENV-Linkages has already successfully relied on macro-economic variables coming from the OECD long-term model (see Annex A.1</w:t>
      </w:r>
      <w:r>
        <w:t xml:space="preserve"> of </w:t>
      </w:r>
      <w:sdt>
        <w:sdtPr>
          <w:rPr>
            <w:rStyle w:val="CoverCote"/>
          </w:rPr>
          <w:alias w:val="Document Cote"/>
          <w:tag w:val="txtDocCote"/>
          <w:id w:val="1944568921"/>
          <w:dataBinding w:prefixMappings="xmlns:ns0='http://purl.org/dc/elements/1.1/' xmlns:ns1='http://schemas.openxmlformats.org/package/2006/metadata/core-properties' " w:xpath="/ns1:coreProperties[1]/ns1:keywords[1]" w:storeItemID="{6C3C8BC8-F283-45AE-878A-BAB7291924A1}"/>
          <w:text/>
        </w:sdtPr>
        <w:sdtContent>
          <w:r>
            <w:rPr>
              <w:rStyle w:val="CoverCote"/>
            </w:rPr>
            <w:t xml:space="preserve"> IFCMA(2023)/9</w:t>
          </w:r>
        </w:sdtContent>
      </w:sdt>
      <w:r>
        <w:t xml:space="preserve">). Therefore, this approach constitutes a natural choice to build country reference scenarios in IFCMA. </w:t>
      </w:r>
    </w:p>
    <w:p w14:paraId="705C4799" w14:textId="1C2A0E82" w:rsidR="00665F23" w:rsidRDefault="00665F23" w:rsidP="004A085C">
      <w:pPr>
        <w:pStyle w:val="Para"/>
        <w:numPr>
          <w:ilvl w:val="0"/>
          <w:numId w:val="0"/>
        </w:numPr>
      </w:pPr>
      <w:r>
        <w:t xml:space="preserve">Finally, sectoral and CGE models also rely on sectoral historical data and projections, including information on energy and agriculture sectors. National data or international databases </w:t>
      </w:r>
      <w:r>
        <w:t>are</w:t>
      </w:r>
      <w:r>
        <w:t xml:space="preserve"> both used to support the calibration of models used in the IFCMA. The IEA databases and projections are internationally consistent sources which are obvious candidates for collecting information on the energy system, and particularly for international fossil fuel prices.</w:t>
      </w:r>
      <w:r w:rsidDel="00626D40">
        <w:t xml:space="preserve"> </w:t>
      </w:r>
      <w:r>
        <w:t xml:space="preserve">Likewise, the OECD-FAO database is a recognised international source for agriculture. </w:t>
      </w:r>
    </w:p>
    <w:p w14:paraId="25CD62DB" w14:textId="77777777" w:rsidR="00665F23" w:rsidRDefault="00665F23" w:rsidP="004A085C">
      <w:pPr>
        <w:pStyle w:val="Para"/>
        <w:numPr>
          <w:ilvl w:val="0"/>
          <w:numId w:val="0"/>
        </w:numPr>
      </w:pPr>
      <w:r>
        <w:t xml:space="preserve">Regarding data collection and harmonisation of policies, the stocktaking performed in Module One of the IFCMA feed </w:t>
      </w:r>
      <w:r>
        <w:t>the two models in building their reference scenario</w:t>
      </w:r>
      <w:r>
        <w:t>, ensuring that relevant policies from the stocktake are incorporated and represented in a consistent modelling framework</w:t>
      </w:r>
      <w:bookmarkStart w:id="9" w:name="_Toc150426518"/>
    </w:p>
    <w:p w14:paraId="1A9E92E0" w14:textId="6D20FE6C" w:rsidR="00665F23" w:rsidRDefault="00665F23" w:rsidP="004A085C">
      <w:pPr>
        <w:pStyle w:val="Heading2"/>
      </w:pPr>
      <w:r>
        <w:t xml:space="preserve">Step 2: Build common reference </w:t>
      </w:r>
      <w:r w:rsidRPr="00714986">
        <w:t>scenarios</w:t>
      </w:r>
      <w:r>
        <w:t xml:space="preserve"> across models</w:t>
      </w:r>
      <w:bookmarkEnd w:id="9"/>
    </w:p>
    <w:p w14:paraId="507558F7" w14:textId="29582640" w:rsidR="00665F23" w:rsidRDefault="00665F23" w:rsidP="004A085C">
      <w:pPr>
        <w:pStyle w:val="Para"/>
        <w:numPr>
          <w:ilvl w:val="0"/>
          <w:numId w:val="0"/>
        </w:numPr>
      </w:pPr>
      <w:r>
        <w:t>The second step of the proposed IFCMA modelling strategy</w:t>
      </w:r>
      <w:r w:rsidRPr="0027550B">
        <w:t xml:space="preserve"> </w:t>
      </w:r>
      <w:r>
        <w:t xml:space="preserve">is the development of a </w:t>
      </w:r>
      <w:r w:rsidRPr="00B20554">
        <w:rPr>
          <w:b/>
          <w:bCs/>
        </w:rPr>
        <w:t xml:space="preserve">common </w:t>
      </w:r>
      <w:r w:rsidRPr="00C60F70">
        <w:rPr>
          <w:b/>
          <w:bCs/>
        </w:rPr>
        <w:t>reference</w:t>
      </w:r>
      <w:r w:rsidRPr="00B20554">
        <w:rPr>
          <w:b/>
          <w:bCs/>
        </w:rPr>
        <w:t xml:space="preserve"> </w:t>
      </w:r>
      <w:r w:rsidRPr="00C60F70">
        <w:rPr>
          <w:b/>
        </w:rPr>
        <w:t>scenario</w:t>
      </w:r>
      <w:r w:rsidRPr="00C60F70">
        <w:t xml:space="preserve"> for the models</w:t>
      </w:r>
      <w:r>
        <w:t>. Although the procedure to build the reference scenario for the sectoral models may differ from the ENV-Linkages routines since different models consider different endogenous and exogenous variables, the models should rely on a common set of  data and projections for the variables shared by both type of models, including c</w:t>
      </w:r>
      <w:r w:rsidRPr="0027550B">
        <w:t xml:space="preserve">ommon assumptions </w:t>
      </w:r>
      <w:r>
        <w:t xml:space="preserve">and projections concerning overlapping variables like the evolution of population, GDP, fossil fuel prices, trade, consumption, and production patterns (among others), to ensure a consistent starting point for the analysis. The implementation of the reference scenario </w:t>
      </w:r>
      <w:r>
        <w:t>a</w:t>
      </w:r>
      <w:r>
        <w:t xml:space="preserve">ccounts for country-specific characteristics, e.g. emphasizing elements of particular importance for country-level economic and environmental drivers. Importantly, the reference scenario is based on </w:t>
      </w:r>
      <w:r w:rsidRPr="00881D6C">
        <w:t>policy instruments relevant for climate change mitigation</w:t>
      </w:r>
      <w:r w:rsidRPr="00881D6C" w:rsidDel="00881D6C">
        <w:t xml:space="preserve"> </w:t>
      </w:r>
      <w:r>
        <w:t>that are implemented. The representation of implemented policy instruments will be informed by the work of Module One of IFCMA</w:t>
      </w:r>
      <w:r w:rsidDel="00CC45D4">
        <w:t>.</w:t>
      </w:r>
      <w:r>
        <w:t xml:space="preserve"> </w:t>
      </w:r>
    </w:p>
    <w:p w14:paraId="1FF75533" w14:textId="77777777" w:rsidR="00665F23" w:rsidRPr="00714986" w:rsidRDefault="00665F23" w:rsidP="00665F23">
      <w:pPr>
        <w:pStyle w:val="Heading2"/>
      </w:pPr>
      <w:bookmarkStart w:id="10" w:name="_Toc150426519"/>
      <w:r w:rsidRPr="00714986">
        <w:t>Step 3: Assess impact on emissions of policies across models</w:t>
      </w:r>
      <w:bookmarkEnd w:id="10"/>
    </w:p>
    <w:p w14:paraId="6E8C3BD9" w14:textId="493ED563" w:rsidR="00665F23" w:rsidRDefault="00665F23" w:rsidP="00665F23">
      <w:pPr>
        <w:pStyle w:val="Para"/>
      </w:pPr>
      <w:r>
        <w:t xml:space="preserve">The third and </w:t>
      </w:r>
      <w:r w:rsidR="00387959">
        <w:t xml:space="preserve">main </w:t>
      </w:r>
      <w:r>
        <w:t>step is the development of the c</w:t>
      </w:r>
      <w:r w:rsidRPr="0073155D">
        <w:t xml:space="preserve">ounterfactual </w:t>
      </w:r>
      <w:r>
        <w:t>s</w:t>
      </w:r>
      <w:r w:rsidRPr="0073155D">
        <w:t>cenario</w:t>
      </w:r>
      <w:r>
        <w:t>s, obtained excluding (or reverting) the policy that is being assessed. The procedure starts by estimating the emission impact of a specific policy (or policy packages) in the sectoral models. The second stage of the procedure is to implement the same policy (packages)</w:t>
      </w:r>
      <w:r w:rsidDel="00AB7F54">
        <w:t xml:space="preserve"> </w:t>
      </w:r>
      <w:r>
        <w:t xml:space="preserve">in ENV-Linkages, this will require some adjustments in parameters and features of the CGE model to obtain similar output as in sectoral models. The procedure ends by running ENV-Linkages considering all policies together to assess the magnitude of indirect and spill-over effects of broad mitigation action. The implementation in ENV-Linkages of the specific policy and its resulting impact on emission extracted from the sectoral models is not as straightforward as in step 2, as two types of adjustment should be made. </w:t>
      </w:r>
    </w:p>
    <w:p w14:paraId="14E0E820" w14:textId="77777777" w:rsidR="00665F23" w:rsidRDefault="00665F23" w:rsidP="004A085C">
      <w:pPr>
        <w:pStyle w:val="Para"/>
        <w:numPr>
          <w:ilvl w:val="0"/>
          <w:numId w:val="0"/>
        </w:numPr>
      </w:pPr>
      <w:r>
        <w:t xml:space="preserve">Firstly, to control for the magnitude of the policy in the CGE model, some structural parameters should be adjusted to align the impact of policies on emissions with the estimate of the sectoral models. In this step, it is generally not sufficient to only adjust the so-called scale parameters of the CGE. To guarantee that the CGE model “behaves” more closely to sectoral models, some structural parameters of the CGE will likely need </w:t>
      </w:r>
      <w:r>
        <w:lastRenderedPageBreak/>
        <w:t>adjustments</w:t>
      </w:r>
      <w:r>
        <w:rPr>
          <w:rStyle w:val="FootnoteReference"/>
        </w:rPr>
        <w:footnoteReference w:id="1"/>
      </w:r>
      <w:r>
        <w:t>,</w:t>
      </w:r>
      <w:r w:rsidDel="00DF197F">
        <w:t xml:space="preserve"> </w:t>
      </w:r>
      <w:r>
        <w:t>including in the elasticities of substitution in the production function, the price-elasticity of demand, elasticities of supply, elasticities of transformation, and others (see examples provided in Annex)</w:t>
      </w:r>
      <w:r>
        <w:rPr>
          <w:rStyle w:val="FootnoteReference"/>
        </w:rPr>
        <w:footnoteReference w:id="2"/>
      </w:r>
      <w:r>
        <w:t>. Alternatively, the sectoral results could also be directly imposed on the CGE model, bypassing the normal endogenous adjustment processes of the CGE model.</w:t>
      </w:r>
    </w:p>
    <w:p w14:paraId="1335C382" w14:textId="77777777" w:rsidR="00665F23" w:rsidRDefault="00665F23" w:rsidP="004A085C">
      <w:pPr>
        <w:pStyle w:val="Para"/>
        <w:numPr>
          <w:ilvl w:val="0"/>
          <w:numId w:val="0"/>
        </w:numPr>
      </w:pPr>
      <w:r>
        <w:t>Secondly, to implement in a CGE the same policy used in sectoral models and their resulting effects on emissions, the policy shock should be translated to the dimensions of the CGE model, which considers less granular definitions of commodities and lower technology details than the sectoral models. In addition to greenhouse gas emissions, extra information should therefore flow from sectoral models to ENV-Linkages to enable a consistent treatment across models. The set of variables that are transferred from the sectoral to the economy-wide model will depend on the specific characteristics of the pilot study (e.g. sector and policy instrument considered) and the tools used for conducting the assessment at the sectoral level. Establishing common principles for data transfer and CGE model implementation is key to facilitate the scalability of the methodological approach and the comparability across countries.</w:t>
      </w:r>
      <w:r w:rsidRPr="005522A4">
        <w:t xml:space="preserve"> </w:t>
      </w:r>
      <w:r>
        <w:t>Building on the broad categories in the typology of policy instruments of Module One of the IFCMA, the paragraphs below illustrate potential data needs and implementation options of the economy-wide modelling for different policy instrument types. This identification of data needs can be further developed at more granular typology levels over the course of the pilots.</w:t>
      </w:r>
    </w:p>
    <w:p w14:paraId="19596304" w14:textId="77777777" w:rsidR="00665F23" w:rsidRDefault="00665F23" w:rsidP="00665F23">
      <w:pPr>
        <w:keepNext/>
        <w:jc w:val="center"/>
      </w:pPr>
    </w:p>
    <w:p w14:paraId="2B18F5EE" w14:textId="478B299D" w:rsidR="004A085C" w:rsidRDefault="004A085C" w:rsidP="004A085C">
      <w:pPr>
        <w:pStyle w:val="Heading1"/>
      </w:pPr>
      <w:r>
        <w:t>Section 2</w:t>
      </w:r>
      <w:r>
        <w:t xml:space="preserve">: </w:t>
      </w:r>
      <w:r>
        <w:t>Building the common reference scenario for TIMES and ENV-Linkages</w:t>
      </w:r>
    </w:p>
    <w:p w14:paraId="5B871291" w14:textId="77777777" w:rsidR="004A085C" w:rsidRDefault="004A085C" w:rsidP="004A085C"/>
    <w:p w14:paraId="1DF3A920" w14:textId="494116B0" w:rsidR="004A085C" w:rsidRDefault="004A085C" w:rsidP="004A085C">
      <w:r>
        <w:t>2.1) Data and Projections</w:t>
      </w:r>
    </w:p>
    <w:p w14:paraId="6E49E32F" w14:textId="6D6FBCA5" w:rsidR="009D6A28" w:rsidRDefault="009D6A28" w:rsidP="009D6A28">
      <w:pPr>
        <w:rPr>
          <w:rFonts w:eastAsia="Times New Roman"/>
        </w:rPr>
      </w:pPr>
      <w:r>
        <w:rPr>
          <w:rFonts w:eastAsia="Times New Roman"/>
        </w:rPr>
        <w:t>The discussion below assumes that:</w:t>
      </w:r>
    </w:p>
    <w:p w14:paraId="239D65BB" w14:textId="77777777" w:rsidR="009D6A28" w:rsidRDefault="009D6A28" w:rsidP="009D6A28">
      <w:pPr>
        <w:pStyle w:val="ListParagraph"/>
        <w:widowControl/>
        <w:numPr>
          <w:ilvl w:val="0"/>
          <w:numId w:val="3"/>
        </w:numPr>
        <w:contextualSpacing w:val="0"/>
        <w:jc w:val="left"/>
        <w:rPr>
          <w:rFonts w:eastAsia="Times New Roman"/>
        </w:rPr>
      </w:pPr>
      <w:r w:rsidRPr="005358B0">
        <w:rPr>
          <w:rFonts w:eastAsia="Times New Roman"/>
        </w:rPr>
        <w:t>2019 is the reference/starting year,</w:t>
      </w:r>
    </w:p>
    <w:p w14:paraId="685480E3" w14:textId="77777777" w:rsidR="009D6A28" w:rsidRDefault="009D6A28" w:rsidP="009D6A28">
      <w:pPr>
        <w:pStyle w:val="ListParagraph"/>
        <w:widowControl/>
        <w:numPr>
          <w:ilvl w:val="0"/>
          <w:numId w:val="3"/>
        </w:numPr>
        <w:contextualSpacing w:val="0"/>
        <w:jc w:val="left"/>
        <w:rPr>
          <w:rFonts w:eastAsia="Times New Roman"/>
        </w:rPr>
      </w:pPr>
      <w:r w:rsidRPr="005358B0">
        <w:rPr>
          <w:rFonts w:eastAsia="Times New Roman"/>
        </w:rPr>
        <w:t>2020 the first year of simulation</w:t>
      </w:r>
      <w:r>
        <w:rPr>
          <w:rFonts w:eastAsia="Times New Roman"/>
        </w:rPr>
        <w:t xml:space="preserve">, </w:t>
      </w:r>
    </w:p>
    <w:p w14:paraId="0CE16906" w14:textId="77777777" w:rsidR="009D6A28" w:rsidRDefault="009D6A28" w:rsidP="009D6A28">
      <w:pPr>
        <w:pStyle w:val="ListParagraph"/>
        <w:widowControl/>
        <w:numPr>
          <w:ilvl w:val="0"/>
          <w:numId w:val="3"/>
        </w:numPr>
        <w:contextualSpacing w:val="0"/>
        <w:jc w:val="left"/>
        <w:rPr>
          <w:rFonts w:eastAsia="Times New Roman"/>
        </w:rPr>
      </w:pPr>
      <w:r w:rsidRPr="005358B0">
        <w:rPr>
          <w:rFonts w:eastAsia="Times New Roman"/>
        </w:rPr>
        <w:t xml:space="preserve">2030 the last year </w:t>
      </w:r>
      <w:r>
        <w:rPr>
          <w:rFonts w:eastAsia="Times New Roman"/>
        </w:rPr>
        <w:t xml:space="preserve">for reporting IFCMA,  </w:t>
      </w:r>
    </w:p>
    <w:p w14:paraId="3E86B584" w14:textId="77777777" w:rsidR="009D6A28" w:rsidRDefault="009D6A28" w:rsidP="009D6A28">
      <w:pPr>
        <w:pStyle w:val="ListParagraph"/>
        <w:widowControl/>
        <w:numPr>
          <w:ilvl w:val="0"/>
          <w:numId w:val="3"/>
        </w:numPr>
        <w:contextualSpacing w:val="0"/>
        <w:jc w:val="left"/>
        <w:rPr>
          <w:rFonts w:eastAsia="Times New Roman"/>
        </w:rPr>
      </w:pPr>
      <w:r w:rsidRPr="005358B0">
        <w:rPr>
          <w:rFonts w:eastAsia="Times New Roman"/>
        </w:rPr>
        <w:t>20</w:t>
      </w:r>
      <w:r>
        <w:rPr>
          <w:rFonts w:eastAsia="Times New Roman"/>
        </w:rPr>
        <w:t>50 last year of TIMES model</w:t>
      </w:r>
      <w:r w:rsidRPr="005358B0">
        <w:rPr>
          <w:rFonts w:eastAsia="Times New Roman"/>
        </w:rPr>
        <w:t>.</w:t>
      </w:r>
    </w:p>
    <w:p w14:paraId="50EE547B" w14:textId="77777777" w:rsidR="009D6A28" w:rsidRPr="00B41A95" w:rsidRDefault="009D6A28" w:rsidP="009D6A28">
      <w:pPr>
        <w:rPr>
          <w:rFonts w:eastAsia="Times New Roman"/>
        </w:rPr>
      </w:pPr>
    </w:p>
    <w:p w14:paraId="622BD01E" w14:textId="72A4EEEA" w:rsidR="009D6A28" w:rsidRDefault="009D6A28" w:rsidP="009D6A28">
      <w:pPr>
        <w:rPr>
          <w:rFonts w:eastAsia="Times New Roman"/>
        </w:rPr>
      </w:pPr>
      <w:r>
        <w:rPr>
          <w:rFonts w:eastAsia="Times New Roman"/>
        </w:rPr>
        <w:t>The desired time periods (</w:t>
      </w:r>
      <w:r w:rsidRPr="00A56FE5">
        <w:rPr>
          <w:rFonts w:eastAsia="Times New Roman"/>
          <w:i/>
          <w:iCs/>
        </w:rPr>
        <w:t>simulation horizon</w:t>
      </w:r>
      <w:r>
        <w:rPr>
          <w:rFonts w:eastAsia="Times New Roman"/>
        </w:rPr>
        <w:t xml:space="preserve">) are: </w:t>
      </w:r>
    </w:p>
    <w:p w14:paraId="45DBFC25" w14:textId="77777777" w:rsidR="009D6A28" w:rsidRPr="00B830FF" w:rsidRDefault="009D6A28" w:rsidP="009D6A28">
      <w:pPr>
        <w:pStyle w:val="ListParagraph"/>
        <w:numPr>
          <w:ilvl w:val="0"/>
          <w:numId w:val="4"/>
        </w:numPr>
      </w:pPr>
      <w:r w:rsidRPr="00C30388">
        <w:rPr>
          <w:rFonts w:eastAsia="Times New Roman"/>
        </w:rPr>
        <w:t>2025, 2030, 2035, 2040, 2045, 2050</w:t>
      </w:r>
    </w:p>
    <w:p w14:paraId="2364EAD7" w14:textId="77777777" w:rsidR="009D6A28" w:rsidRDefault="009D6A28" w:rsidP="009D6A28">
      <w:pPr>
        <w:rPr>
          <w:rFonts w:eastAsia="Times New Roman"/>
        </w:rPr>
      </w:pPr>
    </w:p>
    <w:p w14:paraId="7191F3F3" w14:textId="77777777" w:rsidR="009D6A28" w:rsidRPr="004B18DB" w:rsidRDefault="009D6A28" w:rsidP="009D6A28">
      <w:pPr>
        <w:rPr>
          <w:rFonts w:eastAsia="Times New Roman"/>
        </w:rPr>
      </w:pPr>
      <w:r>
        <w:rPr>
          <w:rFonts w:eastAsia="Times New Roman"/>
        </w:rPr>
        <w:t xml:space="preserve">The </w:t>
      </w:r>
      <w:r w:rsidRPr="00A56FE5">
        <w:rPr>
          <w:rFonts w:eastAsia="Times New Roman"/>
          <w:i/>
          <w:iCs/>
        </w:rPr>
        <w:t>projection horizon</w:t>
      </w:r>
      <w:r>
        <w:rPr>
          <w:rFonts w:eastAsia="Times New Roman"/>
        </w:rPr>
        <w:t xml:space="preserve"> is a subset of the </w:t>
      </w:r>
      <w:r w:rsidRPr="00A56FE5">
        <w:rPr>
          <w:rFonts w:eastAsia="Times New Roman"/>
          <w:i/>
          <w:iCs/>
        </w:rPr>
        <w:t>simulation horizon</w:t>
      </w:r>
      <w:r>
        <w:rPr>
          <w:rFonts w:eastAsia="Times New Roman"/>
        </w:rPr>
        <w:t xml:space="preserve"> and is considered after 2023.</w:t>
      </w:r>
    </w:p>
    <w:p w14:paraId="640E1C40" w14:textId="77777777" w:rsidR="009D6A28" w:rsidRDefault="009D6A28" w:rsidP="009D6A28">
      <w:pPr>
        <w:rPr>
          <w:rStyle w:val="Hyperlink"/>
          <w:rFonts w:cstheme="minorHAnsi"/>
          <w:color w:val="002F67"/>
        </w:rPr>
      </w:pPr>
      <w:r>
        <w:rPr>
          <w:rFonts w:eastAsia="Times New Roman"/>
        </w:rPr>
        <w:t xml:space="preserve">The reference scenario should include at least the key energy and climate-related policies we want to explore in this project: current and historical policies from 2019 to 2024 as well as projected </w:t>
      </w:r>
      <w:r w:rsidRPr="008A55F9">
        <w:rPr>
          <w:rFonts w:eastAsia="Times New Roman"/>
          <w:u w:val="single"/>
        </w:rPr>
        <w:lastRenderedPageBreak/>
        <w:t>legislated</w:t>
      </w:r>
      <w:r>
        <w:rPr>
          <w:rFonts w:eastAsia="Times New Roman"/>
        </w:rPr>
        <w:t xml:space="preserve"> policies up to 2030 for ETS, transport, buildings and industry policies described below. This includes the linking of the </w:t>
      </w:r>
      <w:r w:rsidRPr="00B649B0">
        <w:rPr>
          <w:rFonts w:eastAsia="Times New Roman"/>
        </w:rPr>
        <w:t xml:space="preserve">Swiss ETS </w:t>
      </w:r>
      <w:r>
        <w:rPr>
          <w:rFonts w:eastAsia="Times New Roman"/>
        </w:rPr>
        <w:t>and the</w:t>
      </w:r>
      <w:r w:rsidRPr="00B649B0">
        <w:rPr>
          <w:rFonts w:eastAsia="Times New Roman"/>
        </w:rPr>
        <w:t xml:space="preserve"> EU</w:t>
      </w:r>
      <w:r>
        <w:rPr>
          <w:rFonts w:eastAsia="Times New Roman"/>
        </w:rPr>
        <w:t>-ETS</w:t>
      </w:r>
      <w:r w:rsidRPr="00B649B0">
        <w:rPr>
          <w:rFonts w:eastAsia="Times New Roman"/>
        </w:rPr>
        <w:t xml:space="preserve"> since 2020</w:t>
      </w:r>
      <w:r>
        <w:rPr>
          <w:rFonts w:eastAsia="Times New Roman"/>
        </w:rPr>
        <w:t xml:space="preserve">, the EU-ETS for other associated countries as well as the </w:t>
      </w:r>
      <w:hyperlink r:id="rId10" w:history="1">
        <w:r w:rsidRPr="00B649B0">
          <w:rPr>
            <w:rStyle w:val="Hyperlink"/>
            <w:rFonts w:cstheme="minorHAnsi"/>
            <w:color w:val="002F67"/>
          </w:rPr>
          <w:t>2023 revisions of the ETS Directive</w:t>
        </w:r>
      </w:hyperlink>
      <w:r>
        <w:rPr>
          <w:rStyle w:val="Hyperlink"/>
          <w:rFonts w:cstheme="minorHAnsi"/>
          <w:color w:val="002F67"/>
        </w:rPr>
        <w:t>.</w:t>
      </w:r>
    </w:p>
    <w:p w14:paraId="0C5EB658" w14:textId="77777777" w:rsidR="009D6A28" w:rsidRDefault="009D6A28" w:rsidP="009D6A28">
      <w:pPr>
        <w:rPr>
          <w:rFonts w:eastAsia="Times New Roman"/>
        </w:rPr>
      </w:pPr>
    </w:p>
    <w:p w14:paraId="28860172" w14:textId="77777777" w:rsidR="009D6A28" w:rsidRPr="007969A6" w:rsidRDefault="009D6A28" w:rsidP="009D6A28">
      <w:pPr>
        <w:rPr>
          <w:rFonts w:eastAsia="Times New Roman"/>
        </w:rPr>
      </w:pPr>
      <w:r>
        <w:rPr>
          <w:rFonts w:eastAsia="Times New Roman"/>
        </w:rPr>
        <w:t xml:space="preserve">For the EU regions,  if it is possible, we aim to also take into account the other elements of the “Fit-for-55” packages (The EU-ETS 2 </w:t>
      </w:r>
      <w:r>
        <w:rPr>
          <w:rStyle w:val="ui-provider"/>
        </w:rPr>
        <w:t xml:space="preserve">on heating and transport fuels, the </w:t>
      </w:r>
      <w:hyperlink r:id="rId11" w:history="1">
        <w:r w:rsidRPr="00B649B0">
          <w:rPr>
            <w:rStyle w:val="Hyperlink"/>
            <w:rFonts w:cstheme="minorHAnsi"/>
            <w:color w:val="004494"/>
          </w:rPr>
          <w:t>Effort Sharing Regulation</w:t>
        </w:r>
      </w:hyperlink>
      <w:r w:rsidRPr="00B649B0">
        <w:rPr>
          <w:rFonts w:cstheme="minorHAnsi"/>
        </w:rPr>
        <w:t xml:space="preserve">, </w:t>
      </w:r>
      <w:r w:rsidRPr="00B649B0">
        <w:rPr>
          <w:rFonts w:cstheme="minorHAnsi"/>
          <w:color w:val="404040"/>
        </w:rPr>
        <w:t> </w:t>
      </w:r>
      <w:hyperlink r:id="rId12" w:history="1">
        <w:r w:rsidRPr="00B649B0">
          <w:rPr>
            <w:rStyle w:val="Hyperlink"/>
            <w:rFonts w:cstheme="minorHAnsi"/>
            <w:color w:val="004494"/>
          </w:rPr>
          <w:t>Social Climate Fund</w:t>
        </w:r>
      </w:hyperlink>
      <w:r>
        <w:rPr>
          <w:rFonts w:cstheme="minorHAnsi"/>
        </w:rPr>
        <w:t>, etc.</w:t>
      </w:r>
      <w:r>
        <w:t xml:space="preserve">). We aim to work with the scenarios which PSI already has in place for the EU regions. </w:t>
      </w:r>
    </w:p>
    <w:p w14:paraId="20E3F3D6" w14:textId="7778CB2E" w:rsidR="009D6A28" w:rsidRDefault="009D6A28" w:rsidP="009D6A28">
      <w:pPr>
        <w:pStyle w:val="Heading2"/>
      </w:pPr>
      <w:r>
        <w:t>Models inputs</w:t>
      </w:r>
    </w:p>
    <w:p w14:paraId="20467661" w14:textId="5875239C" w:rsidR="004A085C" w:rsidRDefault="004A085C" w:rsidP="004A085C">
      <w:pPr>
        <w:pStyle w:val="Para"/>
        <w:numPr>
          <w:ilvl w:val="0"/>
          <w:numId w:val="0"/>
        </w:numPr>
      </w:pPr>
      <w:r w:rsidRPr="00C21FD8">
        <w:rPr>
          <w:b/>
          <w:bCs/>
        </w:rPr>
        <w:t>In</w:t>
      </w:r>
      <w:r w:rsidRPr="00C21FD8">
        <w:rPr>
          <w:b/>
        </w:rPr>
        <w:t xml:space="preserve"> </w:t>
      </w:r>
      <w:r>
        <w:rPr>
          <w:b/>
        </w:rPr>
        <w:t>the TIMES model</w:t>
      </w:r>
      <w:r>
        <w:t xml:space="preserve">, population, GDP and broad sectoral composition of the economy are generally exogenous and taken as given in the optimisation programs (for optimisation models) or in the econometric relationships (for simulation models). In some instances, sectoral models require calibration to exogenously determined demand values by agents (for example the projection for energy products in TIMES models), price projections (for example production prices in partial equilibrium models with infinite elasticity of supply) or projections for some production, trade flows and import prices. </w:t>
      </w:r>
    </w:p>
    <w:p w14:paraId="4A38237B" w14:textId="77777777" w:rsidR="004A085C" w:rsidRDefault="004A085C" w:rsidP="004A085C">
      <w:pPr>
        <w:pStyle w:val="Para"/>
        <w:numPr>
          <w:ilvl w:val="0"/>
          <w:numId w:val="0"/>
        </w:numPr>
      </w:pPr>
      <w:r>
        <w:t xml:space="preserve">Calibrating the </w:t>
      </w:r>
      <w:r w:rsidRPr="00193716">
        <w:rPr>
          <w:b/>
          <w:bCs/>
        </w:rPr>
        <w:t>CGE model</w:t>
      </w:r>
      <w:r>
        <w:t xml:space="preserve"> to macro-economic projections is a straightforward exercise, routinely performed with the ENV-Linkages model in OECD reports. It</w:t>
      </w:r>
      <w:r w:rsidDel="00C60CC4">
        <w:t xml:space="preserve"> </w:t>
      </w:r>
      <w:r>
        <w:t>involves adjusting a set of variables in the model to match (calibrate) the values of exogenous inputs when building the ‘reference scenario’. This implies ‘inverting’ the equations of the model: otherwise, endogenous variables are fixed to match exogenous values, and parameters that take an exogenous value in simulations are adjusted to ensure that the Reference scenario matches the data</w:t>
      </w:r>
      <w:r>
        <w:rPr>
          <w:rStyle w:val="FootnoteReference"/>
        </w:rPr>
        <w:footnoteReference w:id="3"/>
      </w:r>
      <w:r>
        <w:t>. For example, to reproduce a specific exogenous GDP trend in the reference scenario, labour productivity and total factor productivity improvements can be scaled to match the desired macroeconomic activity levels.</w:t>
      </w:r>
    </w:p>
    <w:p w14:paraId="66B60105" w14:textId="77777777" w:rsidR="004A085C" w:rsidRDefault="004A085C" w:rsidP="004A085C">
      <w:pPr>
        <w:pStyle w:val="Para"/>
        <w:numPr>
          <w:ilvl w:val="0"/>
          <w:numId w:val="0"/>
        </w:numPr>
        <w:jc w:val="center"/>
      </w:pPr>
      <w:r w:rsidRPr="00C371D9">
        <w:drawing>
          <wp:inline distT="0" distB="0" distL="0" distR="0" wp14:anchorId="7D0C8858" wp14:editId="64D79014">
            <wp:extent cx="4549534" cy="3444538"/>
            <wp:effectExtent l="0" t="0" r="381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549534" cy="3444538"/>
                    </a:xfrm>
                    <a:prstGeom prst="rect">
                      <a:avLst/>
                    </a:prstGeom>
                  </pic:spPr>
                </pic:pic>
              </a:graphicData>
            </a:graphic>
          </wp:inline>
        </w:drawing>
      </w:r>
    </w:p>
    <w:p w14:paraId="6F5206C3" w14:textId="77777777" w:rsidR="004A085C" w:rsidRDefault="004A085C" w:rsidP="004A085C">
      <w:pPr>
        <w:pStyle w:val="Para"/>
        <w:numPr>
          <w:ilvl w:val="0"/>
          <w:numId w:val="0"/>
        </w:numPr>
      </w:pPr>
    </w:p>
    <w:p w14:paraId="38DA60E6" w14:textId="77777777" w:rsidR="004A085C" w:rsidRDefault="004A085C" w:rsidP="004A085C">
      <w:pPr>
        <w:pStyle w:val="Para"/>
        <w:numPr>
          <w:ilvl w:val="0"/>
          <w:numId w:val="0"/>
        </w:numPr>
      </w:pPr>
      <w:r>
        <w:t xml:space="preserve">Refining the sectoral reference projections and features in ENV-Linkages using inputs from TIMES also follows a well-established practice. Incorporating information from the sectoral model into the CGE model for the Reference scenario can facilitate the (explicit or implicit) </w:t>
      </w:r>
      <w:r w:rsidRPr="009C22CD">
        <w:t xml:space="preserve">representation of current policies. </w:t>
      </w:r>
      <w:r>
        <w:t>This procedure is slightly more complex than just inverting causality of variables in economic relationships used for aggregate variables because it may also require adjusting some scale parameters of the CGE to match the trends</w:t>
      </w:r>
      <w:r w:rsidDel="0088638E">
        <w:t xml:space="preserve"> </w:t>
      </w:r>
      <w:r>
        <w:t xml:space="preserve">provided by sectoral models. The typical scale parameters of the model that are adjusted to match sectoral trends are the share parameters in the Constant Elasticity of Substitution (CES) functions governing production and consumption decisions, the minimum subsistence levels in consumer preferences, the autonomous efficiency parameters for the primary factors or for the intermediate inputs (like energy) and the total factor productivity of the sector. </w:t>
      </w:r>
    </w:p>
    <w:p w14:paraId="2CC42D59" w14:textId="77777777" w:rsidR="004A085C" w:rsidRPr="00387959" w:rsidRDefault="004A085C" w:rsidP="009D6A28">
      <w:pPr>
        <w:pStyle w:val="Para"/>
        <w:numPr>
          <w:ilvl w:val="0"/>
          <w:numId w:val="0"/>
        </w:numPr>
        <w:rPr>
          <w:i/>
          <w:iCs/>
        </w:rPr>
      </w:pPr>
      <w:r>
        <w:t xml:space="preserve">Vice versa, developing the Reference scenario in the TIMES model use inputs from ENV-Linkages. </w:t>
      </w:r>
      <w:r w:rsidRPr="00387959">
        <w:rPr>
          <w:i/>
          <w:iCs/>
        </w:rPr>
        <w:t xml:space="preserve">This is particularly relevant for assumptions and features that go beyond the scope of the sectoral model, such as projections of sectoral value-added shares in the overall economy. ENV-Linkages can provide supplementary information to sectoral models where relevant, enhancing the consistency of the “Reference scenario” across models. The typical examples include an energy model that could require projections about the value-added share of iron and steel production; an agriculture model that take as given food demand; or a transportation model that requires projections about international trade flows to calculate the corresponding international transportation costs.    </w:t>
      </w:r>
    </w:p>
    <w:p w14:paraId="70768768" w14:textId="6A8DF99A" w:rsidR="00D8626A" w:rsidRDefault="00D8626A" w:rsidP="00D8626A">
      <w:r>
        <w:t xml:space="preserve">2.2) </w:t>
      </w:r>
      <w:r>
        <w:t>The Policy in the reference scenario (to be drafted)</w:t>
      </w:r>
    </w:p>
    <w:p w14:paraId="4497D1B8" w14:textId="3AFD6ED4" w:rsidR="004A085C" w:rsidRDefault="004A085C" w:rsidP="004A085C">
      <w:r>
        <w:t>2.</w:t>
      </w:r>
      <w:r w:rsidR="00D8626A">
        <w:t>3</w:t>
      </w:r>
      <w:r>
        <w:t>) Definition of Policy Scenarios</w:t>
      </w:r>
    </w:p>
    <w:p w14:paraId="1EFBB987" w14:textId="77777777" w:rsidR="009D6A28" w:rsidRDefault="009D6A28" w:rsidP="009D6A28">
      <w:pPr>
        <w:rPr>
          <w:rFonts w:eastAsia="Times New Roman"/>
        </w:rPr>
      </w:pPr>
      <w:r>
        <w:t xml:space="preserve">All policies are analysed in a counterfactual way, as if the current policies in 2019 and their planned changes to 2030 in the reference scenario would have never been implemented. </w:t>
      </w:r>
    </w:p>
    <w:p w14:paraId="632697FD" w14:textId="77777777" w:rsidR="009D6A28" w:rsidRPr="00076CCB" w:rsidRDefault="009D6A28" w:rsidP="009D6A28">
      <w:pPr>
        <w:pStyle w:val="ListParagraph"/>
        <w:widowControl/>
        <w:numPr>
          <w:ilvl w:val="0"/>
          <w:numId w:val="6"/>
        </w:numPr>
        <w:contextualSpacing w:val="0"/>
        <w:jc w:val="left"/>
        <w:rPr>
          <w:rFonts w:eastAsia="Times New Roman"/>
          <w:b/>
          <w:bCs/>
        </w:rPr>
      </w:pPr>
      <w:r>
        <w:rPr>
          <w:rFonts w:eastAsia="Times New Roman"/>
          <w:b/>
          <w:bCs/>
        </w:rPr>
        <w:t xml:space="preserve">The </w:t>
      </w:r>
      <w:r w:rsidRPr="001D3406">
        <w:rPr>
          <w:rFonts w:eastAsia="Times New Roman"/>
          <w:b/>
          <w:bCs/>
        </w:rPr>
        <w:t>Emissions trading system</w:t>
      </w:r>
      <w:r>
        <w:rPr>
          <w:rFonts w:eastAsia="Times New Roman"/>
          <w:b/>
          <w:bCs/>
        </w:rPr>
        <w:t xml:space="preserve"> (</w:t>
      </w:r>
      <w:r w:rsidRPr="00076CCB">
        <w:rPr>
          <w:rFonts w:eastAsia="Times New Roman"/>
          <w:b/>
          <w:bCs/>
        </w:rPr>
        <w:t>ETS</w:t>
      </w:r>
      <w:r>
        <w:rPr>
          <w:rFonts w:eastAsia="Times New Roman"/>
          <w:b/>
          <w:bCs/>
        </w:rPr>
        <w:t>)</w:t>
      </w:r>
    </w:p>
    <w:p w14:paraId="5AA1AD6F" w14:textId="77777777" w:rsidR="009D6A28" w:rsidRDefault="009D6A28" w:rsidP="009D6A28">
      <w:pPr>
        <w:rPr>
          <w:rFonts w:eastAsia="Times New Roman"/>
        </w:rPr>
      </w:pPr>
    </w:p>
    <w:p w14:paraId="07876414" w14:textId="77777777" w:rsidR="009D6A28" w:rsidRPr="007969A6" w:rsidRDefault="009D6A28" w:rsidP="009D6A28">
      <w:pPr>
        <w:rPr>
          <w:rFonts w:eastAsia="Times New Roman"/>
          <w:i/>
          <w:iCs/>
        </w:rPr>
      </w:pPr>
      <w:r w:rsidRPr="007969A6">
        <w:rPr>
          <w:rFonts w:eastAsia="Times New Roman"/>
          <w:i/>
          <w:iCs/>
        </w:rPr>
        <w:t>In the reference scenario:</w:t>
      </w:r>
    </w:p>
    <w:p w14:paraId="3E08BD18" w14:textId="77777777" w:rsidR="009D6A28" w:rsidRDefault="009D6A28" w:rsidP="009D6A28">
      <w:pPr>
        <w:rPr>
          <w:rFonts w:eastAsia="Times New Roman"/>
        </w:rPr>
      </w:pPr>
      <w:r>
        <w:rPr>
          <w:rFonts w:eastAsia="Times New Roman"/>
        </w:rPr>
        <w:t>The ETS (</w:t>
      </w:r>
      <w:r w:rsidRPr="00C07671">
        <w:t xml:space="preserve">part of </w:t>
      </w:r>
      <w:r w:rsidRPr="001D3406">
        <w:t>the “</w:t>
      </w:r>
      <w:r w:rsidRPr="002D2455">
        <w:rPr>
          <w:i/>
          <w:iCs/>
        </w:rPr>
        <w:t>CO</w:t>
      </w:r>
      <w:r w:rsidRPr="002D2455">
        <w:rPr>
          <w:i/>
          <w:iCs/>
          <w:vertAlign w:val="subscript"/>
        </w:rPr>
        <w:t>2</w:t>
      </w:r>
      <w:r w:rsidRPr="002D2455">
        <w:rPr>
          <w:i/>
          <w:iCs/>
        </w:rPr>
        <w:t xml:space="preserve"> Act</w:t>
      </w:r>
      <w:r w:rsidRPr="001D3406">
        <w:t>”</w:t>
      </w:r>
      <w:r>
        <w:t xml:space="preserve">) </w:t>
      </w:r>
      <w:r>
        <w:rPr>
          <w:rFonts w:eastAsia="Times New Roman"/>
        </w:rPr>
        <w:t>is assumed for all countries participating to EU-ETS. Current, historical (from 2019) and future legislated rules (</w:t>
      </w:r>
      <w:r w:rsidRPr="002D2455">
        <w:rPr>
          <w:rFonts w:eastAsia="Times New Roman"/>
          <w:i/>
          <w:iCs/>
        </w:rPr>
        <w:t>i.e.</w:t>
      </w:r>
      <w:r>
        <w:rPr>
          <w:rFonts w:eastAsia="Times New Roman"/>
        </w:rPr>
        <w:t xml:space="preserve"> the </w:t>
      </w:r>
      <w:hyperlink r:id="rId14" w:history="1">
        <w:r w:rsidRPr="00171887">
          <w:rPr>
            <w:rStyle w:val="Hyperlink"/>
            <w:rFonts w:cstheme="minorHAnsi"/>
            <w:color w:val="004494"/>
          </w:rPr>
          <w:t>2023 revisions of the ETS Directive</w:t>
        </w:r>
      </w:hyperlink>
      <w:r>
        <w:rPr>
          <w:rFonts w:eastAsia="Times New Roman"/>
        </w:rPr>
        <w:t>) up to 2030-2035 apply, including total emission target for sectors covered by country, permit allocation across firms and sectors (and its progressive phasing out), exemptions, etc.</w:t>
      </w:r>
    </w:p>
    <w:p w14:paraId="704B0DC5" w14:textId="77777777" w:rsidR="009D6A28" w:rsidRDefault="009D6A28" w:rsidP="009D6A28">
      <w:pPr>
        <w:rPr>
          <w:rFonts w:eastAsia="Times New Roman"/>
        </w:rPr>
      </w:pPr>
      <w:r>
        <w:rPr>
          <w:rFonts w:eastAsia="Times New Roman"/>
        </w:rPr>
        <w:t xml:space="preserve">According to current publicly available information, Switzerland is not projecting any future implementation of the </w:t>
      </w:r>
      <w:r w:rsidRPr="00171887">
        <w:rPr>
          <w:rFonts w:eastAsia="Times New Roman"/>
        </w:rPr>
        <w:t xml:space="preserve">new emissions trading system </w:t>
      </w:r>
      <w:r>
        <w:rPr>
          <w:rFonts w:eastAsia="Times New Roman"/>
        </w:rPr>
        <w:t>(</w:t>
      </w:r>
      <w:r w:rsidRPr="00171887">
        <w:rPr>
          <w:rFonts w:eastAsia="Times New Roman"/>
        </w:rPr>
        <w:t xml:space="preserve">named </w:t>
      </w:r>
      <w:r>
        <w:rPr>
          <w:rFonts w:eastAsia="Times New Roman"/>
        </w:rPr>
        <w:t>EU-</w:t>
      </w:r>
      <w:r w:rsidRPr="00171887">
        <w:rPr>
          <w:rFonts w:eastAsia="Times New Roman"/>
        </w:rPr>
        <w:t>ETS 2</w:t>
      </w:r>
      <w:r>
        <w:rPr>
          <w:rFonts w:eastAsia="Times New Roman"/>
        </w:rPr>
        <w:t xml:space="preserve">), that </w:t>
      </w:r>
      <w:r w:rsidRPr="00171887">
        <w:rPr>
          <w:rFonts w:eastAsia="Times New Roman"/>
        </w:rPr>
        <w:t>cover</w:t>
      </w:r>
      <w:r>
        <w:rPr>
          <w:rFonts w:eastAsia="Times New Roman"/>
        </w:rPr>
        <w:t>s</w:t>
      </w:r>
      <w:r w:rsidRPr="00171887">
        <w:rPr>
          <w:rFonts w:eastAsia="Times New Roman"/>
        </w:rPr>
        <w:t xml:space="preserve"> and address</w:t>
      </w:r>
      <w:r>
        <w:rPr>
          <w:rFonts w:eastAsia="Times New Roman"/>
        </w:rPr>
        <w:t>es</w:t>
      </w:r>
      <w:r w:rsidRPr="00171887">
        <w:rPr>
          <w:rFonts w:eastAsia="Times New Roman"/>
        </w:rPr>
        <w:t xml:space="preserve"> </w:t>
      </w:r>
      <w:r>
        <w:rPr>
          <w:rFonts w:eastAsia="Times New Roman"/>
        </w:rPr>
        <w:t xml:space="preserve">in EU countries, </w:t>
      </w:r>
      <w:r w:rsidRPr="00171887">
        <w:rPr>
          <w:rFonts w:eastAsia="Times New Roman"/>
        </w:rPr>
        <w:t>the CO</w:t>
      </w:r>
      <w:r w:rsidRPr="002D2455">
        <w:rPr>
          <w:rFonts w:eastAsia="Times New Roman"/>
          <w:vertAlign w:val="subscript"/>
        </w:rPr>
        <w:t>2</w:t>
      </w:r>
      <w:r w:rsidRPr="00171887">
        <w:rPr>
          <w:rFonts w:eastAsia="Times New Roman"/>
        </w:rPr>
        <w:t xml:space="preserve"> emissions from fuel combustion in buildings, road transport and additional</w:t>
      </w:r>
      <w:r>
        <w:rPr>
          <w:rFonts w:eastAsia="Times New Roman"/>
        </w:rPr>
        <w:t xml:space="preserve"> sectors.</w:t>
      </w:r>
    </w:p>
    <w:p w14:paraId="0C3AA76C" w14:textId="72076707" w:rsidR="009D6A28" w:rsidRPr="004021BC" w:rsidRDefault="009D6A28" w:rsidP="009D6A28">
      <w:pPr>
        <w:rPr>
          <w:rFonts w:eastAsia="Times New Roman"/>
          <w:i/>
          <w:iCs/>
        </w:rPr>
      </w:pPr>
      <w:r>
        <w:rPr>
          <w:rFonts w:eastAsia="Times New Roman"/>
          <w:i/>
          <w:iCs/>
        </w:rPr>
        <w:t>P</w:t>
      </w:r>
      <w:r w:rsidRPr="004021BC">
        <w:rPr>
          <w:rFonts w:eastAsia="Times New Roman"/>
          <w:i/>
          <w:iCs/>
        </w:rPr>
        <w:t>olicy simulations:</w:t>
      </w:r>
    </w:p>
    <w:p w14:paraId="413597D3" w14:textId="77777777" w:rsidR="009D6A28" w:rsidRDefault="009D6A28" w:rsidP="009D6A28">
      <w:pPr>
        <w:rPr>
          <w:rFonts w:eastAsia="Times New Roman"/>
        </w:rPr>
      </w:pPr>
      <w:r>
        <w:rPr>
          <w:rFonts w:eastAsia="Times New Roman"/>
        </w:rPr>
        <w:tab/>
      </w:r>
    </w:p>
    <w:p w14:paraId="400E5F55" w14:textId="21085BF3" w:rsidR="009D6A28" w:rsidRDefault="009D6A28" w:rsidP="009D6A28">
      <w:pPr>
        <w:pStyle w:val="ListParagraph"/>
        <w:widowControl/>
        <w:numPr>
          <w:ilvl w:val="0"/>
          <w:numId w:val="12"/>
        </w:numPr>
        <w:contextualSpacing w:val="0"/>
        <w:rPr>
          <w:rFonts w:eastAsia="Times New Roman"/>
        </w:rPr>
      </w:pPr>
      <w:r w:rsidRPr="0079710B">
        <w:rPr>
          <w:rFonts w:eastAsia="Times New Roman"/>
        </w:rPr>
        <w:t xml:space="preserve">Removing Swiss ETS (and therefore the link to EU-ETS). </w:t>
      </w:r>
    </w:p>
    <w:p w14:paraId="026C0604" w14:textId="58BC3C0A" w:rsidR="009D6A28" w:rsidRPr="0079710B" w:rsidRDefault="009D6A28" w:rsidP="009D6A28">
      <w:pPr>
        <w:pStyle w:val="ListParagraph"/>
        <w:widowControl/>
        <w:numPr>
          <w:ilvl w:val="0"/>
          <w:numId w:val="12"/>
        </w:numPr>
        <w:contextualSpacing w:val="0"/>
        <w:rPr>
          <w:rFonts w:eastAsia="Times New Roman"/>
        </w:rPr>
      </w:pPr>
      <w:r w:rsidRPr="0079710B">
        <w:rPr>
          <w:rFonts w:eastAsia="Times New Roman"/>
        </w:rPr>
        <w:t xml:space="preserve">Removing Swiss ETS and EU-ETS. </w:t>
      </w:r>
    </w:p>
    <w:p w14:paraId="052F7B88" w14:textId="77777777" w:rsidR="009D6A28" w:rsidRDefault="009D6A28" w:rsidP="009D6A28">
      <w:pPr>
        <w:rPr>
          <w:rFonts w:eastAsia="Times New Roman"/>
        </w:rPr>
      </w:pPr>
    </w:p>
    <w:p w14:paraId="09A2CD1B" w14:textId="77777777" w:rsidR="009D6A28" w:rsidRDefault="009D6A28" w:rsidP="009D6A28">
      <w:pPr>
        <w:rPr>
          <w:rFonts w:eastAsia="Times New Roman"/>
        </w:rPr>
      </w:pPr>
      <w:r>
        <w:rPr>
          <w:rFonts w:eastAsia="Times New Roman"/>
        </w:rPr>
        <w:t>For all policy simulations the experiment consists in removing all the policy instruments concerned by this simulation (here the ETS) in 2020. The “new equilibrium” will be compared with the reference scenario.</w:t>
      </w:r>
    </w:p>
    <w:p w14:paraId="45A32DDC" w14:textId="77777777" w:rsidR="009D6A28" w:rsidRDefault="009D6A28" w:rsidP="009D6A28">
      <w:pPr>
        <w:rPr>
          <w:rFonts w:eastAsia="Times New Roman"/>
        </w:rPr>
      </w:pPr>
      <w:r>
        <w:rPr>
          <w:rFonts w:eastAsia="Times New Roman"/>
        </w:rPr>
        <w:t xml:space="preserve"> </w:t>
      </w:r>
    </w:p>
    <w:p w14:paraId="20233030" w14:textId="77777777" w:rsidR="009D6A28" w:rsidRPr="00076CCB" w:rsidRDefault="009D6A28" w:rsidP="009D6A28">
      <w:pPr>
        <w:pStyle w:val="ListParagraph"/>
        <w:widowControl/>
        <w:numPr>
          <w:ilvl w:val="0"/>
          <w:numId w:val="6"/>
        </w:numPr>
        <w:contextualSpacing w:val="0"/>
        <w:jc w:val="left"/>
        <w:rPr>
          <w:rFonts w:eastAsia="Times New Roman"/>
          <w:b/>
          <w:bCs/>
        </w:rPr>
      </w:pPr>
      <w:r w:rsidRPr="00076CCB">
        <w:rPr>
          <w:rFonts w:eastAsia="Times New Roman"/>
          <w:b/>
          <w:bCs/>
        </w:rPr>
        <w:lastRenderedPageBreak/>
        <w:t>“CO2 levy”</w:t>
      </w:r>
    </w:p>
    <w:p w14:paraId="00FC572A" w14:textId="77777777" w:rsidR="009D6A28" w:rsidRDefault="009D6A28" w:rsidP="009D6A28">
      <w:pPr>
        <w:rPr>
          <w:rFonts w:eastAsia="Times New Roman"/>
        </w:rPr>
      </w:pPr>
    </w:p>
    <w:p w14:paraId="6BA8A2CC" w14:textId="77777777" w:rsidR="009D6A28" w:rsidRPr="007969A6" w:rsidRDefault="009D6A28" w:rsidP="009D6A28">
      <w:pPr>
        <w:rPr>
          <w:rFonts w:eastAsia="Times New Roman"/>
          <w:i/>
          <w:iCs/>
        </w:rPr>
      </w:pPr>
      <w:r w:rsidRPr="007969A6">
        <w:rPr>
          <w:rFonts w:eastAsia="Times New Roman"/>
          <w:i/>
          <w:iCs/>
        </w:rPr>
        <w:t>In the reference scenario:</w:t>
      </w:r>
    </w:p>
    <w:p w14:paraId="554125DE" w14:textId="77777777" w:rsidR="009D6A28" w:rsidRPr="006B7814" w:rsidRDefault="009D6A28" w:rsidP="009D6A28">
      <w:pPr>
        <w:rPr>
          <w:rFonts w:cstheme="minorHAnsi"/>
          <w:shd w:val="clear" w:color="auto" w:fill="FFFFFF"/>
        </w:rPr>
      </w:pPr>
      <w:r w:rsidRPr="006B7814">
        <w:rPr>
          <w:rFonts w:eastAsia="Times New Roman" w:cstheme="minorHAnsi"/>
        </w:rPr>
        <w:t>The CO2 levy</w:t>
      </w:r>
      <w:r w:rsidRPr="006B7814">
        <w:rPr>
          <w:rStyle w:val="FootnoteReference"/>
          <w:rFonts w:eastAsia="Times New Roman" w:cstheme="minorHAnsi"/>
        </w:rPr>
        <w:footnoteReference w:id="4"/>
      </w:r>
      <w:r w:rsidRPr="006B7814">
        <w:rPr>
          <w:rFonts w:eastAsia="Times New Roman" w:cstheme="minorHAnsi"/>
        </w:rPr>
        <w:t xml:space="preserve"> is</w:t>
      </w:r>
      <w:r w:rsidRPr="006B7814">
        <w:rPr>
          <w:rFonts w:cstheme="minorHAnsi"/>
          <w:shd w:val="clear" w:color="auto" w:fill="FFFFFF"/>
        </w:rPr>
        <w:t xml:space="preserve"> imposed on all fossil thermal fuels (e.g. heating oil, natural gas). It is set at its historical value up to 2023 (120 CHF per tonne of CO2 in 2022). After 2023, the CO2 levy is assumed to remain a</w:t>
      </w:r>
      <w:r>
        <w:rPr>
          <w:rFonts w:cstheme="minorHAnsi"/>
          <w:shd w:val="clear" w:color="auto" w:fill="FFFFFF"/>
        </w:rPr>
        <w:t>t</w:t>
      </w:r>
      <w:r w:rsidRPr="006B7814">
        <w:rPr>
          <w:rFonts w:cstheme="minorHAnsi"/>
          <w:shd w:val="clear" w:color="auto" w:fill="FFFFFF"/>
        </w:rPr>
        <w:t xml:space="preserve"> same level with same modalities</w:t>
      </w:r>
      <w:r w:rsidRPr="006B7814">
        <w:rPr>
          <w:rStyle w:val="FootnoteReference"/>
          <w:rFonts w:cstheme="minorHAnsi"/>
          <w:shd w:val="clear" w:color="auto" w:fill="FFFFFF"/>
        </w:rPr>
        <w:footnoteReference w:id="5"/>
      </w:r>
      <w:r>
        <w:rPr>
          <w:rFonts w:cstheme="minorHAnsi"/>
          <w:shd w:val="clear" w:color="auto" w:fill="FFFFFF"/>
        </w:rPr>
        <w:t>.</w:t>
      </w:r>
    </w:p>
    <w:p w14:paraId="3F5690C3" w14:textId="77777777" w:rsidR="009D6A28" w:rsidRPr="006B7814" w:rsidRDefault="009D6A28" w:rsidP="009D6A28">
      <w:pPr>
        <w:rPr>
          <w:rFonts w:cstheme="minorHAnsi"/>
          <w:shd w:val="clear" w:color="auto" w:fill="FFFFFF"/>
        </w:rPr>
      </w:pPr>
      <w:r w:rsidRPr="006B7814">
        <w:rPr>
          <w:rFonts w:cstheme="minorHAnsi"/>
          <w:shd w:val="clear" w:color="auto" w:fill="FFFFFF"/>
        </w:rPr>
        <w:t xml:space="preserve">With regard to the allocation of revenue from the CO2 levy across </w:t>
      </w:r>
      <w:r>
        <w:rPr>
          <w:rFonts w:cstheme="minorHAnsi"/>
          <w:shd w:val="clear" w:color="auto" w:fill="FFFFFF"/>
        </w:rPr>
        <w:t>different policies</w:t>
      </w:r>
      <w:r w:rsidRPr="006B7814">
        <w:rPr>
          <w:rFonts w:cstheme="minorHAnsi"/>
          <w:shd w:val="clear" w:color="auto" w:fill="FFFFFF"/>
        </w:rPr>
        <w:t xml:space="preserve"> (including </w:t>
      </w:r>
      <w:r w:rsidRPr="006B7814">
        <w:rPr>
          <w:rFonts w:eastAsia="Times New Roman"/>
        </w:rPr>
        <w:t>“</w:t>
      </w:r>
      <w:r w:rsidRPr="006B7814">
        <w:rPr>
          <w:rFonts w:eastAsia="Times New Roman"/>
          <w:i/>
          <w:iCs/>
        </w:rPr>
        <w:t>Buildings Programme</w:t>
      </w:r>
      <w:r w:rsidRPr="006B7814">
        <w:rPr>
          <w:rFonts w:eastAsia="Times New Roman"/>
        </w:rPr>
        <w:t>”, see below)</w:t>
      </w:r>
      <w:r w:rsidRPr="006B7814">
        <w:rPr>
          <w:rFonts w:cstheme="minorHAnsi"/>
          <w:shd w:val="clear" w:color="auto" w:fill="FFFFFF"/>
        </w:rPr>
        <w:t>,</w:t>
      </w:r>
      <w:r>
        <w:rPr>
          <w:rFonts w:cstheme="minorHAnsi"/>
          <w:shd w:val="clear" w:color="auto" w:fill="FFFFFF"/>
        </w:rPr>
        <w:t xml:space="preserve"> the share of</w:t>
      </w:r>
      <w:r>
        <w:t xml:space="preserve"> revenues earmarked for the buildings programme will remain at 33%</w:t>
      </w:r>
      <w:r w:rsidRPr="006B7814">
        <w:rPr>
          <w:rFonts w:cstheme="minorHAnsi"/>
          <w:shd w:val="clear" w:color="auto" w:fill="FFFFFF"/>
        </w:rPr>
        <w:t>.</w:t>
      </w:r>
    </w:p>
    <w:p w14:paraId="76FC5DE1" w14:textId="77777777" w:rsidR="009D6A28" w:rsidRPr="006B7814" w:rsidRDefault="009D6A28" w:rsidP="009D6A28">
      <w:pPr>
        <w:rPr>
          <w:rFonts w:eastAsia="Times New Roman" w:cstheme="minorHAnsi"/>
        </w:rPr>
      </w:pPr>
      <w:r>
        <w:rPr>
          <w:rFonts w:cstheme="minorHAnsi"/>
          <w:shd w:val="clear" w:color="auto" w:fill="FFFFFF"/>
        </w:rPr>
        <w:t>The e</w:t>
      </w:r>
      <w:r w:rsidRPr="006B7814">
        <w:rPr>
          <w:rFonts w:cstheme="minorHAnsi"/>
          <w:shd w:val="clear" w:color="auto" w:fill="FFFFFF"/>
        </w:rPr>
        <w:t>xemption</w:t>
      </w:r>
      <w:r>
        <w:rPr>
          <w:rFonts w:cstheme="minorHAnsi"/>
          <w:shd w:val="clear" w:color="auto" w:fill="FFFFFF"/>
        </w:rPr>
        <w:t>s</w:t>
      </w:r>
      <w:r w:rsidRPr="006B7814">
        <w:rPr>
          <w:rFonts w:cstheme="minorHAnsi"/>
          <w:shd w:val="clear" w:color="auto" w:fill="FFFFFF"/>
        </w:rPr>
        <w:t xml:space="preserve"> of CO2 levy (includ</w:t>
      </w:r>
      <w:r>
        <w:rPr>
          <w:rFonts w:cstheme="minorHAnsi"/>
          <w:shd w:val="clear" w:color="auto" w:fill="FFFFFF"/>
        </w:rPr>
        <w:t>ing</w:t>
      </w:r>
      <w:r w:rsidRPr="006B7814">
        <w:rPr>
          <w:rFonts w:cstheme="minorHAnsi"/>
          <w:shd w:val="clear" w:color="auto" w:fill="FFFFFF"/>
        </w:rPr>
        <w:t xml:space="preserve"> installations participating in the ETS</w:t>
      </w:r>
      <w:r>
        <w:rPr>
          <w:rFonts w:cstheme="minorHAnsi"/>
          <w:shd w:val="clear" w:color="auto" w:fill="FFFFFF"/>
        </w:rPr>
        <w:t xml:space="preserve"> and companies that enter a reduction commitment</w:t>
      </w:r>
      <w:r w:rsidRPr="006B7814">
        <w:rPr>
          <w:rFonts w:cstheme="minorHAnsi"/>
          <w:shd w:val="clear" w:color="auto" w:fill="FFFFFF"/>
        </w:rPr>
        <w:t xml:space="preserve">) will be kept </w:t>
      </w:r>
      <w:r>
        <w:rPr>
          <w:rFonts w:cstheme="minorHAnsi"/>
          <w:shd w:val="clear" w:color="auto" w:fill="FFFFFF"/>
        </w:rPr>
        <w:t xml:space="preserve">the </w:t>
      </w:r>
      <w:r w:rsidRPr="006B7814">
        <w:rPr>
          <w:rFonts w:cstheme="minorHAnsi"/>
          <w:shd w:val="clear" w:color="auto" w:fill="FFFFFF"/>
        </w:rPr>
        <w:t>same as in 2023 for the whole projection horizon.</w:t>
      </w:r>
    </w:p>
    <w:p w14:paraId="0B1004A4" w14:textId="521A7098" w:rsidR="009D6A28" w:rsidRPr="006B7814" w:rsidRDefault="009D6A28" w:rsidP="009D6A28">
      <w:pPr>
        <w:rPr>
          <w:rFonts w:eastAsia="Times New Roman"/>
          <w:i/>
          <w:iCs/>
        </w:rPr>
      </w:pPr>
      <w:r>
        <w:rPr>
          <w:rFonts w:eastAsia="Times New Roman"/>
          <w:i/>
          <w:iCs/>
        </w:rPr>
        <w:t>P</w:t>
      </w:r>
      <w:r w:rsidRPr="006B7814">
        <w:rPr>
          <w:rFonts w:eastAsia="Times New Roman"/>
          <w:i/>
          <w:iCs/>
        </w:rPr>
        <w:t>olicy simulations:</w:t>
      </w:r>
    </w:p>
    <w:p w14:paraId="012BDCEC" w14:textId="77B98F1A" w:rsidR="009D6A28" w:rsidRPr="00840FC6" w:rsidRDefault="009D6A28" w:rsidP="009D6A28">
      <w:pPr>
        <w:pStyle w:val="ListParagraph"/>
        <w:widowControl/>
        <w:numPr>
          <w:ilvl w:val="0"/>
          <w:numId w:val="12"/>
        </w:numPr>
        <w:rPr>
          <w:rFonts w:eastAsia="Times New Roman"/>
        </w:rPr>
      </w:pPr>
      <w:r w:rsidRPr="00840FC6">
        <w:rPr>
          <w:rFonts w:eastAsia="Times New Roman"/>
        </w:rPr>
        <w:t>Removing “CO2 levy” (including exemptions and buildings programme)</w:t>
      </w:r>
    </w:p>
    <w:p w14:paraId="0AC6FE7D" w14:textId="24B3CCBC" w:rsidR="009D6A28" w:rsidRPr="00840FC6" w:rsidRDefault="009D6A28" w:rsidP="009D6A28">
      <w:pPr>
        <w:pStyle w:val="ListParagraph"/>
        <w:widowControl/>
        <w:numPr>
          <w:ilvl w:val="0"/>
          <w:numId w:val="12"/>
        </w:numPr>
        <w:rPr>
          <w:rFonts w:eastAsia="Times New Roman"/>
        </w:rPr>
      </w:pPr>
      <w:r w:rsidRPr="00840FC6">
        <w:rPr>
          <w:rFonts w:eastAsia="Times New Roman"/>
        </w:rPr>
        <w:t xml:space="preserve">Removing “CO2 levy” and Swiss ETS. </w:t>
      </w:r>
    </w:p>
    <w:p w14:paraId="0F1DBB98" w14:textId="77777777" w:rsidR="009D6A28" w:rsidRDefault="009D6A28" w:rsidP="009D6A28">
      <w:pPr>
        <w:rPr>
          <w:rFonts w:eastAsia="Times New Roman"/>
        </w:rPr>
      </w:pPr>
    </w:p>
    <w:p w14:paraId="113C1300" w14:textId="26CFC640" w:rsidR="009D6A28" w:rsidRDefault="009D6A28" w:rsidP="009D6A28">
      <w:pPr>
        <w:rPr>
          <w:rFonts w:eastAsia="Times New Roman"/>
        </w:rPr>
      </w:pPr>
      <w:r>
        <w:rPr>
          <w:rFonts w:eastAsia="Times New Roman"/>
          <w:u w:val="single"/>
        </w:rPr>
        <w:t>N</w:t>
      </w:r>
      <w:r w:rsidRPr="006E5136">
        <w:rPr>
          <w:rFonts w:eastAsia="Times New Roman"/>
          <w:u w:val="single"/>
        </w:rPr>
        <w:t>o compensation should be envisaged.</w:t>
      </w:r>
      <w:r>
        <w:rPr>
          <w:rFonts w:eastAsia="Times New Roman"/>
          <w:u w:val="single"/>
        </w:rPr>
        <w:t xml:space="preserve"> </w:t>
      </w:r>
      <w:r>
        <w:rPr>
          <w:rFonts w:eastAsia="Times New Roman"/>
        </w:rPr>
        <w:t>In other words, there will be no change in financing for the sectors that would benefit from CO</w:t>
      </w:r>
      <w:r w:rsidRPr="00A56F40">
        <w:rPr>
          <w:rFonts w:eastAsia="Times New Roman"/>
          <w:vertAlign w:val="subscript"/>
        </w:rPr>
        <w:t xml:space="preserve">2 </w:t>
      </w:r>
      <w:r>
        <w:rPr>
          <w:rFonts w:eastAsia="Times New Roman"/>
        </w:rPr>
        <w:t>levy revenues when we remove the levy. For example, part of the “</w:t>
      </w:r>
      <w:r w:rsidRPr="006E5136">
        <w:rPr>
          <w:rFonts w:eastAsia="Times New Roman"/>
        </w:rPr>
        <w:t>Buildings programme</w:t>
      </w:r>
      <w:r>
        <w:rPr>
          <w:rFonts w:eastAsia="Times New Roman"/>
        </w:rPr>
        <w:t>” is financed with the CO2 Levy revenue. If these revenues vanished because the levy is removed we do not adjust some fiscal instrument to keep same resource for the “</w:t>
      </w:r>
      <w:r w:rsidRPr="006E5136">
        <w:rPr>
          <w:rFonts w:eastAsia="Times New Roman"/>
        </w:rPr>
        <w:t>Buildings Programme”.</w:t>
      </w:r>
    </w:p>
    <w:p w14:paraId="32B84632" w14:textId="77777777" w:rsidR="009D6A28" w:rsidRPr="00153553" w:rsidRDefault="009D6A28" w:rsidP="009D6A28">
      <w:pPr>
        <w:pStyle w:val="ListParagraph"/>
        <w:widowControl/>
        <w:numPr>
          <w:ilvl w:val="0"/>
          <w:numId w:val="6"/>
        </w:numPr>
        <w:contextualSpacing w:val="0"/>
        <w:jc w:val="left"/>
        <w:rPr>
          <w:rFonts w:eastAsia="Times New Roman"/>
          <w:b/>
          <w:bCs/>
        </w:rPr>
      </w:pPr>
      <w:r w:rsidRPr="00153553">
        <w:rPr>
          <w:rFonts w:eastAsia="Times New Roman"/>
          <w:b/>
          <w:bCs/>
        </w:rPr>
        <w:t>“Mineral oil tax” (transport and housing) / Impôt sur les huiles minérales</w:t>
      </w:r>
      <w:r w:rsidRPr="00153553">
        <w:rPr>
          <w:rStyle w:val="FootnoteReference"/>
          <w:rFonts w:eastAsia="Times New Roman"/>
          <w:b/>
          <w:bCs/>
        </w:rPr>
        <w:footnoteReference w:id="6"/>
      </w:r>
    </w:p>
    <w:p w14:paraId="6269BDD6" w14:textId="77777777" w:rsidR="009D6A28" w:rsidRPr="00076CCB" w:rsidRDefault="009D6A28" w:rsidP="009D6A28">
      <w:pPr>
        <w:pStyle w:val="ListParagraph"/>
        <w:rPr>
          <w:rFonts w:eastAsia="Times New Roman"/>
          <w:b/>
          <w:bCs/>
        </w:rPr>
      </w:pPr>
    </w:p>
    <w:p w14:paraId="0DA49423" w14:textId="77777777" w:rsidR="009D6A28" w:rsidRPr="00076CCB" w:rsidRDefault="009D6A28" w:rsidP="009D6A28">
      <w:pPr>
        <w:rPr>
          <w:rFonts w:eastAsia="Times New Roman"/>
          <w:i/>
          <w:iCs/>
        </w:rPr>
      </w:pPr>
      <w:r w:rsidRPr="00076CCB">
        <w:rPr>
          <w:rFonts w:eastAsia="Times New Roman"/>
          <w:i/>
          <w:iCs/>
        </w:rPr>
        <w:t>In the reference scenario:</w:t>
      </w:r>
    </w:p>
    <w:p w14:paraId="3C43BB85" w14:textId="77777777" w:rsidR="009D6A28" w:rsidRDefault="009D6A28" w:rsidP="009D6A28">
      <w:pPr>
        <w:rPr>
          <w:rFonts w:eastAsia="Times New Roman"/>
        </w:rPr>
      </w:pPr>
      <w:r>
        <w:rPr>
          <w:rFonts w:eastAsia="Times New Roman"/>
        </w:rPr>
        <w:t xml:space="preserve">The tax is an </w:t>
      </w:r>
      <w:r w:rsidRPr="007C24DE">
        <w:rPr>
          <w:rFonts w:eastAsia="Times New Roman"/>
        </w:rPr>
        <w:t>excise tax</w:t>
      </w:r>
      <w:r>
        <w:rPr>
          <w:rFonts w:eastAsia="Times New Roman"/>
        </w:rPr>
        <w:t xml:space="preserve"> on fossil fuel. It differs depending on the product (gasoline, </w:t>
      </w:r>
      <w:r w:rsidRPr="004555C9">
        <w:rPr>
          <w:rFonts w:eastAsia="Times New Roman"/>
        </w:rPr>
        <w:t>unleaded petrol</w:t>
      </w:r>
      <w:r>
        <w:rPr>
          <w:rFonts w:eastAsia="Times New Roman"/>
        </w:rPr>
        <w:t xml:space="preserve">, natural gas, diesel…) and its use </w:t>
      </w:r>
      <w:r w:rsidRPr="000C7221">
        <w:rPr>
          <w:rFonts w:eastAsia="Times New Roman"/>
        </w:rPr>
        <w:t>(engine fuel, heating fuel, technical purposes)</w:t>
      </w:r>
      <w:r>
        <w:rPr>
          <w:rFonts w:eastAsia="Times New Roman"/>
        </w:rPr>
        <w:t xml:space="preserve">. </w:t>
      </w:r>
    </w:p>
    <w:p w14:paraId="0D7DA95F" w14:textId="77777777" w:rsidR="009D6A28" w:rsidRDefault="009D6A28" w:rsidP="009D6A28">
      <w:pPr>
        <w:rPr>
          <w:rFonts w:eastAsia="Times New Roman"/>
        </w:rPr>
      </w:pPr>
      <w:r>
        <w:rPr>
          <w:rFonts w:eastAsia="Times New Roman"/>
        </w:rPr>
        <w:t xml:space="preserve">In practice the tax has two components: </w:t>
      </w:r>
    </w:p>
    <w:p w14:paraId="28D76300" w14:textId="77777777" w:rsidR="009D6A28" w:rsidRPr="00454C90" w:rsidRDefault="009D6A28" w:rsidP="009D6A28">
      <w:pPr>
        <w:pStyle w:val="ListParagraph"/>
        <w:numPr>
          <w:ilvl w:val="0"/>
          <w:numId w:val="5"/>
        </w:numPr>
        <w:rPr>
          <w:rFonts w:eastAsia="Times New Roman"/>
        </w:rPr>
      </w:pPr>
      <w:r w:rsidRPr="00454C90">
        <w:rPr>
          <w:rFonts w:eastAsia="Times New Roman"/>
        </w:rPr>
        <w:t>a tax on crude oil, other mineral oils, natural gas, their processed products, and engine fuels;</w:t>
      </w:r>
    </w:p>
    <w:p w14:paraId="69FDC765" w14:textId="77777777" w:rsidR="009D6A28" w:rsidRPr="00EC1265" w:rsidRDefault="009D6A28" w:rsidP="009D6A28">
      <w:pPr>
        <w:pStyle w:val="ListParagraph"/>
        <w:numPr>
          <w:ilvl w:val="0"/>
          <w:numId w:val="5"/>
        </w:numPr>
        <w:rPr>
          <w:rFonts w:eastAsia="Times New Roman"/>
          <w:lang w:val="fr-CH"/>
        </w:rPr>
      </w:pPr>
      <w:r w:rsidRPr="00EC1265">
        <w:rPr>
          <w:rFonts w:eastAsia="Times New Roman"/>
          <w:lang w:val="fr-CH"/>
        </w:rPr>
        <w:t xml:space="preserve">a </w:t>
      </w:r>
      <w:r w:rsidRPr="00EC1265">
        <w:rPr>
          <w:rFonts w:eastAsia="Times New Roman"/>
          <w:b/>
          <w:lang w:val="fr-CH"/>
        </w:rPr>
        <w:t>surtax</w:t>
      </w:r>
      <w:r w:rsidRPr="00EC1265">
        <w:rPr>
          <w:rFonts w:eastAsia="Times New Roman"/>
          <w:lang w:val="fr-CH"/>
        </w:rPr>
        <w:t xml:space="preserve"> on engine fuels.</w:t>
      </w:r>
    </w:p>
    <w:p w14:paraId="47D76A12" w14:textId="77777777" w:rsidR="009D6A28" w:rsidRDefault="009D6A28" w:rsidP="009D6A28">
      <w:pPr>
        <w:rPr>
          <w:rFonts w:eastAsia="Times New Roman"/>
        </w:rPr>
      </w:pPr>
      <w:r>
        <w:rPr>
          <w:rFonts w:eastAsia="Times New Roman"/>
        </w:rPr>
        <w:t>Some tax reductions exist for some professional activities (a</w:t>
      </w:r>
      <w:r w:rsidRPr="00793DEF">
        <w:rPr>
          <w:rFonts w:eastAsia="Times New Roman"/>
        </w:rPr>
        <w:t>griculture, forestry,</w:t>
      </w:r>
      <w:r>
        <w:rPr>
          <w:rFonts w:eastAsia="Times New Roman"/>
        </w:rPr>
        <w:t xml:space="preserve"> fisheries,) or for some fuels (biofuels) or some usage (light heating oil). After 2023 we assume this policy to be constant over the </w:t>
      </w:r>
      <w:r w:rsidRPr="00C96CF1">
        <w:rPr>
          <w:rFonts w:eastAsia="Times New Roman"/>
          <w:i/>
          <w:iCs/>
        </w:rPr>
        <w:t>projection horizon</w:t>
      </w:r>
      <w:r>
        <w:rPr>
          <w:rFonts w:eastAsia="Times New Roman"/>
        </w:rPr>
        <w:t>.</w:t>
      </w:r>
    </w:p>
    <w:p w14:paraId="48EFCE40" w14:textId="5EAFAE24" w:rsidR="009D6A28" w:rsidRDefault="009D6A28" w:rsidP="009D6A28">
      <w:pPr>
        <w:rPr>
          <w:rFonts w:eastAsia="Times New Roman"/>
          <w:i/>
          <w:iCs/>
        </w:rPr>
      </w:pPr>
      <w:r>
        <w:rPr>
          <w:rFonts w:eastAsia="Times New Roman"/>
          <w:i/>
          <w:iCs/>
        </w:rPr>
        <w:t>P</w:t>
      </w:r>
      <w:r w:rsidRPr="004021BC">
        <w:rPr>
          <w:rFonts w:eastAsia="Times New Roman"/>
          <w:i/>
          <w:iCs/>
        </w:rPr>
        <w:t>olicy simulations:</w:t>
      </w:r>
    </w:p>
    <w:p w14:paraId="498141D6" w14:textId="14B870F3" w:rsidR="009D6A28" w:rsidRDefault="009D6A28" w:rsidP="009D6A28">
      <w:pPr>
        <w:pStyle w:val="ListParagraph"/>
        <w:widowControl/>
        <w:numPr>
          <w:ilvl w:val="0"/>
          <w:numId w:val="8"/>
        </w:numPr>
        <w:contextualSpacing w:val="0"/>
        <w:rPr>
          <w:rFonts w:eastAsia="Times New Roman"/>
        </w:rPr>
      </w:pPr>
      <w:r w:rsidRPr="00FE792D">
        <w:rPr>
          <w:rFonts w:eastAsia="Times New Roman"/>
        </w:rPr>
        <w:t xml:space="preserve">Removing </w:t>
      </w:r>
      <w:r>
        <w:rPr>
          <w:rFonts w:eastAsia="Times New Roman"/>
        </w:rPr>
        <w:t xml:space="preserve">only the </w:t>
      </w:r>
      <w:r w:rsidRPr="00E93A01">
        <w:rPr>
          <w:rFonts w:eastAsia="Times New Roman"/>
          <w:b/>
          <w:bCs/>
        </w:rPr>
        <w:t xml:space="preserve">surtax </w:t>
      </w:r>
      <w:r>
        <w:rPr>
          <w:rFonts w:eastAsia="Times New Roman"/>
        </w:rPr>
        <w:t xml:space="preserve">part of the </w:t>
      </w:r>
      <w:r w:rsidRPr="00FE792D">
        <w:rPr>
          <w:rFonts w:eastAsia="Times New Roman"/>
        </w:rPr>
        <w:t>“</w:t>
      </w:r>
      <w:r w:rsidRPr="00BD6699">
        <w:rPr>
          <w:rFonts w:eastAsia="Times New Roman"/>
        </w:rPr>
        <w:t>Mineral oil tax</w:t>
      </w:r>
      <w:r w:rsidRPr="00FE792D">
        <w:rPr>
          <w:rFonts w:eastAsia="Times New Roman"/>
        </w:rPr>
        <w:t>”</w:t>
      </w:r>
      <w:r>
        <w:rPr>
          <w:rFonts w:eastAsia="Times New Roman"/>
        </w:rPr>
        <w:t xml:space="preserve"> (</w:t>
      </w:r>
      <w:r w:rsidRPr="00723AB5">
        <w:rPr>
          <w:rFonts w:eastAsia="Times New Roman"/>
        </w:rPr>
        <w:t>e.g.</w:t>
      </w:r>
      <w:r>
        <w:rPr>
          <w:rFonts w:eastAsia="Times New Roman"/>
        </w:rPr>
        <w:t xml:space="preserve"> focus on transport).</w:t>
      </w:r>
      <w:r w:rsidRPr="00FE792D">
        <w:rPr>
          <w:rFonts w:eastAsia="Times New Roman"/>
        </w:rPr>
        <w:t xml:space="preserve"> </w:t>
      </w:r>
    </w:p>
    <w:p w14:paraId="7EC789C7" w14:textId="02D1D3E7" w:rsidR="009D6A28" w:rsidRPr="00FE792D" w:rsidRDefault="009D6A28" w:rsidP="009D6A28">
      <w:pPr>
        <w:pStyle w:val="ListParagraph"/>
        <w:widowControl/>
        <w:numPr>
          <w:ilvl w:val="0"/>
          <w:numId w:val="8"/>
        </w:numPr>
        <w:contextualSpacing w:val="0"/>
        <w:rPr>
          <w:rFonts w:eastAsia="Times New Roman"/>
        </w:rPr>
      </w:pPr>
      <w:r w:rsidRPr="00FE792D">
        <w:rPr>
          <w:rFonts w:eastAsia="Times New Roman"/>
        </w:rPr>
        <w:t xml:space="preserve">Removing </w:t>
      </w:r>
      <w:r>
        <w:rPr>
          <w:rFonts w:eastAsia="Times New Roman"/>
        </w:rPr>
        <w:t xml:space="preserve">the </w:t>
      </w:r>
      <w:r w:rsidRPr="00FE792D">
        <w:rPr>
          <w:rFonts w:eastAsia="Times New Roman"/>
        </w:rPr>
        <w:t>“</w:t>
      </w:r>
      <w:r w:rsidRPr="00BD6699">
        <w:rPr>
          <w:rFonts w:eastAsia="Times New Roman"/>
        </w:rPr>
        <w:t>Mineral oil tax</w:t>
      </w:r>
      <w:r w:rsidRPr="00FE792D">
        <w:rPr>
          <w:rFonts w:eastAsia="Times New Roman"/>
        </w:rPr>
        <w:t>”</w:t>
      </w:r>
      <w:r>
        <w:rPr>
          <w:rFonts w:eastAsia="Times New Roman"/>
        </w:rPr>
        <w:t>.</w:t>
      </w:r>
    </w:p>
    <w:p w14:paraId="47FD8BBB" w14:textId="77777777" w:rsidR="009D6A28" w:rsidRDefault="009D6A28" w:rsidP="009D6A28">
      <w:pPr>
        <w:rPr>
          <w:rFonts w:eastAsia="Times New Roman"/>
        </w:rPr>
      </w:pPr>
    </w:p>
    <w:p w14:paraId="64E66943" w14:textId="77777777" w:rsidR="009D6A28" w:rsidRPr="002E05AA" w:rsidRDefault="009D6A28" w:rsidP="009D6A28">
      <w:pPr>
        <w:ind w:left="720"/>
        <w:rPr>
          <w:rFonts w:eastAsia="Times New Roman"/>
        </w:rPr>
      </w:pPr>
    </w:p>
    <w:p w14:paraId="2EE06230" w14:textId="77777777" w:rsidR="009D6A28" w:rsidRPr="004021BC" w:rsidRDefault="009D6A28" w:rsidP="009D6A28">
      <w:pPr>
        <w:rPr>
          <w:rFonts w:eastAsia="Times New Roman"/>
          <w:i/>
          <w:iCs/>
        </w:rPr>
      </w:pPr>
    </w:p>
    <w:p w14:paraId="7123990F" w14:textId="77777777" w:rsidR="009D6A28" w:rsidRPr="00076CCB" w:rsidRDefault="009D6A28" w:rsidP="009D6A28">
      <w:pPr>
        <w:pStyle w:val="ListParagraph"/>
        <w:widowControl/>
        <w:numPr>
          <w:ilvl w:val="0"/>
          <w:numId w:val="6"/>
        </w:numPr>
        <w:contextualSpacing w:val="0"/>
        <w:jc w:val="left"/>
        <w:rPr>
          <w:rFonts w:eastAsia="Times New Roman"/>
          <w:b/>
          <w:bCs/>
          <w:i/>
          <w:iCs/>
        </w:rPr>
      </w:pPr>
      <w:r>
        <w:rPr>
          <w:rFonts w:eastAsia="Times New Roman"/>
          <w:b/>
          <w:bCs/>
        </w:rPr>
        <w:t>“</w:t>
      </w:r>
      <w:r w:rsidRPr="00FB6BBA">
        <w:rPr>
          <w:rFonts w:eastAsia="Times New Roman"/>
          <w:b/>
          <w:bCs/>
        </w:rPr>
        <w:t>CO2 regulations for vehicles</w:t>
      </w:r>
      <w:r>
        <w:rPr>
          <w:rStyle w:val="FootnoteReference"/>
          <w:rFonts w:eastAsia="Times New Roman"/>
          <w:b/>
          <w:bCs/>
        </w:rPr>
        <w:footnoteReference w:id="7"/>
      </w:r>
      <w:r>
        <w:rPr>
          <w:rFonts w:eastAsia="Times New Roman"/>
          <w:b/>
          <w:bCs/>
        </w:rPr>
        <w:t>”</w:t>
      </w:r>
    </w:p>
    <w:p w14:paraId="7DB3DB8B" w14:textId="77777777" w:rsidR="009D6A28" w:rsidRDefault="009D6A28" w:rsidP="009D6A28">
      <w:pPr>
        <w:rPr>
          <w:rFonts w:eastAsia="Times New Roman"/>
          <w:i/>
          <w:iCs/>
        </w:rPr>
      </w:pPr>
    </w:p>
    <w:p w14:paraId="77FA5084" w14:textId="77777777" w:rsidR="009D6A28" w:rsidRPr="00076CCB" w:rsidRDefault="009D6A28" w:rsidP="009D6A28">
      <w:pPr>
        <w:rPr>
          <w:rFonts w:eastAsia="Times New Roman"/>
          <w:i/>
          <w:iCs/>
        </w:rPr>
      </w:pPr>
      <w:r w:rsidRPr="00076CCB">
        <w:rPr>
          <w:rFonts w:eastAsia="Times New Roman"/>
          <w:i/>
          <w:iCs/>
        </w:rPr>
        <w:t>In the reference scenario:</w:t>
      </w:r>
    </w:p>
    <w:p w14:paraId="002DF75B" w14:textId="77777777" w:rsidR="009D6A28" w:rsidRPr="00EB75B5" w:rsidRDefault="009D6A28" w:rsidP="009D6A28">
      <w:pPr>
        <w:jc w:val="both"/>
        <w:rPr>
          <w:rFonts w:cstheme="minorHAnsi"/>
          <w:shd w:val="clear" w:color="auto" w:fill="FFFFFF"/>
        </w:rPr>
      </w:pPr>
      <w:r w:rsidRPr="00EB75B5">
        <w:rPr>
          <w:rFonts w:cstheme="minorHAnsi"/>
          <w:shd w:val="clear" w:color="auto" w:fill="FFFFFF"/>
        </w:rPr>
        <w:t xml:space="preserve">Since 2020, new cars have not been permitted to exceed average emissions of 95g CO2 per km, and 147g CO2 per km for light commercial vehicles (LCVs). Swiss vehicle importers are subject to this requirement and will have to pay a fee if they do not meet their individual CO2 targets. This applies to all EU and </w:t>
      </w:r>
      <w:r w:rsidRPr="00EB75B5">
        <w:rPr>
          <w:rFonts w:eastAsia="Times New Roman"/>
        </w:rPr>
        <w:t>Switzerland</w:t>
      </w:r>
      <w:r w:rsidRPr="00EB75B5">
        <w:rPr>
          <w:rFonts w:cstheme="minorHAnsi"/>
          <w:shd w:val="clear" w:color="auto" w:fill="FFFFFF"/>
        </w:rPr>
        <w:t xml:space="preserve"> in reference scenario, but with some exemptions.</w:t>
      </w:r>
      <w:r>
        <w:rPr>
          <w:rFonts w:cstheme="minorHAnsi"/>
          <w:shd w:val="clear" w:color="auto" w:fill="FFFFFF"/>
        </w:rPr>
        <w:t xml:space="preserve"> </w:t>
      </w:r>
      <w:r w:rsidRPr="00EB75B5">
        <w:rPr>
          <w:rFonts w:cstheme="minorHAnsi"/>
          <w:shd w:val="clear" w:color="auto" w:fill="FFFFFF"/>
        </w:rPr>
        <w:t>After 2023</w:t>
      </w:r>
      <w:r>
        <w:rPr>
          <w:rFonts w:cstheme="minorHAnsi"/>
          <w:shd w:val="clear" w:color="auto" w:fill="FFFFFF"/>
        </w:rPr>
        <w:t xml:space="preserve">, </w:t>
      </w:r>
      <w:r>
        <w:t>the revision of the CO2-Act will reinforce these targets for the period 2025-2029 (93.6 g CO2 for passenger cars, 153.9 g CO2 for LCV; values according to WLTP, i.e. the new measurement procedure) and 2030 onwards (49.5 g and 90.6 g for passenger cars and LCVs respectively). As the adjustments in the ETS, these reinforcements are provisional.</w:t>
      </w:r>
      <w:r w:rsidRPr="00EB75B5">
        <w:rPr>
          <w:rFonts w:cstheme="minorHAnsi"/>
          <w:shd w:val="clear" w:color="auto" w:fill="FFFFFF"/>
        </w:rPr>
        <w:t xml:space="preserve"> </w:t>
      </w:r>
    </w:p>
    <w:p w14:paraId="3A781478" w14:textId="04FB2FEA" w:rsidR="009D6A28" w:rsidRDefault="009D6A28" w:rsidP="009D6A28">
      <w:pPr>
        <w:rPr>
          <w:rFonts w:eastAsia="Times New Roman"/>
          <w:i/>
          <w:iCs/>
        </w:rPr>
      </w:pPr>
      <w:r>
        <w:rPr>
          <w:rFonts w:eastAsia="Times New Roman"/>
          <w:i/>
          <w:iCs/>
        </w:rPr>
        <w:t>P</w:t>
      </w:r>
      <w:r w:rsidRPr="004021BC">
        <w:rPr>
          <w:rFonts w:eastAsia="Times New Roman"/>
          <w:i/>
          <w:iCs/>
        </w:rPr>
        <w:t>olicy simulations:</w:t>
      </w:r>
    </w:p>
    <w:p w14:paraId="00B8EE81" w14:textId="3369CC8C" w:rsidR="009D6A28" w:rsidRPr="00557A70" w:rsidRDefault="009D6A28" w:rsidP="009D6A28">
      <w:pPr>
        <w:pStyle w:val="ListParagraph"/>
        <w:widowControl/>
        <w:numPr>
          <w:ilvl w:val="0"/>
          <w:numId w:val="10"/>
        </w:numPr>
        <w:contextualSpacing w:val="0"/>
        <w:rPr>
          <w:rFonts w:eastAsia="Times New Roman"/>
          <w:highlight w:val="lightGray"/>
        </w:rPr>
      </w:pPr>
      <w:r w:rsidRPr="00FE792D">
        <w:rPr>
          <w:rFonts w:eastAsia="Times New Roman"/>
        </w:rPr>
        <w:t xml:space="preserve">Removing </w:t>
      </w:r>
      <w:r>
        <w:rPr>
          <w:rFonts w:eastAsia="Times New Roman"/>
        </w:rPr>
        <w:t xml:space="preserve">the </w:t>
      </w:r>
      <w:r w:rsidRPr="0057283D">
        <w:rPr>
          <w:rFonts w:eastAsia="Times New Roman"/>
        </w:rPr>
        <w:t>“CO2 regulations for vehicle</w:t>
      </w:r>
      <w:r w:rsidRPr="00786235">
        <w:rPr>
          <w:rFonts w:eastAsia="Times New Roman"/>
        </w:rPr>
        <w:t>s”</w:t>
      </w:r>
      <w:r w:rsidRPr="00786235">
        <w:rPr>
          <w:rFonts w:eastAsia="Times New Roman"/>
          <w:i/>
          <w:iCs/>
        </w:rPr>
        <w:t xml:space="preserve">. </w:t>
      </w:r>
    </w:p>
    <w:p w14:paraId="51A283BC" w14:textId="77777777" w:rsidR="009D6A28" w:rsidRPr="00557A70" w:rsidRDefault="009D6A28" w:rsidP="009D6A28">
      <w:pPr>
        <w:pStyle w:val="ListParagraph"/>
        <w:rPr>
          <w:rFonts w:eastAsia="Times New Roman"/>
          <w:highlight w:val="lightGray"/>
        </w:rPr>
      </w:pPr>
    </w:p>
    <w:p w14:paraId="62A497F7" w14:textId="77777777" w:rsidR="009D6A28" w:rsidRPr="002D2455" w:rsidRDefault="009D6A28" w:rsidP="009D6A28">
      <w:pPr>
        <w:rPr>
          <w:rFonts w:eastAsia="Times New Roman"/>
        </w:rPr>
      </w:pPr>
      <w:r>
        <w:rPr>
          <w:rFonts w:eastAsia="Times New Roman"/>
        </w:rPr>
        <w:t xml:space="preserve">Since </w:t>
      </w:r>
      <w:r w:rsidRPr="00786235">
        <w:rPr>
          <w:rFonts w:eastAsia="Times New Roman"/>
        </w:rPr>
        <w:t>most</w:t>
      </w:r>
      <w:r>
        <w:rPr>
          <w:rFonts w:eastAsia="Times New Roman"/>
        </w:rPr>
        <w:t xml:space="preserve"> of vehicles are imported from EU, keeping the EU regulation constant will not change a lot, unless this is accompanied with a change in the importation share from outside the EU. The more convenient way is therefore to assume that all EU countries also drop out the regulation.</w:t>
      </w:r>
    </w:p>
    <w:p w14:paraId="05F1061E" w14:textId="77777777" w:rsidR="009D6A28" w:rsidRDefault="009D6A28" w:rsidP="009D6A28">
      <w:pPr>
        <w:pStyle w:val="ListParagraph"/>
        <w:ind w:left="1080"/>
        <w:rPr>
          <w:rFonts w:eastAsia="Times New Roman"/>
        </w:rPr>
      </w:pPr>
    </w:p>
    <w:p w14:paraId="0A845091" w14:textId="77777777" w:rsidR="009D6A28" w:rsidRPr="00076CCB" w:rsidRDefault="009D6A28" w:rsidP="009D6A28">
      <w:pPr>
        <w:pStyle w:val="ListParagraph"/>
        <w:widowControl/>
        <w:numPr>
          <w:ilvl w:val="0"/>
          <w:numId w:val="6"/>
        </w:numPr>
        <w:contextualSpacing w:val="0"/>
        <w:jc w:val="left"/>
        <w:rPr>
          <w:rFonts w:eastAsia="Times New Roman"/>
          <w:b/>
          <w:bCs/>
          <w:i/>
          <w:iCs/>
        </w:rPr>
      </w:pPr>
      <w:r>
        <w:rPr>
          <w:rFonts w:eastAsia="Times New Roman"/>
          <w:b/>
          <w:bCs/>
        </w:rPr>
        <w:t>“</w:t>
      </w:r>
      <w:r w:rsidRPr="008D4B68">
        <w:rPr>
          <w:rFonts w:eastAsia="Times New Roman"/>
          <w:b/>
          <w:bCs/>
        </w:rPr>
        <w:t>Building</w:t>
      </w:r>
      <w:r>
        <w:rPr>
          <w:rFonts w:eastAsia="Times New Roman"/>
          <w:b/>
          <w:bCs/>
        </w:rPr>
        <w:t xml:space="preserve"> energy </w:t>
      </w:r>
      <w:r w:rsidRPr="008D4B68">
        <w:rPr>
          <w:rFonts w:eastAsia="Times New Roman"/>
          <w:b/>
          <w:bCs/>
        </w:rPr>
        <w:t>codes</w:t>
      </w:r>
      <w:r>
        <w:rPr>
          <w:rStyle w:val="FootnoteReference"/>
          <w:rFonts w:eastAsia="Times New Roman"/>
          <w:b/>
          <w:bCs/>
        </w:rPr>
        <w:footnoteReference w:id="8"/>
      </w:r>
      <w:r>
        <w:rPr>
          <w:rFonts w:eastAsia="Times New Roman"/>
          <w:b/>
          <w:bCs/>
        </w:rPr>
        <w:t>”</w:t>
      </w:r>
    </w:p>
    <w:p w14:paraId="11138FD6" w14:textId="77777777" w:rsidR="009D6A28" w:rsidRDefault="009D6A28" w:rsidP="009D6A28">
      <w:pPr>
        <w:rPr>
          <w:rFonts w:eastAsia="Times New Roman"/>
          <w:i/>
          <w:iCs/>
        </w:rPr>
      </w:pPr>
    </w:p>
    <w:p w14:paraId="3681D152" w14:textId="77777777" w:rsidR="009D6A28" w:rsidRDefault="009D6A28" w:rsidP="009D6A28">
      <w:pPr>
        <w:rPr>
          <w:rFonts w:eastAsia="Times New Roman"/>
          <w:i/>
          <w:iCs/>
        </w:rPr>
      </w:pPr>
      <w:r w:rsidRPr="00076CCB">
        <w:rPr>
          <w:rFonts w:eastAsia="Times New Roman"/>
          <w:i/>
          <w:iCs/>
        </w:rPr>
        <w:t>In the reference scenario:</w:t>
      </w:r>
    </w:p>
    <w:p w14:paraId="2D4802B1" w14:textId="77777777" w:rsidR="009D6A28" w:rsidRPr="009D6A28" w:rsidRDefault="009D6A28" w:rsidP="009D6A28">
      <w:pPr>
        <w:jc w:val="both"/>
      </w:pPr>
      <w:r w:rsidRPr="009D6A28">
        <w:t>The Swiss constitution grants policy responsibility in the domain of buildings to the cantons. The cantons elaborate model energy prescriptions together and each canton transposes them differently into the cantonal law. The newest model energy prescriptions dates to 2014 (</w:t>
      </w:r>
      <w:hyperlink r:id="rId15" w:history="1">
        <w:r w:rsidRPr="009D6A28">
          <w:t>MuKEn</w:t>
        </w:r>
      </w:hyperlink>
      <w:r w:rsidRPr="009D6A28">
        <w:t xml:space="preserve">). It contains mandatory and optional parts. It is to be discussed with PSI how to deal with this. </w:t>
      </w:r>
    </w:p>
    <w:p w14:paraId="05A688A0" w14:textId="77777777" w:rsidR="009D6A28" w:rsidRDefault="009D6A28" w:rsidP="009D6A28">
      <w:pPr>
        <w:rPr>
          <w:rFonts w:ascii="Arial" w:hAnsi="Arial" w:cs="Arial"/>
          <w:color w:val="000000"/>
          <w:shd w:val="clear" w:color="auto" w:fill="FFFFFF"/>
        </w:rPr>
      </w:pPr>
      <w:r w:rsidRPr="00B7569B">
        <w:rPr>
          <w:rFonts w:ascii="Arial" w:hAnsi="Arial" w:cs="Arial"/>
          <w:color w:val="000000"/>
          <w:shd w:val="clear" w:color="auto" w:fill="FFFFFF"/>
        </w:rPr>
        <w:t xml:space="preserve">Main contents: </w:t>
      </w:r>
    </w:p>
    <w:p w14:paraId="60D41107" w14:textId="77777777" w:rsidR="009D6A28" w:rsidRPr="00B7569B" w:rsidRDefault="009D6A28" w:rsidP="009D6A28">
      <w:pPr>
        <w:pStyle w:val="ListParagraph"/>
        <w:numPr>
          <w:ilvl w:val="0"/>
          <w:numId w:val="13"/>
        </w:numPr>
        <w:rPr>
          <w:rFonts w:ascii="Arial" w:hAnsi="Arial" w:cs="Arial"/>
          <w:color w:val="000000"/>
          <w:shd w:val="clear" w:color="auto" w:fill="FFFFFF"/>
        </w:rPr>
      </w:pPr>
      <w:r w:rsidRPr="00B7569B">
        <w:rPr>
          <w:rFonts w:ascii="Arial" w:hAnsi="Arial" w:cs="Arial"/>
          <w:color w:val="000000"/>
          <w:shd w:val="clear" w:color="auto" w:fill="FFFFFF"/>
        </w:rPr>
        <w:t xml:space="preserve">Limits for heat demand in new buildings to 16 kWh/m2 and to 24 kWh/m2 for buildings to be refurbished. Both limits have been subsequently tightened in the last years/decades. </w:t>
      </w:r>
      <w:r>
        <w:rPr>
          <w:rFonts w:ascii="Arial" w:hAnsi="Arial" w:cs="Arial"/>
          <w:color w:val="000000"/>
          <w:shd w:val="clear" w:color="auto" w:fill="FFFFFF"/>
        </w:rPr>
        <w:t>In 2023, i</w:t>
      </w:r>
      <w:r w:rsidRPr="002319E5">
        <w:rPr>
          <w:rFonts w:ascii="Arial" w:hAnsi="Arial" w:cs="Arial"/>
          <w:color w:val="000000"/>
          <w:shd w:val="clear" w:color="auto" w:fill="FFFFFF"/>
        </w:rPr>
        <w:t>n new buildings, the weighted annual final energy demand for heating, domesti</w:t>
      </w:r>
      <w:r>
        <w:rPr>
          <w:rFonts w:ascii="Arial" w:hAnsi="Arial" w:cs="Arial"/>
          <w:color w:val="000000"/>
          <w:shd w:val="clear" w:color="auto" w:fill="FFFFFF"/>
        </w:rPr>
        <w:t>c</w:t>
      </w:r>
      <w:r w:rsidRPr="002319E5">
        <w:rPr>
          <w:rFonts w:ascii="Arial" w:hAnsi="Arial" w:cs="Arial"/>
          <w:color w:val="000000"/>
          <w:shd w:val="clear" w:color="auto" w:fill="FFFFFF"/>
        </w:rPr>
        <w:t xml:space="preserve"> hot water production, ventilation and air conditioning shall not exceed the limit of 35 kWh/m²</w:t>
      </w:r>
    </w:p>
    <w:p w14:paraId="429E2E82" w14:textId="77777777" w:rsidR="009D6A28" w:rsidRPr="00B7569B" w:rsidRDefault="009D6A28" w:rsidP="009D6A28">
      <w:pPr>
        <w:pStyle w:val="ListParagraph"/>
        <w:numPr>
          <w:ilvl w:val="0"/>
          <w:numId w:val="13"/>
        </w:numPr>
        <w:rPr>
          <w:rFonts w:eastAsia="Times New Roman"/>
        </w:rPr>
      </w:pPr>
      <w:r w:rsidRPr="00B7569B">
        <w:rPr>
          <w:rFonts w:ascii="Arial" w:hAnsi="Arial" w:cs="Arial"/>
          <w:color w:val="000000"/>
          <w:shd w:val="clear" w:color="auto" w:fill="FFFFFF"/>
        </w:rPr>
        <w:t xml:space="preserve">Limit values, technical and operational prescriptions for lighting, cooling and ventilation </w:t>
      </w:r>
    </w:p>
    <w:p w14:paraId="496AF975" w14:textId="77777777" w:rsidR="009D6A28" w:rsidRPr="00B7569B" w:rsidRDefault="009D6A28" w:rsidP="009D6A28">
      <w:pPr>
        <w:pStyle w:val="ListParagraph"/>
        <w:numPr>
          <w:ilvl w:val="0"/>
          <w:numId w:val="13"/>
        </w:numPr>
        <w:rPr>
          <w:rFonts w:eastAsia="Times New Roman"/>
        </w:rPr>
      </w:pPr>
      <w:r w:rsidRPr="00B7569B">
        <w:rPr>
          <w:rFonts w:ascii="Arial" w:hAnsi="Arial" w:cs="Arial"/>
          <w:color w:val="000000"/>
          <w:shd w:val="clear" w:color="auto" w:fill="FFFFFF"/>
        </w:rPr>
        <w:t xml:space="preserve">Limit value of max. 80% heat from fossil energy sources for new buildings. Max 90% heat from fossil energy sources for refurbished buildings </w:t>
      </w:r>
    </w:p>
    <w:p w14:paraId="27F0DB3E" w14:textId="77777777" w:rsidR="009D6A28" w:rsidRPr="00B7569B" w:rsidRDefault="009D6A28" w:rsidP="009D6A28">
      <w:pPr>
        <w:pStyle w:val="ListParagraph"/>
        <w:numPr>
          <w:ilvl w:val="0"/>
          <w:numId w:val="13"/>
        </w:numPr>
        <w:rPr>
          <w:rFonts w:eastAsia="Times New Roman"/>
        </w:rPr>
      </w:pPr>
      <w:r w:rsidRPr="00B7569B">
        <w:rPr>
          <w:rFonts w:ascii="Arial" w:hAnsi="Arial" w:cs="Arial"/>
          <w:color w:val="000000"/>
          <w:shd w:val="clear" w:color="auto" w:fill="FFFFFF"/>
        </w:rPr>
        <w:t xml:space="preserve">Requirements for the electricity production within buildings (10 W / energy reference area) </w:t>
      </w:r>
    </w:p>
    <w:p w14:paraId="5E1795EA" w14:textId="77777777" w:rsidR="009D6A28" w:rsidRPr="00B7569B" w:rsidRDefault="009D6A28" w:rsidP="009D6A28">
      <w:pPr>
        <w:pStyle w:val="ListParagraph"/>
        <w:numPr>
          <w:ilvl w:val="0"/>
          <w:numId w:val="13"/>
        </w:numPr>
        <w:rPr>
          <w:rFonts w:eastAsia="Times New Roman"/>
        </w:rPr>
      </w:pPr>
      <w:r w:rsidRPr="00B7569B">
        <w:rPr>
          <w:rFonts w:ascii="Arial" w:hAnsi="Arial" w:cs="Arial"/>
          <w:color w:val="000000"/>
          <w:shd w:val="clear" w:color="auto" w:fill="FFFFFF"/>
        </w:rPr>
        <w:t>Refurbishment duty for direct elec</w:t>
      </w:r>
      <w:r>
        <w:rPr>
          <w:rFonts w:ascii="Arial" w:hAnsi="Arial" w:cs="Arial"/>
          <w:color w:val="000000"/>
          <w:shd w:val="clear" w:color="auto" w:fill="FFFFFF"/>
        </w:rPr>
        <w:t>t</w:t>
      </w:r>
      <w:r w:rsidRPr="00B7569B">
        <w:rPr>
          <w:rFonts w:ascii="Arial" w:hAnsi="Arial" w:cs="Arial"/>
          <w:color w:val="000000"/>
          <w:shd w:val="clear" w:color="auto" w:fill="FFFFFF"/>
        </w:rPr>
        <w:t xml:space="preserve">ric heating systems </w:t>
      </w:r>
    </w:p>
    <w:p w14:paraId="49DF1B48" w14:textId="77777777" w:rsidR="009D6A28" w:rsidRPr="00B7569B" w:rsidRDefault="009D6A28" w:rsidP="009D6A28">
      <w:pPr>
        <w:pStyle w:val="ListParagraph"/>
        <w:numPr>
          <w:ilvl w:val="0"/>
          <w:numId w:val="13"/>
        </w:numPr>
        <w:rPr>
          <w:rFonts w:eastAsia="Times New Roman"/>
        </w:rPr>
      </w:pPr>
      <w:r w:rsidRPr="00B7569B">
        <w:rPr>
          <w:rFonts w:ascii="Arial" w:hAnsi="Arial" w:cs="Arial"/>
          <w:color w:val="000000"/>
          <w:shd w:val="clear" w:color="auto" w:fill="FFFFFF"/>
        </w:rPr>
        <w:lastRenderedPageBreak/>
        <w:t>Prescriptions for big energy consumers (&gt; 500 GWh heat and/or &gt; 0.5 GWh electricity) </w:t>
      </w:r>
    </w:p>
    <w:p w14:paraId="0F267ADE" w14:textId="77777777" w:rsidR="009D6A28" w:rsidRDefault="009D6A28" w:rsidP="009D6A28">
      <w:pPr>
        <w:rPr>
          <w:rFonts w:eastAsia="Times New Roman"/>
        </w:rPr>
      </w:pPr>
    </w:p>
    <w:p w14:paraId="200D889C" w14:textId="65ED1302" w:rsidR="009D6A28" w:rsidRPr="004021BC" w:rsidRDefault="009D6A28" w:rsidP="009D6A28">
      <w:pPr>
        <w:rPr>
          <w:rFonts w:eastAsia="Times New Roman"/>
          <w:i/>
          <w:iCs/>
        </w:rPr>
      </w:pPr>
      <w:r w:rsidRPr="004021BC">
        <w:rPr>
          <w:rFonts w:eastAsia="Times New Roman"/>
          <w:i/>
          <w:iCs/>
        </w:rPr>
        <w:t>Possible policy simulations:</w:t>
      </w:r>
    </w:p>
    <w:p w14:paraId="423E97DF" w14:textId="45082E82" w:rsidR="009D6A28" w:rsidRDefault="009D6A28" w:rsidP="009D6A28">
      <w:pPr>
        <w:pStyle w:val="ListParagraph"/>
        <w:widowControl/>
        <w:numPr>
          <w:ilvl w:val="0"/>
          <w:numId w:val="11"/>
        </w:numPr>
        <w:spacing w:after="160" w:line="259" w:lineRule="auto"/>
        <w:contextualSpacing w:val="0"/>
        <w:rPr>
          <w:rFonts w:eastAsia="Times New Roman"/>
        </w:rPr>
      </w:pPr>
      <w:r w:rsidRPr="00FE792D">
        <w:rPr>
          <w:rFonts w:eastAsia="Times New Roman"/>
        </w:rPr>
        <w:t xml:space="preserve">Removing </w:t>
      </w:r>
      <w:r>
        <w:rPr>
          <w:rFonts w:eastAsia="Times New Roman"/>
        </w:rPr>
        <w:t>the “</w:t>
      </w:r>
      <w:r w:rsidRPr="008D4B68">
        <w:rPr>
          <w:rFonts w:eastAsia="Times New Roman"/>
        </w:rPr>
        <w:t>Buildings codes on energy consumption</w:t>
      </w:r>
      <w:r>
        <w:rPr>
          <w:rFonts w:eastAsia="Times New Roman"/>
        </w:rPr>
        <w:t>”.</w:t>
      </w:r>
    </w:p>
    <w:p w14:paraId="76551F9F" w14:textId="77777777" w:rsidR="009D6A28" w:rsidRPr="001F527C" w:rsidRDefault="009D6A28" w:rsidP="009D6A28">
      <w:pPr>
        <w:pStyle w:val="ListParagraph"/>
        <w:spacing w:after="160" w:line="259" w:lineRule="auto"/>
        <w:ind w:left="1080"/>
        <w:rPr>
          <w:rFonts w:eastAsia="Times New Roman"/>
        </w:rPr>
      </w:pPr>
    </w:p>
    <w:p w14:paraId="3AAB2041" w14:textId="77777777" w:rsidR="009D6A28" w:rsidRPr="00076CCB" w:rsidRDefault="009D6A28" w:rsidP="009D6A28">
      <w:pPr>
        <w:pStyle w:val="ListParagraph"/>
        <w:widowControl/>
        <w:numPr>
          <w:ilvl w:val="0"/>
          <w:numId w:val="6"/>
        </w:numPr>
        <w:contextualSpacing w:val="0"/>
        <w:jc w:val="left"/>
        <w:rPr>
          <w:rFonts w:eastAsia="Times New Roman"/>
          <w:b/>
          <w:bCs/>
          <w:i/>
          <w:iCs/>
        </w:rPr>
      </w:pPr>
      <w:r>
        <w:rPr>
          <w:rFonts w:eastAsia="Times New Roman"/>
          <w:b/>
          <w:bCs/>
        </w:rPr>
        <w:t xml:space="preserve">“The </w:t>
      </w:r>
      <w:r w:rsidRPr="002D2455">
        <w:rPr>
          <w:rFonts w:eastAsia="Times New Roman"/>
          <w:b/>
          <w:bCs/>
        </w:rPr>
        <w:t>federal and cantonal </w:t>
      </w:r>
      <w:r w:rsidRPr="008D4B68">
        <w:rPr>
          <w:rFonts w:eastAsia="Times New Roman"/>
          <w:b/>
          <w:bCs/>
        </w:rPr>
        <w:t xml:space="preserve">Buildings </w:t>
      </w:r>
      <w:r>
        <w:rPr>
          <w:rFonts w:eastAsia="Times New Roman"/>
          <w:b/>
          <w:bCs/>
        </w:rPr>
        <w:t>P</w:t>
      </w:r>
      <w:r w:rsidRPr="008D4B68">
        <w:rPr>
          <w:rFonts w:eastAsia="Times New Roman"/>
          <w:b/>
          <w:bCs/>
        </w:rPr>
        <w:t>rogramme</w:t>
      </w:r>
      <w:r>
        <w:rPr>
          <w:rStyle w:val="FootnoteReference"/>
          <w:rFonts w:eastAsia="Times New Roman"/>
          <w:bCs/>
        </w:rPr>
        <w:footnoteReference w:id="9"/>
      </w:r>
      <w:r>
        <w:rPr>
          <w:rFonts w:eastAsia="Times New Roman"/>
          <w:b/>
          <w:bCs/>
        </w:rPr>
        <w:t>”</w:t>
      </w:r>
    </w:p>
    <w:p w14:paraId="52014371" w14:textId="77777777" w:rsidR="009D6A28" w:rsidRDefault="009D6A28" w:rsidP="009D6A28">
      <w:pPr>
        <w:rPr>
          <w:rFonts w:eastAsia="Times New Roman"/>
          <w:i/>
          <w:iCs/>
        </w:rPr>
      </w:pPr>
    </w:p>
    <w:p w14:paraId="15851A20" w14:textId="77777777" w:rsidR="009D6A28" w:rsidRDefault="009D6A28" w:rsidP="009D6A28">
      <w:pPr>
        <w:rPr>
          <w:rFonts w:eastAsia="Times New Roman"/>
          <w:i/>
          <w:iCs/>
        </w:rPr>
      </w:pPr>
      <w:r w:rsidRPr="00076CCB">
        <w:rPr>
          <w:rFonts w:eastAsia="Times New Roman"/>
          <w:i/>
          <w:iCs/>
        </w:rPr>
        <w:t>In the reference scenario:</w:t>
      </w:r>
    </w:p>
    <w:p w14:paraId="17D41150" w14:textId="77777777" w:rsidR="009D6A28" w:rsidRDefault="009D6A28" w:rsidP="009D6A28">
      <w:pPr>
        <w:rPr>
          <w:rFonts w:eastAsia="Times New Roman"/>
        </w:rPr>
      </w:pPr>
      <w:r w:rsidRPr="008D4B68">
        <w:rPr>
          <w:rFonts w:eastAsia="Times New Roman"/>
        </w:rPr>
        <w:t>The</w:t>
      </w:r>
      <w:r>
        <w:rPr>
          <w:rFonts w:eastAsia="Times New Roman"/>
        </w:rPr>
        <w:t xml:space="preserve"> “B</w:t>
      </w:r>
      <w:r w:rsidRPr="008D4B68">
        <w:rPr>
          <w:rFonts w:eastAsia="Times New Roman"/>
        </w:rPr>
        <w:t>uildings programme</w:t>
      </w:r>
      <w:r>
        <w:rPr>
          <w:rFonts w:eastAsia="Times New Roman"/>
        </w:rPr>
        <w:t>”</w:t>
      </w:r>
      <w:r w:rsidRPr="008D4B68">
        <w:rPr>
          <w:rFonts w:eastAsia="Times New Roman"/>
        </w:rPr>
        <w:t xml:space="preserve"> </w:t>
      </w:r>
      <w:r>
        <w:rPr>
          <w:rFonts w:eastAsia="Times New Roman"/>
        </w:rPr>
        <w:t>(</w:t>
      </w:r>
      <w:r w:rsidRPr="00C07671">
        <w:t xml:space="preserve">part of </w:t>
      </w:r>
      <w:r w:rsidRPr="001D3406">
        <w:t>the “</w:t>
      </w:r>
      <w:r w:rsidRPr="00C07671">
        <w:rPr>
          <w:i/>
          <w:iCs/>
        </w:rPr>
        <w:t>CO</w:t>
      </w:r>
      <w:r w:rsidRPr="00C07671">
        <w:rPr>
          <w:i/>
          <w:iCs/>
          <w:vertAlign w:val="subscript"/>
        </w:rPr>
        <w:t>2</w:t>
      </w:r>
      <w:r w:rsidRPr="00C07671">
        <w:rPr>
          <w:i/>
          <w:iCs/>
        </w:rPr>
        <w:t xml:space="preserve"> Act</w:t>
      </w:r>
      <w:r w:rsidRPr="001D3406">
        <w:t>”</w:t>
      </w:r>
      <w:r>
        <w:t xml:space="preserve">) </w:t>
      </w:r>
      <w:r>
        <w:rPr>
          <w:rFonts w:eastAsia="Times New Roman"/>
        </w:rPr>
        <w:t>is a</w:t>
      </w:r>
      <w:r w:rsidRPr="0086064E">
        <w:rPr>
          <w:rFonts w:eastAsia="Times New Roman"/>
        </w:rPr>
        <w:t xml:space="preserve"> collection of subsidies for </w:t>
      </w:r>
      <w:r>
        <w:rPr>
          <w:rFonts w:eastAsia="Times New Roman"/>
        </w:rPr>
        <w:t xml:space="preserve">promoting: i.) </w:t>
      </w:r>
      <w:r w:rsidRPr="0086064E">
        <w:rPr>
          <w:rFonts w:eastAsia="Times New Roman"/>
        </w:rPr>
        <w:t>energy efficien</w:t>
      </w:r>
      <w:r>
        <w:rPr>
          <w:rFonts w:eastAsia="Times New Roman"/>
        </w:rPr>
        <w:t>t</w:t>
      </w:r>
      <w:r w:rsidRPr="0086064E">
        <w:rPr>
          <w:rFonts w:eastAsia="Times New Roman"/>
        </w:rPr>
        <w:t xml:space="preserve"> renovations of buildings </w:t>
      </w:r>
      <w:r>
        <w:rPr>
          <w:rFonts w:eastAsia="Times New Roman"/>
        </w:rPr>
        <w:t>(thermal insulation)</w:t>
      </w:r>
      <w:r w:rsidRPr="0086064E">
        <w:rPr>
          <w:rFonts w:eastAsia="Times New Roman"/>
        </w:rPr>
        <w:t xml:space="preserve"> </w:t>
      </w:r>
      <w:r>
        <w:rPr>
          <w:rFonts w:eastAsia="Times New Roman"/>
        </w:rPr>
        <w:t xml:space="preserve">ii.) renewables energy (geothermal, solar, changes in heating systems) and iii) optimization of building services technology. The </w:t>
      </w:r>
      <w:r w:rsidRPr="0086064E">
        <w:rPr>
          <w:rFonts w:eastAsia="Times New Roman"/>
        </w:rPr>
        <w:t xml:space="preserve">conditions and amounts are set by the national Harmonised Funding Model. </w:t>
      </w:r>
    </w:p>
    <w:p w14:paraId="3DA8DB71" w14:textId="77777777" w:rsidR="009D6A28" w:rsidRDefault="009D6A28" w:rsidP="009D6A28">
      <w:pPr>
        <w:rPr>
          <w:rFonts w:eastAsia="Times New Roman"/>
        </w:rPr>
      </w:pPr>
      <w:r w:rsidRPr="0086064E">
        <w:rPr>
          <w:rFonts w:eastAsia="Times New Roman"/>
        </w:rPr>
        <w:t xml:space="preserve">The Buildings Programme is implemented at the subnational level and cantons can choose which subsidies as well as the </w:t>
      </w:r>
      <w:r>
        <w:rPr>
          <w:rFonts w:eastAsia="Times New Roman"/>
        </w:rPr>
        <w:t>level</w:t>
      </w:r>
      <w:r w:rsidRPr="0086064E">
        <w:rPr>
          <w:rFonts w:eastAsia="Times New Roman"/>
        </w:rPr>
        <w:t xml:space="preserve"> (above the national minimum level) to implement.</w:t>
      </w:r>
      <w:r>
        <w:rPr>
          <w:rFonts w:eastAsia="Times New Roman"/>
        </w:rPr>
        <w:t xml:space="preserve"> We aim to take a national average, it is t</w:t>
      </w:r>
      <w:r w:rsidRPr="004F0C3E">
        <w:rPr>
          <w:rFonts w:eastAsia="Times New Roman"/>
        </w:rPr>
        <w:t xml:space="preserve">o be check with PSI how to </w:t>
      </w:r>
      <w:r>
        <w:rPr>
          <w:rFonts w:eastAsia="Times New Roman"/>
        </w:rPr>
        <w:t>construct this</w:t>
      </w:r>
      <w:r w:rsidRPr="004F0C3E">
        <w:rPr>
          <w:rFonts w:eastAsia="Times New Roman"/>
        </w:rPr>
        <w:t>.</w:t>
      </w:r>
      <w:r>
        <w:rPr>
          <w:rFonts w:eastAsia="Times New Roman"/>
        </w:rPr>
        <w:t xml:space="preserve"> </w:t>
      </w:r>
      <w:r w:rsidRPr="0086064E">
        <w:rPr>
          <w:rFonts w:eastAsia="Times New Roman"/>
        </w:rPr>
        <w:t xml:space="preserve">Cantons that do not implement their own adaptation use the conditions of the Harmonised Funding Model. </w:t>
      </w:r>
    </w:p>
    <w:p w14:paraId="11F74C6E" w14:textId="77777777" w:rsidR="009D6A28" w:rsidRDefault="009D6A28" w:rsidP="009D6A28">
      <w:pPr>
        <w:rPr>
          <w:rFonts w:eastAsia="Times New Roman"/>
        </w:rPr>
      </w:pPr>
      <w:r w:rsidRPr="0086064E">
        <w:rPr>
          <w:rFonts w:eastAsia="Times New Roman"/>
        </w:rPr>
        <w:t>The source of funding is</w:t>
      </w:r>
      <w:r>
        <w:rPr>
          <w:rFonts w:eastAsia="Times New Roman"/>
        </w:rPr>
        <w:t>:</w:t>
      </w:r>
      <w:r w:rsidRPr="0086064E">
        <w:rPr>
          <w:rFonts w:eastAsia="Times New Roman"/>
        </w:rPr>
        <w:t xml:space="preserve"> </w:t>
      </w:r>
      <w:r>
        <w:rPr>
          <w:rFonts w:eastAsia="Times New Roman"/>
        </w:rPr>
        <w:t xml:space="preserve">i) a part of </w:t>
      </w:r>
      <w:r w:rsidRPr="0086064E">
        <w:rPr>
          <w:rFonts w:eastAsia="Times New Roman"/>
        </w:rPr>
        <w:t>revenues from the CO</w:t>
      </w:r>
      <w:r w:rsidRPr="00B41A95">
        <w:rPr>
          <w:rFonts w:eastAsia="Times New Roman"/>
          <w:vertAlign w:val="subscript"/>
        </w:rPr>
        <w:t xml:space="preserve">2 </w:t>
      </w:r>
      <w:r w:rsidRPr="0086064E">
        <w:rPr>
          <w:rFonts w:eastAsia="Times New Roman"/>
        </w:rPr>
        <w:t>levy</w:t>
      </w:r>
      <w:r>
        <w:rPr>
          <w:rFonts w:eastAsia="Times New Roman"/>
        </w:rPr>
        <w:t xml:space="preserve"> (one third, share will remain at this level)</w:t>
      </w:r>
      <w:r w:rsidRPr="0086064E">
        <w:rPr>
          <w:rFonts w:eastAsia="Times New Roman"/>
        </w:rPr>
        <w:t xml:space="preserve">, which is distributed to cantons based on a basic contribution amount per inhabitant and a complementary contribution amount based on the credit authorized by the canton for its </w:t>
      </w:r>
      <w:r>
        <w:rPr>
          <w:rFonts w:eastAsia="Times New Roman"/>
        </w:rPr>
        <w:t xml:space="preserve">own </w:t>
      </w:r>
      <w:r w:rsidRPr="0086064E">
        <w:rPr>
          <w:rFonts w:eastAsia="Times New Roman"/>
        </w:rPr>
        <w:t>program</w:t>
      </w:r>
      <w:r w:rsidRPr="008D4B68">
        <w:rPr>
          <w:rFonts w:eastAsia="Times New Roman"/>
        </w:rPr>
        <w:t xml:space="preserve"> </w:t>
      </w:r>
      <w:r>
        <w:rPr>
          <w:rFonts w:eastAsia="Times New Roman"/>
        </w:rPr>
        <w:t>and ii) cantonal credit from their general budget.</w:t>
      </w:r>
      <w:r w:rsidRPr="008D4B68">
        <w:rPr>
          <w:rFonts w:eastAsia="Times New Roman"/>
        </w:rPr>
        <w:t xml:space="preserve"> </w:t>
      </w:r>
    </w:p>
    <w:p w14:paraId="2BF2999F" w14:textId="77777777" w:rsidR="009D6A28" w:rsidRDefault="009D6A28" w:rsidP="009D6A28">
      <w:pPr>
        <w:rPr>
          <w:rFonts w:eastAsia="Times New Roman"/>
        </w:rPr>
      </w:pPr>
      <w:r>
        <w:rPr>
          <w:rFonts w:eastAsia="Times New Roman"/>
        </w:rPr>
        <w:t>The programme grants subsidies for following measures</w:t>
      </w:r>
      <w:r>
        <w:rPr>
          <w:rStyle w:val="FootnoteReference"/>
          <w:rFonts w:eastAsia="Times New Roman"/>
        </w:rPr>
        <w:footnoteReference w:id="10"/>
      </w:r>
      <w:r>
        <w:rPr>
          <w:rFonts w:eastAsia="Times New Roman"/>
        </w:rPr>
        <w:t>:</w:t>
      </w:r>
    </w:p>
    <w:p w14:paraId="14FC2408" w14:textId="77777777" w:rsidR="009D6A28" w:rsidRDefault="009D6A28" w:rsidP="009D6A28">
      <w:pPr>
        <w:pStyle w:val="ListParagraph"/>
        <w:widowControl/>
        <w:numPr>
          <w:ilvl w:val="0"/>
          <w:numId w:val="5"/>
        </w:numPr>
        <w:contextualSpacing w:val="0"/>
        <w:rPr>
          <w:rFonts w:eastAsia="Times New Roman"/>
        </w:rPr>
      </w:pPr>
      <w:r>
        <w:rPr>
          <w:rFonts w:eastAsia="Times New Roman"/>
        </w:rPr>
        <w:t>Thermal insulation of existing buildings</w:t>
      </w:r>
    </w:p>
    <w:p w14:paraId="27FF1462" w14:textId="77777777" w:rsidR="009D6A28" w:rsidRDefault="009D6A28" w:rsidP="009D6A28">
      <w:pPr>
        <w:pStyle w:val="ListParagraph"/>
        <w:widowControl/>
        <w:numPr>
          <w:ilvl w:val="0"/>
          <w:numId w:val="5"/>
        </w:numPr>
        <w:contextualSpacing w:val="0"/>
        <w:rPr>
          <w:rFonts w:eastAsia="Times New Roman"/>
        </w:rPr>
      </w:pPr>
      <w:r>
        <w:rPr>
          <w:rFonts w:eastAsia="Times New Roman"/>
        </w:rPr>
        <w:t>Technical installations (heating and cooling systems)</w:t>
      </w:r>
    </w:p>
    <w:p w14:paraId="7FBDC665" w14:textId="77777777" w:rsidR="009D6A28" w:rsidRDefault="009D6A28" w:rsidP="009D6A28">
      <w:pPr>
        <w:pStyle w:val="ListParagraph"/>
        <w:widowControl/>
        <w:numPr>
          <w:ilvl w:val="0"/>
          <w:numId w:val="5"/>
        </w:numPr>
        <w:contextualSpacing w:val="0"/>
        <w:rPr>
          <w:rFonts w:eastAsia="Times New Roman"/>
        </w:rPr>
      </w:pPr>
      <w:r>
        <w:rPr>
          <w:rFonts w:eastAsia="Times New Roman"/>
        </w:rPr>
        <w:t>Building renovations (improvement class of efficiency, reduction energy needs for heating)</w:t>
      </w:r>
    </w:p>
    <w:p w14:paraId="2E7105E1" w14:textId="77777777" w:rsidR="009D6A28" w:rsidRDefault="009D6A28" w:rsidP="009D6A28">
      <w:pPr>
        <w:pStyle w:val="ListParagraph"/>
        <w:widowControl/>
        <w:numPr>
          <w:ilvl w:val="0"/>
          <w:numId w:val="5"/>
        </w:numPr>
        <w:contextualSpacing w:val="0"/>
        <w:rPr>
          <w:rFonts w:eastAsia="Times New Roman"/>
        </w:rPr>
      </w:pPr>
      <w:r>
        <w:rPr>
          <w:rFonts w:eastAsia="Times New Roman"/>
        </w:rPr>
        <w:t>Centralized heating system</w:t>
      </w:r>
    </w:p>
    <w:p w14:paraId="40FB65E0" w14:textId="77777777" w:rsidR="009D6A28" w:rsidRDefault="009D6A28" w:rsidP="009D6A28">
      <w:pPr>
        <w:pStyle w:val="ListParagraph"/>
        <w:widowControl/>
        <w:numPr>
          <w:ilvl w:val="0"/>
          <w:numId w:val="5"/>
        </w:numPr>
        <w:contextualSpacing w:val="0"/>
        <w:rPr>
          <w:rFonts w:eastAsia="Times New Roman"/>
        </w:rPr>
      </w:pPr>
      <w:r>
        <w:rPr>
          <w:rFonts w:eastAsia="Times New Roman"/>
        </w:rPr>
        <w:t>New constructions (excluded for policy simulation)</w:t>
      </w:r>
    </w:p>
    <w:p w14:paraId="078013C0" w14:textId="77777777" w:rsidR="009D6A28" w:rsidRPr="00B41A95" w:rsidRDefault="009D6A28" w:rsidP="009D6A28">
      <w:pPr>
        <w:pStyle w:val="ListParagraph"/>
        <w:widowControl/>
        <w:numPr>
          <w:ilvl w:val="0"/>
          <w:numId w:val="5"/>
        </w:numPr>
        <w:contextualSpacing w:val="0"/>
        <w:rPr>
          <w:rFonts w:eastAsia="Times New Roman"/>
        </w:rPr>
      </w:pPr>
      <w:r>
        <w:rPr>
          <w:rFonts w:eastAsia="Times New Roman"/>
        </w:rPr>
        <w:t>Indirect measures (excluded for policy simulation)</w:t>
      </w:r>
    </w:p>
    <w:p w14:paraId="57826A44" w14:textId="77777777" w:rsidR="009D6A28" w:rsidRDefault="009D6A28" w:rsidP="009D6A28">
      <w:pPr>
        <w:rPr>
          <w:rFonts w:eastAsia="Times New Roman"/>
        </w:rPr>
      </w:pPr>
    </w:p>
    <w:p w14:paraId="4133916A" w14:textId="77777777" w:rsidR="009D6A28" w:rsidRDefault="009D6A28" w:rsidP="009D6A28">
      <w:pPr>
        <w:rPr>
          <w:rFonts w:eastAsia="Times New Roman"/>
        </w:rPr>
      </w:pPr>
      <w:r>
        <w:rPr>
          <w:rFonts w:eastAsia="Times New Roman"/>
        </w:rPr>
        <w:t>The amount of subsidies is closely related to tax revenues. For the projection, the resources for financing these instruments are assumed to grow according to the CO</w:t>
      </w:r>
      <w:r w:rsidRPr="00B41A95">
        <w:rPr>
          <w:rFonts w:eastAsia="Times New Roman"/>
          <w:vertAlign w:val="subscript"/>
        </w:rPr>
        <w:t>2</w:t>
      </w:r>
      <w:r>
        <w:rPr>
          <w:rFonts w:eastAsia="Times New Roman"/>
        </w:rPr>
        <w:t xml:space="preserve"> levy revenues. Notice that in the list of measures above both the “New constructions” and the “Indirect measures” are assumed to be constant in all simulation at the level of the reference scenario. The idea is only to asses impact of the measures of the “Building program” that is related to existing buildings, not to new constructions.</w:t>
      </w:r>
    </w:p>
    <w:p w14:paraId="28A667E8" w14:textId="74076BD7" w:rsidR="009D6A28" w:rsidRDefault="009D6A28" w:rsidP="009D6A28">
      <w:pPr>
        <w:rPr>
          <w:rFonts w:eastAsia="Times New Roman"/>
          <w:i/>
          <w:iCs/>
        </w:rPr>
      </w:pPr>
      <w:r>
        <w:rPr>
          <w:rFonts w:eastAsia="Times New Roman"/>
          <w:i/>
          <w:iCs/>
        </w:rPr>
        <w:t>P</w:t>
      </w:r>
      <w:r w:rsidRPr="004021BC">
        <w:rPr>
          <w:rFonts w:eastAsia="Times New Roman"/>
          <w:i/>
          <w:iCs/>
        </w:rPr>
        <w:t>olicy simulations:</w:t>
      </w:r>
    </w:p>
    <w:p w14:paraId="26B267E8" w14:textId="5BC116B5" w:rsidR="009D6A28" w:rsidRDefault="009D6A28" w:rsidP="009D6A28">
      <w:pPr>
        <w:pStyle w:val="ListParagraph"/>
        <w:widowControl/>
        <w:numPr>
          <w:ilvl w:val="0"/>
          <w:numId w:val="11"/>
        </w:numPr>
        <w:contextualSpacing w:val="0"/>
        <w:rPr>
          <w:rFonts w:eastAsia="Times New Roman"/>
        </w:rPr>
      </w:pPr>
      <w:r w:rsidRPr="00FE792D">
        <w:rPr>
          <w:rFonts w:eastAsia="Times New Roman"/>
        </w:rPr>
        <w:t xml:space="preserve">Removing </w:t>
      </w:r>
      <w:r>
        <w:rPr>
          <w:rFonts w:eastAsia="Times New Roman"/>
        </w:rPr>
        <w:t>the “</w:t>
      </w:r>
      <w:r w:rsidRPr="008D4B68">
        <w:rPr>
          <w:rFonts w:eastAsia="Times New Roman"/>
        </w:rPr>
        <w:t>The buildings programme</w:t>
      </w:r>
      <w:r>
        <w:rPr>
          <w:rFonts w:eastAsia="Times New Roman"/>
        </w:rPr>
        <w:t xml:space="preserve">” </w:t>
      </w:r>
    </w:p>
    <w:p w14:paraId="2548F664" w14:textId="1991047C" w:rsidR="009D6A28" w:rsidRDefault="009D6A28" w:rsidP="009D6A28">
      <w:pPr>
        <w:pStyle w:val="ListParagraph"/>
        <w:widowControl/>
        <w:numPr>
          <w:ilvl w:val="0"/>
          <w:numId w:val="11"/>
        </w:numPr>
        <w:contextualSpacing w:val="0"/>
        <w:rPr>
          <w:rFonts w:eastAsia="Times New Roman"/>
        </w:rPr>
      </w:pPr>
      <w:r w:rsidRPr="00630FFA">
        <w:rPr>
          <w:rFonts w:eastAsia="Times New Roman"/>
        </w:rPr>
        <w:t xml:space="preserve">Removing </w:t>
      </w:r>
      <w:r w:rsidRPr="00630FFA">
        <w:rPr>
          <w:rFonts w:eastAsia="Times New Roman"/>
          <w:u w:val="single"/>
        </w:rPr>
        <w:t>both</w:t>
      </w:r>
      <w:r w:rsidRPr="00630FFA">
        <w:rPr>
          <w:rFonts w:eastAsia="Times New Roman"/>
        </w:rPr>
        <w:t xml:space="preserve"> “The buildings programme” and the “Buildings codes on energy consumption</w:t>
      </w:r>
      <w:r w:rsidRPr="00630FFA">
        <w:rPr>
          <w:rFonts w:eastAsia="Times New Roman"/>
          <w:b/>
          <w:bCs/>
        </w:rPr>
        <w:t>”</w:t>
      </w:r>
      <w:r w:rsidRPr="00630FFA">
        <w:rPr>
          <w:rFonts w:eastAsia="Times New Roman"/>
        </w:rPr>
        <w:t>.</w:t>
      </w:r>
    </w:p>
    <w:p w14:paraId="7B211C43" w14:textId="77777777" w:rsidR="009D6A28" w:rsidRPr="00630FFA" w:rsidRDefault="009D6A28" w:rsidP="009D6A28">
      <w:pPr>
        <w:pStyle w:val="ListParagraph"/>
        <w:widowControl/>
        <w:ind w:left="927"/>
        <w:contextualSpacing w:val="0"/>
        <w:rPr>
          <w:rFonts w:eastAsia="Times New Roman"/>
        </w:rPr>
      </w:pPr>
    </w:p>
    <w:p w14:paraId="6EFEFCC4" w14:textId="77777777" w:rsidR="009D6A28" w:rsidRDefault="009D6A28" w:rsidP="009D6A28"/>
    <w:p w14:paraId="4733D2D4" w14:textId="77777777" w:rsidR="009D6A28" w:rsidRDefault="009D6A28" w:rsidP="009D6A28">
      <w:pPr>
        <w:pStyle w:val="Caption"/>
      </w:pPr>
      <w:r>
        <w:t>Table </w:t>
      </w:r>
      <w:r>
        <w:rPr>
          <w:noProof/>
        </w:rPr>
        <w:fldChar w:fldCharType="begin"/>
      </w:r>
      <w:r>
        <w:rPr>
          <w:noProof/>
        </w:rPr>
        <w:instrText xml:space="preserve"> STYLEREF 1 \s </w:instrText>
      </w:r>
      <w:r>
        <w:rPr>
          <w:noProof/>
        </w:rPr>
        <w:fldChar w:fldCharType="separate"/>
      </w:r>
      <w:r>
        <w:rPr>
          <w:noProof/>
        </w:rPr>
        <w:t>1</w:t>
      </w:r>
      <w:r>
        <w:rPr>
          <w:noProof/>
        </w:rPr>
        <w:fldChar w:fldCharType="end"/>
      </w:r>
      <w:r>
        <w:t>.</w:t>
      </w:r>
      <w:r>
        <w:rPr>
          <w:noProof/>
        </w:rPr>
        <w:fldChar w:fldCharType="begin"/>
      </w:r>
      <w:r>
        <w:rPr>
          <w:noProof/>
        </w:rPr>
        <w:instrText xml:space="preserve"> SEQ Table \* ARABIC \s 1 </w:instrText>
      </w:r>
      <w:r>
        <w:rPr>
          <w:noProof/>
        </w:rPr>
        <w:fldChar w:fldCharType="separate"/>
      </w:r>
      <w:r>
        <w:rPr>
          <w:noProof/>
        </w:rPr>
        <w:t>1</w:t>
      </w:r>
      <w:r>
        <w:rPr>
          <w:noProof/>
        </w:rPr>
        <w:fldChar w:fldCharType="end"/>
      </w:r>
      <w:r>
        <w:t>. Future policy developments</w:t>
      </w:r>
    </w:p>
    <w:p w14:paraId="2A2BF0F3" w14:textId="77777777" w:rsidR="009D6A28" w:rsidRDefault="009D6A28" w:rsidP="009D6A28">
      <w:pPr>
        <w:pStyle w:val="CaptionSubtitle"/>
      </w:pPr>
      <w:r>
        <w:t xml:space="preserve">This table explains the future intensities of policies mentioned in the simulations. </w:t>
      </w:r>
    </w:p>
    <w:tbl>
      <w:tblPr>
        <w:tblStyle w:val="OECD"/>
        <w:tblW w:w="5385" w:type="pct"/>
        <w:tblLook w:val="0420" w:firstRow="1" w:lastRow="0" w:firstColumn="0" w:lastColumn="0" w:noHBand="0" w:noVBand="1"/>
      </w:tblPr>
      <w:tblGrid>
        <w:gridCol w:w="1806"/>
        <w:gridCol w:w="7915"/>
      </w:tblGrid>
      <w:tr w:rsidR="009D6A28" w:rsidRPr="00454399" w14:paraId="0BA6B5DB" w14:textId="77777777" w:rsidTr="00BA30BB">
        <w:trPr>
          <w:cnfStyle w:val="100000000000" w:firstRow="1" w:lastRow="0" w:firstColumn="0" w:lastColumn="0" w:oddVBand="0" w:evenVBand="0" w:oddHBand="0" w:evenHBand="0" w:firstRowFirstColumn="0" w:firstRowLastColumn="0" w:lastRowFirstColumn="0" w:lastRowLastColumn="0"/>
          <w:trHeight w:val="238"/>
        </w:trPr>
        <w:tc>
          <w:tcPr>
            <w:tcW w:w="929" w:type="pct"/>
          </w:tcPr>
          <w:p w14:paraId="72C75D43" w14:textId="77777777" w:rsidR="009D6A28" w:rsidRPr="00990D16" w:rsidRDefault="009D6A28" w:rsidP="00BA30BB">
            <w:pPr>
              <w:pStyle w:val="TableColumn"/>
              <w:rPr>
                <w:b/>
                <w:bCs/>
                <w:sz w:val="24"/>
                <w:szCs w:val="24"/>
              </w:rPr>
            </w:pPr>
            <w:r w:rsidRPr="00990D16">
              <w:rPr>
                <w:b/>
                <w:bCs/>
                <w:sz w:val="24"/>
                <w:szCs w:val="24"/>
              </w:rPr>
              <w:t>Policy</w:t>
            </w:r>
          </w:p>
        </w:tc>
        <w:tc>
          <w:tcPr>
            <w:tcW w:w="4071" w:type="pct"/>
          </w:tcPr>
          <w:p w14:paraId="6551BC03" w14:textId="77777777" w:rsidR="009D6A28" w:rsidRPr="00990D16" w:rsidRDefault="009D6A28" w:rsidP="00BA30BB">
            <w:pPr>
              <w:pStyle w:val="TableColumn"/>
              <w:rPr>
                <w:b/>
                <w:bCs/>
                <w:sz w:val="24"/>
                <w:szCs w:val="24"/>
              </w:rPr>
            </w:pPr>
            <w:r w:rsidRPr="00990D16">
              <w:rPr>
                <w:b/>
                <w:bCs/>
                <w:sz w:val="24"/>
                <w:szCs w:val="24"/>
              </w:rPr>
              <w:t>Future developments</w:t>
            </w:r>
          </w:p>
        </w:tc>
      </w:tr>
      <w:tr w:rsidR="009D6A28" w:rsidRPr="00454399" w14:paraId="65231684" w14:textId="77777777" w:rsidTr="00BA30BB">
        <w:trPr>
          <w:trHeight w:val="238"/>
        </w:trPr>
        <w:tc>
          <w:tcPr>
            <w:tcW w:w="929" w:type="pct"/>
          </w:tcPr>
          <w:p w14:paraId="159B4237" w14:textId="77777777" w:rsidR="009D6A28" w:rsidRPr="00990D16" w:rsidRDefault="009D6A28" w:rsidP="00BA30BB">
            <w:pPr>
              <w:pStyle w:val="TableRow"/>
              <w:spacing w:line="240" w:lineRule="auto"/>
              <w:rPr>
                <w:sz w:val="22"/>
                <w:szCs w:val="22"/>
              </w:rPr>
            </w:pPr>
            <w:r w:rsidRPr="00990D16">
              <w:rPr>
                <w:sz w:val="22"/>
                <w:szCs w:val="22"/>
              </w:rPr>
              <w:t xml:space="preserve">ETS </w:t>
            </w:r>
          </w:p>
        </w:tc>
        <w:tc>
          <w:tcPr>
            <w:tcW w:w="4071" w:type="pct"/>
          </w:tcPr>
          <w:p w14:paraId="0047FF8B" w14:textId="77777777" w:rsidR="009D6A28" w:rsidRPr="00990D16" w:rsidRDefault="009D6A28" w:rsidP="00BA30BB">
            <w:pPr>
              <w:rPr>
                <w:rFonts w:eastAsia="Times New Roman"/>
                <w:sz w:val="22"/>
                <w:szCs w:val="22"/>
              </w:rPr>
            </w:pPr>
            <w:r w:rsidRPr="00990D16">
              <w:rPr>
                <w:rFonts w:eastAsia="Times New Roman"/>
                <w:sz w:val="22"/>
                <w:szCs w:val="22"/>
              </w:rPr>
              <w:t>According to current publicly available information, Switzerland is not projecting any future implementation of the new emissions trading system (named EU-ETS 2), that covers and addresses in EU countries, the CO</w:t>
            </w:r>
            <w:r w:rsidRPr="00990D16">
              <w:rPr>
                <w:rFonts w:eastAsia="Times New Roman"/>
                <w:sz w:val="22"/>
                <w:szCs w:val="22"/>
                <w:vertAlign w:val="subscript"/>
              </w:rPr>
              <w:t>2</w:t>
            </w:r>
            <w:r w:rsidRPr="00990D16">
              <w:rPr>
                <w:rFonts w:eastAsia="Times New Roman"/>
                <w:sz w:val="22"/>
                <w:szCs w:val="22"/>
              </w:rPr>
              <w:t xml:space="preserve"> emissions from fuel combustion in buildings, road transport and additional sectors.</w:t>
            </w:r>
          </w:p>
        </w:tc>
      </w:tr>
      <w:tr w:rsidR="009D6A28" w:rsidRPr="00454399" w14:paraId="04E66700" w14:textId="77777777" w:rsidTr="00BA30BB">
        <w:trPr>
          <w:trHeight w:val="238"/>
        </w:trPr>
        <w:tc>
          <w:tcPr>
            <w:tcW w:w="929" w:type="pct"/>
          </w:tcPr>
          <w:p w14:paraId="0E23A771" w14:textId="77777777" w:rsidR="009D6A28" w:rsidRPr="00990D16" w:rsidRDefault="009D6A28" w:rsidP="00BA30BB">
            <w:pPr>
              <w:pStyle w:val="TableRow"/>
              <w:spacing w:line="240" w:lineRule="auto"/>
              <w:rPr>
                <w:sz w:val="22"/>
                <w:szCs w:val="22"/>
              </w:rPr>
            </w:pPr>
            <w:r w:rsidRPr="00990D16">
              <w:rPr>
                <w:sz w:val="22"/>
                <w:szCs w:val="22"/>
              </w:rPr>
              <w:t>CO2 Levy</w:t>
            </w:r>
          </w:p>
        </w:tc>
        <w:tc>
          <w:tcPr>
            <w:tcW w:w="4071" w:type="pct"/>
          </w:tcPr>
          <w:p w14:paraId="08DB419E" w14:textId="77777777" w:rsidR="009D6A28" w:rsidRPr="00990D16" w:rsidRDefault="009D6A28" w:rsidP="00BA30BB">
            <w:pPr>
              <w:rPr>
                <w:rFonts w:cstheme="minorHAnsi"/>
                <w:sz w:val="22"/>
                <w:szCs w:val="22"/>
                <w:shd w:val="clear" w:color="auto" w:fill="FFFFFF"/>
              </w:rPr>
            </w:pPr>
            <w:r w:rsidRPr="00990D16">
              <w:rPr>
                <w:rFonts w:cstheme="minorHAnsi"/>
                <w:sz w:val="22"/>
                <w:szCs w:val="22"/>
                <w:shd w:val="clear" w:color="auto" w:fill="FFFFFF"/>
              </w:rPr>
              <w:t>After 2023, the CO2 levy is assumed to remain at same level with same modalities</w:t>
            </w:r>
            <w:r w:rsidRPr="00990D16">
              <w:rPr>
                <w:rStyle w:val="FootnoteReference"/>
                <w:rFonts w:cstheme="minorHAnsi"/>
                <w:szCs w:val="22"/>
                <w:shd w:val="clear" w:color="auto" w:fill="FFFFFF"/>
              </w:rPr>
              <w:footnoteReference w:id="11"/>
            </w:r>
            <w:r w:rsidRPr="00990D16">
              <w:rPr>
                <w:rFonts w:cstheme="minorHAnsi"/>
                <w:sz w:val="22"/>
                <w:szCs w:val="22"/>
                <w:shd w:val="clear" w:color="auto" w:fill="FFFFFF"/>
              </w:rPr>
              <w:t>.</w:t>
            </w:r>
          </w:p>
          <w:p w14:paraId="5E70FA47" w14:textId="77777777" w:rsidR="009D6A28" w:rsidRPr="00990D16" w:rsidRDefault="009D6A28" w:rsidP="00BA30BB">
            <w:pPr>
              <w:rPr>
                <w:rFonts w:cstheme="minorHAnsi"/>
                <w:sz w:val="22"/>
                <w:szCs w:val="22"/>
                <w:shd w:val="clear" w:color="auto" w:fill="FFFFFF"/>
              </w:rPr>
            </w:pPr>
            <w:r w:rsidRPr="00990D16">
              <w:rPr>
                <w:rFonts w:cstheme="minorHAnsi"/>
                <w:sz w:val="22"/>
                <w:szCs w:val="22"/>
                <w:shd w:val="clear" w:color="auto" w:fill="FFFFFF"/>
              </w:rPr>
              <w:t xml:space="preserve">With regard to the allocation of revenue from the CO2 levy across different policies (including </w:t>
            </w:r>
            <w:r w:rsidRPr="00990D16">
              <w:rPr>
                <w:rFonts w:eastAsia="Times New Roman"/>
                <w:sz w:val="22"/>
                <w:szCs w:val="22"/>
              </w:rPr>
              <w:t>“</w:t>
            </w:r>
            <w:r w:rsidRPr="00990D16">
              <w:rPr>
                <w:rFonts w:eastAsia="Times New Roman"/>
                <w:i/>
                <w:iCs/>
                <w:sz w:val="22"/>
                <w:szCs w:val="22"/>
              </w:rPr>
              <w:t>Buildings Programme</w:t>
            </w:r>
            <w:r w:rsidRPr="00990D16">
              <w:rPr>
                <w:rFonts w:eastAsia="Times New Roman"/>
                <w:sz w:val="22"/>
                <w:szCs w:val="22"/>
              </w:rPr>
              <w:t>”, see below)</w:t>
            </w:r>
            <w:r w:rsidRPr="00990D16">
              <w:rPr>
                <w:rFonts w:cstheme="minorHAnsi"/>
                <w:sz w:val="22"/>
                <w:szCs w:val="22"/>
                <w:shd w:val="clear" w:color="auto" w:fill="FFFFFF"/>
              </w:rPr>
              <w:t>, the share of</w:t>
            </w:r>
            <w:r w:rsidRPr="00990D16">
              <w:rPr>
                <w:sz w:val="22"/>
                <w:szCs w:val="22"/>
              </w:rPr>
              <w:t xml:space="preserve"> revenues earmarked for the buildings programme will remain at 33%</w:t>
            </w:r>
            <w:r w:rsidRPr="00990D16">
              <w:rPr>
                <w:rFonts w:cstheme="minorHAnsi"/>
                <w:sz w:val="22"/>
                <w:szCs w:val="22"/>
                <w:shd w:val="clear" w:color="auto" w:fill="FFFFFF"/>
              </w:rPr>
              <w:t>.</w:t>
            </w:r>
          </w:p>
          <w:p w14:paraId="2F3E5241" w14:textId="77777777" w:rsidR="009D6A28" w:rsidRPr="00990D16" w:rsidRDefault="009D6A28" w:rsidP="00BA30BB">
            <w:pPr>
              <w:rPr>
                <w:rFonts w:eastAsia="Times New Roman" w:cstheme="minorHAnsi"/>
                <w:sz w:val="22"/>
                <w:szCs w:val="22"/>
              </w:rPr>
            </w:pPr>
            <w:r w:rsidRPr="00990D16">
              <w:rPr>
                <w:rFonts w:cstheme="minorHAnsi"/>
                <w:sz w:val="22"/>
                <w:szCs w:val="22"/>
                <w:shd w:val="clear" w:color="auto" w:fill="FFFFFF"/>
              </w:rPr>
              <w:t>The exemptions of CO2 levy (including installations participating in the ETS and companies that enter a reduction commitment) will be kept the same as in 2023 for the whole projection horizon.</w:t>
            </w:r>
          </w:p>
        </w:tc>
      </w:tr>
      <w:tr w:rsidR="009D6A28" w:rsidRPr="00454399" w14:paraId="217AF1DF" w14:textId="77777777" w:rsidTr="00BA30BB">
        <w:trPr>
          <w:trHeight w:val="238"/>
        </w:trPr>
        <w:tc>
          <w:tcPr>
            <w:tcW w:w="929" w:type="pct"/>
          </w:tcPr>
          <w:p w14:paraId="160A273F" w14:textId="77777777" w:rsidR="009D6A28" w:rsidRPr="00990D16" w:rsidRDefault="009D6A28" w:rsidP="00BA30BB">
            <w:pPr>
              <w:pStyle w:val="TableRow"/>
              <w:spacing w:line="240" w:lineRule="auto"/>
              <w:rPr>
                <w:sz w:val="22"/>
                <w:szCs w:val="22"/>
              </w:rPr>
            </w:pPr>
            <w:r w:rsidRPr="00990D16">
              <w:rPr>
                <w:sz w:val="22"/>
                <w:szCs w:val="22"/>
              </w:rPr>
              <w:t xml:space="preserve">Mineral oil tax </w:t>
            </w:r>
          </w:p>
        </w:tc>
        <w:tc>
          <w:tcPr>
            <w:tcW w:w="4071" w:type="pct"/>
          </w:tcPr>
          <w:p w14:paraId="1E9050DD" w14:textId="77777777" w:rsidR="009D6A28" w:rsidRPr="00990D16" w:rsidRDefault="009D6A28" w:rsidP="00BA30BB">
            <w:pPr>
              <w:pStyle w:val="TableCell"/>
              <w:spacing w:line="240" w:lineRule="auto"/>
              <w:jc w:val="both"/>
              <w:rPr>
                <w:sz w:val="22"/>
                <w:szCs w:val="22"/>
              </w:rPr>
            </w:pPr>
            <w:r w:rsidRPr="00990D16">
              <w:rPr>
                <w:rFonts w:eastAsia="Times New Roman"/>
                <w:sz w:val="22"/>
                <w:szCs w:val="22"/>
              </w:rPr>
              <w:t xml:space="preserve">After 2023 we assume this policy to be constant over the </w:t>
            </w:r>
            <w:r w:rsidRPr="00990D16">
              <w:rPr>
                <w:rFonts w:eastAsia="Times New Roman"/>
                <w:i/>
                <w:iCs/>
                <w:sz w:val="22"/>
                <w:szCs w:val="22"/>
              </w:rPr>
              <w:t>projection horizon</w:t>
            </w:r>
            <w:r w:rsidRPr="00990D16">
              <w:rPr>
                <w:rFonts w:eastAsia="Times New Roman"/>
                <w:sz w:val="22"/>
                <w:szCs w:val="22"/>
              </w:rPr>
              <w:t>.</w:t>
            </w:r>
          </w:p>
        </w:tc>
      </w:tr>
      <w:tr w:rsidR="009D6A28" w:rsidRPr="00454399" w14:paraId="7AC45800" w14:textId="77777777" w:rsidTr="00BA30BB">
        <w:trPr>
          <w:trHeight w:val="238"/>
        </w:trPr>
        <w:tc>
          <w:tcPr>
            <w:tcW w:w="929" w:type="pct"/>
          </w:tcPr>
          <w:p w14:paraId="049DCBB6" w14:textId="77777777" w:rsidR="009D6A28" w:rsidRPr="00990D16" w:rsidRDefault="009D6A28" w:rsidP="00BA30BB">
            <w:pPr>
              <w:pStyle w:val="TableRow"/>
              <w:spacing w:line="240" w:lineRule="auto"/>
              <w:rPr>
                <w:sz w:val="22"/>
                <w:szCs w:val="22"/>
              </w:rPr>
            </w:pPr>
            <w:r w:rsidRPr="00990D16">
              <w:rPr>
                <w:sz w:val="22"/>
                <w:szCs w:val="22"/>
              </w:rPr>
              <w:t>Motor vehicle tax</w:t>
            </w:r>
          </w:p>
        </w:tc>
        <w:tc>
          <w:tcPr>
            <w:tcW w:w="4071" w:type="pct"/>
          </w:tcPr>
          <w:p w14:paraId="349CB479" w14:textId="77777777" w:rsidR="009D6A28" w:rsidRPr="00990D16" w:rsidRDefault="009D6A28" w:rsidP="00BA30BB">
            <w:pPr>
              <w:pStyle w:val="TableCell"/>
              <w:spacing w:line="240" w:lineRule="auto"/>
              <w:jc w:val="both"/>
              <w:rPr>
                <w:sz w:val="22"/>
                <w:szCs w:val="22"/>
              </w:rPr>
            </w:pPr>
            <w:r w:rsidRPr="00990D16">
              <w:rPr>
                <w:rFonts w:eastAsia="Times New Roman"/>
                <w:sz w:val="22"/>
                <w:szCs w:val="22"/>
              </w:rPr>
              <w:t xml:space="preserve">After 2023 the policy is constant over the </w:t>
            </w:r>
            <w:r w:rsidRPr="00990D16">
              <w:rPr>
                <w:rFonts w:eastAsia="Times New Roman"/>
                <w:i/>
                <w:iCs/>
                <w:sz w:val="22"/>
                <w:szCs w:val="22"/>
              </w:rPr>
              <w:t>projection horizon</w:t>
            </w:r>
            <w:r w:rsidRPr="00990D16">
              <w:rPr>
                <w:rFonts w:eastAsia="Times New Roman"/>
                <w:sz w:val="22"/>
                <w:szCs w:val="22"/>
              </w:rPr>
              <w:t>.</w:t>
            </w:r>
          </w:p>
        </w:tc>
      </w:tr>
      <w:tr w:rsidR="009D6A28" w:rsidRPr="00454399" w14:paraId="5503A53D" w14:textId="77777777" w:rsidTr="00BA30BB">
        <w:trPr>
          <w:trHeight w:val="238"/>
        </w:trPr>
        <w:tc>
          <w:tcPr>
            <w:tcW w:w="929" w:type="pct"/>
          </w:tcPr>
          <w:p w14:paraId="5970F43B" w14:textId="77777777" w:rsidR="009D6A28" w:rsidRPr="00990D16" w:rsidRDefault="009D6A28" w:rsidP="00BA30BB">
            <w:pPr>
              <w:pStyle w:val="TableRow"/>
              <w:spacing w:line="240" w:lineRule="auto"/>
              <w:rPr>
                <w:sz w:val="22"/>
                <w:szCs w:val="22"/>
              </w:rPr>
            </w:pPr>
            <w:r w:rsidRPr="00990D16">
              <w:rPr>
                <w:rFonts w:eastAsia="Times New Roman"/>
                <w:sz w:val="22"/>
                <w:szCs w:val="22"/>
              </w:rPr>
              <w:t>CO2 regulations for vehicles</w:t>
            </w:r>
          </w:p>
        </w:tc>
        <w:tc>
          <w:tcPr>
            <w:tcW w:w="4071" w:type="pct"/>
          </w:tcPr>
          <w:p w14:paraId="5D565B91" w14:textId="77777777" w:rsidR="009D6A28" w:rsidRPr="00990D16" w:rsidRDefault="009D6A28" w:rsidP="00BA30BB">
            <w:pPr>
              <w:pStyle w:val="TableCell"/>
              <w:spacing w:line="240" w:lineRule="auto"/>
              <w:jc w:val="both"/>
              <w:rPr>
                <w:sz w:val="22"/>
                <w:szCs w:val="22"/>
              </w:rPr>
            </w:pPr>
            <w:r w:rsidRPr="00990D16">
              <w:rPr>
                <w:rFonts w:cstheme="minorHAnsi"/>
                <w:sz w:val="22"/>
                <w:szCs w:val="22"/>
                <w:shd w:val="clear" w:color="auto" w:fill="FFFFFF"/>
              </w:rPr>
              <w:t xml:space="preserve">After 2023, </w:t>
            </w:r>
            <w:r w:rsidRPr="00990D16">
              <w:rPr>
                <w:sz w:val="22"/>
                <w:szCs w:val="22"/>
              </w:rPr>
              <w:t>the revision of the CO2-Act will reinforce these targets for the period 2025-2029 (93.6 g CO2 for passenger cars, 153.9 g CO2 for LCV; values according to WLTP, i.e. the new measurement procedure) and 2030 onwards (49.5 g and 90.6 g for passenger cars and LCVs respectively).</w:t>
            </w:r>
          </w:p>
        </w:tc>
      </w:tr>
    </w:tbl>
    <w:p w14:paraId="2A0A42F4" w14:textId="77777777" w:rsidR="009D6A28" w:rsidRPr="000C78CB" w:rsidRDefault="009D6A28" w:rsidP="009D6A28"/>
    <w:p w14:paraId="66B7490E" w14:textId="77777777" w:rsidR="009D6A28" w:rsidRDefault="009D6A28" w:rsidP="009D6A28"/>
    <w:p w14:paraId="4A8D04BE" w14:textId="77777777" w:rsidR="009D6A28" w:rsidRDefault="009D6A28" w:rsidP="004A085C"/>
    <w:p w14:paraId="087EFA1B" w14:textId="77777777" w:rsidR="00565600" w:rsidRDefault="00565600" w:rsidP="004A085C"/>
    <w:p w14:paraId="20BA6E7E" w14:textId="77777777" w:rsidR="004A085C" w:rsidRDefault="004A085C">
      <w:r>
        <w:br w:type="page"/>
      </w:r>
    </w:p>
    <w:p w14:paraId="57DBF410" w14:textId="7E16F592" w:rsidR="004A085C" w:rsidRDefault="004A085C" w:rsidP="00FF39FB">
      <w:pPr>
        <w:pStyle w:val="Heading1"/>
      </w:pPr>
      <w:r>
        <w:lastRenderedPageBreak/>
        <w:t xml:space="preserve">Section </w:t>
      </w:r>
      <w:r>
        <w:t>3</w:t>
      </w:r>
      <w:r>
        <w:t xml:space="preserve">: </w:t>
      </w:r>
      <w:r w:rsidRPr="00714986">
        <w:t>Assess impact on emissions of policies across models</w:t>
      </w:r>
    </w:p>
    <w:p w14:paraId="4BBF02C0" w14:textId="77777777" w:rsidR="00FF39FB" w:rsidRDefault="00FF39FB" w:rsidP="00FF39FB"/>
    <w:p w14:paraId="24A78C80" w14:textId="7FF564D9" w:rsidR="00FF39FB" w:rsidRPr="00FF39FB" w:rsidRDefault="00FF39FB" w:rsidP="00FF39FB">
      <w:r>
        <w:t>3.1 Method</w:t>
      </w:r>
    </w:p>
    <w:p w14:paraId="7A42271D" w14:textId="77777777" w:rsidR="009D6A28" w:rsidRDefault="009D6A28" w:rsidP="009D6A28">
      <w:pPr>
        <w:pStyle w:val="Para"/>
        <w:numPr>
          <w:ilvl w:val="0"/>
          <w:numId w:val="0"/>
        </w:numPr>
      </w:pPr>
      <w:r>
        <w:t xml:space="preserve">To evaluate the effect of </w:t>
      </w:r>
      <w:r w:rsidRPr="0054224F">
        <w:rPr>
          <w:b/>
          <w:bCs/>
        </w:rPr>
        <w:t>price-based</w:t>
      </w:r>
      <w:r>
        <w:t xml:space="preserve"> policy measures (e.g. taxes or subsidies) on emissions of a certain sector, the CGE model can apply an effective tax rate to the corresponding tax base.</w:t>
      </w:r>
      <w:r w:rsidDel="009D3C3F">
        <w:t xml:space="preserve"> </w:t>
      </w:r>
      <w:r>
        <w:t>Additional information should be passed from the sectoral model to adjust the policy in the CGE model. If one considers fuel taxes for example, these generally differ across the various fuel (diesel, gasoline, ethanol, kerosene, etc…), but in the CGE model only one kind of refined oil product is generally considered. In this case the changes in a fuel tax policy should be aggregated for the CGE model, using detailed information about the different tax rates for the different refined oil products, the budget (cost) shares of each of these different oil products and the corresponding tax bases.</w:t>
      </w:r>
    </w:p>
    <w:p w14:paraId="56E38FCD" w14:textId="77777777" w:rsidR="009D6A28" w:rsidRDefault="009D6A28" w:rsidP="009D6A28">
      <w:pPr>
        <w:pStyle w:val="Para"/>
        <w:numPr>
          <w:ilvl w:val="0"/>
          <w:numId w:val="0"/>
        </w:numPr>
      </w:pPr>
      <w:r>
        <w:t xml:space="preserve">In the case of other </w:t>
      </w:r>
      <w:r w:rsidRPr="00490A3A">
        <w:rPr>
          <w:b/>
          <w:bCs/>
        </w:rPr>
        <w:t>economic instruments</w:t>
      </w:r>
      <w:r>
        <w:t xml:space="preserve"> aiming at promoting investment in an emission-reducing technology, such as a support measure towards renewable energy production or a tax-credit to investment, the information to pass to the CGE model is different. Adjusting the tax or subsidy is not sufficient in this case; the sectoral models should also provide to the CGE model some information about the resulting amount of investment in the green technology that is driven by the change in the fiscal instrument, the expected induced changes in cost of production, and if possible, the change in required intermediate products implied by the technology shift. The latter can be considered in the economy-wide model to represent changes in emission along supply chains.</w:t>
      </w:r>
    </w:p>
    <w:p w14:paraId="73108682" w14:textId="77777777" w:rsidR="009D6A28" w:rsidRDefault="009D6A28" w:rsidP="009D6A28">
      <w:pPr>
        <w:pStyle w:val="Para"/>
        <w:numPr>
          <w:ilvl w:val="0"/>
          <w:numId w:val="0"/>
        </w:numPr>
      </w:pPr>
      <w:r w:rsidRPr="0054224F">
        <w:rPr>
          <w:b/>
          <w:bCs/>
        </w:rPr>
        <w:t xml:space="preserve">Regulatory </w:t>
      </w:r>
      <w:r>
        <w:rPr>
          <w:b/>
          <w:bCs/>
        </w:rPr>
        <w:t xml:space="preserve">instruments </w:t>
      </w:r>
      <w:r w:rsidRPr="00F206B1">
        <w:t>(performance standards, technology standards and other regulatory policies)</w:t>
      </w:r>
      <w:r>
        <w:rPr>
          <w:b/>
          <w:bCs/>
        </w:rPr>
        <w:t xml:space="preserve"> </w:t>
      </w:r>
      <w:r w:rsidRPr="0054224F">
        <w:rPr>
          <w:b/>
          <w:bCs/>
        </w:rPr>
        <w:t>and other instruments</w:t>
      </w:r>
      <w:r>
        <w:t xml:space="preserve"> (government investments, information instruments and voluntary approaches) could be integrated in a sectoral model in several ways. For example, the </w:t>
      </w:r>
      <w:r w:rsidRPr="00074F0D">
        <w:t>CO</w:t>
      </w:r>
      <w:r w:rsidRPr="00074F0D">
        <w:rPr>
          <w:vertAlign w:val="subscript"/>
        </w:rPr>
        <w:t>2</w:t>
      </w:r>
      <w:r>
        <w:t xml:space="preserve"> efficiency standard for personal vehicles can be implemented through constraints on the choice of car technologies, which is affected by costs and fuel infrastructures, for a given demand for “transportation services"</w:t>
      </w:r>
      <w:sdt>
        <w:sdtPr>
          <w:id w:val="-620383923"/>
          <w:citation/>
        </w:sdtPr>
        <w:sdtContent>
          <w:r>
            <w:fldChar w:fldCharType="begin"/>
          </w:r>
          <w:r w:rsidRPr="00C2251B">
            <w:instrText xml:space="preserve"> CITATION Sis15 \l 1036 </w:instrText>
          </w:r>
          <w:r>
            <w:fldChar w:fldCharType="separate"/>
          </w:r>
          <w:r>
            <w:rPr>
              <w:noProof/>
            </w:rPr>
            <w:t xml:space="preserve"> </w:t>
          </w:r>
          <w:r w:rsidRPr="003562E4">
            <w:rPr>
              <w:noProof/>
            </w:rPr>
            <w:t>(Siskos, Capros and De Vita, 2015</w:t>
          </w:r>
          <w:r w:rsidRPr="003562E4">
            <w:rPr>
              <w:noProof/>
              <w:vertAlign w:val="subscript"/>
            </w:rPr>
            <w:t>[18]</w:t>
          </w:r>
          <w:r w:rsidRPr="003562E4">
            <w:rPr>
              <w:noProof/>
            </w:rPr>
            <w:t>)</w:t>
          </w:r>
          <w:r>
            <w:fldChar w:fldCharType="end"/>
          </w:r>
        </w:sdtContent>
      </w:sdt>
      <w:r>
        <w:t xml:space="preserve">. Introducing this policy in a CGE model would require first to use the information from the sectoral model (here transport model) to assess changes in household </w:t>
      </w:r>
      <w:r w:rsidRPr="007E7DA2">
        <w:t>transport demand to a level of detail that can account the different transportation mode and vehicles technologies</w:t>
      </w:r>
      <w:r>
        <w:t>. Then the “transportation service demands” in monetary term in the CGE model is derived from the detailed calculations (for instance in passenger or freight / km) from the sectoral model. Finally, the CGE model should mimic the overall effect of the change in transport technology of households (penetration of low energy vehicles) when they are constrained by the regulation policy (possibly by adjusting s</w:t>
      </w:r>
      <w:r w:rsidRPr="00F81BCA">
        <w:t>ubstitution elasticities across transportation technology/good)</w:t>
      </w:r>
      <w:r>
        <w:t xml:space="preserve"> as well as mimic the overall effect of the change in relative cost of different technology for transport from the sectoral model.</w:t>
      </w:r>
    </w:p>
    <w:p w14:paraId="5C051DAA" w14:textId="77777777" w:rsidR="009D6A28" w:rsidRDefault="009D6A28" w:rsidP="009D6A28">
      <w:pPr>
        <w:pStyle w:val="Para"/>
        <w:numPr>
          <w:ilvl w:val="0"/>
          <w:numId w:val="0"/>
        </w:numPr>
      </w:pPr>
      <w:r>
        <w:t xml:space="preserve">More generally, a number of methodological choices must be made in the model implementation phase, including with respect to which dimensions will be harmonised (fixed exogenously in the CGE model), and which elements remain to be determined endogenously by the economy-wide model. Discussing the advantages and drawbacks of these choices is important to frame the exercise and to facilitate a good understanding of the outcomes. For instance, if the economy-wide model would take sector-level greenhouse gas emissions as an exogenous input (fix exogenously as a constraint), then alignment between both models on sectoral emissions is guaranteed, but economy-wide feedback on sectoral emissions cannot be captured by the CGE model. While this approach may be adequate for a cap-and-trade system, for a carbon tax a better approach could be to align CGE inputs (instead of outputs in terms of emissions) to sectoral model outputs at a more granular level, e.g. energy mix and intensity of the sector as determined by the sectoral model. </w:t>
      </w:r>
    </w:p>
    <w:p w14:paraId="4B4FE716" w14:textId="77777777" w:rsidR="009D6A28" w:rsidRDefault="009D6A28" w:rsidP="009D6A28">
      <w:pPr>
        <w:pStyle w:val="Para"/>
        <w:numPr>
          <w:ilvl w:val="0"/>
          <w:numId w:val="0"/>
        </w:numPr>
      </w:pPr>
      <w:r>
        <w:t xml:space="preserve">Other modelling choices include the assumption on which policy instrument to use for recycling additional revenue (or raising lost revenue), as a consistent comparison across scenarios in a CGE model assumes no money entering or leaving the economy-wide system. Furthermore, assumptions must be made on climate action in other countries, as this would influence the cost of low-carbon technologies, the foreign demand for low-carbon goods, international fuel prices and cross-border supply chain interactions, among others. These channels can generate positive spillovers that affect the overall outcome on emissions. Careful consideration must therefore be given to particular modelling choices in view of the questions at hand. Abovementioned assumptions </w:t>
      </w:r>
      <w:r>
        <w:lastRenderedPageBreak/>
        <w:t xml:space="preserve">influence the estimates of the economy-wide impact on greenhouse gas emissions, in addition to sensitivity with respect to parameter settings. </w:t>
      </w:r>
    </w:p>
    <w:p w14:paraId="789EB991" w14:textId="6C28A3AE" w:rsidR="00FF39FB" w:rsidRPr="00FF39FB" w:rsidRDefault="00FF39FB" w:rsidP="00FF39FB">
      <w:r>
        <w:t xml:space="preserve">3.1 </w:t>
      </w:r>
      <w:r>
        <w:t>Results</w:t>
      </w:r>
    </w:p>
    <w:p w14:paraId="0DE9C41B" w14:textId="392DAD41" w:rsidR="001F7AFF" w:rsidRPr="004A085C" w:rsidRDefault="001F7AFF" w:rsidP="004A085C">
      <w:r>
        <w:t>[TO BE DRAFTED]</w:t>
      </w:r>
    </w:p>
    <w:p w14:paraId="5252096F" w14:textId="77777777" w:rsidR="006F713D" w:rsidRDefault="006F713D" w:rsidP="006F713D">
      <w:pPr>
        <w:pStyle w:val="Para"/>
        <w:numPr>
          <w:ilvl w:val="0"/>
          <w:numId w:val="0"/>
        </w:numPr>
      </w:pPr>
    </w:p>
    <w:p w14:paraId="11A2A9C2" w14:textId="77777777" w:rsidR="006F713D" w:rsidRDefault="006F713D" w:rsidP="006F713D">
      <w:pPr>
        <w:pStyle w:val="Para"/>
        <w:numPr>
          <w:ilvl w:val="0"/>
          <w:numId w:val="0"/>
        </w:numPr>
      </w:pPr>
    </w:p>
    <w:p w14:paraId="6C205D69" w14:textId="77777777" w:rsidR="006F713D" w:rsidRDefault="006F713D" w:rsidP="006F713D">
      <w:pPr>
        <w:pStyle w:val="Para"/>
        <w:numPr>
          <w:ilvl w:val="0"/>
          <w:numId w:val="0"/>
        </w:numPr>
      </w:pPr>
    </w:p>
    <w:p w14:paraId="62EBFC06" w14:textId="77777777" w:rsidR="00284623" w:rsidRPr="00085CE6" w:rsidRDefault="00284623" w:rsidP="002D5636">
      <w:pPr>
        <w:autoSpaceDE w:val="0"/>
        <w:autoSpaceDN w:val="0"/>
        <w:adjustRightInd w:val="0"/>
        <w:spacing w:after="0" w:line="240" w:lineRule="auto"/>
        <w:jc w:val="both"/>
        <w:rPr>
          <w:sz w:val="20"/>
          <w:szCs w:val="20"/>
        </w:rPr>
      </w:pPr>
    </w:p>
    <w:sectPr w:rsidR="00284623" w:rsidRPr="00085CE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A56F4B" w14:textId="77777777" w:rsidR="00CB1356" w:rsidRDefault="00CB1356" w:rsidP="00665F23">
      <w:pPr>
        <w:spacing w:after="0" w:line="240" w:lineRule="auto"/>
      </w:pPr>
      <w:r>
        <w:separator/>
      </w:r>
    </w:p>
  </w:endnote>
  <w:endnote w:type="continuationSeparator" w:id="0">
    <w:p w14:paraId="61BB8F0D" w14:textId="77777777" w:rsidR="00CB1356" w:rsidRDefault="00CB1356" w:rsidP="00665F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C0C290" w14:textId="77777777" w:rsidR="00CB1356" w:rsidRDefault="00CB1356" w:rsidP="00665F23">
      <w:pPr>
        <w:spacing w:after="0" w:line="240" w:lineRule="auto"/>
      </w:pPr>
      <w:r>
        <w:separator/>
      </w:r>
    </w:p>
  </w:footnote>
  <w:footnote w:type="continuationSeparator" w:id="0">
    <w:p w14:paraId="1E538D34" w14:textId="77777777" w:rsidR="00CB1356" w:rsidRDefault="00CB1356" w:rsidP="00665F23">
      <w:pPr>
        <w:spacing w:after="0" w:line="240" w:lineRule="auto"/>
      </w:pPr>
      <w:r>
        <w:continuationSeparator/>
      </w:r>
    </w:p>
  </w:footnote>
  <w:footnote w:id="1">
    <w:p w14:paraId="6CDA619C" w14:textId="77777777" w:rsidR="00665F23" w:rsidRPr="00040E8A" w:rsidRDefault="00665F23" w:rsidP="00665F23">
      <w:pPr>
        <w:pStyle w:val="FootnoteText"/>
        <w:ind w:right="85"/>
        <w:rPr>
          <w:szCs w:val="18"/>
        </w:rPr>
      </w:pPr>
      <w:r w:rsidRPr="00040E8A">
        <w:rPr>
          <w:szCs w:val="18"/>
          <w:vertAlign w:val="superscript"/>
        </w:rPr>
        <w:footnoteRef/>
      </w:r>
      <w:r w:rsidRPr="00040E8A">
        <w:rPr>
          <w:szCs w:val="18"/>
        </w:rPr>
        <w:t xml:space="preserve"> </w:t>
      </w:r>
      <w:r w:rsidRPr="00040E8A">
        <w:rPr>
          <w:rStyle w:val="ParaChar"/>
          <w:szCs w:val="18"/>
        </w:rPr>
        <w:t>Sometimes the parameters adjustment is facilitated by the similarity of structural form for some economic relationship between sectoral and CGE model. For example, if in both model the system of final demand of consumers may be summarized by a matrix of cross price-elasticities and income-elasticity, the CGE model could directly use the matrix from the sectoral model.</w:t>
      </w:r>
      <w:r w:rsidRPr="00040E8A">
        <w:rPr>
          <w:szCs w:val="18"/>
        </w:rPr>
        <w:t xml:space="preserve"> </w:t>
      </w:r>
    </w:p>
  </w:footnote>
  <w:footnote w:id="2">
    <w:p w14:paraId="10DF8F0B" w14:textId="77777777" w:rsidR="00665F23" w:rsidRPr="00F83D10" w:rsidRDefault="00665F23" w:rsidP="00665F23">
      <w:pPr>
        <w:pStyle w:val="Para"/>
        <w:numPr>
          <w:ilvl w:val="0"/>
          <w:numId w:val="0"/>
        </w:numPr>
      </w:pPr>
      <w:r w:rsidRPr="00040E8A">
        <w:rPr>
          <w:rStyle w:val="FootnoteReference"/>
          <w:sz w:val="18"/>
          <w:szCs w:val="18"/>
        </w:rPr>
        <w:footnoteRef/>
      </w:r>
      <w:r w:rsidRPr="00040E8A">
        <w:rPr>
          <w:sz w:val="18"/>
          <w:szCs w:val="18"/>
        </w:rPr>
        <w:t xml:space="preserve"> The representation of technology adoption and the associated capital investment, which are crucial drivers of emission reduction, differs in sectoral and general equilibrium models. Harmonising technology and capital investment implies a combination of adjustments in energy productivity parameters and CES elasticities, allowing vintage-differentiated capital in the macro model, or relying on marginal abatement cost curves estimates</w:t>
      </w:r>
      <w:sdt>
        <w:sdtPr>
          <w:rPr>
            <w:sz w:val="18"/>
            <w:szCs w:val="18"/>
          </w:rPr>
          <w:id w:val="-1236388387"/>
          <w:citation/>
        </w:sdtPr>
        <w:sdtContent>
          <w:r>
            <w:rPr>
              <w:sz w:val="18"/>
              <w:szCs w:val="18"/>
            </w:rPr>
            <w:fldChar w:fldCharType="begin"/>
          </w:r>
          <w:r>
            <w:rPr>
              <w:sz w:val="18"/>
              <w:szCs w:val="18"/>
            </w:rPr>
            <w:instrText xml:space="preserve"> CITATION CrossRef_2m__1KwKwn2Sn8cAjOQ5QAg \l 2057 </w:instrText>
          </w:r>
          <w:r>
            <w:rPr>
              <w:sz w:val="18"/>
              <w:szCs w:val="18"/>
            </w:rPr>
            <w:fldChar w:fldCharType="separate"/>
          </w:r>
          <w:r>
            <w:rPr>
              <w:noProof/>
              <w:sz w:val="18"/>
              <w:szCs w:val="18"/>
            </w:rPr>
            <w:t xml:space="preserve"> </w:t>
          </w:r>
          <w:r w:rsidRPr="003562E4">
            <w:rPr>
              <w:noProof/>
              <w:sz w:val="18"/>
              <w:szCs w:val="18"/>
            </w:rPr>
            <w:t>(Weitzel, Saveyn and Vandyck, 2019</w:t>
          </w:r>
          <w:r w:rsidRPr="003562E4">
            <w:rPr>
              <w:noProof/>
              <w:sz w:val="18"/>
              <w:szCs w:val="18"/>
              <w:vertAlign w:val="subscript"/>
            </w:rPr>
            <w:t>[32]</w:t>
          </w:r>
          <w:r w:rsidRPr="003562E4">
            <w:rPr>
              <w:noProof/>
              <w:sz w:val="18"/>
              <w:szCs w:val="18"/>
            </w:rPr>
            <w:t>)</w:t>
          </w:r>
          <w:r>
            <w:rPr>
              <w:sz w:val="18"/>
              <w:szCs w:val="18"/>
            </w:rPr>
            <w:fldChar w:fldCharType="end"/>
          </w:r>
        </w:sdtContent>
      </w:sdt>
      <w:r w:rsidRPr="00040E8A">
        <w:rPr>
          <w:sz w:val="18"/>
          <w:szCs w:val="18"/>
        </w:rPr>
        <w:t>.</w:t>
      </w:r>
    </w:p>
  </w:footnote>
  <w:footnote w:id="3">
    <w:p w14:paraId="3CBF2FB3" w14:textId="77777777" w:rsidR="004A085C" w:rsidRPr="00387959" w:rsidRDefault="004A085C" w:rsidP="004A085C">
      <w:pPr>
        <w:pStyle w:val="Para"/>
      </w:pPr>
      <w:r>
        <w:rPr>
          <w:rStyle w:val="FootnoteReference"/>
        </w:rPr>
        <w:footnoteRef/>
      </w:r>
      <w:r>
        <w:t xml:space="preserve"> More details about linking macro-economic and CGE models are provided in Fouré et al.</w:t>
      </w:r>
      <w:sdt>
        <w:sdtPr>
          <w:id w:val="1390690698"/>
          <w:citation/>
        </w:sdtPr>
        <w:sdtContent>
          <w:r>
            <w:fldChar w:fldCharType="begin"/>
          </w:r>
          <w:r>
            <w:instrText xml:space="preserve">CITATION CrossRef_GrIZSiz7xn4MI1KFxEC_aQ \n  \t  \l 2057 </w:instrText>
          </w:r>
          <w:r>
            <w:fldChar w:fldCharType="separate"/>
          </w:r>
          <w:r>
            <w:rPr>
              <w:noProof/>
            </w:rPr>
            <w:t xml:space="preserve"> </w:t>
          </w:r>
          <w:r w:rsidRPr="003562E4">
            <w:rPr>
              <w:noProof/>
            </w:rPr>
            <w:t>(2020</w:t>
          </w:r>
          <w:r w:rsidRPr="00387959">
            <w:rPr>
              <w:noProof/>
              <w:vertAlign w:val="subscript"/>
            </w:rPr>
            <w:t>[19]</w:t>
          </w:r>
          <w:r w:rsidRPr="003562E4">
            <w:rPr>
              <w:noProof/>
            </w:rPr>
            <w:t>)</w:t>
          </w:r>
          <w:r>
            <w:fldChar w:fldCharType="end"/>
          </w:r>
        </w:sdtContent>
      </w:sdt>
      <w:r>
        <w:t xml:space="preserve"> while details about more calibration of projected structural changes in CGE models are found in </w:t>
      </w:r>
      <w:sdt>
        <w:sdtPr>
          <w:id w:val="-1825417691"/>
          <w:citation/>
        </w:sdtPr>
        <w:sdtContent>
          <w:r>
            <w:fldChar w:fldCharType="begin"/>
          </w:r>
          <w:r w:rsidRPr="001367A9">
            <w:instrText xml:space="preserve">CITATION Cha20 \l 1036 </w:instrText>
          </w:r>
          <w:r>
            <w:fldChar w:fldCharType="separate"/>
          </w:r>
          <w:r w:rsidRPr="003562E4">
            <w:rPr>
              <w:noProof/>
            </w:rPr>
            <w:t>(</w:t>
          </w:r>
          <w:bookmarkStart w:id="11" w:name="Cha20_20"/>
          <w:r w:rsidRPr="003562E4">
            <w:rPr>
              <w:noProof/>
            </w:rPr>
            <w:t>Chateau et al., 2020</w:t>
          </w:r>
          <w:r w:rsidRPr="00387959">
            <w:rPr>
              <w:noProof/>
              <w:vertAlign w:val="subscript"/>
            </w:rPr>
            <w:t>[20]</w:t>
          </w:r>
          <w:r w:rsidRPr="003562E4">
            <w:rPr>
              <w:noProof/>
            </w:rPr>
            <w:t>)</w:t>
          </w:r>
          <w:bookmarkEnd w:id="11"/>
          <w:r>
            <w:fldChar w:fldCharType="end"/>
          </w:r>
        </w:sdtContent>
      </w:sdt>
    </w:p>
  </w:footnote>
  <w:footnote w:id="4">
    <w:p w14:paraId="207A83B1" w14:textId="77777777" w:rsidR="009D6A28" w:rsidRPr="00C9311F" w:rsidRDefault="009D6A28" w:rsidP="009D6A28">
      <w:pPr>
        <w:pStyle w:val="FootnoteText"/>
      </w:pPr>
      <w:r>
        <w:rPr>
          <w:rStyle w:val="FootnoteReference"/>
        </w:rPr>
        <w:footnoteRef/>
      </w:r>
      <w:r>
        <w:t xml:space="preserve"> </w:t>
      </w:r>
      <w:r w:rsidRPr="00C9311F">
        <w:t>Originally implemented in 2008</w:t>
      </w:r>
      <w:r>
        <w:t xml:space="preserve"> is </w:t>
      </w:r>
      <w:r w:rsidRPr="002D2455">
        <w:t>part of the “</w:t>
      </w:r>
      <w:r w:rsidRPr="002D2455">
        <w:rPr>
          <w:i/>
          <w:iCs/>
        </w:rPr>
        <w:t>CO</w:t>
      </w:r>
      <w:r w:rsidRPr="002D2455">
        <w:rPr>
          <w:i/>
          <w:iCs/>
          <w:vertAlign w:val="subscript"/>
        </w:rPr>
        <w:t>2</w:t>
      </w:r>
      <w:r w:rsidRPr="002D2455">
        <w:rPr>
          <w:i/>
          <w:iCs/>
        </w:rPr>
        <w:t xml:space="preserve"> Act</w:t>
      </w:r>
      <w:r w:rsidRPr="002D2455">
        <w:t>”.</w:t>
      </w:r>
    </w:p>
  </w:footnote>
  <w:footnote w:id="5">
    <w:p w14:paraId="171ADC78" w14:textId="77777777" w:rsidR="009D6A28" w:rsidRPr="004337A3" w:rsidRDefault="009D6A28" w:rsidP="009D6A28">
      <w:pPr>
        <w:pStyle w:val="FootnoteText"/>
      </w:pPr>
      <w:r>
        <w:rPr>
          <w:rStyle w:val="FootnoteReference"/>
        </w:rPr>
        <w:footnoteRef/>
      </w:r>
      <w:r>
        <w:t xml:space="preserve"> </w:t>
      </w:r>
      <w:r w:rsidRPr="006B7814">
        <w:rPr>
          <w:rFonts w:cstheme="minorHAnsi"/>
          <w:shd w:val="clear" w:color="auto" w:fill="FFFFFF"/>
        </w:rPr>
        <w:t xml:space="preserve">according to </w:t>
      </w:r>
      <w:r>
        <w:rPr>
          <w:rFonts w:cstheme="minorHAnsi"/>
          <w:shd w:val="clear" w:color="auto" w:fill="FFFFFF"/>
        </w:rPr>
        <w:t>the Swiss authorities</w:t>
      </w:r>
      <w:r w:rsidRPr="006B7814">
        <w:rPr>
          <w:rFonts w:cstheme="minorHAnsi"/>
          <w:shd w:val="clear" w:color="auto" w:fill="FFFFFF"/>
        </w:rPr>
        <w:t xml:space="preserve"> it will not change</w:t>
      </w:r>
    </w:p>
  </w:footnote>
  <w:footnote w:id="6">
    <w:p w14:paraId="7C889FC9" w14:textId="77777777" w:rsidR="009D6A28" w:rsidRPr="007A47C6" w:rsidRDefault="009D6A28" w:rsidP="009D6A28">
      <w:pPr>
        <w:pStyle w:val="FootnoteText"/>
      </w:pPr>
      <w:r>
        <w:rPr>
          <w:rStyle w:val="FootnoteReference"/>
        </w:rPr>
        <w:footnoteRef/>
      </w:r>
      <w:r>
        <w:t xml:space="preserve"> </w:t>
      </w:r>
      <w:r w:rsidRPr="007A47C6">
        <w:t>Originally i</w:t>
      </w:r>
      <w:r>
        <w:t>mplemented in 1997.</w:t>
      </w:r>
    </w:p>
  </w:footnote>
  <w:footnote w:id="7">
    <w:p w14:paraId="2066EB11" w14:textId="77777777" w:rsidR="009D6A28" w:rsidRPr="002D2455" w:rsidRDefault="009D6A28" w:rsidP="009D6A28">
      <w:pPr>
        <w:rPr>
          <w:sz w:val="20"/>
          <w:szCs w:val="20"/>
        </w:rPr>
      </w:pPr>
      <w:r>
        <w:rPr>
          <w:rStyle w:val="FootnoteReference"/>
        </w:rPr>
        <w:footnoteRef/>
      </w:r>
      <w:r>
        <w:t xml:space="preserve"> </w:t>
      </w:r>
      <w:r w:rsidRPr="00EB75B5">
        <w:rPr>
          <w:sz w:val="18"/>
          <w:szCs w:val="18"/>
        </w:rPr>
        <w:t>Originally implemented in 2015 and in line with EU regulation (2020):</w:t>
      </w:r>
      <w:r w:rsidRPr="00EB75B5">
        <w:rPr>
          <w:rFonts w:eastAsia="Times New Roman"/>
          <w:sz w:val="20"/>
          <w:szCs w:val="20"/>
        </w:rPr>
        <w:t xml:space="preserve"> </w:t>
      </w:r>
      <w:hyperlink r:id="rId1" w:history="1">
        <w:r w:rsidRPr="00EB75B5">
          <w:rPr>
            <w:rStyle w:val="Hyperlink"/>
            <w:sz w:val="18"/>
            <w:szCs w:val="16"/>
          </w:rPr>
          <w:t>Road transport: Reducing CO₂ emissions from vehicles - European Commission</w:t>
        </w:r>
      </w:hyperlink>
      <w:r w:rsidRPr="00EB75B5">
        <w:rPr>
          <w:sz w:val="16"/>
          <w:szCs w:val="16"/>
        </w:rPr>
        <w:t>.</w:t>
      </w:r>
      <w:r w:rsidRPr="00EB75B5">
        <w:rPr>
          <w:sz w:val="18"/>
          <w:szCs w:val="18"/>
        </w:rPr>
        <w:t xml:space="preserve"> It is part of the “</w:t>
      </w:r>
      <w:r w:rsidRPr="00EB75B5">
        <w:rPr>
          <w:i/>
          <w:iCs/>
          <w:sz w:val="18"/>
          <w:szCs w:val="18"/>
        </w:rPr>
        <w:t>CO</w:t>
      </w:r>
      <w:r w:rsidRPr="00EB75B5">
        <w:rPr>
          <w:i/>
          <w:iCs/>
          <w:sz w:val="18"/>
          <w:szCs w:val="18"/>
          <w:vertAlign w:val="subscript"/>
        </w:rPr>
        <w:t>2</w:t>
      </w:r>
      <w:r w:rsidRPr="00EB75B5">
        <w:rPr>
          <w:i/>
          <w:iCs/>
          <w:sz w:val="18"/>
          <w:szCs w:val="18"/>
        </w:rPr>
        <w:t xml:space="preserve"> Act</w:t>
      </w:r>
      <w:r w:rsidRPr="00EB75B5">
        <w:rPr>
          <w:sz w:val="18"/>
          <w:szCs w:val="18"/>
        </w:rPr>
        <w:t>”.</w:t>
      </w:r>
    </w:p>
  </w:footnote>
  <w:footnote w:id="8">
    <w:p w14:paraId="2754A732" w14:textId="77777777" w:rsidR="009D6A28" w:rsidRPr="00FB6BBA" w:rsidRDefault="009D6A28" w:rsidP="009D6A28">
      <w:pPr>
        <w:pStyle w:val="FootnoteText"/>
      </w:pPr>
      <w:r>
        <w:rPr>
          <w:rStyle w:val="FootnoteReference"/>
        </w:rPr>
        <w:footnoteRef/>
      </w:r>
      <w:r>
        <w:t xml:space="preserve"> </w:t>
      </w:r>
      <w:r w:rsidRPr="008D4B68">
        <w:t>Originally</w:t>
      </w:r>
      <w:r w:rsidRPr="00FB6BBA">
        <w:t xml:space="preserve"> </w:t>
      </w:r>
      <w:r w:rsidRPr="008D4B68">
        <w:t>implemented</w:t>
      </w:r>
      <w:r w:rsidRPr="00FB6BBA">
        <w:t xml:space="preserve"> in 2015.</w:t>
      </w:r>
    </w:p>
  </w:footnote>
  <w:footnote w:id="9">
    <w:p w14:paraId="759EEF98" w14:textId="77777777" w:rsidR="009D6A28" w:rsidRPr="006F1039" w:rsidRDefault="009D6A28" w:rsidP="009D6A28">
      <w:pPr>
        <w:pStyle w:val="FootnoteText"/>
      </w:pPr>
      <w:r>
        <w:rPr>
          <w:rStyle w:val="FootnoteReference"/>
        </w:rPr>
        <w:footnoteRef/>
      </w:r>
      <w:r>
        <w:t xml:space="preserve"> First implemented in 2010.</w:t>
      </w:r>
    </w:p>
  </w:footnote>
  <w:footnote w:id="10">
    <w:p w14:paraId="6D5A9087" w14:textId="77777777" w:rsidR="009D6A28" w:rsidRPr="00F46D02" w:rsidRDefault="009D6A28" w:rsidP="009D6A28">
      <w:pPr>
        <w:pStyle w:val="FootnoteText"/>
      </w:pPr>
      <w:r>
        <w:rPr>
          <w:rStyle w:val="FootnoteReference"/>
        </w:rPr>
        <w:footnoteRef/>
      </w:r>
      <w:r>
        <w:t xml:space="preserve"> Some example and numbers for 2022 are provided </w:t>
      </w:r>
      <w:hyperlink r:id="rId2" w:history="1">
        <w:r w:rsidRPr="00F46D02">
          <w:rPr>
            <w:rStyle w:val="Hyperlink"/>
          </w:rPr>
          <w:t>here</w:t>
        </w:r>
      </w:hyperlink>
      <w:r>
        <w:t>.</w:t>
      </w:r>
    </w:p>
  </w:footnote>
  <w:footnote w:id="11">
    <w:p w14:paraId="4667840D" w14:textId="77777777" w:rsidR="009D6A28" w:rsidRPr="004337A3" w:rsidRDefault="009D6A28" w:rsidP="009D6A28">
      <w:pPr>
        <w:pStyle w:val="FootnoteText"/>
      </w:pPr>
      <w:r>
        <w:rPr>
          <w:rStyle w:val="FootnoteReference"/>
        </w:rPr>
        <w:footnoteRef/>
      </w:r>
      <w:r>
        <w:t xml:space="preserve"> </w:t>
      </w:r>
      <w:r w:rsidRPr="006B7814">
        <w:rPr>
          <w:rFonts w:cstheme="minorHAnsi"/>
          <w:shd w:val="clear" w:color="auto" w:fill="FFFFFF"/>
        </w:rPr>
        <w:t xml:space="preserve">according to </w:t>
      </w:r>
      <w:r>
        <w:rPr>
          <w:rFonts w:cstheme="minorHAnsi"/>
          <w:shd w:val="clear" w:color="auto" w:fill="FFFFFF"/>
        </w:rPr>
        <w:t>the Swiss authorities</w:t>
      </w:r>
      <w:r w:rsidRPr="006B7814">
        <w:rPr>
          <w:rFonts w:cstheme="minorHAnsi"/>
          <w:shd w:val="clear" w:color="auto" w:fill="FFFFFF"/>
        </w:rPr>
        <w:t xml:space="preserve"> it will not change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F67DA"/>
    <w:multiLevelType w:val="hybridMultilevel"/>
    <w:tmpl w:val="D2B6133A"/>
    <w:lvl w:ilvl="0" w:tplc="0A3E3808">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CE3327"/>
    <w:multiLevelType w:val="hybridMultilevel"/>
    <w:tmpl w:val="306C05B6"/>
    <w:lvl w:ilvl="0" w:tplc="A3FEF1CE">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625AD3"/>
    <w:multiLevelType w:val="hybridMultilevel"/>
    <w:tmpl w:val="FB744226"/>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3" w15:restartNumberingAfterBreak="0">
    <w:nsid w:val="18924D42"/>
    <w:multiLevelType w:val="singleLevel"/>
    <w:tmpl w:val="A6EE71F0"/>
    <w:lvl w:ilvl="0">
      <w:start w:val="1"/>
      <w:numFmt w:val="decimal"/>
      <w:lvlText w:val="%1."/>
      <w:lvlJc w:val="left"/>
      <w:pPr>
        <w:tabs>
          <w:tab w:val="num" w:pos="680"/>
        </w:tabs>
        <w:ind w:left="680" w:firstLine="0"/>
      </w:pPr>
      <w:rPr>
        <w:rFonts w:hint="default"/>
        <w:b w:val="0"/>
        <w:i w:val="0"/>
        <w:color w:val="auto"/>
        <w:sz w:val="22"/>
      </w:rPr>
    </w:lvl>
  </w:abstractNum>
  <w:abstractNum w:abstractNumId="4" w15:restartNumberingAfterBreak="0">
    <w:nsid w:val="1D9E71E7"/>
    <w:multiLevelType w:val="hybridMultilevel"/>
    <w:tmpl w:val="0E9233E4"/>
    <w:lvl w:ilvl="0" w:tplc="24B6E568">
      <w:start w:val="1"/>
      <w:numFmt w:val="upperLetter"/>
      <w:lvlText w:val="%1."/>
      <w:lvlJc w:val="left"/>
      <w:pPr>
        <w:ind w:left="720" w:hanging="360"/>
      </w:pPr>
      <w:rPr>
        <w:rFonts w:hint="default"/>
        <w:i/>
        <w:i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5A1521B"/>
    <w:multiLevelType w:val="hybridMultilevel"/>
    <w:tmpl w:val="EE9C8232"/>
    <w:lvl w:ilvl="0" w:tplc="18EA0DCE">
      <w:start w:val="1"/>
      <w:numFmt w:val="decimal"/>
      <w:pStyle w:val="Para"/>
      <w:lvlText w:val="%1."/>
      <w:lvlJc w:val="left"/>
      <w:pPr>
        <w:tabs>
          <w:tab w:val="num" w:pos="720"/>
        </w:tabs>
        <w:ind w:left="0" w:firstLine="0"/>
      </w:pPr>
      <w:rPr>
        <w:rFonts w:hint="default"/>
      </w:rPr>
    </w:lvl>
    <w:lvl w:ilvl="1" w:tplc="08090019" w:tentative="1">
      <w:start w:val="1"/>
      <w:numFmt w:val="lowerLetter"/>
      <w:lvlText w:val="%2."/>
      <w:lvlJc w:val="left"/>
      <w:pPr>
        <w:ind w:left="2120" w:hanging="360"/>
      </w:pPr>
    </w:lvl>
    <w:lvl w:ilvl="2" w:tplc="0809001B" w:tentative="1">
      <w:start w:val="1"/>
      <w:numFmt w:val="lowerRoman"/>
      <w:lvlText w:val="%3."/>
      <w:lvlJc w:val="right"/>
      <w:pPr>
        <w:ind w:left="2840" w:hanging="180"/>
      </w:pPr>
    </w:lvl>
    <w:lvl w:ilvl="3" w:tplc="0809000F" w:tentative="1">
      <w:start w:val="1"/>
      <w:numFmt w:val="decimal"/>
      <w:lvlText w:val="%4."/>
      <w:lvlJc w:val="left"/>
      <w:pPr>
        <w:ind w:left="3560" w:hanging="360"/>
      </w:pPr>
    </w:lvl>
    <w:lvl w:ilvl="4" w:tplc="08090019" w:tentative="1">
      <w:start w:val="1"/>
      <w:numFmt w:val="lowerLetter"/>
      <w:lvlText w:val="%5."/>
      <w:lvlJc w:val="left"/>
      <w:pPr>
        <w:ind w:left="4280" w:hanging="360"/>
      </w:pPr>
    </w:lvl>
    <w:lvl w:ilvl="5" w:tplc="0809001B" w:tentative="1">
      <w:start w:val="1"/>
      <w:numFmt w:val="lowerRoman"/>
      <w:lvlText w:val="%6."/>
      <w:lvlJc w:val="right"/>
      <w:pPr>
        <w:ind w:left="5000" w:hanging="180"/>
      </w:pPr>
    </w:lvl>
    <w:lvl w:ilvl="6" w:tplc="0809000F" w:tentative="1">
      <w:start w:val="1"/>
      <w:numFmt w:val="decimal"/>
      <w:lvlText w:val="%7."/>
      <w:lvlJc w:val="left"/>
      <w:pPr>
        <w:ind w:left="5720" w:hanging="360"/>
      </w:pPr>
    </w:lvl>
    <w:lvl w:ilvl="7" w:tplc="08090019" w:tentative="1">
      <w:start w:val="1"/>
      <w:numFmt w:val="lowerLetter"/>
      <w:lvlText w:val="%8."/>
      <w:lvlJc w:val="left"/>
      <w:pPr>
        <w:ind w:left="6440" w:hanging="360"/>
      </w:pPr>
    </w:lvl>
    <w:lvl w:ilvl="8" w:tplc="0809001B" w:tentative="1">
      <w:start w:val="1"/>
      <w:numFmt w:val="lowerRoman"/>
      <w:lvlText w:val="%9."/>
      <w:lvlJc w:val="right"/>
      <w:pPr>
        <w:ind w:left="7160" w:hanging="180"/>
      </w:pPr>
    </w:lvl>
  </w:abstractNum>
  <w:abstractNum w:abstractNumId="6" w15:restartNumberingAfterBreak="0">
    <w:nsid w:val="4554752D"/>
    <w:multiLevelType w:val="hybridMultilevel"/>
    <w:tmpl w:val="0FA4857A"/>
    <w:lvl w:ilvl="0" w:tplc="6F4E8212">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D2E2931"/>
    <w:multiLevelType w:val="hybridMultilevel"/>
    <w:tmpl w:val="46582BCC"/>
    <w:lvl w:ilvl="0" w:tplc="E078FED0">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503426F7"/>
    <w:multiLevelType w:val="hybridMultilevel"/>
    <w:tmpl w:val="01DA6CE8"/>
    <w:lvl w:ilvl="0" w:tplc="04090001">
      <w:start w:val="1"/>
      <w:numFmt w:val="bullet"/>
      <w:lvlText w:val=""/>
      <w:lvlJc w:val="left"/>
      <w:pPr>
        <w:ind w:left="785" w:hanging="360"/>
      </w:pPr>
      <w:rPr>
        <w:rFonts w:ascii="Symbol" w:hAnsi="Symbol" w:hint="default"/>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9" w15:restartNumberingAfterBreak="0">
    <w:nsid w:val="6E9773D2"/>
    <w:multiLevelType w:val="hybridMultilevel"/>
    <w:tmpl w:val="7208F692"/>
    <w:lvl w:ilvl="0" w:tplc="54128ACE">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72B31E28"/>
    <w:multiLevelType w:val="hybridMultilevel"/>
    <w:tmpl w:val="474CB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53662E4"/>
    <w:multiLevelType w:val="hybridMultilevel"/>
    <w:tmpl w:val="477CC64E"/>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12" w15:restartNumberingAfterBreak="0">
    <w:nsid w:val="7BFC510A"/>
    <w:multiLevelType w:val="hybridMultilevel"/>
    <w:tmpl w:val="6324CF1A"/>
    <w:lvl w:ilvl="0" w:tplc="C1D6D286">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52912349">
    <w:abstractNumId w:val="5"/>
  </w:num>
  <w:num w:numId="2" w16cid:durableId="1922180205">
    <w:abstractNumId w:val="3"/>
  </w:num>
  <w:num w:numId="3" w16cid:durableId="659964284">
    <w:abstractNumId w:val="11"/>
  </w:num>
  <w:num w:numId="4" w16cid:durableId="1623994164">
    <w:abstractNumId w:val="8"/>
  </w:num>
  <w:num w:numId="5" w16cid:durableId="877401055">
    <w:abstractNumId w:val="9"/>
  </w:num>
  <w:num w:numId="6" w16cid:durableId="390082276">
    <w:abstractNumId w:val="4"/>
  </w:num>
  <w:num w:numId="7" w16cid:durableId="720593074">
    <w:abstractNumId w:val="2"/>
  </w:num>
  <w:num w:numId="8" w16cid:durableId="1215197185">
    <w:abstractNumId w:val="0"/>
  </w:num>
  <w:num w:numId="9" w16cid:durableId="767431194">
    <w:abstractNumId w:val="1"/>
  </w:num>
  <w:num w:numId="10" w16cid:durableId="691491333">
    <w:abstractNumId w:val="12"/>
  </w:num>
  <w:num w:numId="11" w16cid:durableId="1333684837">
    <w:abstractNumId w:val="6"/>
  </w:num>
  <w:num w:numId="12" w16cid:durableId="1900704045">
    <w:abstractNumId w:val="7"/>
  </w:num>
  <w:num w:numId="13" w16cid:durableId="18363670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63E6"/>
    <w:rsid w:val="000109A5"/>
    <w:rsid w:val="00085CE6"/>
    <w:rsid w:val="000952AD"/>
    <w:rsid w:val="000C50EA"/>
    <w:rsid w:val="00105996"/>
    <w:rsid w:val="001601B6"/>
    <w:rsid w:val="00186ACD"/>
    <w:rsid w:val="001F7AFF"/>
    <w:rsid w:val="00221274"/>
    <w:rsid w:val="002447AA"/>
    <w:rsid w:val="0028095D"/>
    <w:rsid w:val="00284623"/>
    <w:rsid w:val="00291E9E"/>
    <w:rsid w:val="00293B69"/>
    <w:rsid w:val="002B36D2"/>
    <w:rsid w:val="002D5636"/>
    <w:rsid w:val="002F0FD0"/>
    <w:rsid w:val="002F7FAD"/>
    <w:rsid w:val="003257D6"/>
    <w:rsid w:val="00365CD6"/>
    <w:rsid w:val="0038235B"/>
    <w:rsid w:val="00387959"/>
    <w:rsid w:val="00396E54"/>
    <w:rsid w:val="0041365F"/>
    <w:rsid w:val="00424D03"/>
    <w:rsid w:val="00487415"/>
    <w:rsid w:val="00495B9E"/>
    <w:rsid w:val="004A085C"/>
    <w:rsid w:val="004C4570"/>
    <w:rsid w:val="004E52D6"/>
    <w:rsid w:val="005139E1"/>
    <w:rsid w:val="00542667"/>
    <w:rsid w:val="00557984"/>
    <w:rsid w:val="00565357"/>
    <w:rsid w:val="00565600"/>
    <w:rsid w:val="00573F40"/>
    <w:rsid w:val="00597862"/>
    <w:rsid w:val="005B7FA2"/>
    <w:rsid w:val="005C02B1"/>
    <w:rsid w:val="005D45BA"/>
    <w:rsid w:val="00665F23"/>
    <w:rsid w:val="00692CFC"/>
    <w:rsid w:val="006A2CCE"/>
    <w:rsid w:val="006B4444"/>
    <w:rsid w:val="006F713D"/>
    <w:rsid w:val="007011F5"/>
    <w:rsid w:val="00720CA0"/>
    <w:rsid w:val="00726E8C"/>
    <w:rsid w:val="00746283"/>
    <w:rsid w:val="00760001"/>
    <w:rsid w:val="00761FF1"/>
    <w:rsid w:val="007863E6"/>
    <w:rsid w:val="007C3310"/>
    <w:rsid w:val="007F3377"/>
    <w:rsid w:val="008C1763"/>
    <w:rsid w:val="008D795A"/>
    <w:rsid w:val="008E2DCE"/>
    <w:rsid w:val="00971DA6"/>
    <w:rsid w:val="00987C6D"/>
    <w:rsid w:val="009D6A28"/>
    <w:rsid w:val="00A17D89"/>
    <w:rsid w:val="00A2230F"/>
    <w:rsid w:val="00A223FE"/>
    <w:rsid w:val="00A344AD"/>
    <w:rsid w:val="00A50471"/>
    <w:rsid w:val="00B2015B"/>
    <w:rsid w:val="00B921E1"/>
    <w:rsid w:val="00B92920"/>
    <w:rsid w:val="00BC070F"/>
    <w:rsid w:val="00C17068"/>
    <w:rsid w:val="00C371D9"/>
    <w:rsid w:val="00CA55A9"/>
    <w:rsid w:val="00CB1356"/>
    <w:rsid w:val="00CC2442"/>
    <w:rsid w:val="00CE17C8"/>
    <w:rsid w:val="00D1732D"/>
    <w:rsid w:val="00D261F2"/>
    <w:rsid w:val="00D368DC"/>
    <w:rsid w:val="00D47258"/>
    <w:rsid w:val="00D47362"/>
    <w:rsid w:val="00D8626A"/>
    <w:rsid w:val="00DB2997"/>
    <w:rsid w:val="00DB496A"/>
    <w:rsid w:val="00DC3F03"/>
    <w:rsid w:val="00DD7F2A"/>
    <w:rsid w:val="00DE7035"/>
    <w:rsid w:val="00E64991"/>
    <w:rsid w:val="00E661BF"/>
    <w:rsid w:val="00E720D2"/>
    <w:rsid w:val="00EE43EB"/>
    <w:rsid w:val="00EF7E0E"/>
    <w:rsid w:val="00F01D4B"/>
    <w:rsid w:val="00F043BC"/>
    <w:rsid w:val="00F13A68"/>
    <w:rsid w:val="00F50746"/>
    <w:rsid w:val="00F51FE1"/>
    <w:rsid w:val="00FA26B2"/>
    <w:rsid w:val="00FB1596"/>
    <w:rsid w:val="00FD32A5"/>
    <w:rsid w:val="00FE4C29"/>
    <w:rsid w:val="00FF2D46"/>
    <w:rsid w:val="00FF39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7022C6"/>
  <w15:chartTrackingRefBased/>
  <w15:docId w15:val="{66F580A8-CD46-4A70-8E5A-01C87EE7D1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F713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665F2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64991"/>
    <w:rPr>
      <w:color w:val="0000FF"/>
      <w:u w:val="single"/>
    </w:rPr>
  </w:style>
  <w:style w:type="paragraph" w:customStyle="1" w:styleId="CoverWorkingParty">
    <w:name w:val="CoverWorkingParty"/>
    <w:basedOn w:val="Normal"/>
    <w:rsid w:val="006F713D"/>
    <w:pPr>
      <w:widowControl w:val="0"/>
      <w:spacing w:after="0" w:line="240" w:lineRule="auto"/>
    </w:pPr>
    <w:rPr>
      <w:rFonts w:asciiTheme="majorHAnsi" w:hAnsiTheme="majorHAnsi"/>
      <w:b/>
      <w:sz w:val="24"/>
    </w:rPr>
  </w:style>
  <w:style w:type="character" w:customStyle="1" w:styleId="Heading1Char">
    <w:name w:val="Heading 1 Char"/>
    <w:basedOn w:val="DefaultParagraphFont"/>
    <w:link w:val="Heading1"/>
    <w:uiPriority w:val="9"/>
    <w:rsid w:val="006F713D"/>
    <w:rPr>
      <w:rFonts w:asciiTheme="majorHAnsi" w:eastAsiaTheme="majorEastAsia" w:hAnsiTheme="majorHAnsi" w:cstheme="majorBidi"/>
      <w:color w:val="2F5496" w:themeColor="accent1" w:themeShade="BF"/>
      <w:sz w:val="32"/>
      <w:szCs w:val="32"/>
    </w:rPr>
  </w:style>
  <w:style w:type="paragraph" w:styleId="Subtitle">
    <w:name w:val="Subtitle"/>
    <w:basedOn w:val="Normal"/>
    <w:next w:val="Normal"/>
    <w:link w:val="SubtitleChar"/>
    <w:uiPriority w:val="11"/>
    <w:qFormat/>
    <w:rsid w:val="006F713D"/>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6F713D"/>
    <w:rPr>
      <w:rFonts w:eastAsiaTheme="minorEastAsia"/>
      <w:color w:val="5A5A5A" w:themeColor="text1" w:themeTint="A5"/>
      <w:spacing w:val="15"/>
    </w:rPr>
  </w:style>
  <w:style w:type="paragraph" w:customStyle="1" w:styleId="Para">
    <w:name w:val="Para #"/>
    <w:link w:val="ParaChar"/>
    <w:uiPriority w:val="4"/>
    <w:qFormat/>
    <w:rsid w:val="006F713D"/>
    <w:pPr>
      <w:numPr>
        <w:numId w:val="1"/>
      </w:numPr>
      <w:spacing w:before="120" w:after="120" w:line="260" w:lineRule="atLeast"/>
      <w:jc w:val="both"/>
    </w:pPr>
    <w:rPr>
      <w:sz w:val="20"/>
    </w:rPr>
  </w:style>
  <w:style w:type="character" w:customStyle="1" w:styleId="ParaChar">
    <w:name w:val="Para # Char"/>
    <w:basedOn w:val="DefaultParagraphFont"/>
    <w:link w:val="Para"/>
    <w:uiPriority w:val="4"/>
    <w:rsid w:val="006F713D"/>
    <w:rPr>
      <w:sz w:val="20"/>
    </w:rPr>
  </w:style>
  <w:style w:type="character" w:styleId="CommentReference">
    <w:name w:val="annotation reference"/>
    <w:basedOn w:val="DefaultParagraphFont"/>
    <w:uiPriority w:val="99"/>
    <w:semiHidden/>
    <w:unhideWhenUsed/>
    <w:rsid w:val="00665F23"/>
    <w:rPr>
      <w:sz w:val="16"/>
      <w:szCs w:val="16"/>
    </w:rPr>
  </w:style>
  <w:style w:type="paragraph" w:styleId="CommentText">
    <w:name w:val="annotation text"/>
    <w:basedOn w:val="Normal"/>
    <w:link w:val="CommentTextChar"/>
    <w:uiPriority w:val="99"/>
    <w:unhideWhenUsed/>
    <w:rsid w:val="00665F23"/>
    <w:pPr>
      <w:widowControl w:val="0"/>
      <w:spacing w:after="0" w:line="240" w:lineRule="auto"/>
      <w:jc w:val="both"/>
    </w:pPr>
    <w:rPr>
      <w:sz w:val="20"/>
      <w:szCs w:val="20"/>
    </w:rPr>
  </w:style>
  <w:style w:type="character" w:customStyle="1" w:styleId="CommentTextChar">
    <w:name w:val="Comment Text Char"/>
    <w:basedOn w:val="DefaultParagraphFont"/>
    <w:link w:val="CommentText"/>
    <w:uiPriority w:val="99"/>
    <w:rsid w:val="00665F23"/>
    <w:rPr>
      <w:sz w:val="20"/>
      <w:szCs w:val="20"/>
    </w:rPr>
  </w:style>
  <w:style w:type="paragraph" w:styleId="Caption">
    <w:name w:val="caption"/>
    <w:next w:val="Normal"/>
    <w:uiPriority w:val="35"/>
    <w:unhideWhenUsed/>
    <w:rsid w:val="00665F23"/>
    <w:pPr>
      <w:keepNext/>
      <w:spacing w:before="360" w:after="180" w:line="280" w:lineRule="exact"/>
    </w:pPr>
    <w:rPr>
      <w:rFonts w:asciiTheme="majorHAnsi" w:hAnsiTheme="majorHAnsi"/>
      <w:b/>
      <w:iCs/>
      <w:color w:val="4472C4" w:themeColor="accent1"/>
      <w:sz w:val="24"/>
      <w:szCs w:val="18"/>
    </w:rPr>
  </w:style>
  <w:style w:type="character" w:customStyle="1" w:styleId="Heading2Char">
    <w:name w:val="Heading 2 Char"/>
    <w:basedOn w:val="DefaultParagraphFont"/>
    <w:link w:val="Heading2"/>
    <w:uiPriority w:val="9"/>
    <w:rsid w:val="00665F23"/>
    <w:rPr>
      <w:rFonts w:asciiTheme="majorHAnsi" w:eastAsiaTheme="majorEastAsia" w:hAnsiTheme="majorHAnsi" w:cstheme="majorBidi"/>
      <w:color w:val="2F5496" w:themeColor="accent1" w:themeShade="BF"/>
      <w:sz w:val="26"/>
      <w:szCs w:val="26"/>
    </w:rPr>
  </w:style>
  <w:style w:type="paragraph" w:styleId="FootnoteText">
    <w:name w:val="footnote text"/>
    <w:link w:val="FootnoteTextChar"/>
    <w:uiPriority w:val="99"/>
    <w:unhideWhenUsed/>
    <w:rsid w:val="00665F23"/>
    <w:pPr>
      <w:spacing w:after="120" w:line="240" w:lineRule="exact"/>
      <w:jc w:val="both"/>
    </w:pPr>
    <w:rPr>
      <w:sz w:val="18"/>
      <w:szCs w:val="20"/>
    </w:rPr>
  </w:style>
  <w:style w:type="character" w:customStyle="1" w:styleId="FootnoteTextChar">
    <w:name w:val="Footnote Text Char"/>
    <w:basedOn w:val="DefaultParagraphFont"/>
    <w:link w:val="FootnoteText"/>
    <w:uiPriority w:val="99"/>
    <w:rsid w:val="00665F23"/>
    <w:rPr>
      <w:sz w:val="18"/>
      <w:szCs w:val="20"/>
    </w:rPr>
  </w:style>
  <w:style w:type="character" w:styleId="FootnoteReference">
    <w:name w:val="footnote reference"/>
    <w:basedOn w:val="DefaultParagraphFont"/>
    <w:uiPriority w:val="99"/>
    <w:unhideWhenUsed/>
    <w:rsid w:val="00665F23"/>
    <w:rPr>
      <w:rFonts w:asciiTheme="minorHAnsi" w:hAnsiTheme="minorHAnsi"/>
      <w:sz w:val="22"/>
      <w:vertAlign w:val="superscript"/>
    </w:rPr>
  </w:style>
  <w:style w:type="character" w:customStyle="1" w:styleId="CoverCote">
    <w:name w:val="CoverCote"/>
    <w:basedOn w:val="DefaultParagraphFont"/>
    <w:rsid w:val="00665F23"/>
    <w:rPr>
      <w:rFonts w:asciiTheme="majorHAnsi" w:hAnsiTheme="majorHAnsi"/>
      <w:b/>
      <w:caps/>
      <w:smallCaps w:val="0"/>
      <w:sz w:val="22"/>
    </w:rPr>
  </w:style>
  <w:style w:type="paragraph" w:styleId="ListParagraph">
    <w:name w:val="List Paragraph"/>
    <w:basedOn w:val="Normal"/>
    <w:uiPriority w:val="34"/>
    <w:qFormat/>
    <w:rsid w:val="009D6A28"/>
    <w:pPr>
      <w:widowControl w:val="0"/>
      <w:spacing w:after="0" w:line="240" w:lineRule="auto"/>
      <w:ind w:left="720"/>
      <w:contextualSpacing/>
      <w:jc w:val="both"/>
    </w:pPr>
  </w:style>
  <w:style w:type="character" w:customStyle="1" w:styleId="ui-provider">
    <w:name w:val="ui-provider"/>
    <w:basedOn w:val="DefaultParagraphFont"/>
    <w:rsid w:val="009D6A28"/>
  </w:style>
  <w:style w:type="paragraph" w:customStyle="1" w:styleId="Para0">
    <w:name w:val="Para"/>
    <w:link w:val="ParaChar0"/>
    <w:uiPriority w:val="4"/>
    <w:qFormat/>
    <w:rsid w:val="009D6A28"/>
    <w:pPr>
      <w:spacing w:before="120" w:after="120" w:line="260" w:lineRule="atLeast"/>
      <w:jc w:val="both"/>
    </w:pPr>
    <w:rPr>
      <w:color w:val="000000" w:themeColor="text1"/>
      <w:sz w:val="20"/>
    </w:rPr>
  </w:style>
  <w:style w:type="character" w:customStyle="1" w:styleId="ParaChar0">
    <w:name w:val="Para Char"/>
    <w:basedOn w:val="DefaultParagraphFont"/>
    <w:link w:val="Para0"/>
    <w:uiPriority w:val="4"/>
    <w:rsid w:val="009D6A28"/>
    <w:rPr>
      <w:color w:val="000000" w:themeColor="text1"/>
      <w:sz w:val="20"/>
    </w:rPr>
  </w:style>
  <w:style w:type="paragraph" w:customStyle="1" w:styleId="CaptionSubtitle">
    <w:name w:val="Caption Subtitle"/>
    <w:next w:val="Para0"/>
    <w:qFormat/>
    <w:rsid w:val="009D6A28"/>
    <w:pPr>
      <w:keepNext/>
      <w:spacing w:after="180" w:line="260" w:lineRule="exact"/>
    </w:pPr>
    <w:rPr>
      <w:rFonts w:asciiTheme="majorHAnsi" w:hAnsiTheme="majorHAnsi"/>
      <w:color w:val="000000" w:themeColor="text1"/>
    </w:rPr>
  </w:style>
  <w:style w:type="paragraph" w:customStyle="1" w:styleId="TableCell">
    <w:name w:val="Table Cell"/>
    <w:basedOn w:val="Normal"/>
    <w:uiPriority w:val="9"/>
    <w:qFormat/>
    <w:rsid w:val="009D6A28"/>
    <w:pPr>
      <w:widowControl w:val="0"/>
      <w:spacing w:before="10" w:after="20" w:line="200" w:lineRule="exact"/>
      <w:jc w:val="right"/>
    </w:pPr>
    <w:rPr>
      <w:rFonts w:ascii="Arial Narrow" w:hAnsi="Arial Narrow"/>
      <w:color w:val="000000" w:themeColor="text1"/>
      <w:sz w:val="17"/>
    </w:rPr>
  </w:style>
  <w:style w:type="paragraph" w:customStyle="1" w:styleId="TableRow">
    <w:name w:val="Table Row"/>
    <w:qFormat/>
    <w:rsid w:val="009D6A28"/>
    <w:pPr>
      <w:spacing w:before="10" w:after="20" w:line="200" w:lineRule="exact"/>
    </w:pPr>
    <w:rPr>
      <w:rFonts w:ascii="Arial Narrow" w:hAnsi="Arial Narrow"/>
      <w:color w:val="000000" w:themeColor="text1"/>
      <w:sz w:val="17"/>
    </w:rPr>
  </w:style>
  <w:style w:type="paragraph" w:customStyle="1" w:styleId="TableColumn">
    <w:name w:val="Table Column"/>
    <w:qFormat/>
    <w:rsid w:val="009D6A28"/>
    <w:pPr>
      <w:spacing w:before="20" w:after="0" w:line="220" w:lineRule="exact"/>
      <w:jc w:val="center"/>
    </w:pPr>
    <w:rPr>
      <w:rFonts w:ascii="Arial Narrow" w:hAnsi="Arial Narrow"/>
      <w:color w:val="000000" w:themeColor="text1"/>
      <w:sz w:val="18"/>
    </w:rPr>
  </w:style>
  <w:style w:type="table" w:customStyle="1" w:styleId="OECD">
    <w:name w:val="OECD"/>
    <w:basedOn w:val="TableSimple1"/>
    <w:uiPriority w:val="99"/>
    <w:rsid w:val="009D6A28"/>
    <w:pPr>
      <w:spacing w:before="10" w:after="20" w:line="200" w:lineRule="exact"/>
      <w:jc w:val="both"/>
    </w:pPr>
    <w:rPr>
      <w:rFonts w:ascii="Arial Narrow" w:hAnsi="Arial Narrow"/>
      <w:sz w:val="17"/>
      <w:szCs w:val="20"/>
      <w:lang w:val="en-US" w:eastAsia="en-GB"/>
    </w:rPr>
    <w:tblPr>
      <w:tblBorders>
        <w:top w:val="single" w:sz="12" w:space="0" w:color="4472C4" w:themeColor="accent1"/>
        <w:bottom w:val="single" w:sz="12" w:space="0" w:color="4472C4" w:themeColor="accent1"/>
        <w:insideH w:val="single" w:sz="6" w:space="0" w:color="BFBFBF" w:themeColor="background1" w:themeShade="BF"/>
        <w:insideV w:val="single" w:sz="6" w:space="0" w:color="BFBFBF" w:themeColor="background1" w:themeShade="BF"/>
      </w:tblBorders>
    </w:tblPr>
    <w:tcPr>
      <w:shd w:val="clear" w:color="auto" w:fill="auto"/>
    </w:tcPr>
    <w:tblStylePr w:type="firstRow">
      <w:tblPr/>
      <w:tcPr>
        <w:tcBorders>
          <w:bottom w:val="single" w:sz="6" w:space="0" w:color="4472C4" w:themeColor="accent1"/>
          <w:tl2br w:val="none" w:sz="0" w:space="0" w:color="auto"/>
          <w:tr2bl w:val="none" w:sz="0" w:space="0" w:color="auto"/>
        </w:tcBorders>
        <w:shd w:val="clear" w:color="auto" w:fill="auto"/>
      </w:tcPr>
    </w:tblStylePr>
    <w:tblStylePr w:type="lastRow">
      <w:tblPr/>
      <w:tcPr>
        <w:tcBorders>
          <w:top w:val="nil"/>
          <w:tl2br w:val="none" w:sz="0" w:space="0" w:color="auto"/>
          <w:tr2bl w:val="none" w:sz="0" w:space="0" w:color="auto"/>
        </w:tcBorders>
        <w:shd w:val="clear" w:color="auto" w:fill="auto"/>
      </w:tcPr>
    </w:tblStylePr>
  </w:style>
  <w:style w:type="table" w:styleId="TableSimple1">
    <w:name w:val="Table Simple 1"/>
    <w:basedOn w:val="TableNormal"/>
    <w:uiPriority w:val="99"/>
    <w:semiHidden/>
    <w:unhideWhenUsed/>
    <w:rsid w:val="009D6A28"/>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climate.ec.europa.eu/eu-action/eu-emissions-trading-system-eu-ets/social-climate-fund_en"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limate.ec.europa.eu/eu-action/effort-sharing-member-states-emission-targets/effort-sharing-2021-2030-targets-and-flexibilities_en" TargetMode="External"/><Relationship Id="rId5" Type="http://schemas.openxmlformats.org/officeDocument/2006/relationships/webSettings" Target="webSettings.xml"/><Relationship Id="rId15" Type="http://schemas.openxmlformats.org/officeDocument/2006/relationships/hyperlink" Target="https://www.endk.ch/de/energiepolitik-der-kantone/muken" TargetMode="External"/><Relationship Id="rId10" Type="http://schemas.openxmlformats.org/officeDocument/2006/relationships/hyperlink" Target="https://climate.ec.europa.eu/eu-action/eu-emissions-trading-system-eu-ets/our-ambition-2030_en" TargetMode="External"/><Relationship Id="rId4" Type="http://schemas.openxmlformats.org/officeDocument/2006/relationships/settings" Target="settings.xml"/><Relationship Id="rId9" Type="http://schemas.openxmlformats.org/officeDocument/2006/relationships/hyperlink" Target="https://unfccc.int/ghg-inventories-annex-i-parties/2023" TargetMode="External"/><Relationship Id="rId14" Type="http://schemas.openxmlformats.org/officeDocument/2006/relationships/hyperlink" Target="https://climate.ec.europa.eu/eu-action/eu-emissions-trading-system-eu-ets/our-ambition-2030_en"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leprogrammebatiments.ch/media/filer_public/8e/27/8e278b12-3553-49fc-ab47-59b26935ec3e/recueil_de_tableaux_2022_fr.xlsx" TargetMode="External"/><Relationship Id="rId1" Type="http://schemas.openxmlformats.org/officeDocument/2006/relationships/hyperlink" Target="https://climate.ec.europa.eu/eu-action/transport/road-transport-reducing-co2-emissions-vehicles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oecd-en.xsl" StyleName="OECD English" Version="20220221">
  <b:Source>
    <b:Tag>CrossRef_qUYIWFt1JieWKaNhoC94fw</b:Tag>
    <b:SourceType>JournalArticle</b:SourceType>
    <b:Title>Linking global CGE models with sectoral models to generate baseline scenarios: Approaches, opportunities and pitfalls</b:Title>
    <b:Year>2020</b:Year>
    <b:Publisher>Center for Global Trade Analysis</b:Publisher>
    <b:Author>
      <b:Author>
        <b:NameList>
          <b:Person>
            <b:Last>Delzeit</b:Last>
            <b:First>Ruth</b:First>
          </b:Person>
          <b:Person>
            <b:Last>Beach</b:Last>
            <b:First>Roberto</b:First>
          </b:Person>
          <b:Person>
            <b:Last>Bibas</b:Last>
            <b:First>Ruben</b:First>
          </b:Person>
          <b:Person>
            <b:Last>Britz</b:Last>
            <b:First>Wolfgang</b:First>
          </b:Person>
          <b:Person>
            <b:Last>Chateau</b:Last>
            <b:First>Jean</b:First>
          </b:Person>
          <b:Person>
            <b:Last>Freund</b:Last>
            <b:First>Florian</b:First>
          </b:Person>
          <b:Person>
            <b:Last>Lefevre</b:Last>
            <b:First>Julien</b:First>
          </b:Person>
          <b:Person>
            <b:Last>Schuenemann</b:Last>
            <b:First>Franziska</b:First>
          </b:Person>
          <b:Person>
            <b:Last>Sulser</b:Last>
            <b:First>Timothy</b:First>
          </b:Person>
          <b:Person>
            <b:Last>Valin</b:Last>
            <b:First>Hugo</b:First>
          </b:Person>
          <b:Person>
            <b:Last>van Ruijven</b:Last>
            <b:First>Bas</b:First>
          </b:Person>
          <b:Person>
            <b:Last>Weitzel</b:Last>
            <b:First>Matthias</b:First>
          </b:Person>
          <b:Person>
            <b:Last>Willenbockel</b:Last>
            <b:First>Dirk</b:First>
          </b:Person>
          <b:Person>
            <b:Last>Wojtowicz</b:Last>
            <b:First>Krzysztof</b:First>
          </b:Person>
        </b:NameList>
      </b:Author>
    </b:Author>
    <b:Volume>5</b:Volume>
    <b:Pages>162-195</b:Pages>
    <b:JournalName>Journal of Global Economic Analysis</b:JournalName>
    <b:DOI>10.21642/jgea.050105af</b:DOI>
    <b:Issue>1</b:Issue>
    <b:LCID>en-US</b:LCID>
    <b:Version>CrossRef</b:Version>
    <b:RefOrder>2</b:RefOrder>
  </b:Source>
  <b:Source>
    <b:Tag>CrossRef_ziqSHLZoP2PtwtfUhACrIw</b:Tag>
    <b:SourceType>JournalArticle</b:SourceType>
    <b:Title>General equilibrium rebound from energy efficiency innovation</b:Title>
    <b:Year>2020</b:Year>
    <b:Publisher>Elsevier BV</b:Publisher>
    <b:Author>
      <b:Author>
        <b:NameList>
          <b:Person>
            <b:Last>Lemoine</b:Last>
            <b:First>Derek</b:First>
          </b:Person>
        </b:NameList>
      </b:Author>
    </b:Author>
    <b:Volume>125</b:Volume>
    <b:Pages>103431</b:Pages>
    <b:JournalName>European Economic Review</b:JournalName>
    <b:DOI>10.1016/j.euroecorev.2020.103431</b:DOI>
    <b:LCID>en-US</b:LCID>
    <b:Version>CrossRef</b:Version>
    <b:RefOrder>6</b:RefOrder>
  </b:Source>
  <b:Source>
    <b:Tag>Kappa_g27a24cf</b:Tag>
    <b:SourceType>BookSection</b:SourceType>
    <b:Title>An Overview of the OECD ENV-Linkages Model: Version 3</b:Title>
    <b:Year>2014</b:Year>
    <b:Publisher>OECD Publishing, Paris</b:Publisher>
    <b:Author>
      <b:Author>
        <b:NameList>
          <b:Person>
            <b:Last>Château</b:Last>
            <b:First>Jean</b:First>
          </b:Person>
          <b:Person>
            <b:Last>Dellink</b:Last>
            <b:First>Rob</b:First>
          </b:Person>
          <b:Person>
            <b:Last>Lanzi</b:Last>
            <b:First>Elisa</b:First>
          </b:Person>
        </b:NameList>
      </b:Author>
    </b:Author>
    <b:Volume>2014</b:Volume>
    <b:ChapterNumber>65</b:ChapterNumber>
    <b:BookTitle>OECD Environment Working Papers</b:BookTitle>
    <b:Medium>Working Paper</b:Medium>
    <b:DOI>10.1787/5jz2qck2b2vd-en</b:DOI>
    <b:LCID>en-GB</b:LCID>
    <b:Version>Kappa</b:Version>
    <b:RefOrder>12</b:RefOrder>
  </b:Source>
  <b:Source>
    <b:Tag>Cri22</b:Tag>
    <b:SourceType>Report</b:SourceType>
    <b:Guid>{6B2AFFF7-E857-4853-B626-68A0E87136D7}</b:Guid>
    <b:Title>CO2 emissions of all world countries</b:Title>
    <b:Year>2022</b:Year>
    <b:DOI>doi:10.2760/730164</b:DOI>
    <b:Author>
      <b:Author>
        <b:NameList>
          <b:Person>
            <b:Last>Crippa</b:Last>
            <b:First>M.</b:First>
          </b:Person>
          <b:Person>
            <b:Last>Guizzardi</b:Last>
            <b:First>D.</b:First>
          </b:Person>
          <b:Person>
            <b:Last>Banja</b:Last>
            <b:First>M.</b:First>
          </b:Person>
          <b:Person>
            <b:Last>Solazzo</b:Last>
            <b:First>E.</b:First>
          </b:Person>
          <b:Person>
            <b:Last>Muntean</b:Last>
            <b:First>M.</b:First>
          </b:Person>
          <b:Person>
            <b:Last>Schaaf</b:Last>
            <b:First>E.</b:First>
          </b:Person>
          <b:Person>
            <b:Last>Pagani</b:Last>
            <b:First>F.</b:First>
          </b:Person>
          <b:Person>
            <b:Last>Monforti-Ferrario</b:Last>
            <b:First>F.</b:First>
          </b:Person>
          <b:Person>
            <b:Last>Olivier</b:Last>
            <b:First>J.</b:First>
          </b:Person>
          <b:Person>
            <b:Last>Quadrelli</b:Last>
            <b:First>R.</b:First>
          </b:Person>
          <b:Person>
            <b:Last>Risquez Martin</b:Last>
            <b:First>A.</b:First>
          </b:Person>
          <b:Person>
            <b:Last>Taghavi-Moharamli</b:Last>
            <b:First>P.</b:First>
          </b:Person>
          <b:Person>
            <b:Last>Grassi</b:Last>
            <b:First>G.</b:First>
          </b:Person>
          <b:Person>
            <b:Last>Rossi</b:Last>
            <b:First>S.</b:First>
          </b:Person>
          <b:Person>
            <b:Last>Jacome Felix Oom</b:Last>
            <b:First>D.</b:First>
          </b:Person>
          <b:Person>
            <b:Last>Branco</b:Last>
            <b:First>A.</b:First>
          </b:Person>
          <b:Person>
            <b:Last>...</b:Last>
          </b:Person>
          <b:Person>
            <b:Last>Vignati</b:Last>
            <b:First>E.</b:First>
          </b:Person>
        </b:NameList>
      </b:Author>
    </b:Author>
    <b:RefOrder>13</b:RefOrder>
  </b:Source>
  <b:Source>
    <b:Tag>CrossRef_kx55OXEfolJTnfV0R__8A1g</b:Tag>
    <b:SourceType>JournalArticle</b:SourceType>
    <b:Title>A global anthropogenic emission inventory of atmospheric pollutants from sector- and fuel-specific sources (1970–2017): an application of the Community Emissions Data System (CEDS)</b:Title>
    <b:Year>2020</b:Year>
    <b:Publisher>Copernicus GmbH</b:Publisher>
    <b:Author>
      <b:Author>
        <b:NameList>
          <b:Person>
            <b:Last>McDuffie</b:Last>
            <b:First>Erin E.</b:First>
          </b:Person>
          <b:Person>
            <b:Last>Smith</b:Last>
            <b:First>Steven J.</b:First>
          </b:Person>
          <b:Person>
            <b:Last>O'Rourke</b:Last>
            <b:First>Patrick</b:First>
          </b:Person>
          <b:Person>
            <b:Last>Tibrewal</b:Last>
            <b:First>Kushal</b:First>
          </b:Person>
          <b:Person>
            <b:Last>Venkataraman</b:Last>
            <b:First>Chandra</b:First>
          </b:Person>
          <b:Person>
            <b:Last>Marais</b:Last>
            <b:First>Eloise A.</b:First>
          </b:Person>
          <b:Person>
            <b:Last>Zheng</b:Last>
            <b:First>Bo</b:First>
          </b:Person>
          <b:Person>
            <b:Last>Crippa</b:Last>
            <b:First>Monica</b:First>
          </b:Person>
          <b:Person>
            <b:Last>Brauer</b:Last>
            <b:First>Michael</b:First>
          </b:Person>
          <b:Person>
            <b:Last>Martin</b:Last>
            <b:First>Randall V.</b:First>
          </b:Person>
        </b:NameList>
      </b:Author>
    </b:Author>
    <b:Volume>12</b:Volume>
    <b:Pages>3413-3442</b:Pages>
    <b:JournalName>Earth System Science Data</b:JournalName>
    <b:DOI>10.5194/essd-12-3413-2020</b:DOI>
    <b:Issue>4</b:Issue>
    <b:LCID>en-US</b:LCID>
    <b:Version>CrossRef</b:Version>
    <b:RefOrder>14</b:RefOrder>
  </b:Source>
  <b:Source>
    <b:Tag>CrossRef_ySYqESDPQmncr9UdSY5rXw</b:Tag>
    <b:SourceType>JournalArticle</b:SourceType>
    <b:Title>The Global Trade Analysis Project (GTAP) Data Base: Version 11</b:Title>
    <b:Year>2022</b:Year>
    <b:Publisher>Center for Global Trade Analysis</b:Publisher>
    <b:Author>
      <b:Author>
        <b:NameList>
          <b:Person>
            <b:Last>Aguiar</b:Last>
            <b:First>Angel</b:First>
          </b:Person>
          <b:Person>
            <b:Last>Chepeliev</b:Last>
            <b:First>Maksym</b:First>
          </b:Person>
          <b:Person>
            <b:Last>Corong</b:Last>
            <b:First>Erwin</b:First>
          </b:Person>
          <b:Person>
            <b:Last>van der Mensbrugghe</b:Last>
            <b:First>Dominique</b:First>
          </b:Person>
        </b:NameList>
      </b:Author>
    </b:Author>
    <b:Volume>7</b:Volume>
    <b:Pages>1-37</b:Pages>
    <b:JournalName>Journal of Global Economic Analysis</b:JournalName>
    <b:DOI>10.21642/jgea.070201af</b:DOI>
    <b:Issue>2</b:Issue>
    <b:LCID>en-US</b:LCID>
    <b:Version>CrossRef</b:Version>
    <b:RefOrder>15</b:RefOrder>
  </b:Source>
  <b:Source>
    <b:Tag>Kappa_b4f4e03e</b:Tag>
    <b:SourceType>BookSection</b:SourceType>
    <b:Title>The Long View: Scenarios for the World Economy to 2060</b:Title>
    <b:Year>2018</b:Year>
    <b:Publisher>OECD Publishing, Paris</b:Publisher>
    <b:Author>
      <b:Author>
        <b:NameList>
          <b:Person>
            <b:Last>Guillemette</b:Last>
            <b:First>Yvan</b:First>
          </b:Person>
          <b:Person>
            <b:Last>Turner</b:Last>
            <b:First>David</b:First>
          </b:Person>
        </b:NameList>
      </b:Author>
    </b:Author>
    <b:ChapterNumber>22</b:ChapterNumber>
    <b:BookTitle>OECD Economic Policy Papers</b:BookTitle>
    <b:Medium>Working Paper</b:Medium>
    <b:DOI>10.1787/b4f4e03e-en</b:DOI>
    <b:LCID>en-GB</b:LCID>
    <b:Version>Kappa</b:Version>
    <b:RefOrder>16</b:RefOrder>
  </b:Source>
  <b:Source>
    <b:Tag>Kappa_a112307e</b:Tag>
    <b:SourceType>BookSection</b:SourceType>
    <b:Title>The long game: Fiscal outlooks to 2060 underline need for structural reform</b:Title>
    <b:Year>2021</b:Year>
    <b:Publisher>OECD Publishing, Paris</b:Publisher>
    <b:Author>
      <b:Author>
        <b:NameList>
          <b:Person>
            <b:Last>Guillemette</b:Last>
            <b:First>Yvan</b:First>
          </b:Person>
          <b:Person>
            <b:Last>Turner</b:Last>
            <b:First>David</b:First>
          </b:Person>
        </b:NameList>
      </b:Author>
    </b:Author>
    <b:ChapterNumber>29</b:ChapterNumber>
    <b:BookTitle>OECD Economic Policy Papers</b:BookTitle>
    <b:Medium>Working Paper</b:Medium>
    <b:DOI>10.1787/a112307e-en</b:DOI>
    <b:LCID>en-GB</b:LCID>
    <b:Version>Kappa</b:Version>
    <b:RefOrder>17</b:RefOrder>
  </b:Source>
  <b:Source>
    <b:Tag>Sis15</b:Tag>
    <b:SourceType>JournalArticle</b:SourceType>
    <b:Guid>{992F856B-D031-4BDB-ACE4-6DB659D7FA75}</b:Guid>
    <b:Title>CO2 and energy efficiency car standards in the EU in the context of a decarbonisation strategy: A model-based policy assessment</b:Title>
    <b:JournalName>Energy Policy</b:JournalName>
    <b:Year>2015</b:Year>
    <b:Pages>22-34</b:Pages>
    <b:Volume>84</b:Volume>
    <b:DOI>doi.org/10.1016/j.enpol.2015.04.024</b:DOI>
    <b:Author>
      <b:Author>
        <b:NameList>
          <b:Person>
            <b:Last>Siskos</b:Last>
            <b:First>Pelopidas</b:First>
          </b:Person>
          <b:Person>
            <b:Last>Capros</b:Last>
            <b:First>Pantelis</b:First>
          </b:Person>
          <b:Person>
            <b:Last>De Vita</b:Last>
            <b:First>Alessia</b:First>
          </b:Person>
        </b:NameList>
      </b:Author>
    </b:Author>
    <b:RefOrder>18</b:RefOrder>
  </b:Source>
  <b:Source>
    <b:Tag>CrossRef_GrIZSiz7xn4MI1KFxEC_aQ</b:Tag>
    <b:SourceType>JournalArticle</b:SourceType>
    <b:Title>Macroeconomic drivers of baseline scenarios in dynamic CGE models: review and guidelines proposal</b:Title>
    <b:Year>2020</b:Year>
    <b:Publisher>Center for Global Trade Analysis</b:Publisher>
    <b:Author>
      <b:Author>
        <b:NameList>
          <b:Person>
            <b:Last>Foure</b:Last>
            <b:First>Jean</b:First>
          </b:Person>
          <b:Person>
            <b:Last>Aguiar</b:Last>
            <b:First>Angel</b:First>
          </b:Person>
          <b:Person>
            <b:Last>Bibas</b:Last>
            <b:First>Ruben</b:First>
          </b:Person>
          <b:Person>
            <b:Last>Chateau</b:Last>
            <b:First>Jean</b:First>
          </b:Person>
          <b:Person>
            <b:Last>Fujimori</b:Last>
            <b:First>Shinichiro</b:First>
          </b:Person>
          <b:Person>
            <b:Last>Lefevre</b:Last>
            <b:First>Julien</b:First>
          </b:Person>
          <b:Person>
            <b:Last>Leimbach</b:Last>
            <b:First>Marian</b:First>
          </b:Person>
          <b:Person>
            <b:Last>Rey-Los-Santos</b:Last>
            <b:First>Luis</b:First>
          </b:Person>
          <b:Person>
            <b:Last>Valin</b:Last>
            <b:First>Hugo</b:First>
          </b:Person>
        </b:NameList>
      </b:Author>
    </b:Author>
    <b:Volume>5</b:Volume>
    <b:Pages>28-62</b:Pages>
    <b:JournalName>Journal of Global Economic Analysis</b:JournalName>
    <b:DOI>10.21642/jgea.050102af</b:DOI>
    <b:Issue>1</b:Issue>
    <b:LCID>en-US</b:LCID>
    <b:Version>CrossRef</b:Version>
    <b:RefOrder>19</b:RefOrder>
  </b:Source>
  <b:Source>
    <b:Tag>Cha20</b:Tag>
    <b:SourceType>JournalArticle</b:SourceType>
    <b:Guid>{E73A83F7-D19B-44D4-B39D-30F749FF855B}</b:Guid>
    <b:Title>Characterizing Supply-Side Drivers of Structural Change in the Construction of Economic Baseline Projections</b:Title>
    <b:Year>2020</b:Year>
    <b:Volume>5</b:Volume>
    <b:JournalName>Journal of Global Economic Analysis</b:JournalName>
    <b:Pages>109-161</b:Pages>
    <b:Author>
      <b:Author>
        <b:NameList>
          <b:Person>
            <b:Last>Chateau</b:Last>
            <b:First>Jean</b:First>
          </b:Person>
          <b:Person>
            <b:Last>Corong</b:Last>
            <b:First>Erwin</b:First>
          </b:Person>
          <b:Person>
            <b:Last>Lanzi</b:Last>
            <b:First>Elisa</b:First>
          </b:Person>
          <b:Person>
            <b:Last>Carrico</b:Last>
            <b:First>Caitlyn</b:First>
          </b:Person>
          <b:Person>
            <b:Last>Fouré</b:Last>
            <b:First>Jean</b:First>
          </b:Person>
          <b:Person>
            <b:Last>Laborde</b:Last>
            <b:First>David</b:First>
          </b:Person>
        </b:NameList>
      </b:Author>
    </b:Author>
    <b:DOI>doi.org/10.21642/JGEA.050104AF</b:DOI>
    <b:RefOrder>20</b:RefOrder>
  </b:Source>
</b:Sources>
</file>

<file path=customXml/itemProps1.xml><?xml version="1.0" encoding="utf-8"?>
<ds:datastoreItem xmlns:ds="http://schemas.openxmlformats.org/officeDocument/2006/customXml" ds:itemID="{8B8AA3AF-102B-4B6A-A28A-6D486B6E9C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397</TotalTime>
  <Pages>14</Pages>
  <Words>6312</Words>
  <Characters>35985</Characters>
  <Application>Microsoft Office Word</Application>
  <DocSecurity>0</DocSecurity>
  <Lines>299</Lines>
  <Paragraphs>84</Paragraphs>
  <ScaleCrop>false</ScaleCrop>
  <HeadingPairs>
    <vt:vector size="2" baseType="variant">
      <vt:variant>
        <vt:lpstr>Title</vt:lpstr>
      </vt:variant>
      <vt:variant>
        <vt:i4>1</vt:i4>
      </vt:variant>
    </vt:vector>
  </HeadingPairs>
  <TitlesOfParts>
    <vt:vector size="1" baseType="lpstr">
      <vt:lpstr/>
    </vt:vector>
  </TitlesOfParts>
  <Company>OECD</Company>
  <LinksUpToDate>false</LinksUpToDate>
  <CharactersWithSpaces>42213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CHATEAU Jean, ECO/MAD</dc:creator>
  <cp:keywords>IFCMA(2023)/9</cp:keywords>
  <dc:description/>
  <cp:lastModifiedBy>CHATEAU Jean, ECO/MAD</cp:lastModifiedBy>
  <cp:revision>77</cp:revision>
  <dcterms:created xsi:type="dcterms:W3CDTF">2023-01-15T15:00:00Z</dcterms:created>
  <dcterms:modified xsi:type="dcterms:W3CDTF">2024-04-15T16:26:00Z</dcterms:modified>
</cp:coreProperties>
</file>