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89331" w14:textId="3E5FCAA5" w:rsidR="000F365B" w:rsidRPr="00526071" w:rsidRDefault="00641004" w:rsidP="00162B00">
      <w:pPr>
        <w:pStyle w:val="Title"/>
        <w:spacing w:before="0" w:after="120"/>
      </w:pPr>
      <w:r>
        <w:t>E</w:t>
      </w:r>
      <w:bookmarkStart w:id="0" w:name="_GoBack"/>
      <w:bookmarkEnd w:id="0"/>
      <w:r>
        <w:t xml:space="preserve">stimating Economy-Wide </w:t>
      </w:r>
      <w:r w:rsidR="000F365B" w:rsidRPr="00526071">
        <w:t>Climate Change Impacts on the U.S. Economy: Implications from FrEDI-USREP</w:t>
      </w:r>
    </w:p>
    <w:p w14:paraId="2DEE0F26" w14:textId="77777777" w:rsidR="001B5B60" w:rsidRDefault="001B5B60" w:rsidP="001B5B60"/>
    <w:p w14:paraId="0B5CEDEF" w14:textId="7A8246C1" w:rsidR="001B5B60" w:rsidRPr="009A315A" w:rsidRDefault="001B5B60" w:rsidP="001B5B60">
      <w:pPr>
        <w:rPr>
          <w:sz w:val="24"/>
        </w:rPr>
      </w:pPr>
      <w:r w:rsidRPr="009A315A">
        <w:rPr>
          <w:sz w:val="24"/>
        </w:rPr>
        <w:t>Mei Yuan</w:t>
      </w:r>
      <w:r w:rsidRPr="009A315A">
        <w:rPr>
          <w:sz w:val="24"/>
          <w:vertAlign w:val="superscript"/>
        </w:rPr>
        <w:t>1</w:t>
      </w:r>
      <w:r w:rsidRPr="009A315A">
        <w:rPr>
          <w:sz w:val="24"/>
        </w:rPr>
        <w:t>, Tony Gardella</w:t>
      </w:r>
      <w:r w:rsidRPr="009A315A">
        <w:rPr>
          <w:sz w:val="24"/>
          <w:vertAlign w:val="superscript"/>
        </w:rPr>
        <w:t>2</w:t>
      </w:r>
      <w:r w:rsidRPr="009A315A">
        <w:rPr>
          <w:sz w:val="24"/>
        </w:rPr>
        <w:t>, Jonathon Becker</w:t>
      </w:r>
      <w:r w:rsidRPr="009A315A">
        <w:rPr>
          <w:sz w:val="24"/>
          <w:vertAlign w:val="superscript"/>
        </w:rPr>
        <w:t>3</w:t>
      </w:r>
      <w:r w:rsidRPr="009A315A">
        <w:rPr>
          <w:sz w:val="24"/>
        </w:rPr>
        <w:t>, Corinne Hartin</w:t>
      </w:r>
      <w:r w:rsidRPr="009A315A">
        <w:rPr>
          <w:sz w:val="24"/>
          <w:vertAlign w:val="superscript"/>
        </w:rPr>
        <w:t>3</w:t>
      </w:r>
      <w:r w:rsidRPr="009A315A">
        <w:rPr>
          <w:sz w:val="24"/>
        </w:rPr>
        <w:t>, Ken Strzepek</w:t>
      </w:r>
      <w:r w:rsidRPr="009A315A">
        <w:rPr>
          <w:sz w:val="24"/>
          <w:vertAlign w:val="superscript"/>
        </w:rPr>
        <w:t>1,2</w:t>
      </w:r>
      <w:r w:rsidRPr="009A315A">
        <w:rPr>
          <w:sz w:val="24"/>
        </w:rPr>
        <w:t>, Erin McDuffie</w:t>
      </w:r>
      <w:r w:rsidRPr="009A315A">
        <w:rPr>
          <w:sz w:val="24"/>
          <w:vertAlign w:val="superscript"/>
        </w:rPr>
        <w:t>3</w:t>
      </w:r>
      <w:r w:rsidRPr="009A315A">
        <w:rPr>
          <w:sz w:val="24"/>
        </w:rPr>
        <w:t>, Marcus Sarofim</w:t>
      </w:r>
      <w:r w:rsidRPr="009A315A">
        <w:rPr>
          <w:sz w:val="24"/>
          <w:vertAlign w:val="superscript"/>
        </w:rPr>
        <w:t>3</w:t>
      </w:r>
      <w:r w:rsidRPr="009A315A">
        <w:rPr>
          <w:sz w:val="24"/>
        </w:rPr>
        <w:t>, Jim Neumann</w:t>
      </w:r>
      <w:r w:rsidRPr="009A315A">
        <w:rPr>
          <w:sz w:val="24"/>
          <w:vertAlign w:val="superscript"/>
        </w:rPr>
        <w:t>2</w:t>
      </w:r>
      <w:r w:rsidRPr="009A315A">
        <w:rPr>
          <w:sz w:val="24"/>
        </w:rPr>
        <w:t>, James McFarland</w:t>
      </w:r>
      <w:r w:rsidRPr="009A315A">
        <w:rPr>
          <w:sz w:val="24"/>
          <w:vertAlign w:val="superscript"/>
        </w:rPr>
        <w:t>3</w:t>
      </w:r>
      <w:r w:rsidRPr="009A315A">
        <w:rPr>
          <w:sz w:val="24"/>
        </w:rPr>
        <w:t>,</w:t>
      </w:r>
      <w:r w:rsidR="009A315A" w:rsidRPr="009A315A">
        <w:rPr>
          <w:sz w:val="24"/>
        </w:rPr>
        <w:t xml:space="preserve"> </w:t>
      </w:r>
      <w:r w:rsidR="009A315A" w:rsidRPr="009A315A">
        <w:rPr>
          <w:sz w:val="24"/>
        </w:rPr>
        <w:t>Mustafa Babiker</w:t>
      </w:r>
      <w:r w:rsidR="009A315A" w:rsidRPr="009A315A">
        <w:rPr>
          <w:sz w:val="24"/>
          <w:vertAlign w:val="superscript"/>
        </w:rPr>
        <w:t>1</w:t>
      </w:r>
      <w:r w:rsidR="009A315A">
        <w:rPr>
          <w:sz w:val="24"/>
        </w:rPr>
        <w:t xml:space="preserve">, </w:t>
      </w:r>
      <w:r w:rsidRPr="009A315A">
        <w:rPr>
          <w:sz w:val="24"/>
        </w:rPr>
        <w:t>Sergey Paltsev</w:t>
      </w:r>
      <w:r w:rsidRPr="009A315A">
        <w:rPr>
          <w:sz w:val="24"/>
          <w:vertAlign w:val="superscript"/>
        </w:rPr>
        <w:t>1</w:t>
      </w:r>
    </w:p>
    <w:p w14:paraId="072095F6" w14:textId="77777777" w:rsidR="001B5B60" w:rsidRPr="00E94C39" w:rsidRDefault="001B5B60" w:rsidP="001B5B60"/>
    <w:p w14:paraId="0825B152" w14:textId="77777777" w:rsidR="001B5B60" w:rsidRPr="00C77C70" w:rsidRDefault="001B5B60" w:rsidP="009A315A">
      <w:pPr>
        <w:spacing w:before="0" w:after="0"/>
      </w:pPr>
      <w:r w:rsidRPr="00E94C39">
        <w:rPr>
          <w:vertAlign w:val="superscript"/>
        </w:rPr>
        <w:t xml:space="preserve">1 </w:t>
      </w:r>
      <w:r w:rsidRPr="00E94C39">
        <w:t>Massachus</w:t>
      </w:r>
      <w:r w:rsidRPr="00C77C70">
        <w:t>etts Institute of Technology</w:t>
      </w:r>
      <w:r>
        <w:t>, Cambridge, MA, USA</w:t>
      </w:r>
    </w:p>
    <w:p w14:paraId="29105E0C" w14:textId="77777777" w:rsidR="001B5B60" w:rsidRPr="00C77C70" w:rsidRDefault="001B5B60" w:rsidP="009A315A">
      <w:pPr>
        <w:spacing w:before="0" w:after="0"/>
      </w:pPr>
      <w:r w:rsidRPr="00C77C70">
        <w:rPr>
          <w:vertAlign w:val="superscript"/>
        </w:rPr>
        <w:t xml:space="preserve">2 </w:t>
      </w:r>
      <w:r w:rsidRPr="00C77C70">
        <w:t>Industrial Economics</w:t>
      </w:r>
      <w:r>
        <w:t>, Cambridge, MA, USA</w:t>
      </w:r>
    </w:p>
    <w:p w14:paraId="234AA531" w14:textId="0E60C1CD" w:rsidR="001B5B60" w:rsidRDefault="001B5B60" w:rsidP="009A315A">
      <w:pPr>
        <w:spacing w:before="0" w:after="0"/>
      </w:pPr>
      <w:r w:rsidRPr="00C77C70">
        <w:rPr>
          <w:vertAlign w:val="superscript"/>
        </w:rPr>
        <w:t xml:space="preserve">3 </w:t>
      </w:r>
      <w:r w:rsidRPr="00C77C70">
        <w:t>US Environmental Protection Agency</w:t>
      </w:r>
      <w:r>
        <w:t>, Washington DC, USA</w:t>
      </w:r>
    </w:p>
    <w:p w14:paraId="33FC6C0E" w14:textId="77777777" w:rsidR="001B5B60" w:rsidRPr="001B5B60" w:rsidRDefault="001B5B60" w:rsidP="001B5B60"/>
    <w:p w14:paraId="3ED82B54" w14:textId="5F0022F9" w:rsidR="002B096A" w:rsidRPr="00B6730A" w:rsidRDefault="002B096A" w:rsidP="00162B00">
      <w:pPr>
        <w:spacing w:before="240" w:after="120"/>
        <w:jc w:val="center"/>
        <w:rPr>
          <w:b/>
          <w:sz w:val="24"/>
        </w:rPr>
      </w:pPr>
      <w:r w:rsidRPr="00B6730A">
        <w:rPr>
          <w:b/>
          <w:sz w:val="24"/>
        </w:rPr>
        <w:t>Abstract</w:t>
      </w:r>
    </w:p>
    <w:p w14:paraId="455352BE" w14:textId="4AAA6D20" w:rsidR="00C159E7" w:rsidRPr="00C159E7" w:rsidRDefault="00007A6E" w:rsidP="00C159E7">
      <w:r w:rsidRPr="00162B00">
        <w:t>Climate models often assess impacts on specific sectors and regions in isolation, neglecting the interactions across sectors</w:t>
      </w:r>
      <w:r w:rsidR="001A5F21" w:rsidRPr="00162B00">
        <w:t xml:space="preserve">, </w:t>
      </w:r>
      <w:r w:rsidRPr="00162B00">
        <w:t>regions and</w:t>
      </w:r>
      <w:r w:rsidR="001A5F21" w:rsidRPr="00162B00">
        <w:t xml:space="preserve"> time, as well as</w:t>
      </w:r>
      <w:r w:rsidRPr="00162B00">
        <w:t xml:space="preserve"> the ripple effects through goods and factor markets</w:t>
      </w:r>
      <w:r w:rsidR="001A5F21" w:rsidRPr="00162B00">
        <w:t>.</w:t>
      </w:r>
      <w:r w:rsidRPr="00162B00">
        <w:t xml:space="preserve"> As a result, aggregated partial impacts may fail to </w:t>
      </w:r>
      <w:r w:rsidR="001A5F21" w:rsidRPr="00162B00">
        <w:t>represent</w:t>
      </w:r>
      <w:r w:rsidRPr="00162B00">
        <w:t xml:space="preserve"> the full economy-wide effects of climate damages. To address this limitation, we </w:t>
      </w:r>
      <w:r w:rsidR="001D0AC2" w:rsidRPr="00162B00">
        <w:t>incorporate</w:t>
      </w:r>
      <w:r w:rsidRPr="00162B00">
        <w:t xml:space="preserve"> single-sector damage estimates derived from the EPA Framework for Evaluating Damages and Impacts (</w:t>
      </w:r>
      <w:proofErr w:type="spellStart"/>
      <w:r w:rsidRPr="00162B00">
        <w:t>FrEDI</w:t>
      </w:r>
      <w:proofErr w:type="spellEnd"/>
      <w:r w:rsidRPr="00162B00">
        <w:t>)</w:t>
      </w:r>
      <w:r w:rsidR="001D0AC2" w:rsidRPr="00162B00">
        <w:t xml:space="preserve"> into </w:t>
      </w:r>
      <w:r w:rsidR="00C52379" w:rsidRPr="00162B00">
        <w:t>MIT U.S. Regional Energy Policy (USREP) model</w:t>
      </w:r>
      <w:r w:rsidR="00C52379">
        <w:t xml:space="preserve">, </w:t>
      </w:r>
      <w:r w:rsidR="001D0AC2" w:rsidRPr="00162B00">
        <w:t>a multi-sector multi-region computable general equilibrium model</w:t>
      </w:r>
      <w:r w:rsidR="00C52379">
        <w:t>, to trace sectoral and regional dynamics</w:t>
      </w:r>
      <w:r w:rsidR="001D0AC2" w:rsidRPr="00162B00">
        <w:t>.</w:t>
      </w:r>
      <w:r w:rsidRPr="00162B00">
        <w:t xml:space="preserve"> The </w:t>
      </w:r>
      <w:proofErr w:type="spellStart"/>
      <w:r w:rsidR="001D0AC2" w:rsidRPr="00162B00">
        <w:t>FrEDI</w:t>
      </w:r>
      <w:proofErr w:type="spellEnd"/>
      <w:r w:rsidR="001D0AC2" w:rsidRPr="00162B00">
        <w:t xml:space="preserve">-USREP </w:t>
      </w:r>
      <w:r w:rsidRPr="00162B00">
        <w:t xml:space="preserve">model </w:t>
      </w:r>
      <w:r w:rsidR="001A5F21" w:rsidRPr="00162B00">
        <w:t>includes</w:t>
      </w:r>
      <w:r w:rsidRPr="00162B00">
        <w:t xml:space="preserve"> </w:t>
      </w:r>
      <w:r w:rsidR="00C52379">
        <w:t>six</w:t>
      </w:r>
      <w:r w:rsidRPr="00162B00">
        <w:t xml:space="preserve"> contiguous U.S. regions</w:t>
      </w:r>
      <w:r w:rsidR="001A5F21" w:rsidRPr="00162B00">
        <w:t>,</w:t>
      </w:r>
      <w:r w:rsidRPr="00162B00">
        <w:t xml:space="preserve"> accounts for demographic group differences,</w:t>
      </w:r>
      <w:r w:rsidR="001A5F21" w:rsidRPr="00162B00">
        <w:t xml:space="preserve"> and</w:t>
      </w:r>
      <w:r w:rsidRPr="00162B00">
        <w:t xml:space="preserve"> focus</w:t>
      </w:r>
      <w:r w:rsidR="001A5F21" w:rsidRPr="00162B00">
        <w:t>es</w:t>
      </w:r>
      <w:r w:rsidRPr="00162B00">
        <w:t xml:space="preserve"> on the three most significant climate damage categories: health, </w:t>
      </w:r>
      <w:r w:rsidR="5620E84F" w:rsidRPr="00162B00">
        <w:t xml:space="preserve">infrastructure and </w:t>
      </w:r>
      <w:r w:rsidRPr="00162B00">
        <w:t>labor productivity</w:t>
      </w:r>
      <w:r w:rsidR="74026728" w:rsidRPr="00162B00">
        <w:t>.</w:t>
      </w:r>
      <w:r w:rsidR="00C52379">
        <w:t xml:space="preserve"> The heterogenous </w:t>
      </w:r>
      <w:r w:rsidR="00C52379" w:rsidRPr="00C52379">
        <w:t>climate impacts reshape regional comparative advantages</w:t>
      </w:r>
      <w:r w:rsidR="00C52379">
        <w:t xml:space="preserve">, inducing factor </w:t>
      </w:r>
      <w:r w:rsidR="00D80A67">
        <w:t xml:space="preserve">movement that may exacerbate regional disparity and factor </w:t>
      </w:r>
      <w:r w:rsidR="00AA277E">
        <w:t>price</w:t>
      </w:r>
      <w:r w:rsidR="00EC113D">
        <w:t xml:space="preserve"> changes</w:t>
      </w:r>
      <w:r w:rsidR="00D80A67">
        <w:t xml:space="preserve"> that drive distributional impacts. </w:t>
      </w:r>
      <w:r w:rsidR="008D0BA9">
        <w:t>W</w:t>
      </w:r>
      <w:r w:rsidR="008D0BA9" w:rsidRPr="008D0BA9">
        <w:t>e find general equilibrium effects up to twice single-sector partial impacts</w:t>
      </w:r>
      <w:r w:rsidR="00C159E7">
        <w:t xml:space="preserve">. </w:t>
      </w:r>
      <w:r w:rsidR="00C159E7" w:rsidRPr="00C159E7">
        <w:t xml:space="preserve">Northern regions gain GDP in building damage scenarios and lose minimally </w:t>
      </w:r>
      <w:r w:rsidR="00C159E7">
        <w:t>in the lost labor scenario</w:t>
      </w:r>
      <w:r w:rsidR="00C159E7" w:rsidRPr="00C159E7">
        <w:t xml:space="preserve">, but all regions, including northern, face GDP losses when </w:t>
      </w:r>
      <w:r w:rsidR="00021068">
        <w:t xml:space="preserve">impacts on </w:t>
      </w:r>
      <w:r w:rsidR="00C159E7" w:rsidRPr="00C159E7">
        <w:t xml:space="preserve">transportation </w:t>
      </w:r>
      <w:r w:rsidR="00021068">
        <w:t>increase cost of consumption</w:t>
      </w:r>
      <w:r w:rsidR="003D1FC9">
        <w:t xml:space="preserve"> that leads to a reduction in </w:t>
      </w:r>
      <w:r w:rsidR="00021068">
        <w:t>investment.</w:t>
      </w:r>
    </w:p>
    <w:p w14:paraId="43D8A86C" w14:textId="0A2ADA88" w:rsidR="008D0BA9" w:rsidRPr="008D0BA9" w:rsidRDefault="008D0BA9" w:rsidP="008D0BA9"/>
    <w:p w14:paraId="7B9F8489" w14:textId="7A236FDE" w:rsidR="002B096A" w:rsidRDefault="009D2BF5" w:rsidP="00162B00">
      <w:r>
        <w:t xml:space="preserve"> </w:t>
      </w:r>
    </w:p>
    <w:p w14:paraId="5222D120" w14:textId="77777777" w:rsidR="00980290" w:rsidRDefault="00980290" w:rsidP="00162B00"/>
    <w:p w14:paraId="386E45EB" w14:textId="0875A309" w:rsidR="00980290" w:rsidRDefault="00980290" w:rsidP="00162B00">
      <w:r>
        <w:t>Keywords:</w:t>
      </w:r>
      <w:r w:rsidR="00FD6849">
        <w:t xml:space="preserve"> computable general equilibrium, climate change impacts, </w:t>
      </w:r>
      <w:r w:rsidR="00367096">
        <w:t>factor reallocation, distributional impacts</w:t>
      </w:r>
    </w:p>
    <w:p w14:paraId="0DA0DEDA" w14:textId="77777777" w:rsidR="00980290" w:rsidRPr="00162B00" w:rsidRDefault="00980290" w:rsidP="00162B00"/>
    <w:p w14:paraId="6E4F1ABE" w14:textId="77777777" w:rsidR="0042251A" w:rsidRDefault="0042251A" w:rsidP="007869CC">
      <w:pPr>
        <w:pStyle w:val="Heading1"/>
      </w:pPr>
      <w:r>
        <w:br w:type="page"/>
      </w:r>
    </w:p>
    <w:p w14:paraId="36B8CDE9" w14:textId="14B491EE" w:rsidR="002E15DC" w:rsidRPr="004A5870" w:rsidRDefault="00C71436" w:rsidP="0042251A">
      <w:pPr>
        <w:pStyle w:val="Heading1"/>
        <w:numPr>
          <w:ilvl w:val="0"/>
          <w:numId w:val="12"/>
        </w:numPr>
      </w:pPr>
      <w:r>
        <w:lastRenderedPageBreak/>
        <w:t>Introduction</w:t>
      </w:r>
    </w:p>
    <w:p w14:paraId="4490387B" w14:textId="359B9FF3" w:rsidR="00F517E0" w:rsidRDefault="00573F64" w:rsidP="00162B00">
      <w:r w:rsidRPr="00573F64">
        <w:t>Climate change poses significant physical and economic risks, requiring comprehensive tools for evaluating its impacts and informing policy decisions.</w:t>
      </w:r>
      <w:r>
        <w:t xml:space="preserve"> </w:t>
      </w:r>
      <w:r w:rsidRPr="00573F64">
        <w:t xml:space="preserve"> The U.S. Environmental Protection Agency’s (EPA) Framework for Evaluating Damages and Impact (FrEDI) plays a crucial role in this process by estimating sector impacts of climate change.</w:t>
      </w:r>
      <w:r>
        <w:t xml:space="preserve">  </w:t>
      </w:r>
      <w:r w:rsidR="000F365B">
        <w:t>However, FrEDI</w:t>
      </w:r>
      <w:r w:rsidR="0099291A">
        <w:t>’s partial equilibrium (PE) approach</w:t>
      </w:r>
      <w:r w:rsidR="000F365B">
        <w:t xml:space="preserve"> </w:t>
      </w:r>
      <w:r>
        <w:t>limits its ability to</w:t>
      </w:r>
      <w:r w:rsidR="000F365B">
        <w:t xml:space="preserve"> captur</w:t>
      </w:r>
      <w:r>
        <w:t>e</w:t>
      </w:r>
      <w:r w:rsidR="000F365B">
        <w:t xml:space="preserve"> </w:t>
      </w:r>
      <w:r>
        <w:t>the broader</w:t>
      </w:r>
      <w:r w:rsidR="000F365B">
        <w:t xml:space="preserve"> </w:t>
      </w:r>
      <w:r w:rsidR="0099291A">
        <w:t xml:space="preserve">economic </w:t>
      </w:r>
      <w:r w:rsidR="000F365B">
        <w:t>dynamics and interactions</w:t>
      </w:r>
      <w:r>
        <w:t xml:space="preserve"> across sectors</w:t>
      </w:r>
      <w:r w:rsidR="000F365B">
        <w:t xml:space="preserve">. </w:t>
      </w:r>
      <w:r w:rsidR="00F517E0">
        <w:t xml:space="preserve"> On the other hand, typical analyses of </w:t>
      </w:r>
      <w:r w:rsidR="00F517E0" w:rsidRPr="00A924C4">
        <w:t>emission abatement policies</w:t>
      </w:r>
      <w:r w:rsidR="006F1E19">
        <w:t xml:space="preserve"> </w:t>
      </w:r>
      <w:r w:rsidR="00917CE9">
        <w:t>using a</w:t>
      </w:r>
      <w:r w:rsidR="006F1E19" w:rsidRPr="006F1E19">
        <w:t xml:space="preserve"> computable general equilibrium (CGE) model</w:t>
      </w:r>
      <w:r w:rsidR="00917CE9">
        <w:t xml:space="preserve"> such as the </w:t>
      </w:r>
      <w:r w:rsidR="00917CE9" w:rsidRPr="006F1E19">
        <w:t>U.S. Regional Energy Policy (USREP) mode</w:t>
      </w:r>
      <w:r w:rsidR="00917CE9">
        <w:t>l</w:t>
      </w:r>
      <w:r w:rsidR="006F1E19">
        <w:t xml:space="preserve"> </w:t>
      </w:r>
      <w:r w:rsidR="00367CB4">
        <w:rPr>
          <w:rFonts w:eastAsia="Malgun Gothic"/>
          <w:lang w:eastAsia="ko-KR"/>
        </w:rPr>
        <w:t xml:space="preserve">often </w:t>
      </w:r>
      <w:r w:rsidR="009127A9">
        <w:t>focus</w:t>
      </w:r>
      <w:r w:rsidR="00F517E0">
        <w:t xml:space="preserve"> </w:t>
      </w:r>
      <w:r w:rsidR="00917CE9">
        <w:t xml:space="preserve">solely </w:t>
      </w:r>
      <w:r w:rsidR="00F517E0">
        <w:t>on the eco</w:t>
      </w:r>
      <w:r w:rsidR="00F517E0" w:rsidRPr="00A924C4">
        <w:t xml:space="preserve">nomic costs </w:t>
      </w:r>
      <w:r w:rsidR="00F517E0">
        <w:t>of polic</w:t>
      </w:r>
      <w:r w:rsidR="006F1E19">
        <w:t>ies</w:t>
      </w:r>
      <w:r w:rsidR="00F517E0">
        <w:t xml:space="preserve"> without considering the potential benefits from climate impact mitigation, </w:t>
      </w:r>
      <w:r w:rsidR="00F517E0" w:rsidRPr="00B034DA">
        <w:t>such as improved health, enhanced infrastructure resilience, and increased labor productivity.</w:t>
      </w:r>
    </w:p>
    <w:p w14:paraId="608C2FA3" w14:textId="11864F15" w:rsidR="002D3BB4" w:rsidRDefault="000F365B" w:rsidP="00162B00">
      <w:r>
        <w:t xml:space="preserve">To address these limitations, </w:t>
      </w:r>
      <w:r w:rsidR="006F1E19">
        <w:t>this study integrates FrEDI with USREP, creating a unified framework that combines FrEDI’s projections of</w:t>
      </w:r>
      <w:r>
        <w:t xml:space="preserve"> emission-temperature-damage climate impacts</w:t>
      </w:r>
      <w:r w:rsidR="006F1E19">
        <w:t xml:space="preserve"> with USREP’s economy-wide dynamic modeling. </w:t>
      </w:r>
      <w:r w:rsidR="00573F64" w:rsidRPr="00573F64">
        <w:t>The FrEDI-USREP integration overcomes the limitations of FrEDI’s PE approach by incorporating intersectoral interactions</w:t>
      </w:r>
      <w:r w:rsidR="00622FDC">
        <w:t xml:space="preserve"> and feedback loops that are </w:t>
      </w:r>
      <w:r w:rsidR="00573F64" w:rsidRPr="00573F64">
        <w:t xml:space="preserve">core </w:t>
      </w:r>
      <w:r w:rsidR="00622FDC">
        <w:t xml:space="preserve">characteristics </w:t>
      </w:r>
      <w:r w:rsidR="00573F64" w:rsidRPr="00573F64">
        <w:t xml:space="preserve">of general equilibrium (GE) </w:t>
      </w:r>
      <w:r w:rsidR="00622FDC">
        <w:t>approach</w:t>
      </w:r>
      <w:r w:rsidR="00573F64" w:rsidRPr="00573F64">
        <w:t>.</w:t>
      </w:r>
      <w:r w:rsidR="002D3BB4">
        <w:t xml:space="preserve">  For instance, </w:t>
      </w:r>
      <w:r w:rsidR="001E208C">
        <w:t xml:space="preserve">this integrated approach captures impacts through feedback </w:t>
      </w:r>
      <w:r w:rsidR="00573F64">
        <w:t>mechanisms</w:t>
      </w:r>
      <w:r w:rsidR="001E208C">
        <w:t>, such as</w:t>
      </w:r>
      <w:r w:rsidR="002D3BB4">
        <w:t xml:space="preserve"> how changes in mortality risk affect labor supply and investment decisions; or how market would respond to </w:t>
      </w:r>
      <w:r w:rsidR="2C3FFEC2">
        <w:t>transportation</w:t>
      </w:r>
      <w:r w:rsidR="007C53E1">
        <w:t xml:space="preserve"> </w:t>
      </w:r>
      <w:r w:rsidR="5A2DFCD9">
        <w:t>d</w:t>
      </w:r>
      <w:r w:rsidR="2A5863AC">
        <w:t xml:space="preserve">isruptions </w:t>
      </w:r>
      <w:r w:rsidR="0BD2A179">
        <w:t>due to</w:t>
      </w:r>
      <w:r w:rsidR="002D3BB4">
        <w:t xml:space="preserve"> infrastructure </w:t>
      </w:r>
      <w:r w:rsidR="546E8D0D">
        <w:t>damages</w:t>
      </w:r>
      <w:r w:rsidR="002D3BB4">
        <w:t xml:space="preserve">, </w:t>
      </w:r>
      <w:r w:rsidR="00573F64">
        <w:t>dynamics</w:t>
      </w:r>
      <w:r w:rsidR="002D3BB4">
        <w:t xml:space="preserve"> that </w:t>
      </w:r>
      <w:r w:rsidR="52E30CBC">
        <w:t>are not presented</w:t>
      </w:r>
      <w:r w:rsidR="00140E7A">
        <w:t xml:space="preserve"> in a PE analysis</w:t>
      </w:r>
      <w:r w:rsidR="002D3BB4">
        <w:t xml:space="preserve">.  </w:t>
      </w:r>
    </w:p>
    <w:p w14:paraId="3EB9D85D" w14:textId="6B804381" w:rsidR="002B6213" w:rsidRDefault="007126F6" w:rsidP="00162B00">
      <w:r>
        <w:t>T</w:t>
      </w:r>
      <w:r w:rsidR="00573F64">
        <w:t xml:space="preserve">he integrated </w:t>
      </w:r>
      <w:r>
        <w:t>of FrEDI with USREP provides several advantages</w:t>
      </w:r>
      <w:r w:rsidR="0099291A">
        <w:t>: (1)</w:t>
      </w:r>
      <w:r w:rsidR="000F365B">
        <w:t xml:space="preserve"> </w:t>
      </w:r>
      <w:r w:rsidR="00573F64">
        <w:t xml:space="preserve">ensuring </w:t>
      </w:r>
      <w:r w:rsidR="000F365B">
        <w:t xml:space="preserve">consistent </w:t>
      </w:r>
      <w:r w:rsidR="00573F64">
        <w:t xml:space="preserve">economic </w:t>
      </w:r>
      <w:r w:rsidR="000F365B">
        <w:t>accounting</w:t>
      </w:r>
      <w:r w:rsidR="0099291A">
        <w:t xml:space="preserve"> across all sectors; (2) capturing</w:t>
      </w:r>
      <w:r w:rsidR="000F365B">
        <w:t xml:space="preserve"> consumer and producer responses to </w:t>
      </w:r>
      <w:r w:rsidR="0099291A">
        <w:t xml:space="preserve">climate </w:t>
      </w:r>
      <w:r w:rsidR="000F365B">
        <w:t>impacts</w:t>
      </w:r>
      <w:r w:rsidR="0099291A">
        <w:t>; (3)</w:t>
      </w:r>
      <w:r w:rsidR="000F365B">
        <w:t xml:space="preserve"> capturing the interactions across sectors </w:t>
      </w:r>
      <w:r w:rsidR="47D6E775">
        <w:t>and regions</w:t>
      </w:r>
      <w:r w:rsidR="4AF0CDF8">
        <w:t xml:space="preserve"> through </w:t>
      </w:r>
      <w:r w:rsidR="111AC0CC">
        <w:t>domestic and national</w:t>
      </w:r>
      <w:r w:rsidR="000F365B">
        <w:t xml:space="preserve"> markets</w:t>
      </w:r>
      <w:r w:rsidR="00BC4775">
        <w:t>;</w:t>
      </w:r>
      <w:r w:rsidR="000F365B">
        <w:t xml:space="preserve"> and </w:t>
      </w:r>
      <w:r w:rsidR="00BC4775">
        <w:t xml:space="preserve">(4) </w:t>
      </w:r>
      <w:r w:rsidR="000F365B">
        <w:t xml:space="preserve">enabling the assessment of both costs and benefits </w:t>
      </w:r>
      <w:r w:rsidR="00BC4775">
        <w:t>associated with</w:t>
      </w:r>
      <w:r w:rsidR="000F365B">
        <w:t xml:space="preserve"> emission</w:t>
      </w:r>
      <w:r w:rsidR="00BC4775">
        <w:t>s</w:t>
      </w:r>
      <w:r w:rsidR="000F365B">
        <w:t xml:space="preserve"> reductions.</w:t>
      </w:r>
      <w:r w:rsidR="00DA6BCC">
        <w:t xml:space="preserve">  </w:t>
      </w:r>
      <w:r w:rsidR="002D3BB4" w:rsidRPr="002D3BB4">
        <w:t xml:space="preserve">In summary, the FrEDI-USREP approach </w:t>
      </w:r>
      <w:r w:rsidR="00362E3F">
        <w:t>evaluates</w:t>
      </w:r>
      <w:r w:rsidR="00362E3F" w:rsidRPr="002D3BB4">
        <w:t xml:space="preserve"> the full economic implications of climate change and related mitigation strategies</w:t>
      </w:r>
      <w:r w:rsidR="001E208C">
        <w:t xml:space="preserve">.  By combining FrEDI's sector impact assessments with USREP's economy-wide modeling capabilities, the integrated framework offers policymakers </w:t>
      </w:r>
      <w:r w:rsidR="002D3BB4" w:rsidRPr="002D3BB4">
        <w:t>a more comprehensive and consistent framework for cost-benefit analysis of climate policies</w:t>
      </w:r>
      <w:r w:rsidR="00362E3F">
        <w:t xml:space="preserve">. </w:t>
      </w:r>
    </w:p>
    <w:p w14:paraId="3F87FE67" w14:textId="61734B51" w:rsidR="005F5338" w:rsidRPr="004A5870" w:rsidRDefault="005F5338" w:rsidP="007869CC">
      <w:pPr>
        <w:pStyle w:val="Heading1"/>
      </w:pPr>
      <w:r w:rsidRPr="004A5870">
        <w:t xml:space="preserve">Model </w:t>
      </w:r>
      <w:r w:rsidR="00322E57" w:rsidRPr="004A5870">
        <w:t>D</w:t>
      </w:r>
      <w:r w:rsidRPr="004A5870">
        <w:t>escription</w:t>
      </w:r>
    </w:p>
    <w:p w14:paraId="5F379C5E" w14:textId="7D51A962" w:rsidR="005F5338" w:rsidRDefault="005F5338" w:rsidP="00162B00">
      <w:r>
        <w:t xml:space="preserve">The </w:t>
      </w:r>
      <w:r w:rsidRPr="00555BC3">
        <w:t>FrEDI</w:t>
      </w:r>
      <w:r>
        <w:t xml:space="preserve"> framework</w:t>
      </w:r>
      <w:r w:rsidRPr="00555BC3">
        <w:t xml:space="preserve"> is a reduced-complexity model developed by</w:t>
      </w:r>
      <w:r>
        <w:t xml:space="preserve"> EPA </w:t>
      </w:r>
      <w:r w:rsidRPr="00555BC3">
        <w:t>to assess the physical and economic impacts of climate change across various sectors within the United States</w:t>
      </w:r>
      <w:r>
        <w:t xml:space="preserve"> (</w:t>
      </w:r>
      <w:proofErr w:type="spellStart"/>
      <w:r>
        <w:t>Hartin</w:t>
      </w:r>
      <w:proofErr w:type="spellEnd"/>
      <w:r>
        <w:t xml:space="preserve"> et al., 2023; Sarofim et al., 2021</w:t>
      </w:r>
      <w:r w:rsidR="4CE6AB4C">
        <w:t>).</w:t>
      </w:r>
      <w:r>
        <w:t xml:space="preserve"> B</w:t>
      </w:r>
      <w:r w:rsidRPr="00555BC3">
        <w:t>y integrating over 30 climate change impact models and peer-reviewed studies, FrEDI quantifies relationships between mean surface temperature changes and climate-driven impacts in 20 different sectors, enabling detailed projections through 2300.</w:t>
      </w:r>
      <w:r>
        <w:t xml:space="preserve"> </w:t>
      </w:r>
      <w:r w:rsidRPr="00555BC3">
        <w:t xml:space="preserve"> FrEDI utilizes a temperature-binning approach to model impacts based on future temperature projections, allowing for the use of any custom warming scenario. </w:t>
      </w:r>
      <w:r>
        <w:t xml:space="preserve"> </w:t>
      </w:r>
      <w:r w:rsidRPr="00555BC3">
        <w:t>It also incorporates socio-economic projections like GDP and population data to estimate future damages</w:t>
      </w:r>
      <w:r>
        <w:t xml:space="preserve">. </w:t>
      </w:r>
    </w:p>
    <w:p w14:paraId="63DAEEA3" w14:textId="5869068C" w:rsidR="005F5338" w:rsidRDefault="1E3E392B" w:rsidP="00162B00">
      <w:r>
        <w:t>An ens</w:t>
      </w:r>
      <w:r w:rsidR="6167DC04">
        <w:t>e</w:t>
      </w:r>
      <w:r>
        <w:t xml:space="preserve">mble of U.S emission trajectories are passed as inputs into </w:t>
      </w:r>
      <w:r w:rsidR="47D42F32">
        <w:t>the</w:t>
      </w:r>
      <w:r w:rsidR="25C72753">
        <w:t xml:space="preserve"> simple climate model </w:t>
      </w:r>
      <w:proofErr w:type="spellStart"/>
      <w:r w:rsidR="25C72753">
        <w:t>FaIR</w:t>
      </w:r>
      <w:proofErr w:type="spellEnd"/>
      <w:r w:rsidR="25C72753">
        <w:t xml:space="preserve"> to calculate global mean surface temperature.  </w:t>
      </w:r>
      <w:r w:rsidR="304ECD0F">
        <w:t>This temperature output,</w:t>
      </w:r>
      <w:r w:rsidR="7D2C41F9">
        <w:t xml:space="preserve"> along with GDP and population</w:t>
      </w:r>
      <w:r w:rsidR="386F4A34">
        <w:t xml:space="preserve">, is then fed </w:t>
      </w:r>
      <w:r w:rsidR="405E139B">
        <w:t>in</w:t>
      </w:r>
      <w:r w:rsidR="7D2C41F9">
        <w:t xml:space="preserve">to FrEDI to </w:t>
      </w:r>
      <w:r w:rsidR="29D872CF">
        <w:t xml:space="preserve">estimate </w:t>
      </w:r>
      <w:r w:rsidR="7D2C41F9">
        <w:t>sector</w:t>
      </w:r>
      <w:r w:rsidR="75F874D2">
        <w:t>al</w:t>
      </w:r>
      <w:r w:rsidR="7D2C41F9">
        <w:t xml:space="preserve"> climate impacts in the U.S. </w:t>
      </w:r>
      <w:r w:rsidR="25C72753">
        <w:t xml:space="preserve"> </w:t>
      </w:r>
      <w:r w:rsidR="12D80EC4">
        <w:t xml:space="preserve">The transportation impacts from high-tide flooding and </w:t>
      </w:r>
      <w:r w:rsidR="1FE9C9C8">
        <w:t xml:space="preserve">damages to </w:t>
      </w:r>
      <w:r w:rsidR="12D80EC4">
        <w:t xml:space="preserve">coastal properties are estimated based on the </w:t>
      </w:r>
      <w:r w:rsidR="436DA742">
        <w:t xml:space="preserve">projections </w:t>
      </w:r>
      <w:r w:rsidR="12D80EC4">
        <w:t>of global mean sea level rise</w:t>
      </w:r>
      <w:r w:rsidR="06CE361C">
        <w:t xml:space="preserve"> using a semi-empirical approach from existing literature (Kopp et al., 2016)</w:t>
      </w:r>
      <w:r w:rsidR="68DCD492">
        <w:t xml:space="preserve"> which are directly</w:t>
      </w:r>
      <w:r w:rsidR="42DA1E9F">
        <w:t xml:space="preserve"> </w:t>
      </w:r>
      <w:r w:rsidR="0409BADF">
        <w:t xml:space="preserve">linked </w:t>
      </w:r>
      <w:r w:rsidR="42DA1E9F">
        <w:t xml:space="preserve">to changes in global mean surface temperature. </w:t>
      </w:r>
    </w:p>
    <w:p w14:paraId="06BF6B61" w14:textId="0061AB3F" w:rsidR="005F5338" w:rsidRDefault="005F5338" w:rsidP="00162B00">
      <w:r>
        <w:lastRenderedPageBreak/>
        <w:t xml:space="preserve">The USREP model is a </w:t>
      </w:r>
      <w:r w:rsidR="00BD23E0">
        <w:t xml:space="preserve">recursive dynamic </w:t>
      </w:r>
      <w:r>
        <w:t xml:space="preserve">computable general equilibrium model of the U.S. economy designed to analyze </w:t>
      </w:r>
      <w:r w:rsidR="55A05ABE">
        <w:t xml:space="preserve">economic impacts of </w:t>
      </w:r>
      <w:r>
        <w:t xml:space="preserve">energy and environmental policies (Yuan et al., 2019).  It has the capability to assess impacts on regions, sectors and industries, and different household income classes.  </w:t>
      </w:r>
      <w:r w:rsidR="00C80293">
        <w:t xml:space="preserve">The </w:t>
      </w:r>
      <w:r>
        <w:t>equilibrium conditions</w:t>
      </w:r>
      <w:r w:rsidR="009A1624">
        <w:t xml:space="preserve"> for producers, consumers and markets </w:t>
      </w:r>
      <w:r w:rsidR="00C80293">
        <w:t xml:space="preserve">in USREP are represented in </w:t>
      </w:r>
      <w:r w:rsidR="00126775">
        <w:t>complementar</w:t>
      </w:r>
      <w:r w:rsidR="00C80293">
        <w:t>ity format</w:t>
      </w:r>
      <w:r>
        <w:t xml:space="preserve">.  Profit-maximizing firms produce goods and services using intermediate inputs from other sectors and primary factors of production </w:t>
      </w:r>
      <w:r w:rsidR="00C80293">
        <w:t>owned by</w:t>
      </w:r>
      <w:r>
        <w:t xml:space="preserve"> households.  Utility-maximizing households receive income from the supply of labor, capital, and resources</w:t>
      </w:r>
      <w:r w:rsidR="00C80293">
        <w:t xml:space="preserve"> and government transfers.</w:t>
      </w:r>
      <w:r>
        <w:t xml:space="preserve">  Household income is exhausted by consumption and savings</w:t>
      </w:r>
      <w:r w:rsidR="00C80293">
        <w:t xml:space="preserve"> for investment.</w:t>
      </w:r>
    </w:p>
    <w:p w14:paraId="78870B27" w14:textId="77777777" w:rsidR="005F5338" w:rsidRPr="00555BC3" w:rsidRDefault="005F5338" w:rsidP="007869CC">
      <w:pPr>
        <w:pStyle w:val="Heading1"/>
      </w:pPr>
      <w:r>
        <w:t>Methodology</w:t>
      </w:r>
    </w:p>
    <w:p w14:paraId="6FC3C9BB" w14:textId="562C8B33" w:rsidR="005F5338" w:rsidRPr="00CE67A6" w:rsidRDefault="005F5338" w:rsidP="00162B00">
      <w:r w:rsidRPr="00CE67A6">
        <w:t xml:space="preserve">The technical approach </w:t>
      </w:r>
      <w:r w:rsidR="00201B0E" w:rsidRPr="00CE67A6">
        <w:t>to</w:t>
      </w:r>
      <w:r w:rsidRPr="00CE67A6">
        <w:t xml:space="preserve"> evaluating </w:t>
      </w:r>
      <w:r w:rsidR="003101AE" w:rsidRPr="00CE67A6">
        <w:t>the climate change impact on the U.S. economy</w:t>
      </w:r>
      <w:r w:rsidRPr="00CE67A6">
        <w:t xml:space="preserve"> using </w:t>
      </w:r>
      <w:r w:rsidR="00A24578" w:rsidRPr="00CE67A6">
        <w:t>FrEDI-</w:t>
      </w:r>
      <w:r w:rsidRPr="00CE67A6">
        <w:t>USREP includes two main steps</w:t>
      </w:r>
      <w:r w:rsidR="00201B0E" w:rsidRPr="00CE67A6">
        <w:t xml:space="preserve"> in the first phase of the study</w:t>
      </w:r>
      <w:r w:rsidRPr="00CE67A6">
        <w:t xml:space="preserve">:  Firstly, establish the USREP baseline with projections for GDP growth, population, emissions, </w:t>
      </w:r>
      <w:r w:rsidR="00201B0E" w:rsidRPr="00CE67A6">
        <w:t xml:space="preserve">assuming that the </w:t>
      </w:r>
      <w:r w:rsidRPr="00CE67A6">
        <w:t>climate impacts</w:t>
      </w:r>
      <w:r w:rsidR="00201B0E" w:rsidRPr="00CE67A6">
        <w:t xml:space="preserve"> remain constant at base year level through the end of the century</w:t>
      </w:r>
      <w:r w:rsidRPr="00CE67A6">
        <w:t>.  Secondly, update the climate impact</w:t>
      </w:r>
      <w:r w:rsidR="00201B0E" w:rsidRPr="00CE67A6">
        <w:t>s</w:t>
      </w:r>
      <w:r w:rsidRPr="00CE67A6">
        <w:t xml:space="preserve"> </w:t>
      </w:r>
      <w:r w:rsidR="003101AE" w:rsidRPr="00CE67A6">
        <w:t>projected</w:t>
      </w:r>
      <w:r w:rsidRPr="00CE67A6">
        <w:t xml:space="preserve"> by FrEDI based on </w:t>
      </w:r>
      <w:r w:rsidR="003101AE" w:rsidRPr="00CE67A6">
        <w:t xml:space="preserve">USREP’s </w:t>
      </w:r>
      <w:r w:rsidRPr="00CE67A6">
        <w:t>GDP growth and emissions trajectorie</w:t>
      </w:r>
      <w:r w:rsidR="00201B0E" w:rsidRPr="00CE67A6">
        <w:t>s</w:t>
      </w:r>
      <w:r w:rsidR="00C113B0" w:rsidRPr="00CE67A6">
        <w:t>, and compare the result</w:t>
      </w:r>
      <w:r w:rsidR="003101AE" w:rsidRPr="00CE67A6">
        <w:t>ing</w:t>
      </w:r>
      <w:r w:rsidR="00C113B0" w:rsidRPr="00CE67A6">
        <w:t xml:space="preserve"> economic impacts with the baseline.  </w:t>
      </w:r>
    </w:p>
    <w:p w14:paraId="6575C8FE" w14:textId="5ED51059" w:rsidR="008527C2" w:rsidRDefault="005F5338" w:rsidP="00162B00">
      <w:r w:rsidRPr="001976A4">
        <w:t xml:space="preserve">Our analysis </w:t>
      </w:r>
      <w:r w:rsidR="003101AE">
        <w:t>using</w:t>
      </w:r>
      <w:r w:rsidRPr="001976A4">
        <w:t xml:space="preserve"> FrEDI-USREP focuses on three primary impact categories</w:t>
      </w:r>
      <w:r>
        <w:t xml:space="preserve">: health, infrastructure, and labor.  </w:t>
      </w:r>
      <w:r w:rsidR="003101AE">
        <w:t>Following methods outlined</w:t>
      </w:r>
      <w:r>
        <w:t xml:space="preserve"> in the FrEDI Technical Documentation (EPA, 2021), we convert </w:t>
      </w:r>
      <w:r w:rsidR="003101AE">
        <w:t xml:space="preserve">FrEDI’s estimated </w:t>
      </w:r>
      <w:r>
        <w:t xml:space="preserve">impact into economic </w:t>
      </w:r>
      <w:r w:rsidR="001C152A">
        <w:t>instruments</w:t>
      </w:r>
      <w:r>
        <w:t xml:space="preserve"> </w:t>
      </w:r>
      <w:r w:rsidR="00243D03">
        <w:t>that can be implemented in USREP</w:t>
      </w:r>
      <w:r>
        <w:t>.</w:t>
      </w:r>
    </w:p>
    <w:p w14:paraId="75F46972" w14:textId="77777777" w:rsidR="008527C2" w:rsidRPr="007869CC" w:rsidRDefault="00243D03" w:rsidP="007869CC">
      <w:pPr>
        <w:pStyle w:val="Heading2"/>
      </w:pPr>
      <w:r w:rsidRPr="007869CC">
        <w:t>H</w:t>
      </w:r>
      <w:r w:rsidR="005F5338" w:rsidRPr="007869CC">
        <w:t xml:space="preserve">ealth impacts </w:t>
      </w:r>
    </w:p>
    <w:p w14:paraId="2D545623" w14:textId="49C7CFB6" w:rsidR="003B051A" w:rsidRDefault="003B051A" w:rsidP="00162B00">
      <w:r w:rsidRPr="003B051A">
        <w:t>Health impacts</w:t>
      </w:r>
      <w:r w:rsidR="002B0423">
        <w:t xml:space="preserve"> in terms of</w:t>
      </w:r>
      <w:r w:rsidRPr="003B051A">
        <w:t xml:space="preserve"> mortality risks due to air quality, extreme temperatures, and suicide, are measured using the Value of a Statistical Life (VSL) and translated into changes in the value of survival for economic agents. To incorporate these impacts into the economic model, we augment the welfare function to include the value of survival, calibrate the benchmark equilibrium value of survival, and estimate the elasticity of substitution between wealth and the value of survival.</w:t>
      </w:r>
    </w:p>
    <w:p w14:paraId="6E3A1365" w14:textId="4C1A9F0E" w:rsidR="002F238D" w:rsidRDefault="005F5338" w:rsidP="002F238D">
      <w:pPr>
        <w:pStyle w:val="Heading2"/>
      </w:pPr>
      <w:r w:rsidRPr="003B051A">
        <w:t>Infrastructure impacts</w:t>
      </w:r>
    </w:p>
    <w:p w14:paraId="1E4CC699" w14:textId="026B9D60" w:rsidR="002F238D" w:rsidRDefault="002F238D" w:rsidP="002F238D">
      <w:r>
        <w:t>Infrastructure impacts such as damages to roads, bridges, and transmission lines, are measured by the repair costs and the associated delays (e.g., construction, service disruption).  These impacts are translated into changes in the efficiency of transportation services. In addition, infrastructure impacts such as building damages due to wind and coastal impact in terms of economic loss are translated into loss of annuity income in the subsequent periods.</w:t>
      </w:r>
    </w:p>
    <w:p w14:paraId="3B7D1DC2" w14:textId="1F2A90D0" w:rsidR="002F238D" w:rsidRDefault="002F238D" w:rsidP="002F238D">
      <w:pPr>
        <w:pStyle w:val="Heading3"/>
      </w:pPr>
      <w:r w:rsidRPr="002F238D">
        <w:lastRenderedPageBreak/>
        <w:t>Transportation delay</w:t>
      </w:r>
    </w:p>
    <w:p w14:paraId="3F0231BC" w14:textId="12CEC43F" w:rsidR="002F238D" w:rsidRPr="002F238D" w:rsidRDefault="002F238D" w:rsidP="002F238D">
      <w:r>
        <w:rPr>
          <w:noProof/>
        </w:rPr>
        <w:drawing>
          <wp:inline distT="0" distB="0" distL="0" distR="0" wp14:anchorId="36E80526" wp14:editId="214B5E5C">
            <wp:extent cx="5779008" cy="2944368"/>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9008" cy="2944368"/>
                    </a:xfrm>
                    <a:prstGeom prst="rect">
                      <a:avLst/>
                    </a:prstGeom>
                    <a:noFill/>
                  </pic:spPr>
                </pic:pic>
              </a:graphicData>
            </a:graphic>
          </wp:inline>
        </w:drawing>
      </w:r>
    </w:p>
    <w:p w14:paraId="54369B4A" w14:textId="523ADFA6" w:rsidR="002F238D" w:rsidRDefault="002F238D" w:rsidP="002F238D">
      <w:pPr>
        <w:pStyle w:val="Heading3"/>
      </w:pPr>
      <w:r>
        <w:t>Road and rail repair</w:t>
      </w:r>
    </w:p>
    <w:p w14:paraId="37A2C1CA" w14:textId="42C21621" w:rsidR="002F238D" w:rsidRPr="002F238D" w:rsidRDefault="002F238D" w:rsidP="002F238D">
      <w:r>
        <w:rPr>
          <w:noProof/>
        </w:rPr>
        <w:drawing>
          <wp:inline distT="0" distB="0" distL="0" distR="0" wp14:anchorId="3685974F" wp14:editId="2AD7D25F">
            <wp:extent cx="5779008" cy="2944368"/>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79008" cy="2944368"/>
                    </a:xfrm>
                    <a:prstGeom prst="rect">
                      <a:avLst/>
                    </a:prstGeom>
                    <a:noFill/>
                  </pic:spPr>
                </pic:pic>
              </a:graphicData>
            </a:graphic>
          </wp:inline>
        </w:drawing>
      </w:r>
    </w:p>
    <w:p w14:paraId="4DF0566D" w14:textId="3A4C60CE" w:rsidR="002F238D" w:rsidRDefault="002F238D" w:rsidP="002F238D">
      <w:pPr>
        <w:pStyle w:val="Heading3"/>
      </w:pPr>
      <w:r>
        <w:lastRenderedPageBreak/>
        <w:t>Building damage</w:t>
      </w:r>
    </w:p>
    <w:p w14:paraId="729FF3C4" w14:textId="1D0B4D1F" w:rsidR="002F238D" w:rsidRPr="002F238D" w:rsidRDefault="002F238D" w:rsidP="002F238D">
      <w:r>
        <w:rPr>
          <w:noProof/>
        </w:rPr>
        <w:drawing>
          <wp:inline distT="0" distB="0" distL="0" distR="0" wp14:anchorId="1DCAAFDD" wp14:editId="559A6F68">
            <wp:extent cx="5779008" cy="2944368"/>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9008" cy="2944368"/>
                    </a:xfrm>
                    <a:prstGeom prst="rect">
                      <a:avLst/>
                    </a:prstGeom>
                    <a:noFill/>
                  </pic:spPr>
                </pic:pic>
              </a:graphicData>
            </a:graphic>
          </wp:inline>
        </w:drawing>
      </w:r>
    </w:p>
    <w:p w14:paraId="5BA10E2B" w14:textId="5C133790" w:rsidR="008527C2" w:rsidRPr="00AB6EEA" w:rsidRDefault="005F5338" w:rsidP="007869CC">
      <w:pPr>
        <w:pStyle w:val="Heading2"/>
      </w:pPr>
      <w:r w:rsidRPr="00AB6EEA">
        <w:t>Labor impacts</w:t>
      </w:r>
      <w:r w:rsidR="00305456" w:rsidRPr="00AB6EEA">
        <w:t xml:space="preserve"> </w:t>
      </w:r>
    </w:p>
    <w:p w14:paraId="3B97E5E4" w14:textId="58A50033" w:rsidR="0052766E" w:rsidRDefault="006B08DF" w:rsidP="00162B00">
      <w:r w:rsidRPr="006B08DF">
        <w:t>Labor impacts, expressed as lost labor hours, are translated into changes in labor demand required to produce the same level of output, and these impacts are implemented as changes in the efficiency units of labor supply. This process involves imputing base year average wage rates by sector based on employment data from the Bureau of Labor Statistics (BLS) by industry. We then calculate the lost labor as a percentage change from the baseline sectoral labor demand and implement this lost labor as a productivity change in the scenario.</w:t>
      </w:r>
    </w:p>
    <w:p w14:paraId="4D059884" w14:textId="15D612CF" w:rsidR="00A43A31" w:rsidRPr="0052766E" w:rsidRDefault="00A43A31" w:rsidP="00162B00">
      <w:r>
        <w:rPr>
          <w:noProof/>
        </w:rPr>
        <w:drawing>
          <wp:inline distT="0" distB="0" distL="0" distR="0" wp14:anchorId="51908685" wp14:editId="509C4F0A">
            <wp:extent cx="5779008" cy="29443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79008" cy="2944368"/>
                    </a:xfrm>
                    <a:prstGeom prst="rect">
                      <a:avLst/>
                    </a:prstGeom>
                    <a:noFill/>
                  </pic:spPr>
                </pic:pic>
              </a:graphicData>
            </a:graphic>
          </wp:inline>
        </w:drawing>
      </w:r>
    </w:p>
    <w:p w14:paraId="3C473F7C" w14:textId="17869861" w:rsidR="00B627D7" w:rsidRDefault="00CF02C9" w:rsidP="007869CC">
      <w:pPr>
        <w:pStyle w:val="Heading1"/>
      </w:pPr>
      <w:r>
        <w:lastRenderedPageBreak/>
        <w:t>Results</w:t>
      </w:r>
      <w:r w:rsidR="00DA1586">
        <w:t xml:space="preserve"> Discussion</w:t>
      </w:r>
    </w:p>
    <w:p w14:paraId="29B7CB99" w14:textId="2FD76077" w:rsidR="00021068" w:rsidRDefault="00C5715D" w:rsidP="00162B00">
      <w:r>
        <w:t>This study aims to address FrEDI's limitations in capturing economic dynamics and interactions.</w:t>
      </w:r>
      <w:r w:rsidR="00B01266">
        <w:t xml:space="preserve"> </w:t>
      </w:r>
      <w:r>
        <w:t xml:space="preserve"> By comparing the </w:t>
      </w:r>
      <w:r w:rsidR="00487A86">
        <w:t>GE</w:t>
      </w:r>
      <w:r>
        <w:t xml:space="preserve"> impacts on GDP as measured by USREP with the PE sectoral impacts estimated by FrEDI, we quantify the additional economic effects not captured by FrEDI alone. </w:t>
      </w:r>
      <w:r w:rsidR="00B01266">
        <w:t xml:space="preserve"> </w:t>
      </w:r>
    </w:p>
    <w:p w14:paraId="7267ED42" w14:textId="77777777" w:rsidR="002F3D3B" w:rsidRPr="002F3D3B" w:rsidRDefault="00BD4BF3" w:rsidP="00162B00">
      <w:r w:rsidRPr="002F3D3B">
        <w:t>In this section, w</w:t>
      </w:r>
      <w:r w:rsidR="003C1D1D" w:rsidRPr="002F3D3B">
        <w:t xml:space="preserve">e illustrate the mechanism </w:t>
      </w:r>
      <w:r w:rsidR="007045FE" w:rsidRPr="002F3D3B">
        <w:t>by</w:t>
      </w:r>
      <w:r w:rsidR="003C1D1D" w:rsidRPr="002F3D3B">
        <w:t xml:space="preserve"> which impacts ripple through the economy and identify the key impact channels</w:t>
      </w:r>
      <w:r w:rsidR="00905F61" w:rsidRPr="002F3D3B">
        <w:t xml:space="preserve">. Sectoral or factor productivity shifts comparative advantage between regions, inducing factor reallocation within and across regions. Sectors not directly impacted by climate change receive indirect impacts through factor reallocation. </w:t>
      </w:r>
      <w:r w:rsidR="002F3D3B" w:rsidRPr="002F3D3B">
        <w:t xml:space="preserve">Factor mobility can exacerbate regional disparities. Trade in goods are amplified by trade in factors. Factor returns drive distributional impacts. </w:t>
      </w:r>
    </w:p>
    <w:p w14:paraId="03DF28E7" w14:textId="60F1B029" w:rsidR="002B0423" w:rsidRDefault="007045FE" w:rsidP="00162B00">
      <w:r w:rsidRPr="002F3D3B">
        <w:t>The</w:t>
      </w:r>
      <w:r w:rsidR="00C5715D" w:rsidRPr="002F3D3B">
        <w:t xml:space="preserve"> comparison </w:t>
      </w:r>
      <w:r w:rsidRPr="002F3D3B">
        <w:t xml:space="preserve">improves our </w:t>
      </w:r>
      <w:r w:rsidR="00C5715D" w:rsidRPr="002F3D3B">
        <w:t xml:space="preserve">understanding </w:t>
      </w:r>
      <w:r w:rsidRPr="002F3D3B">
        <w:t xml:space="preserve">of </w:t>
      </w:r>
      <w:r w:rsidR="00C5715D" w:rsidRPr="002F3D3B">
        <w:t xml:space="preserve">the economy-wide implications of climate impacts </w:t>
      </w:r>
      <w:r w:rsidR="006222CB" w:rsidRPr="002F3D3B">
        <w:t>on individual sectors</w:t>
      </w:r>
      <w:r w:rsidRPr="002F3D3B">
        <w:t xml:space="preserve">, providing insights for designing policy measures </w:t>
      </w:r>
      <w:r w:rsidR="00822AA8" w:rsidRPr="002F3D3B">
        <w:t>to strengthen</w:t>
      </w:r>
      <w:r w:rsidRPr="002F3D3B">
        <w:t xml:space="preserve"> economic resilience</w:t>
      </w:r>
      <w:r w:rsidR="00822AA8" w:rsidRPr="002F3D3B">
        <w:t xml:space="preserve"> to climate change</w:t>
      </w:r>
      <w:r w:rsidRPr="002F3D3B">
        <w:t>.</w:t>
      </w:r>
      <w:r>
        <w:t xml:space="preserve"> </w:t>
      </w:r>
    </w:p>
    <w:p w14:paraId="21E35809" w14:textId="77777777" w:rsidR="0089488A" w:rsidRDefault="0089488A" w:rsidP="0089488A">
      <w:pPr>
        <w:pStyle w:val="Heading2"/>
      </w:pPr>
      <w:r>
        <w:t>Building damages</w:t>
      </w:r>
    </w:p>
    <w:p w14:paraId="29B522DE" w14:textId="77777777" w:rsidR="0089488A" w:rsidRDefault="0089488A" w:rsidP="0089488A">
      <w:r w:rsidRPr="00A43A31">
        <w:t xml:space="preserve">The </w:t>
      </w:r>
      <w:r>
        <w:t xml:space="preserve">U.S. </w:t>
      </w:r>
      <w:r w:rsidRPr="00A43A31">
        <w:t>B</w:t>
      </w:r>
      <w:r>
        <w:t xml:space="preserve">ureau of Economic </w:t>
      </w:r>
      <w:r w:rsidRPr="00A43A31">
        <w:t>A</w:t>
      </w:r>
      <w:r>
        <w:t>nalysis (BEA)</w:t>
      </w:r>
      <w:r w:rsidRPr="00A43A31">
        <w:t xml:space="preserve"> input-output table </w:t>
      </w:r>
      <w:r>
        <w:t>define</w:t>
      </w:r>
      <w:r w:rsidRPr="00A43A31">
        <w:t xml:space="preserve"> the building </w:t>
      </w:r>
      <w:r>
        <w:t xml:space="preserve">sector </w:t>
      </w:r>
      <w:r w:rsidRPr="00A43A31">
        <w:t xml:space="preserve">(real estate) </w:t>
      </w:r>
      <w:r>
        <w:t xml:space="preserve">as </w:t>
      </w:r>
      <w:r w:rsidRPr="00A43A31">
        <w:t>capital</w:t>
      </w:r>
      <w:r>
        <w:t xml:space="preserve"> </w:t>
      </w:r>
      <w:r w:rsidRPr="00A43A31">
        <w:t>intensive</w:t>
      </w:r>
      <w:r>
        <w:t xml:space="preserve">, with output </w:t>
      </w:r>
      <w:r w:rsidRPr="00A43A31">
        <w:t xml:space="preserve">measured by rental values rather than total property values. This distinction is important when assessing climate change impacts, as building damage </w:t>
      </w:r>
      <w:r>
        <w:t>reduces</w:t>
      </w:r>
      <w:r w:rsidRPr="00A43A31">
        <w:t xml:space="preserve"> rental income over </w:t>
      </w:r>
      <w:r>
        <w:t xml:space="preserve">a structure’s </w:t>
      </w:r>
      <w:r w:rsidRPr="00A43A31">
        <w:t xml:space="preserve">remaining life. The sector involves </w:t>
      </w:r>
      <w:r>
        <w:t xml:space="preserve">in </w:t>
      </w:r>
      <w:r w:rsidRPr="00A43A31">
        <w:t>significant</w:t>
      </w:r>
      <w:r>
        <w:t xml:space="preserve"> amount of</w:t>
      </w:r>
      <w:r w:rsidRPr="00A43A31">
        <w:t xml:space="preserve"> trade, </w:t>
      </w:r>
      <w:r>
        <w:t>with</w:t>
      </w:r>
      <w:r w:rsidRPr="00A43A31">
        <w:t xml:space="preserve"> cross-</w:t>
      </w:r>
      <w:r>
        <w:t>region</w:t>
      </w:r>
      <w:r w:rsidRPr="00A43A31">
        <w:t xml:space="preserve"> rental payments recorded as exports and imports of building services.</w:t>
      </w:r>
      <w:r>
        <w:t xml:space="preserve"> For example, a property rent paid by a resident from other regions represents an export of building services from the region where the property resides, and an import by regions where the rent payer resides. </w:t>
      </w:r>
    </w:p>
    <w:p w14:paraId="25077112" w14:textId="77777777" w:rsidR="0089488A" w:rsidRDefault="0089488A" w:rsidP="0089488A">
      <w:r w:rsidRPr="00A43A31">
        <w:t xml:space="preserve">Given this understanding of the economic accounts, we translate </w:t>
      </w:r>
      <w:proofErr w:type="spellStart"/>
      <w:r w:rsidRPr="00A43A31">
        <w:t>FrEDI</w:t>
      </w:r>
      <w:proofErr w:type="spellEnd"/>
      <w:r w:rsidRPr="00A43A31">
        <w:t xml:space="preserve"> </w:t>
      </w:r>
      <w:r>
        <w:t xml:space="preserve">estimates of </w:t>
      </w:r>
      <w:r w:rsidRPr="00A43A31">
        <w:t xml:space="preserve">building damages into </w:t>
      </w:r>
      <w:r>
        <w:t>rental value</w:t>
      </w:r>
      <w:r w:rsidRPr="00A43A31">
        <w:t xml:space="preserve"> loss</w:t>
      </w:r>
      <w:r>
        <w:t>es</w:t>
      </w:r>
      <w:r w:rsidRPr="00A43A31">
        <w:t xml:space="preserve"> based on assumed interest rates and remaining lifespan, and apply the loss</w:t>
      </w:r>
      <w:r>
        <w:t>es</w:t>
      </w:r>
      <w:r w:rsidRPr="00A43A31">
        <w:t xml:space="preserve"> as</w:t>
      </w:r>
      <w:r>
        <w:t xml:space="preserve"> a Hicks neutral technical change. That is, building damages are represented as</w:t>
      </w:r>
      <w:r w:rsidRPr="00A43A31">
        <w:t xml:space="preserve"> reduction</w:t>
      </w:r>
      <w:r>
        <w:t>s</w:t>
      </w:r>
      <w:r w:rsidRPr="00A43A31">
        <w:t xml:space="preserve"> in </w:t>
      </w:r>
      <w:r>
        <w:t xml:space="preserve">building </w:t>
      </w:r>
      <w:r w:rsidRPr="00A43A31">
        <w:t>sector</w:t>
      </w:r>
      <w:r>
        <w:t>’</w:t>
      </w:r>
      <w:r w:rsidRPr="00A43A31">
        <w:t xml:space="preserve">s </w:t>
      </w:r>
      <w:r>
        <w:t>productivity</w:t>
      </w:r>
      <w:r w:rsidRPr="00A43A31">
        <w:t xml:space="preserve">, </w:t>
      </w:r>
      <w:r>
        <w:t xml:space="preserve">lowering </w:t>
      </w:r>
      <w:r w:rsidRPr="00A43A31">
        <w:t xml:space="preserve">building service </w:t>
      </w:r>
      <w:r>
        <w:t>output produced from a given supply of inputs</w:t>
      </w:r>
      <w:r w:rsidRPr="00A43A31">
        <w:t xml:space="preserve"> from capital, labor, and intermediate materials. Hence the building damage is expected to </w:t>
      </w:r>
      <w:r>
        <w:t xml:space="preserve">reduce </w:t>
      </w:r>
      <w:r w:rsidRPr="00A43A31">
        <w:t>building service</w:t>
      </w:r>
      <w:r>
        <w:t xml:space="preserve"> supply,</w:t>
      </w:r>
      <w:r w:rsidRPr="00A43A31">
        <w:t xml:space="preserve"> </w:t>
      </w:r>
      <w:r>
        <w:t xml:space="preserve">raising </w:t>
      </w:r>
      <w:r w:rsidRPr="00A43A31">
        <w:t xml:space="preserve">building sector’s output price </w:t>
      </w:r>
      <w:r>
        <w:t xml:space="preserve">if </w:t>
      </w:r>
      <w:r w:rsidRPr="00A43A31">
        <w:t xml:space="preserve">demand for remains stable. </w:t>
      </w:r>
      <w:proofErr w:type="spellStart"/>
      <w:r w:rsidRPr="00A43A31">
        <w:t>FrEDI</w:t>
      </w:r>
      <w:proofErr w:type="spellEnd"/>
      <w:r w:rsidRPr="00A43A31">
        <w:t xml:space="preserve"> </w:t>
      </w:r>
      <w:r>
        <w:t>estimates project more severe impacts on building structures in</w:t>
      </w:r>
      <w:r w:rsidRPr="00A43A31">
        <w:t xml:space="preserve"> Southeast and Southern Plains</w:t>
      </w:r>
      <w:r>
        <w:t>, milder impacts in Northeast, and the</w:t>
      </w:r>
      <w:r w:rsidRPr="00A43A31">
        <w:t xml:space="preserve"> rest of the U.S. faces small to no impacts.</w:t>
      </w:r>
    </w:p>
    <w:p w14:paraId="298991E3" w14:textId="77777777" w:rsidR="0089488A" w:rsidRPr="00A84224" w:rsidRDefault="0089488A" w:rsidP="0089488A">
      <w:r>
        <w:t>As high</w:t>
      </w:r>
      <w:r w:rsidRPr="00A84224">
        <w:t xml:space="preserve">-impact regions </w:t>
      </w:r>
      <w:r>
        <w:t xml:space="preserve">incur larger reduction in productivity relative to less-impacted regions, this differential productivity impacts shift comparative advantage to favor less-impacted regions in building services. On the flip side, the high-impact regions gain comparative advantage in all other sectors. In each region, factors are reallocated toward the sectors with comparative advantage. </w:t>
      </w:r>
    </w:p>
    <w:p w14:paraId="1DAE7CD8" w14:textId="4D23C9BC" w:rsidR="0089488A" w:rsidRPr="00A84224" w:rsidRDefault="0089488A" w:rsidP="0089488A">
      <w:r w:rsidRPr="00A84224">
        <w:t>Capital, being mobile across regions, flows from high-impact to less-impact regions, supporting the building sector’s expansion in the latter. Labor, mobile within regions but limited in mobility across regions, shifts in less-impact regions from other sectors to the expanding building sector, while in high-impact regions, labor moves out of the building sector into other local industrie</w:t>
      </w:r>
      <w:r w:rsidRPr="009E6FB1">
        <w:t>s.</w:t>
      </w:r>
      <w:r w:rsidR="009E6FB1" w:rsidRPr="009E6FB1">
        <w:t xml:space="preserve"> </w:t>
      </w:r>
      <w:r w:rsidR="009E6FB1" w:rsidRPr="009E6FB1">
        <w:t>Labor immobility across regions prevents wage equalization, deepening disparities as less-impact regions favor capital-intensive production and high-impacted regions shift toward labor-intensive activities.</w:t>
      </w:r>
    </w:p>
    <w:p w14:paraId="49F839F8" w14:textId="77777777" w:rsidR="0089488A" w:rsidRPr="00A43A31" w:rsidRDefault="0089488A" w:rsidP="0089488A">
      <w:r w:rsidRPr="00797F8E">
        <w:t>Other sectors not directly impacted by climate change receive indirect impacts through factor reallocation</w:t>
      </w:r>
      <w:r>
        <w:t>.</w:t>
      </w:r>
      <w:r w:rsidRPr="00A84224">
        <w:t xml:space="preserve"> In less-impact regions, the building sector’s growth </w:t>
      </w:r>
      <w:r>
        <w:t>draws</w:t>
      </w:r>
      <w:r w:rsidRPr="00A84224">
        <w:t xml:space="preserve"> </w:t>
      </w:r>
      <w:r>
        <w:t>factors</w:t>
      </w:r>
      <w:r w:rsidRPr="00A84224">
        <w:t xml:space="preserve"> from other sectors that </w:t>
      </w:r>
      <w:r w:rsidRPr="00A84224">
        <w:lastRenderedPageBreak/>
        <w:t>are relatively labor-intensive</w:t>
      </w:r>
      <w:r>
        <w:t xml:space="preserve"> (e.g. the service and manufacturing sectors). B</w:t>
      </w:r>
      <w:r w:rsidRPr="00A84224">
        <w:t>ecause building sector</w:t>
      </w:r>
      <w:r>
        <w:t xml:space="preserve"> is more capital intensive than all other sectors,</w:t>
      </w:r>
      <w:r w:rsidRPr="00A84224">
        <w:t xml:space="preserve"> </w:t>
      </w:r>
      <w:r>
        <w:t>its expansion requires proportionally more capital than labor from other sectors, leading to excess supply of labor and lower</w:t>
      </w:r>
      <w:r w:rsidRPr="00A84224">
        <w:t xml:space="preserve"> wages</w:t>
      </w:r>
      <w:r>
        <w:t xml:space="preserve"> in less-impact region</w:t>
      </w:r>
      <w:r w:rsidRPr="00A84224">
        <w:t xml:space="preserve">. In high-impact regions, the building </w:t>
      </w:r>
      <w:r>
        <w:t>sector shrinks and</w:t>
      </w:r>
      <w:r w:rsidRPr="00A84224">
        <w:t xml:space="preserve"> releases </w:t>
      </w:r>
      <w:r>
        <w:t>factors</w:t>
      </w:r>
      <w:r w:rsidRPr="00A84224">
        <w:t xml:space="preserve"> to other sectors, </w:t>
      </w:r>
      <w:r>
        <w:t xml:space="preserve">lowering their cost of production and potentially </w:t>
      </w:r>
      <w:r w:rsidRPr="00A84224">
        <w:t>boosting their output</w:t>
      </w:r>
      <w:r>
        <w:t>.</w:t>
      </w:r>
    </w:p>
    <w:p w14:paraId="52D4AE38" w14:textId="77777777" w:rsidR="0089488A" w:rsidRDefault="0089488A" w:rsidP="0089488A">
      <w:r>
        <w:rPr>
          <w:noProof/>
        </w:rPr>
        <w:drawing>
          <wp:inline distT="0" distB="0" distL="0" distR="0" wp14:anchorId="0CC63C1B" wp14:editId="2BFC8537">
            <wp:extent cx="5925312" cy="295351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5312" cy="2953512"/>
                    </a:xfrm>
                    <a:prstGeom prst="rect">
                      <a:avLst/>
                    </a:prstGeom>
                    <a:noFill/>
                  </pic:spPr>
                </pic:pic>
              </a:graphicData>
            </a:graphic>
          </wp:inline>
        </w:drawing>
      </w:r>
    </w:p>
    <w:p w14:paraId="442C6CFD" w14:textId="555A83FD" w:rsidR="0089488A" w:rsidRPr="00421494" w:rsidRDefault="0089488A" w:rsidP="0089488A">
      <w:pPr>
        <w:pStyle w:val="Caption"/>
      </w:pPr>
      <w:r w:rsidRPr="00421494">
        <w:t xml:space="preserve">Figure </w:t>
      </w:r>
      <w:r w:rsidRPr="00421494">
        <w:fldChar w:fldCharType="begin"/>
      </w:r>
      <w:r w:rsidRPr="00421494">
        <w:instrText xml:space="preserve"> SEQ Figure \* ARABIC </w:instrText>
      </w:r>
      <w:r w:rsidRPr="00421494">
        <w:fldChar w:fldCharType="separate"/>
      </w:r>
      <w:r w:rsidR="00F077B4">
        <w:rPr>
          <w:noProof/>
        </w:rPr>
        <w:t>1</w:t>
      </w:r>
      <w:r w:rsidRPr="00421494">
        <w:fldChar w:fldCharType="end"/>
      </w:r>
      <w:r w:rsidRPr="00421494">
        <w:t>: Sectoral output by region in the Building Damage scenario (change from the Reference scenario, Billion$)</w:t>
      </w:r>
    </w:p>
    <w:p w14:paraId="487BFA7C" w14:textId="5CDB12F8" w:rsidR="00C66D11" w:rsidRDefault="00E51793" w:rsidP="00E51793">
      <w:r>
        <w:t>These shifts in sectoral output and factor allocation follow</w:t>
      </w:r>
      <w:r w:rsidR="006A212D">
        <w:t xml:space="preserve"> trade theor</w:t>
      </w:r>
      <w:r w:rsidR="00640713">
        <w:t>y</w:t>
      </w:r>
      <w:r>
        <w:t xml:space="preserve">. </w:t>
      </w:r>
      <w:r w:rsidR="001C464F">
        <w:t xml:space="preserve">According to </w:t>
      </w:r>
      <w:proofErr w:type="spellStart"/>
      <w:r w:rsidRPr="00E51793">
        <w:t>Stolper</w:t>
      </w:r>
      <w:proofErr w:type="spellEnd"/>
      <w:r w:rsidRPr="00E51793">
        <w:t xml:space="preserve">-Samuelson theorem </w:t>
      </w:r>
      <w:r w:rsidR="001C464F">
        <w:t xml:space="preserve">that </w:t>
      </w:r>
      <w:r w:rsidRPr="00E51793">
        <w:t>links price changes to factor returns</w:t>
      </w:r>
      <w:r w:rsidR="001C464F">
        <w:t>,</w:t>
      </w:r>
      <w:r w:rsidRPr="00E51793">
        <w:t xml:space="preserve"> </w:t>
      </w:r>
      <w:r w:rsidR="001C464F">
        <w:t>r</w:t>
      </w:r>
      <w:r w:rsidRPr="00E51793">
        <w:t xml:space="preserve">ising building prices, driven by </w:t>
      </w:r>
      <w:r>
        <w:t>sectoral productivity impacts</w:t>
      </w:r>
      <w:r w:rsidRPr="00E51793">
        <w:t xml:space="preserve">, </w:t>
      </w:r>
      <w:r w:rsidR="007471DA">
        <w:t xml:space="preserve">leads to a more than proportional </w:t>
      </w:r>
      <w:r w:rsidRPr="00E51793">
        <w:t xml:space="preserve">increase </w:t>
      </w:r>
      <w:r w:rsidR="007471DA">
        <w:t xml:space="preserve">in </w:t>
      </w:r>
      <w:r w:rsidRPr="00E51793">
        <w:t>returns to capital, the factor used intensively in building, while depressing wages</w:t>
      </w:r>
      <w:r>
        <w:t xml:space="preserve"> due to excess labor supply as a result of a mismatch in factor intensity </w:t>
      </w:r>
      <w:r w:rsidR="005E1068">
        <w:t>between the building and</w:t>
      </w:r>
      <w:r>
        <w:t xml:space="preserve"> other sectors</w:t>
      </w:r>
      <w:r w:rsidRPr="00E51793">
        <w:t xml:space="preserve">. Capital mobility relaxes </w:t>
      </w:r>
      <w:proofErr w:type="spellStart"/>
      <w:r w:rsidR="007471DA">
        <w:t>Stolper</w:t>
      </w:r>
      <w:proofErr w:type="spellEnd"/>
      <w:r w:rsidR="007471DA">
        <w:t>-Samuelson’</w:t>
      </w:r>
      <w:r w:rsidRPr="00E51793">
        <w:t xml:space="preserve">s fixed </w:t>
      </w:r>
      <w:r w:rsidR="007471DA">
        <w:t xml:space="preserve">factor </w:t>
      </w:r>
      <w:r w:rsidRPr="00E51793">
        <w:t xml:space="preserve">endowment assumption, allowing capital to flow to less-impact regions </w:t>
      </w:r>
      <w:r w:rsidR="007471DA">
        <w:t>for</w:t>
      </w:r>
      <w:r w:rsidRPr="00E51793">
        <w:t xml:space="preserve"> higher returns. </w:t>
      </w:r>
      <w:r w:rsidR="007471DA">
        <w:t xml:space="preserve">According to </w:t>
      </w:r>
      <w:proofErr w:type="spellStart"/>
      <w:r w:rsidRPr="00E51793">
        <w:t>Rybczynski</w:t>
      </w:r>
      <w:proofErr w:type="spellEnd"/>
      <w:r w:rsidRPr="00E51793">
        <w:t xml:space="preserve"> theorem</w:t>
      </w:r>
      <w:r w:rsidR="007471DA">
        <w:t xml:space="preserve"> that </w:t>
      </w:r>
      <w:r w:rsidR="00093BB4">
        <w:t>connects</w:t>
      </w:r>
      <w:r w:rsidR="007471DA">
        <w:t xml:space="preserve"> factor endowment</w:t>
      </w:r>
      <w:r w:rsidR="00093BB4">
        <w:t>s</w:t>
      </w:r>
      <w:r w:rsidR="007471DA">
        <w:t xml:space="preserve"> to output</w:t>
      </w:r>
      <w:r w:rsidR="00093BB4">
        <w:t>s</w:t>
      </w:r>
      <w:r w:rsidR="007471DA">
        <w:t>,</w:t>
      </w:r>
      <w:r w:rsidRPr="00E51793">
        <w:t xml:space="preserve"> capital inflows in less-impact regions </w:t>
      </w:r>
      <w:r w:rsidR="007471DA">
        <w:t xml:space="preserve">leads to a more than proportional increase in the output of the </w:t>
      </w:r>
      <w:r w:rsidRPr="00E51793">
        <w:t xml:space="preserve">building sector </w:t>
      </w:r>
      <w:r w:rsidR="007471DA">
        <w:t xml:space="preserve">that uses capital intensively, </w:t>
      </w:r>
      <w:r w:rsidRPr="00E51793">
        <w:t xml:space="preserve">and </w:t>
      </w:r>
      <w:r w:rsidR="007471DA">
        <w:t>a decrease in the output of</w:t>
      </w:r>
      <w:r w:rsidRPr="00E51793">
        <w:t xml:space="preserve"> labor-intensive sectors. </w:t>
      </w:r>
      <w:r w:rsidR="00E804FF">
        <w:t>Increased</w:t>
      </w:r>
      <w:r w:rsidR="00193EC8">
        <w:t xml:space="preserve"> capital supply mitigates the increase in returns to capital, driving a greater cost reduction for </w:t>
      </w:r>
      <w:r w:rsidR="00624C2F">
        <w:t>the capital-</w:t>
      </w:r>
      <w:r w:rsidR="00193EC8">
        <w:t>intensive</w:t>
      </w:r>
      <w:r w:rsidR="00624C2F">
        <w:t xml:space="preserve"> building sector</w:t>
      </w:r>
      <w:r w:rsidR="00977C44">
        <w:t xml:space="preserve"> and </w:t>
      </w:r>
      <w:r w:rsidR="00624C2F">
        <w:t>encouraging its expansion. Building sectoral expansion</w:t>
      </w:r>
      <w:r w:rsidR="005E1068">
        <w:t xml:space="preserve"> draws more labor from other sectors, further contracting other sectors.</w:t>
      </w:r>
    </w:p>
    <w:p w14:paraId="34702E98" w14:textId="77777777" w:rsidR="0089488A" w:rsidRDefault="0089488A" w:rsidP="0089488A">
      <w:r>
        <w:rPr>
          <w:noProof/>
        </w:rPr>
        <w:lastRenderedPageBreak/>
        <w:drawing>
          <wp:inline distT="0" distB="0" distL="0" distR="0" wp14:anchorId="118F6BAC" wp14:editId="46224D0C">
            <wp:extent cx="5934456" cy="2962656"/>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456" cy="2962656"/>
                    </a:xfrm>
                    <a:prstGeom prst="rect">
                      <a:avLst/>
                    </a:prstGeom>
                    <a:noFill/>
                  </pic:spPr>
                </pic:pic>
              </a:graphicData>
            </a:graphic>
          </wp:inline>
        </w:drawing>
      </w:r>
    </w:p>
    <w:p w14:paraId="4EB83B42" w14:textId="36F7DF53" w:rsidR="0089488A" w:rsidRPr="00421494" w:rsidRDefault="0089488A" w:rsidP="0089488A">
      <w:pPr>
        <w:pStyle w:val="Caption"/>
      </w:pPr>
      <w:r w:rsidRPr="00421494">
        <w:t xml:space="preserve">Figure </w:t>
      </w:r>
      <w:r w:rsidRPr="00421494">
        <w:fldChar w:fldCharType="begin"/>
      </w:r>
      <w:r w:rsidRPr="00421494">
        <w:instrText xml:space="preserve"> SEQ Figure \* ARABIC </w:instrText>
      </w:r>
      <w:r w:rsidRPr="00421494">
        <w:fldChar w:fldCharType="separate"/>
      </w:r>
      <w:r w:rsidR="00F077B4">
        <w:rPr>
          <w:noProof/>
        </w:rPr>
        <w:t>2</w:t>
      </w:r>
      <w:r w:rsidRPr="00421494">
        <w:fldChar w:fldCharType="end"/>
      </w:r>
      <w:r>
        <w:t>: Factor demand and prices</w:t>
      </w:r>
      <w:r w:rsidRPr="00421494">
        <w:t xml:space="preserve"> by region in the Building Damage scenario (change from the Reference scenario, Billion$)</w:t>
      </w:r>
    </w:p>
    <w:p w14:paraId="34A657F7" w14:textId="4C121EFE" w:rsidR="00A43A31" w:rsidRPr="007869CC" w:rsidRDefault="00A43A31" w:rsidP="00A43A31">
      <w:pPr>
        <w:pStyle w:val="Heading2"/>
      </w:pPr>
      <w:r>
        <w:t>Lost labor</w:t>
      </w:r>
    </w:p>
    <w:p w14:paraId="57D52181" w14:textId="353A27AF" w:rsidR="00A43A31" w:rsidRPr="00A43A31" w:rsidRDefault="00A43A31" w:rsidP="00A43A31">
      <w:pPr>
        <w:rPr>
          <w:lang w:eastAsia="en-US"/>
        </w:rPr>
      </w:pPr>
      <w:r w:rsidRPr="00A43A31">
        <w:rPr>
          <w:lang w:eastAsia="en-US"/>
        </w:rPr>
        <w:t xml:space="preserve">National-level changes in sectoral output due to climate-driven labor obscure considerable regional disparities. </w:t>
      </w:r>
      <w:r w:rsidR="00E064C4">
        <w:rPr>
          <w:lang w:eastAsia="en-US"/>
        </w:rPr>
        <w:t>High-impacted r</w:t>
      </w:r>
      <w:r w:rsidRPr="00A43A31">
        <w:rPr>
          <w:lang w:eastAsia="en-US"/>
        </w:rPr>
        <w:t>egions (Southeast and Southern Plains)</w:t>
      </w:r>
      <w:r w:rsidR="00E064C4">
        <w:rPr>
          <w:lang w:eastAsia="en-US"/>
        </w:rPr>
        <w:t xml:space="preserve"> with sectors heavily exposed to climate risks,</w:t>
      </w:r>
      <w:r w:rsidRPr="00A43A31">
        <w:rPr>
          <w:lang w:eastAsia="en-US"/>
        </w:rPr>
        <w:t xml:space="preserve"> </w:t>
      </w:r>
      <w:r w:rsidR="00E064C4">
        <w:rPr>
          <w:lang w:eastAsia="en-US"/>
        </w:rPr>
        <w:t xml:space="preserve">face </w:t>
      </w:r>
      <w:r w:rsidRPr="00A43A31">
        <w:rPr>
          <w:lang w:eastAsia="en-US"/>
        </w:rPr>
        <w:t>larger output reductions, while less-</w:t>
      </w:r>
      <w:r w:rsidR="00E064C4">
        <w:rPr>
          <w:lang w:eastAsia="en-US"/>
        </w:rPr>
        <w:t>impacted</w:t>
      </w:r>
      <w:r w:rsidRPr="00A43A31">
        <w:rPr>
          <w:lang w:eastAsia="en-US"/>
        </w:rPr>
        <w:t xml:space="preserve"> regions (Northwest, Northcentral, and Northeast) often </w:t>
      </w:r>
      <w:r w:rsidR="00E064C4">
        <w:rPr>
          <w:lang w:eastAsia="en-US"/>
        </w:rPr>
        <w:t xml:space="preserve">expand </w:t>
      </w:r>
      <w:r w:rsidRPr="00A43A31">
        <w:rPr>
          <w:lang w:eastAsia="en-US"/>
        </w:rPr>
        <w:t>output</w:t>
      </w:r>
      <w:r w:rsidR="00E064C4">
        <w:rPr>
          <w:lang w:eastAsia="en-US"/>
        </w:rPr>
        <w:t xml:space="preserve">, </w:t>
      </w:r>
      <w:r w:rsidRPr="00A43A31">
        <w:rPr>
          <w:lang w:eastAsia="en-US"/>
        </w:rPr>
        <w:t>partially offset</w:t>
      </w:r>
      <w:r w:rsidR="00E064C4">
        <w:rPr>
          <w:lang w:eastAsia="en-US"/>
        </w:rPr>
        <w:t>ting</w:t>
      </w:r>
      <w:r w:rsidRPr="00A43A31">
        <w:rPr>
          <w:lang w:eastAsia="en-US"/>
        </w:rPr>
        <w:t xml:space="preserve"> national losses. These divergent outcomes stem from </w:t>
      </w:r>
      <w:r w:rsidR="00E064C4">
        <w:rPr>
          <w:lang w:eastAsia="en-US"/>
        </w:rPr>
        <w:t xml:space="preserve">factor mobility </w:t>
      </w:r>
      <w:r w:rsidRPr="00A43A31">
        <w:rPr>
          <w:lang w:eastAsia="en-US"/>
        </w:rPr>
        <w:t xml:space="preserve">assumptions. Labor </w:t>
      </w:r>
      <w:r w:rsidR="00EC286F">
        <w:rPr>
          <w:lang w:eastAsia="en-US"/>
        </w:rPr>
        <w:t>endowed in one region has limited opportunity to supply to other regions</w:t>
      </w:r>
      <w:r w:rsidRPr="00A43A31">
        <w:rPr>
          <w:lang w:eastAsia="en-US"/>
        </w:rPr>
        <w:t>, whereas non-vintage capital</w:t>
      </w:r>
      <w:r w:rsidR="00E064C4">
        <w:rPr>
          <w:lang w:eastAsia="en-US"/>
        </w:rPr>
        <w:t xml:space="preserve">, </w:t>
      </w:r>
      <w:r w:rsidRPr="00A43A31">
        <w:rPr>
          <w:lang w:eastAsia="en-US"/>
        </w:rPr>
        <w:t xml:space="preserve">fully </w:t>
      </w:r>
      <w:r w:rsidR="00E064C4">
        <w:rPr>
          <w:lang w:eastAsia="en-US"/>
        </w:rPr>
        <w:t xml:space="preserve">mobile, </w:t>
      </w:r>
      <w:r w:rsidRPr="00A43A31">
        <w:rPr>
          <w:lang w:eastAsia="en-US"/>
        </w:rPr>
        <w:t xml:space="preserve">can flow to sectors and regions </w:t>
      </w:r>
      <w:r w:rsidR="00E064C4">
        <w:rPr>
          <w:lang w:eastAsia="en-US"/>
        </w:rPr>
        <w:t>for higher</w:t>
      </w:r>
      <w:r w:rsidRPr="00A43A31">
        <w:rPr>
          <w:lang w:eastAsia="en-US"/>
        </w:rPr>
        <w:t xml:space="preserve"> returns.</w:t>
      </w:r>
    </w:p>
    <w:p w14:paraId="26734554" w14:textId="5D79F182" w:rsidR="00A43A31" w:rsidRPr="00A43A31" w:rsidRDefault="00A43A31" w:rsidP="00A43A31">
      <w:pPr>
        <w:rPr>
          <w:lang w:eastAsia="en-US"/>
        </w:rPr>
      </w:pPr>
      <w:r w:rsidRPr="00A43A31">
        <w:rPr>
          <w:lang w:eastAsia="en-US"/>
        </w:rPr>
        <w:t xml:space="preserve">For each climate-impacted </w:t>
      </w:r>
      <w:proofErr w:type="gramStart"/>
      <w:r w:rsidRPr="00A43A31">
        <w:rPr>
          <w:lang w:eastAsia="en-US"/>
        </w:rPr>
        <w:t>sectors</w:t>
      </w:r>
      <w:proofErr w:type="gramEnd"/>
      <w:r w:rsidRPr="00A43A31">
        <w:rPr>
          <w:lang w:eastAsia="en-US"/>
        </w:rPr>
        <w:t xml:space="preserve"> (electricity, agriculture, mining, construction, transportation and manufacturing), uneven labor productivity declines driven by different regional climate exposure </w:t>
      </w:r>
      <w:r w:rsidR="00EC286F">
        <w:rPr>
          <w:lang w:eastAsia="en-US"/>
        </w:rPr>
        <w:t>shift</w:t>
      </w:r>
      <w:r w:rsidRPr="00A43A31">
        <w:rPr>
          <w:lang w:eastAsia="en-US"/>
        </w:rPr>
        <w:t xml:space="preserve"> comparative advantages. High-impact</w:t>
      </w:r>
      <w:r w:rsidR="00EC286F">
        <w:rPr>
          <w:lang w:eastAsia="en-US"/>
        </w:rPr>
        <w:t>ed</w:t>
      </w:r>
      <w:r w:rsidRPr="00A43A31">
        <w:rPr>
          <w:lang w:eastAsia="en-US"/>
        </w:rPr>
        <w:t xml:space="preserve"> regions </w:t>
      </w:r>
      <w:r w:rsidR="00EC286F">
        <w:rPr>
          <w:lang w:eastAsia="en-US"/>
        </w:rPr>
        <w:t>suffer</w:t>
      </w:r>
      <w:r w:rsidRPr="00A43A31">
        <w:rPr>
          <w:lang w:eastAsia="en-US"/>
        </w:rPr>
        <w:t xml:space="preserve"> greater productivity losses, weakening their competitiveness relative to less-impact </w:t>
      </w:r>
      <w:r w:rsidR="00EC286F">
        <w:rPr>
          <w:lang w:eastAsia="en-US"/>
        </w:rPr>
        <w:t>regions</w:t>
      </w:r>
      <w:r w:rsidRPr="00A43A31">
        <w:rPr>
          <w:lang w:eastAsia="en-US"/>
        </w:rPr>
        <w:t xml:space="preserve">. Firms in these hard-hit regions may substitute capital for costlier labor, but rising input costs and their comparative disadvantage compared to firms in less-impact regions force them to reduce output. As production contracts, both labor and capital are released. Labor remains bound to its region, but the released capital is able to move to </w:t>
      </w:r>
      <w:r w:rsidR="00EC286F">
        <w:rPr>
          <w:lang w:eastAsia="en-US"/>
        </w:rPr>
        <w:t>less-</w:t>
      </w:r>
      <w:r w:rsidRPr="00A43A31">
        <w:rPr>
          <w:lang w:eastAsia="en-US"/>
        </w:rPr>
        <w:t xml:space="preserve">impact regions to support </w:t>
      </w:r>
      <w:r w:rsidR="00EC286F">
        <w:rPr>
          <w:lang w:eastAsia="en-US"/>
        </w:rPr>
        <w:t>expanding sectors that gain</w:t>
      </w:r>
      <w:r w:rsidRPr="00A43A31">
        <w:rPr>
          <w:lang w:eastAsia="en-US"/>
        </w:rPr>
        <w:t xml:space="preserve"> comparative advantage. This capital reallocation helps offset the losses in high-impact</w:t>
      </w:r>
      <w:r w:rsidR="00EC286F">
        <w:rPr>
          <w:lang w:eastAsia="en-US"/>
        </w:rPr>
        <w:t>ed</w:t>
      </w:r>
      <w:r w:rsidRPr="00A43A31">
        <w:rPr>
          <w:lang w:eastAsia="en-US"/>
        </w:rPr>
        <w:t xml:space="preserve"> regions, </w:t>
      </w:r>
      <w:r w:rsidR="00EC286F">
        <w:rPr>
          <w:lang w:eastAsia="en-US"/>
        </w:rPr>
        <w:t>mitigating</w:t>
      </w:r>
      <w:r w:rsidRPr="00A43A31">
        <w:rPr>
          <w:lang w:eastAsia="en-US"/>
        </w:rPr>
        <w:t xml:space="preserve"> overall output reductions </w:t>
      </w:r>
      <w:r w:rsidR="00EC286F">
        <w:rPr>
          <w:lang w:eastAsia="en-US"/>
        </w:rPr>
        <w:t>by</w:t>
      </w:r>
      <w:r w:rsidRPr="00A43A31">
        <w:rPr>
          <w:lang w:eastAsia="en-US"/>
        </w:rPr>
        <w:t xml:space="preserve"> shift</w:t>
      </w:r>
      <w:r w:rsidR="00EC286F">
        <w:rPr>
          <w:lang w:eastAsia="en-US"/>
        </w:rPr>
        <w:t>ing production geographically.</w:t>
      </w:r>
    </w:p>
    <w:p w14:paraId="2F377DD6" w14:textId="730B6BFB" w:rsidR="00A43A31" w:rsidRPr="00A43A31" w:rsidRDefault="00A43A31" w:rsidP="00A43A31">
      <w:pPr>
        <w:rPr>
          <w:lang w:eastAsia="en-US"/>
        </w:rPr>
      </w:pPr>
      <w:r w:rsidRPr="00A43A31">
        <w:rPr>
          <w:lang w:eastAsia="en-US"/>
        </w:rPr>
        <w:t xml:space="preserve">The service sector, though not directly harmed by climate effects, </w:t>
      </w:r>
      <w:r w:rsidR="00912B75">
        <w:rPr>
          <w:lang w:eastAsia="en-US"/>
        </w:rPr>
        <w:t>faces indirect effects through</w:t>
      </w:r>
      <w:r w:rsidRPr="00A43A31">
        <w:rPr>
          <w:lang w:eastAsia="en-US"/>
        </w:rPr>
        <w:t xml:space="preserve"> </w:t>
      </w:r>
      <w:r w:rsidR="00912B75">
        <w:rPr>
          <w:lang w:eastAsia="en-US"/>
        </w:rPr>
        <w:t>factor</w:t>
      </w:r>
      <w:r w:rsidRPr="00A43A31">
        <w:rPr>
          <w:lang w:eastAsia="en-US"/>
        </w:rPr>
        <w:t xml:space="preserve"> reallocation. In high-impact</w:t>
      </w:r>
      <w:r w:rsidR="00912B75">
        <w:rPr>
          <w:lang w:eastAsia="en-US"/>
        </w:rPr>
        <w:t>ed</w:t>
      </w:r>
      <w:r w:rsidRPr="00A43A31">
        <w:rPr>
          <w:lang w:eastAsia="en-US"/>
        </w:rPr>
        <w:t xml:space="preserve"> regions, as climate-affected sectors shrink</w:t>
      </w:r>
      <w:r w:rsidR="00912B75">
        <w:rPr>
          <w:lang w:eastAsia="en-US"/>
        </w:rPr>
        <w:t xml:space="preserve"> and release labor</w:t>
      </w:r>
      <w:r w:rsidRPr="00A43A31">
        <w:rPr>
          <w:lang w:eastAsia="en-US"/>
        </w:rPr>
        <w:t xml:space="preserve"> </w:t>
      </w:r>
      <w:r w:rsidR="00B57291">
        <w:rPr>
          <w:lang w:eastAsia="en-US"/>
        </w:rPr>
        <w:t xml:space="preserve">which </w:t>
      </w:r>
      <w:r w:rsidRPr="00A43A31">
        <w:rPr>
          <w:lang w:eastAsia="en-US"/>
        </w:rPr>
        <w:t>the service sector absorb</w:t>
      </w:r>
      <w:r w:rsidR="00B57291">
        <w:rPr>
          <w:lang w:eastAsia="en-US"/>
        </w:rPr>
        <w:t xml:space="preserve">s </w:t>
      </w:r>
      <w:r w:rsidRPr="00A43A31">
        <w:rPr>
          <w:lang w:eastAsia="en-US"/>
        </w:rPr>
        <w:t xml:space="preserve">and expands. </w:t>
      </w:r>
      <w:r w:rsidR="00B57291" w:rsidRPr="00B57291">
        <w:rPr>
          <w:lang w:eastAsia="en-US"/>
        </w:rPr>
        <w:t>However, income effects</w:t>
      </w:r>
      <w:r w:rsidR="00B57291">
        <w:rPr>
          <w:lang w:eastAsia="en-US"/>
        </w:rPr>
        <w:t xml:space="preserve"> due to </w:t>
      </w:r>
      <w:r w:rsidR="00B57291" w:rsidRPr="00B57291">
        <w:rPr>
          <w:lang w:eastAsia="en-US"/>
        </w:rPr>
        <w:t>falling wages from productivity declines and reduced economic activit</w:t>
      </w:r>
      <w:r w:rsidR="00B57291">
        <w:rPr>
          <w:lang w:eastAsia="en-US"/>
        </w:rPr>
        <w:t>y</w:t>
      </w:r>
      <w:r w:rsidR="00B57291" w:rsidRPr="00B57291">
        <w:rPr>
          <w:lang w:eastAsia="en-US"/>
        </w:rPr>
        <w:t xml:space="preserve"> </w:t>
      </w:r>
      <w:r w:rsidR="00B57291">
        <w:rPr>
          <w:lang w:eastAsia="en-US"/>
        </w:rPr>
        <w:t>reduce</w:t>
      </w:r>
      <w:r w:rsidR="00B57291" w:rsidRPr="00B57291">
        <w:rPr>
          <w:lang w:eastAsia="en-US"/>
        </w:rPr>
        <w:t xml:space="preserve"> </w:t>
      </w:r>
      <w:r w:rsidR="00B57291">
        <w:rPr>
          <w:lang w:eastAsia="en-US"/>
        </w:rPr>
        <w:t xml:space="preserve">demand for </w:t>
      </w:r>
      <w:r w:rsidR="00B57291" w:rsidRPr="00B57291">
        <w:rPr>
          <w:lang w:eastAsia="en-US"/>
        </w:rPr>
        <w:t xml:space="preserve">service </w:t>
      </w:r>
      <w:r w:rsidR="00B57291">
        <w:rPr>
          <w:lang w:eastAsia="en-US"/>
        </w:rPr>
        <w:t>sectoral output</w:t>
      </w:r>
      <w:r w:rsidR="00B57291" w:rsidRPr="00B57291">
        <w:rPr>
          <w:lang w:eastAsia="en-US"/>
        </w:rPr>
        <w:t xml:space="preserve">, limiting </w:t>
      </w:r>
      <w:r w:rsidR="00B57291">
        <w:rPr>
          <w:lang w:eastAsia="en-US"/>
        </w:rPr>
        <w:t xml:space="preserve">its </w:t>
      </w:r>
      <w:r w:rsidR="00B57291" w:rsidRPr="00B57291">
        <w:rPr>
          <w:lang w:eastAsia="en-US"/>
        </w:rPr>
        <w:t xml:space="preserve">growth </w:t>
      </w:r>
      <w:r w:rsidR="00B57291">
        <w:rPr>
          <w:lang w:eastAsia="en-US"/>
        </w:rPr>
        <w:t xml:space="preserve">or </w:t>
      </w:r>
      <w:r w:rsidR="00B57291" w:rsidRPr="00B57291">
        <w:rPr>
          <w:lang w:eastAsia="en-US"/>
        </w:rPr>
        <w:t xml:space="preserve">causing </w:t>
      </w:r>
      <w:r w:rsidR="00B57291">
        <w:rPr>
          <w:lang w:eastAsia="en-US"/>
        </w:rPr>
        <w:t xml:space="preserve">its </w:t>
      </w:r>
      <w:r w:rsidR="00B57291" w:rsidRPr="00B57291">
        <w:rPr>
          <w:lang w:eastAsia="en-US"/>
        </w:rPr>
        <w:t xml:space="preserve">contraction. </w:t>
      </w:r>
      <w:r w:rsidRPr="00A43A31">
        <w:rPr>
          <w:lang w:eastAsia="en-US"/>
        </w:rPr>
        <w:t xml:space="preserve">In less-impacted regions, however, capital inflows enable other sectors </w:t>
      </w:r>
      <w:r w:rsidR="00B57291">
        <w:rPr>
          <w:lang w:eastAsia="en-US"/>
        </w:rPr>
        <w:t xml:space="preserve">to </w:t>
      </w:r>
      <w:r w:rsidRPr="00A43A31">
        <w:rPr>
          <w:lang w:eastAsia="en-US"/>
        </w:rPr>
        <w:t xml:space="preserve">grow </w:t>
      </w:r>
      <w:r w:rsidRPr="00A43A31">
        <w:rPr>
          <w:lang w:eastAsia="en-US"/>
        </w:rPr>
        <w:lastRenderedPageBreak/>
        <w:t>and compete for the same regional labor pool, drawing labor away from</w:t>
      </w:r>
      <w:r w:rsidR="00B57291">
        <w:rPr>
          <w:lang w:eastAsia="en-US"/>
        </w:rPr>
        <w:t xml:space="preserve"> the</w:t>
      </w:r>
      <w:r w:rsidRPr="00A43A31">
        <w:rPr>
          <w:lang w:eastAsia="en-US"/>
        </w:rPr>
        <w:t xml:space="preserve"> service</w:t>
      </w:r>
      <w:r w:rsidR="00B57291">
        <w:rPr>
          <w:lang w:eastAsia="en-US"/>
        </w:rPr>
        <w:t xml:space="preserve"> sector</w:t>
      </w:r>
      <w:r w:rsidRPr="00A43A31">
        <w:rPr>
          <w:lang w:eastAsia="en-US"/>
        </w:rPr>
        <w:t>. The results show that the latter effect dominates, leading to an overall contraction in service sector output nationwide.</w:t>
      </w:r>
    </w:p>
    <w:p w14:paraId="52119E76" w14:textId="4E9CFEB8" w:rsidR="00F82906" w:rsidRDefault="00A43A31" w:rsidP="00A43A31">
      <w:pPr>
        <w:rPr>
          <w:lang w:eastAsia="en-US"/>
        </w:rPr>
      </w:pPr>
      <w:r w:rsidRPr="00A43A31">
        <w:rPr>
          <w:lang w:eastAsia="en-US"/>
        </w:rPr>
        <w:t>The</w:t>
      </w:r>
      <w:r w:rsidR="0042539D">
        <w:rPr>
          <w:lang w:eastAsia="en-US"/>
        </w:rPr>
        <w:t xml:space="preserve"> capital-intensive</w:t>
      </w:r>
      <w:r w:rsidRPr="00A43A31">
        <w:rPr>
          <w:lang w:eastAsia="en-US"/>
        </w:rPr>
        <w:t xml:space="preserve"> building sector</w:t>
      </w:r>
      <w:r w:rsidR="0042539D">
        <w:rPr>
          <w:lang w:eastAsia="en-US"/>
        </w:rPr>
        <w:t xml:space="preserve"> </w:t>
      </w:r>
      <w:r w:rsidRPr="00A43A31">
        <w:rPr>
          <w:lang w:eastAsia="en-US"/>
        </w:rPr>
        <w:t>contracts in every region due to two key impacts</w:t>
      </w:r>
      <w:r w:rsidR="0042539D">
        <w:rPr>
          <w:lang w:eastAsia="en-US"/>
        </w:rPr>
        <w:t>: se</w:t>
      </w:r>
      <w:r w:rsidRPr="00A43A31">
        <w:rPr>
          <w:lang w:eastAsia="en-US"/>
        </w:rPr>
        <w:t xml:space="preserve">rvice sector demand for commercial building services and household income affecting spending on residential building. In </w:t>
      </w:r>
      <w:r w:rsidR="00CE2231">
        <w:rPr>
          <w:lang w:eastAsia="en-US"/>
        </w:rPr>
        <w:t>less-impact</w:t>
      </w:r>
      <w:r w:rsidRPr="00A43A31">
        <w:rPr>
          <w:lang w:eastAsia="en-US"/>
        </w:rPr>
        <w:t xml:space="preserve"> regions, service sector contraction curbs demand for commercial building, while in </w:t>
      </w:r>
      <w:r w:rsidR="00CE2231">
        <w:rPr>
          <w:lang w:eastAsia="en-US"/>
        </w:rPr>
        <w:t>high-impacted regions</w:t>
      </w:r>
      <w:r w:rsidRPr="00A43A31">
        <w:rPr>
          <w:lang w:eastAsia="en-US"/>
        </w:rPr>
        <w:t xml:space="preserve">, service sector </w:t>
      </w:r>
      <w:r w:rsidR="00CE2231">
        <w:rPr>
          <w:lang w:eastAsia="en-US"/>
        </w:rPr>
        <w:t xml:space="preserve">expansion </w:t>
      </w:r>
      <w:r w:rsidRPr="00A43A31">
        <w:rPr>
          <w:lang w:eastAsia="en-US"/>
        </w:rPr>
        <w:t>increases demand. At the same time, lower household incomes</w:t>
      </w:r>
      <w:r w:rsidR="00CE2231">
        <w:rPr>
          <w:lang w:eastAsia="en-US"/>
        </w:rPr>
        <w:t xml:space="preserve">, reflecting lower wage income from productivity losses, </w:t>
      </w:r>
      <w:r w:rsidRPr="00A43A31">
        <w:rPr>
          <w:lang w:eastAsia="en-US"/>
        </w:rPr>
        <w:t xml:space="preserve">dampen </w:t>
      </w:r>
      <w:r w:rsidR="00CE2231">
        <w:rPr>
          <w:lang w:eastAsia="en-US"/>
        </w:rPr>
        <w:t>demand for</w:t>
      </w:r>
      <w:r w:rsidRPr="00A43A31">
        <w:rPr>
          <w:lang w:eastAsia="en-US"/>
        </w:rPr>
        <w:t xml:space="preserve"> residential building services. Northcentral does </w:t>
      </w:r>
      <w:r w:rsidR="00CE2231">
        <w:rPr>
          <w:lang w:eastAsia="en-US"/>
        </w:rPr>
        <w:t>receive</w:t>
      </w:r>
      <w:r w:rsidRPr="00A43A31">
        <w:rPr>
          <w:lang w:eastAsia="en-US"/>
        </w:rPr>
        <w:t xml:space="preserve"> a gain in income that increases residential building demand, but the negative effects from service sector contraction outweigh the positive income effect. In net, these forces result in reduced building sector output in all regions.</w:t>
      </w:r>
    </w:p>
    <w:p w14:paraId="6981AC55" w14:textId="2B6CDEF6" w:rsidR="00A43A31" w:rsidRDefault="00A43A31" w:rsidP="00162B00">
      <w:pPr>
        <w:rPr>
          <w:lang w:eastAsia="en-US"/>
        </w:rPr>
      </w:pPr>
      <w:r>
        <w:rPr>
          <w:noProof/>
          <w:lang w:eastAsia="en-US"/>
        </w:rPr>
        <w:drawing>
          <wp:inline distT="0" distB="0" distL="0" distR="0" wp14:anchorId="5E84DE78" wp14:editId="3F9F2D98">
            <wp:extent cx="5934456" cy="2953512"/>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4456" cy="2953512"/>
                    </a:xfrm>
                    <a:prstGeom prst="rect">
                      <a:avLst/>
                    </a:prstGeom>
                    <a:noFill/>
                  </pic:spPr>
                </pic:pic>
              </a:graphicData>
            </a:graphic>
          </wp:inline>
        </w:drawing>
      </w:r>
    </w:p>
    <w:p w14:paraId="0AB24ED3" w14:textId="46CB1A5C" w:rsidR="00421494" w:rsidRDefault="00421494" w:rsidP="00421494">
      <w:pPr>
        <w:pStyle w:val="Caption"/>
      </w:pPr>
      <w:r w:rsidRPr="00421494">
        <w:t xml:space="preserve">Figure </w:t>
      </w:r>
      <w:r w:rsidRPr="00421494">
        <w:fldChar w:fldCharType="begin"/>
      </w:r>
      <w:r w:rsidRPr="00421494">
        <w:instrText xml:space="preserve"> SEQ Figure \* ARABIC </w:instrText>
      </w:r>
      <w:r w:rsidRPr="00421494">
        <w:fldChar w:fldCharType="separate"/>
      </w:r>
      <w:r w:rsidR="00F077B4">
        <w:rPr>
          <w:noProof/>
        </w:rPr>
        <w:t>3</w:t>
      </w:r>
      <w:r w:rsidRPr="00421494">
        <w:fldChar w:fldCharType="end"/>
      </w:r>
      <w:r w:rsidRPr="00421494">
        <w:t xml:space="preserve">: Sectoral output by region in the </w:t>
      </w:r>
      <w:r>
        <w:t>Lost Labor</w:t>
      </w:r>
      <w:r w:rsidRPr="00421494">
        <w:t xml:space="preserve"> scenario (change from the Reference scenario, Billion$)</w:t>
      </w:r>
    </w:p>
    <w:p w14:paraId="71ED6267" w14:textId="771EF342" w:rsidR="00A43A31" w:rsidRPr="00A43A31" w:rsidRDefault="00A43A31" w:rsidP="00A43A31">
      <w:pPr>
        <w:rPr>
          <w:lang w:eastAsia="en-US"/>
        </w:rPr>
      </w:pPr>
      <w:r w:rsidRPr="00A43A31">
        <w:rPr>
          <w:lang w:eastAsia="en-US"/>
        </w:rPr>
        <w:t>Capital mobility allows production to shift to less-impacted regions, mitigating the overall reduction in output while attracting labor demand for the expanding sectors and regions.</w:t>
      </w:r>
      <w:r w:rsidR="00872FA7">
        <w:rPr>
          <w:lang w:eastAsia="en-US"/>
        </w:rPr>
        <w:t xml:space="preserve"> </w:t>
      </w:r>
      <w:r w:rsidRPr="00A43A31">
        <w:rPr>
          <w:lang w:eastAsia="en-US"/>
        </w:rPr>
        <w:t>Labor’s interregional immobility traps workers in more-impacted regions, creating inequality in wage rate and income across regions. Capital flight exacerbates the regions’ decline.</w:t>
      </w:r>
    </w:p>
    <w:p w14:paraId="3AE508A6" w14:textId="5481C689" w:rsidR="00A43A31" w:rsidRPr="00A43A31" w:rsidRDefault="00A43A31" w:rsidP="00A43A31">
      <w:pPr>
        <w:rPr>
          <w:lang w:eastAsia="en-US"/>
        </w:rPr>
      </w:pPr>
      <w:r w:rsidRPr="00A43A31">
        <w:rPr>
          <w:lang w:eastAsia="en-US"/>
        </w:rPr>
        <w:t xml:space="preserve">Climate-driven lost labor primarily affects labor-intensive sectors, causing these sectors to reduce output and release proportionately more labor than capital. As capital is mobile, it flows to the less-impacted regions to support expansion </w:t>
      </w:r>
      <w:r w:rsidR="00872FA7">
        <w:rPr>
          <w:lang w:eastAsia="en-US"/>
        </w:rPr>
        <w:t>of</w:t>
      </w:r>
      <w:r w:rsidRPr="00A43A31">
        <w:rPr>
          <w:lang w:eastAsia="en-US"/>
        </w:rPr>
        <w:t xml:space="preserve"> the same </w:t>
      </w:r>
      <w:r w:rsidR="00872FA7">
        <w:rPr>
          <w:lang w:eastAsia="en-US"/>
        </w:rPr>
        <w:t>sector</w:t>
      </w:r>
      <w:r w:rsidRPr="00A43A31">
        <w:rPr>
          <w:lang w:eastAsia="en-US"/>
        </w:rPr>
        <w:t>, which are relatively more competitive due to smaller labor impact. However, these less-impac</w:t>
      </w:r>
      <w:r w:rsidR="006B70BB">
        <w:rPr>
          <w:lang w:eastAsia="en-US"/>
        </w:rPr>
        <w:t xml:space="preserve">t </w:t>
      </w:r>
      <w:r w:rsidRPr="00A43A31">
        <w:rPr>
          <w:lang w:eastAsia="en-US"/>
        </w:rPr>
        <w:t xml:space="preserve">regions often see their service sectors contract as growing </w:t>
      </w:r>
      <w:r w:rsidR="006B70BB">
        <w:rPr>
          <w:lang w:eastAsia="en-US"/>
        </w:rPr>
        <w:t>sectors</w:t>
      </w:r>
      <w:r w:rsidRPr="00A43A31">
        <w:rPr>
          <w:lang w:eastAsia="en-US"/>
        </w:rPr>
        <w:t xml:space="preserve"> compete for a limited labor pool. Although some of the released labor pairs with incoming capital in expanding industries, a portion of capital from the contracting service sector remains underutilized. </w:t>
      </w:r>
    </w:p>
    <w:p w14:paraId="5AD6DCE0" w14:textId="5821488E" w:rsidR="00A43A31" w:rsidRPr="00A43A31" w:rsidRDefault="00A43A31" w:rsidP="00A43A31">
      <w:pPr>
        <w:rPr>
          <w:lang w:eastAsia="en-US"/>
        </w:rPr>
      </w:pPr>
      <w:r w:rsidRPr="00A43A31">
        <w:rPr>
          <w:lang w:eastAsia="en-US"/>
        </w:rPr>
        <w:lastRenderedPageBreak/>
        <w:t xml:space="preserve">In high-impact regions, the service sector can expand by absorbing labor and capital from declining industries. </w:t>
      </w:r>
      <w:r w:rsidR="006B70BB">
        <w:rPr>
          <w:lang w:eastAsia="en-US"/>
        </w:rPr>
        <w:t>Be</w:t>
      </w:r>
      <w:r w:rsidRPr="00A43A31">
        <w:rPr>
          <w:lang w:eastAsia="en-US"/>
        </w:rPr>
        <w:t xml:space="preserve">cause </w:t>
      </w:r>
      <w:r w:rsidR="006B70BB">
        <w:rPr>
          <w:lang w:eastAsia="en-US"/>
        </w:rPr>
        <w:t xml:space="preserve">the </w:t>
      </w:r>
      <w:r w:rsidRPr="00A43A31">
        <w:rPr>
          <w:lang w:eastAsia="en-US"/>
        </w:rPr>
        <w:t>service</w:t>
      </w:r>
      <w:r w:rsidR="006B70BB">
        <w:rPr>
          <w:lang w:eastAsia="en-US"/>
        </w:rPr>
        <w:t xml:space="preserve"> </w:t>
      </w:r>
      <w:r w:rsidRPr="00A43A31">
        <w:rPr>
          <w:lang w:eastAsia="en-US"/>
        </w:rPr>
        <w:t>s</w:t>
      </w:r>
      <w:r w:rsidR="006B70BB">
        <w:rPr>
          <w:lang w:eastAsia="en-US"/>
        </w:rPr>
        <w:t>ector</w:t>
      </w:r>
      <w:r w:rsidRPr="00A43A31">
        <w:rPr>
          <w:lang w:eastAsia="en-US"/>
        </w:rPr>
        <w:t xml:space="preserve"> </w:t>
      </w:r>
      <w:r w:rsidR="006B70BB">
        <w:rPr>
          <w:lang w:eastAsia="en-US"/>
        </w:rPr>
        <w:t>is</w:t>
      </w:r>
      <w:r w:rsidRPr="00A43A31">
        <w:rPr>
          <w:lang w:eastAsia="en-US"/>
        </w:rPr>
        <w:t xml:space="preserve"> more labor-intensive relative to the </w:t>
      </w:r>
      <w:r w:rsidR="006B70BB">
        <w:rPr>
          <w:lang w:eastAsia="en-US"/>
        </w:rPr>
        <w:t>sectors</w:t>
      </w:r>
      <w:r w:rsidRPr="00A43A31">
        <w:rPr>
          <w:lang w:eastAsia="en-US"/>
        </w:rPr>
        <w:t xml:space="preserve"> that release labor and capital, </w:t>
      </w:r>
      <w:r w:rsidR="006B70BB">
        <w:rPr>
          <w:lang w:eastAsia="en-US"/>
        </w:rPr>
        <w:t>it</w:t>
      </w:r>
      <w:r w:rsidRPr="00A43A31">
        <w:rPr>
          <w:lang w:eastAsia="en-US"/>
        </w:rPr>
        <w:t xml:space="preserve"> absorb</w:t>
      </w:r>
      <w:r w:rsidR="006B70BB">
        <w:rPr>
          <w:lang w:eastAsia="en-US"/>
        </w:rPr>
        <w:t>s</w:t>
      </w:r>
      <w:r w:rsidRPr="00A43A31">
        <w:rPr>
          <w:lang w:eastAsia="en-US"/>
        </w:rPr>
        <w:t xml:space="preserve"> disproportionately more labor than capital</w:t>
      </w:r>
      <w:r w:rsidR="006B70BB">
        <w:rPr>
          <w:lang w:eastAsia="en-US"/>
        </w:rPr>
        <w:t xml:space="preserve">, resulting in excess supply of capital. </w:t>
      </w:r>
      <w:r w:rsidRPr="00A43A31">
        <w:rPr>
          <w:lang w:eastAsia="en-US"/>
        </w:rPr>
        <w:t xml:space="preserve">Under the assumptions of diminishing returns in production, the marginal product of capital falls when capital becomes relatively more abundant than labor. This drives down the rental price of capital, lowers </w:t>
      </w:r>
      <w:proofErr w:type="gramStart"/>
      <w:r w:rsidRPr="00A43A31">
        <w:rPr>
          <w:lang w:eastAsia="en-US"/>
        </w:rPr>
        <w:t>returns</w:t>
      </w:r>
      <w:proofErr w:type="gramEnd"/>
      <w:r w:rsidRPr="00A43A31">
        <w:rPr>
          <w:lang w:eastAsia="en-US"/>
        </w:rPr>
        <w:t xml:space="preserve"> to capital owners, and contributes to broader income losses.</w:t>
      </w:r>
    </w:p>
    <w:p w14:paraId="7FE464FF" w14:textId="682FE637" w:rsidR="00A43A31" w:rsidRPr="00A43A31" w:rsidRDefault="00A43A31" w:rsidP="00A43A31">
      <w:pPr>
        <w:rPr>
          <w:lang w:eastAsia="en-US"/>
        </w:rPr>
      </w:pPr>
      <w:r w:rsidRPr="00A43A31">
        <w:rPr>
          <w:lang w:eastAsia="en-US"/>
        </w:rPr>
        <w:t>When labor productivity declines, more labor hours are needed to produce the same output. Even if the hourly wage stays fixed, the cost per unit of effective labor rises, leading to a divergence between the wage rate for effective labor and hourly wage rate</w:t>
      </w:r>
      <w:r w:rsidR="006B70BB">
        <w:rPr>
          <w:lang w:eastAsia="en-US"/>
        </w:rPr>
        <w:t xml:space="preserve"> (see </w:t>
      </w:r>
      <w:r w:rsidR="006B70BB">
        <w:rPr>
          <w:lang w:eastAsia="en-US"/>
        </w:rPr>
        <w:fldChar w:fldCharType="begin"/>
      </w:r>
      <w:r w:rsidR="006B70BB">
        <w:rPr>
          <w:lang w:eastAsia="en-US"/>
        </w:rPr>
        <w:instrText xml:space="preserve"> REF _Ref195566982 \h </w:instrText>
      </w:r>
      <w:r w:rsidR="006B70BB">
        <w:rPr>
          <w:lang w:eastAsia="en-US"/>
        </w:rPr>
      </w:r>
      <w:r w:rsidR="006B70BB">
        <w:rPr>
          <w:lang w:eastAsia="en-US"/>
        </w:rPr>
        <w:fldChar w:fldCharType="separate"/>
      </w:r>
      <w:r w:rsidR="00F077B4" w:rsidRPr="00421494">
        <w:t xml:space="preserve">Figure </w:t>
      </w:r>
      <w:r w:rsidR="00F077B4">
        <w:rPr>
          <w:noProof/>
        </w:rPr>
        <w:t>4</w:t>
      </w:r>
      <w:r w:rsidR="006B70BB">
        <w:rPr>
          <w:lang w:eastAsia="en-US"/>
        </w:rPr>
        <w:fldChar w:fldCharType="end"/>
      </w:r>
      <w:r w:rsidR="006B70BB">
        <w:rPr>
          <w:lang w:eastAsia="en-US"/>
        </w:rPr>
        <w:t>)</w:t>
      </w:r>
      <w:r w:rsidRPr="00A43A31">
        <w:rPr>
          <w:lang w:eastAsia="en-US"/>
        </w:rPr>
        <w:t>, with the gap growing in proportion to the size of the productivity decline.</w:t>
      </w:r>
    </w:p>
    <w:p w14:paraId="54823E0A" w14:textId="780392DA" w:rsidR="00F82906" w:rsidRDefault="00A43A31" w:rsidP="00A43A31">
      <w:pPr>
        <w:rPr>
          <w:lang w:eastAsia="en-US"/>
        </w:rPr>
      </w:pPr>
      <w:r w:rsidRPr="00A43A31">
        <w:rPr>
          <w:lang w:eastAsia="en-US"/>
        </w:rPr>
        <w:t>Sectors directly affected by the negative labor productivity impact see higher production costs, with agriculture, transportation, and construction incurring the largest increases proportional to the labor impact. Meanwhile, sectors less impacted, such as the building and service sectors, benefit from factor reallocation and incur a moderate decline in production costs.</w:t>
      </w:r>
    </w:p>
    <w:p w14:paraId="581A8E05" w14:textId="2E45ED5D" w:rsidR="00F82906" w:rsidRDefault="00A43A31" w:rsidP="00162B00">
      <w:pPr>
        <w:rPr>
          <w:lang w:eastAsia="en-US"/>
        </w:rPr>
      </w:pPr>
      <w:r>
        <w:rPr>
          <w:noProof/>
          <w:lang w:eastAsia="en-US"/>
        </w:rPr>
        <w:drawing>
          <wp:inline distT="0" distB="0" distL="0" distR="0" wp14:anchorId="47884FCC" wp14:editId="4FFA47F9">
            <wp:extent cx="5925312" cy="29535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25312" cy="2953512"/>
                    </a:xfrm>
                    <a:prstGeom prst="rect">
                      <a:avLst/>
                    </a:prstGeom>
                    <a:noFill/>
                  </pic:spPr>
                </pic:pic>
              </a:graphicData>
            </a:graphic>
          </wp:inline>
        </w:drawing>
      </w:r>
    </w:p>
    <w:p w14:paraId="34E3ADD1" w14:textId="74B3D337" w:rsidR="00421494" w:rsidRPr="00421494" w:rsidRDefault="00421494" w:rsidP="00421494">
      <w:pPr>
        <w:pStyle w:val="Caption"/>
      </w:pPr>
      <w:bookmarkStart w:id="1" w:name="_Ref195566982"/>
      <w:r w:rsidRPr="00421494">
        <w:t xml:space="preserve">Figure </w:t>
      </w:r>
      <w:r w:rsidRPr="00421494">
        <w:fldChar w:fldCharType="begin"/>
      </w:r>
      <w:r w:rsidRPr="00421494">
        <w:instrText xml:space="preserve"> SEQ Figure \* ARABIC </w:instrText>
      </w:r>
      <w:r w:rsidRPr="00421494">
        <w:fldChar w:fldCharType="separate"/>
      </w:r>
      <w:r w:rsidR="00F077B4">
        <w:rPr>
          <w:noProof/>
        </w:rPr>
        <w:t>4</w:t>
      </w:r>
      <w:r w:rsidRPr="00421494">
        <w:fldChar w:fldCharType="end"/>
      </w:r>
      <w:bookmarkEnd w:id="1"/>
      <w:r>
        <w:t>: Factor demand and prices</w:t>
      </w:r>
      <w:r w:rsidRPr="00421494">
        <w:t xml:space="preserve"> by region in the </w:t>
      </w:r>
      <w:r>
        <w:t>Lost Labor</w:t>
      </w:r>
      <w:r w:rsidRPr="00421494">
        <w:t xml:space="preserve"> scenario (change from the Reference scenario, Billion$)</w:t>
      </w:r>
    </w:p>
    <w:p w14:paraId="4BAFDDFA" w14:textId="77777777" w:rsidR="00421494" w:rsidRPr="00231713" w:rsidRDefault="00421494" w:rsidP="00162B00">
      <w:pPr>
        <w:rPr>
          <w:lang w:eastAsia="en-US"/>
        </w:rPr>
      </w:pPr>
    </w:p>
    <w:p w14:paraId="3E1DC7C7" w14:textId="1785E4A1" w:rsidR="00A43A31" w:rsidRDefault="00A43A31" w:rsidP="00A43A31"/>
    <w:p w14:paraId="7B31F34F" w14:textId="2EC4E6A9" w:rsidR="00A43A31" w:rsidRDefault="00A43A31" w:rsidP="007F5648">
      <w:pPr>
        <w:pStyle w:val="Heading1"/>
        <w:numPr>
          <w:ilvl w:val="0"/>
          <w:numId w:val="0"/>
        </w:numPr>
        <w:rPr>
          <w:rFonts w:eastAsiaTheme="minorEastAsia" w:cstheme="minorBidi"/>
          <w:b w:val="0"/>
          <w:color w:val="auto"/>
          <w:sz w:val="22"/>
          <w:szCs w:val="24"/>
          <w:lang w:eastAsia="zh-CN"/>
        </w:rPr>
      </w:pPr>
    </w:p>
    <w:p w14:paraId="52D1B9BC" w14:textId="77777777" w:rsidR="007F5648" w:rsidRPr="007F5648" w:rsidRDefault="007F5648" w:rsidP="007F5648"/>
    <w:p w14:paraId="5D1D1A42" w14:textId="0F423D2F" w:rsidR="005F5338" w:rsidRPr="007869CC" w:rsidRDefault="005F5338" w:rsidP="00A43A31">
      <w:pPr>
        <w:pStyle w:val="Heading1"/>
        <w:numPr>
          <w:ilvl w:val="0"/>
          <w:numId w:val="14"/>
        </w:numPr>
      </w:pPr>
      <w:r w:rsidRPr="007869CC">
        <w:lastRenderedPageBreak/>
        <w:t xml:space="preserve">Reference </w:t>
      </w:r>
    </w:p>
    <w:p w14:paraId="408538F5" w14:textId="77777777" w:rsidR="005F5338" w:rsidRPr="007869CC" w:rsidRDefault="005F5338" w:rsidP="007869CC">
      <w:pPr>
        <w:spacing w:before="0" w:after="120"/>
        <w:rPr>
          <w:rFonts w:asciiTheme="majorHAnsi" w:hAnsiTheme="majorHAnsi" w:cstheme="majorHAnsi"/>
          <w:sz w:val="20"/>
          <w:szCs w:val="20"/>
        </w:rPr>
      </w:pPr>
      <w:r w:rsidRPr="007869CC">
        <w:rPr>
          <w:rFonts w:asciiTheme="majorHAnsi" w:hAnsiTheme="majorHAnsi" w:cstheme="majorHAnsi"/>
          <w:sz w:val="20"/>
          <w:szCs w:val="20"/>
        </w:rPr>
        <w:t xml:space="preserve">EPA. 2021. Technical Documentation for the Framework for Evaluating Damages and Impacts (Updated). U.S. Environmental Protection Agency, EPA 430-R-21-004. </w:t>
      </w:r>
      <w:hyperlink r:id="rId19">
        <w:r w:rsidR="4CE6AB4C" w:rsidRPr="007869CC">
          <w:rPr>
            <w:rStyle w:val="Hyperlink"/>
            <w:rFonts w:asciiTheme="majorHAnsi" w:hAnsiTheme="majorHAnsi" w:cstheme="majorHAnsi"/>
            <w:sz w:val="20"/>
            <w:szCs w:val="20"/>
          </w:rPr>
          <w:t>www.epa.gov/cira/FrEDI</w:t>
        </w:r>
      </w:hyperlink>
    </w:p>
    <w:p w14:paraId="2B8ED6D9" w14:textId="062B83D6" w:rsidR="07469A14" w:rsidRPr="007869CC" w:rsidRDefault="005C0061" w:rsidP="007869CC">
      <w:pPr>
        <w:spacing w:before="0" w:after="120"/>
        <w:rPr>
          <w:rFonts w:asciiTheme="majorHAnsi" w:hAnsiTheme="majorHAnsi" w:cstheme="majorHAnsi"/>
          <w:sz w:val="20"/>
          <w:szCs w:val="20"/>
        </w:rPr>
      </w:pPr>
      <w:r w:rsidRPr="007869CC">
        <w:rPr>
          <w:rFonts w:asciiTheme="majorHAnsi" w:hAnsiTheme="majorHAnsi" w:cstheme="majorHAnsi"/>
          <w:sz w:val="20"/>
          <w:szCs w:val="20"/>
        </w:rPr>
        <w:t xml:space="preserve">Kopp, R. E., Kemp, A. C., </w:t>
      </w:r>
      <w:proofErr w:type="spellStart"/>
      <w:r w:rsidRPr="007869CC">
        <w:rPr>
          <w:rFonts w:asciiTheme="majorHAnsi" w:hAnsiTheme="majorHAnsi" w:cstheme="majorHAnsi"/>
          <w:sz w:val="20"/>
          <w:szCs w:val="20"/>
        </w:rPr>
        <w:t>Bittermann</w:t>
      </w:r>
      <w:proofErr w:type="spellEnd"/>
      <w:r w:rsidRPr="007869CC">
        <w:rPr>
          <w:rFonts w:asciiTheme="majorHAnsi" w:hAnsiTheme="majorHAnsi" w:cstheme="majorHAnsi"/>
          <w:sz w:val="20"/>
          <w:szCs w:val="20"/>
        </w:rPr>
        <w:t xml:space="preserve">, K., Horton, B. P., Donnelly, J. P., </w:t>
      </w:r>
      <w:proofErr w:type="spellStart"/>
      <w:r w:rsidRPr="007869CC">
        <w:rPr>
          <w:rFonts w:asciiTheme="majorHAnsi" w:hAnsiTheme="majorHAnsi" w:cstheme="majorHAnsi"/>
          <w:sz w:val="20"/>
          <w:szCs w:val="20"/>
        </w:rPr>
        <w:t>Gehrels</w:t>
      </w:r>
      <w:proofErr w:type="spellEnd"/>
      <w:r w:rsidRPr="007869CC">
        <w:rPr>
          <w:rFonts w:asciiTheme="majorHAnsi" w:hAnsiTheme="majorHAnsi" w:cstheme="majorHAnsi"/>
          <w:sz w:val="20"/>
          <w:szCs w:val="20"/>
        </w:rPr>
        <w:t xml:space="preserve">, W. R., Hay, C. C., Mitrovica, J. X., Morrow, E. D., and </w:t>
      </w:r>
      <w:proofErr w:type="spellStart"/>
      <w:r w:rsidRPr="007869CC">
        <w:rPr>
          <w:rFonts w:asciiTheme="majorHAnsi" w:hAnsiTheme="majorHAnsi" w:cstheme="majorHAnsi"/>
          <w:sz w:val="20"/>
          <w:szCs w:val="20"/>
        </w:rPr>
        <w:t>Rahmstorf</w:t>
      </w:r>
      <w:proofErr w:type="spellEnd"/>
      <w:r w:rsidRPr="007869CC">
        <w:rPr>
          <w:rFonts w:asciiTheme="majorHAnsi" w:hAnsiTheme="majorHAnsi" w:cstheme="majorHAnsi"/>
          <w:sz w:val="20"/>
          <w:szCs w:val="20"/>
        </w:rPr>
        <w:t>, S.: Temperature-driven global sea-level variability in the Common Era, P. Natl. Acad. Sci. USA, 113, 1434–1441, https://doi.org/10.1073/pnas.1517056113, 2016.</w:t>
      </w:r>
    </w:p>
    <w:p w14:paraId="51E6E6D2" w14:textId="77777777" w:rsidR="005F5338" w:rsidRPr="007869CC" w:rsidRDefault="005F5338" w:rsidP="007869CC">
      <w:pPr>
        <w:spacing w:before="0" w:after="120"/>
        <w:rPr>
          <w:rFonts w:asciiTheme="majorHAnsi" w:hAnsiTheme="majorHAnsi" w:cstheme="majorHAnsi"/>
          <w:sz w:val="20"/>
          <w:szCs w:val="20"/>
        </w:rPr>
      </w:pPr>
      <w:proofErr w:type="spellStart"/>
      <w:r w:rsidRPr="007869CC">
        <w:rPr>
          <w:rFonts w:asciiTheme="majorHAnsi" w:hAnsiTheme="majorHAnsi" w:cstheme="majorHAnsi"/>
          <w:sz w:val="20"/>
          <w:szCs w:val="20"/>
        </w:rPr>
        <w:t>Hartin</w:t>
      </w:r>
      <w:proofErr w:type="spellEnd"/>
      <w:r w:rsidRPr="007869CC">
        <w:rPr>
          <w:rFonts w:asciiTheme="majorHAnsi" w:hAnsiTheme="majorHAnsi" w:cstheme="majorHAnsi"/>
          <w:sz w:val="20"/>
          <w:szCs w:val="20"/>
        </w:rPr>
        <w:t xml:space="preserve">, C., McDuffie, E. E., </w:t>
      </w:r>
      <w:proofErr w:type="spellStart"/>
      <w:r w:rsidRPr="007869CC">
        <w:rPr>
          <w:rFonts w:asciiTheme="majorHAnsi" w:hAnsiTheme="majorHAnsi" w:cstheme="majorHAnsi"/>
          <w:sz w:val="20"/>
          <w:szCs w:val="20"/>
        </w:rPr>
        <w:t>Noiva</w:t>
      </w:r>
      <w:proofErr w:type="spellEnd"/>
      <w:r w:rsidRPr="007869CC">
        <w:rPr>
          <w:rFonts w:asciiTheme="majorHAnsi" w:hAnsiTheme="majorHAnsi" w:cstheme="majorHAnsi"/>
          <w:sz w:val="20"/>
          <w:szCs w:val="20"/>
        </w:rPr>
        <w:t xml:space="preserve">, K., Sarofim, M., </w:t>
      </w:r>
      <w:proofErr w:type="spellStart"/>
      <w:r w:rsidRPr="007869CC">
        <w:rPr>
          <w:rFonts w:asciiTheme="majorHAnsi" w:hAnsiTheme="majorHAnsi" w:cstheme="majorHAnsi"/>
          <w:sz w:val="20"/>
          <w:szCs w:val="20"/>
        </w:rPr>
        <w:t>Parthum</w:t>
      </w:r>
      <w:proofErr w:type="spellEnd"/>
      <w:r w:rsidRPr="007869CC">
        <w:rPr>
          <w:rFonts w:asciiTheme="majorHAnsi" w:hAnsiTheme="majorHAnsi" w:cstheme="majorHAnsi"/>
          <w:sz w:val="20"/>
          <w:szCs w:val="20"/>
        </w:rPr>
        <w:t xml:space="preserve">, B., </w:t>
      </w:r>
      <w:proofErr w:type="spellStart"/>
      <w:r w:rsidRPr="007869CC">
        <w:rPr>
          <w:rFonts w:asciiTheme="majorHAnsi" w:hAnsiTheme="majorHAnsi" w:cstheme="majorHAnsi"/>
          <w:sz w:val="20"/>
          <w:szCs w:val="20"/>
        </w:rPr>
        <w:t>Martinich</w:t>
      </w:r>
      <w:proofErr w:type="spellEnd"/>
      <w:r w:rsidRPr="007869CC">
        <w:rPr>
          <w:rFonts w:asciiTheme="majorHAnsi" w:hAnsiTheme="majorHAnsi" w:cstheme="majorHAnsi"/>
          <w:sz w:val="20"/>
          <w:szCs w:val="20"/>
        </w:rPr>
        <w:t xml:space="preserve">, J., Barr, S., Neumann, J., </w:t>
      </w:r>
      <w:proofErr w:type="spellStart"/>
      <w:r w:rsidRPr="007869CC">
        <w:rPr>
          <w:rFonts w:asciiTheme="majorHAnsi" w:hAnsiTheme="majorHAnsi" w:cstheme="majorHAnsi"/>
          <w:sz w:val="20"/>
          <w:szCs w:val="20"/>
        </w:rPr>
        <w:t>Willwerth</w:t>
      </w:r>
      <w:proofErr w:type="spellEnd"/>
      <w:r w:rsidRPr="007869CC">
        <w:rPr>
          <w:rFonts w:asciiTheme="majorHAnsi" w:hAnsiTheme="majorHAnsi" w:cstheme="majorHAnsi"/>
          <w:sz w:val="20"/>
          <w:szCs w:val="20"/>
        </w:rPr>
        <w:t xml:space="preserve">, J., and Fawcett, A.: Advancing the estimation of future climate impacts within the United States, Earth Syst. </w:t>
      </w:r>
      <w:proofErr w:type="spellStart"/>
      <w:r w:rsidRPr="007869CC">
        <w:rPr>
          <w:rFonts w:asciiTheme="majorHAnsi" w:hAnsiTheme="majorHAnsi" w:cstheme="majorHAnsi"/>
          <w:sz w:val="20"/>
          <w:szCs w:val="20"/>
        </w:rPr>
        <w:t>Dynam</w:t>
      </w:r>
      <w:proofErr w:type="spellEnd"/>
      <w:r w:rsidRPr="007869CC">
        <w:rPr>
          <w:rFonts w:asciiTheme="majorHAnsi" w:hAnsiTheme="majorHAnsi" w:cstheme="majorHAnsi"/>
          <w:sz w:val="20"/>
          <w:szCs w:val="20"/>
        </w:rPr>
        <w:t xml:space="preserve">., 14, 1015–1037, </w:t>
      </w:r>
      <w:hyperlink r:id="rId20" w:history="1">
        <w:r w:rsidRPr="007869CC">
          <w:rPr>
            <w:sz w:val="20"/>
            <w:szCs w:val="20"/>
          </w:rPr>
          <w:t>https://doi.org/10.5194/esd-14-1015-2023</w:t>
        </w:r>
      </w:hyperlink>
      <w:r w:rsidRPr="007869CC">
        <w:rPr>
          <w:rFonts w:asciiTheme="majorHAnsi" w:hAnsiTheme="majorHAnsi" w:cstheme="majorHAnsi"/>
          <w:sz w:val="20"/>
          <w:szCs w:val="20"/>
        </w:rPr>
        <w:t xml:space="preserve">, 2023. </w:t>
      </w:r>
    </w:p>
    <w:p w14:paraId="2231DBA2" w14:textId="77777777" w:rsidR="005F5338" w:rsidRPr="007869CC" w:rsidRDefault="005F5338" w:rsidP="007869CC">
      <w:pPr>
        <w:spacing w:before="0" w:after="120"/>
        <w:rPr>
          <w:rFonts w:asciiTheme="majorHAnsi" w:hAnsiTheme="majorHAnsi" w:cstheme="majorHAnsi"/>
          <w:sz w:val="20"/>
          <w:szCs w:val="20"/>
        </w:rPr>
      </w:pPr>
      <w:r w:rsidRPr="007869CC">
        <w:rPr>
          <w:rFonts w:asciiTheme="majorHAnsi" w:hAnsiTheme="majorHAnsi" w:cstheme="majorHAnsi"/>
          <w:sz w:val="20"/>
          <w:szCs w:val="20"/>
        </w:rPr>
        <w:t xml:space="preserve">Sarofim, M. C., </w:t>
      </w:r>
      <w:proofErr w:type="spellStart"/>
      <w:r w:rsidRPr="007869CC">
        <w:rPr>
          <w:rFonts w:asciiTheme="majorHAnsi" w:hAnsiTheme="majorHAnsi" w:cstheme="majorHAnsi"/>
          <w:sz w:val="20"/>
          <w:szCs w:val="20"/>
        </w:rPr>
        <w:t>Martinich</w:t>
      </w:r>
      <w:proofErr w:type="spellEnd"/>
      <w:r w:rsidRPr="007869CC">
        <w:rPr>
          <w:rFonts w:asciiTheme="majorHAnsi" w:hAnsiTheme="majorHAnsi" w:cstheme="majorHAnsi"/>
          <w:sz w:val="20"/>
          <w:szCs w:val="20"/>
        </w:rPr>
        <w:t xml:space="preserve">, J., Neumann, J. E., </w:t>
      </w:r>
      <w:proofErr w:type="spellStart"/>
      <w:r w:rsidRPr="007869CC">
        <w:rPr>
          <w:rFonts w:asciiTheme="majorHAnsi" w:hAnsiTheme="majorHAnsi" w:cstheme="majorHAnsi"/>
          <w:sz w:val="20"/>
          <w:szCs w:val="20"/>
        </w:rPr>
        <w:t>Willwerth</w:t>
      </w:r>
      <w:proofErr w:type="spellEnd"/>
      <w:r w:rsidRPr="007869CC">
        <w:rPr>
          <w:rFonts w:asciiTheme="majorHAnsi" w:hAnsiTheme="majorHAnsi" w:cstheme="majorHAnsi"/>
          <w:sz w:val="20"/>
          <w:szCs w:val="20"/>
        </w:rPr>
        <w:t xml:space="preserve">, J., </w:t>
      </w:r>
      <w:proofErr w:type="spellStart"/>
      <w:r w:rsidRPr="007869CC">
        <w:rPr>
          <w:rFonts w:asciiTheme="majorHAnsi" w:hAnsiTheme="majorHAnsi" w:cstheme="majorHAnsi"/>
          <w:sz w:val="20"/>
          <w:szCs w:val="20"/>
        </w:rPr>
        <w:t>Kerrich</w:t>
      </w:r>
      <w:proofErr w:type="spellEnd"/>
      <w:r w:rsidRPr="007869CC">
        <w:rPr>
          <w:rFonts w:asciiTheme="majorHAnsi" w:hAnsiTheme="majorHAnsi" w:cstheme="majorHAnsi"/>
          <w:sz w:val="20"/>
          <w:szCs w:val="20"/>
        </w:rPr>
        <w:t xml:space="preserve">, Z., </w:t>
      </w:r>
      <w:proofErr w:type="spellStart"/>
      <w:r w:rsidRPr="007869CC">
        <w:rPr>
          <w:rFonts w:asciiTheme="majorHAnsi" w:hAnsiTheme="majorHAnsi" w:cstheme="majorHAnsi"/>
          <w:sz w:val="20"/>
          <w:szCs w:val="20"/>
        </w:rPr>
        <w:t>Kolian</w:t>
      </w:r>
      <w:proofErr w:type="spellEnd"/>
      <w:r w:rsidRPr="007869CC">
        <w:rPr>
          <w:rFonts w:asciiTheme="majorHAnsi" w:hAnsiTheme="majorHAnsi" w:cstheme="majorHAnsi"/>
          <w:sz w:val="20"/>
          <w:szCs w:val="20"/>
        </w:rPr>
        <w:t xml:space="preserve">, M., </w:t>
      </w:r>
      <w:proofErr w:type="spellStart"/>
      <w:r w:rsidRPr="007869CC">
        <w:rPr>
          <w:rFonts w:asciiTheme="majorHAnsi" w:hAnsiTheme="majorHAnsi" w:cstheme="majorHAnsi"/>
          <w:sz w:val="20"/>
          <w:szCs w:val="20"/>
        </w:rPr>
        <w:t>Fant</w:t>
      </w:r>
      <w:proofErr w:type="spellEnd"/>
      <w:r w:rsidRPr="007869CC">
        <w:rPr>
          <w:rFonts w:asciiTheme="majorHAnsi" w:hAnsiTheme="majorHAnsi" w:cstheme="majorHAnsi"/>
          <w:sz w:val="20"/>
          <w:szCs w:val="20"/>
        </w:rPr>
        <w:t xml:space="preserve">, C., and </w:t>
      </w:r>
      <w:proofErr w:type="spellStart"/>
      <w:r w:rsidRPr="007869CC">
        <w:rPr>
          <w:rFonts w:asciiTheme="majorHAnsi" w:hAnsiTheme="majorHAnsi" w:cstheme="majorHAnsi"/>
          <w:sz w:val="20"/>
          <w:szCs w:val="20"/>
        </w:rPr>
        <w:t>Hartin</w:t>
      </w:r>
      <w:proofErr w:type="spellEnd"/>
      <w:r w:rsidRPr="007869CC">
        <w:rPr>
          <w:rFonts w:asciiTheme="majorHAnsi" w:hAnsiTheme="majorHAnsi" w:cstheme="majorHAnsi"/>
          <w:sz w:val="20"/>
          <w:szCs w:val="20"/>
        </w:rPr>
        <w:t xml:space="preserve">, C.: A temperature binning approach for multi-sector climate impact analysis, </w:t>
      </w:r>
      <w:proofErr w:type="spellStart"/>
      <w:r w:rsidRPr="007869CC">
        <w:rPr>
          <w:rFonts w:asciiTheme="majorHAnsi" w:hAnsiTheme="majorHAnsi" w:cstheme="majorHAnsi"/>
          <w:sz w:val="20"/>
          <w:szCs w:val="20"/>
        </w:rPr>
        <w:t>Clim</w:t>
      </w:r>
      <w:proofErr w:type="spellEnd"/>
      <w:r w:rsidRPr="007869CC">
        <w:rPr>
          <w:rFonts w:asciiTheme="majorHAnsi" w:hAnsiTheme="majorHAnsi" w:cstheme="majorHAnsi"/>
          <w:sz w:val="20"/>
          <w:szCs w:val="20"/>
        </w:rPr>
        <w:t xml:space="preserve">. Change, 165, 22, </w:t>
      </w:r>
      <w:hyperlink r:id="rId21" w:history="1">
        <w:r w:rsidRPr="007869CC">
          <w:rPr>
            <w:sz w:val="20"/>
            <w:szCs w:val="20"/>
          </w:rPr>
          <w:t>https://doi.org/10.1007/s10584-021-03048-6</w:t>
        </w:r>
      </w:hyperlink>
      <w:r w:rsidRPr="007869CC">
        <w:rPr>
          <w:rFonts w:asciiTheme="majorHAnsi" w:hAnsiTheme="majorHAnsi" w:cstheme="majorHAnsi"/>
          <w:sz w:val="20"/>
          <w:szCs w:val="20"/>
        </w:rPr>
        <w:t xml:space="preserve">, 2021. </w:t>
      </w:r>
    </w:p>
    <w:p w14:paraId="6DC3AB6B" w14:textId="77777777" w:rsidR="005F5338" w:rsidRPr="00162B00" w:rsidRDefault="005F5338" w:rsidP="007869CC">
      <w:pPr>
        <w:spacing w:before="0" w:after="120"/>
        <w:rPr>
          <w:rFonts w:asciiTheme="majorHAnsi" w:hAnsiTheme="majorHAnsi" w:cstheme="majorHAnsi"/>
          <w:sz w:val="20"/>
        </w:rPr>
      </w:pPr>
      <w:r w:rsidRPr="00162B00">
        <w:rPr>
          <w:rFonts w:asciiTheme="majorHAnsi" w:hAnsiTheme="majorHAnsi" w:cstheme="majorHAnsi"/>
          <w:sz w:val="20"/>
        </w:rPr>
        <w:t xml:space="preserve">Yuan, M., Rausch, S., Caron, J., Paltsev, S., and Reilly J.: The MIT U.S. Regional Energy Policy (USREP) Model: The Base Model and Revisions. Joint Program Technical Note TN #18, August, 24 p. </w:t>
      </w:r>
      <w:hyperlink r:id="rId22" w:history="1">
        <w:r w:rsidRPr="007869CC">
          <w:t>http://globalchange.mit.edu/publication/17331</w:t>
        </w:r>
      </w:hyperlink>
      <w:r w:rsidRPr="00162B00">
        <w:rPr>
          <w:rFonts w:asciiTheme="majorHAnsi" w:hAnsiTheme="majorHAnsi" w:cstheme="majorHAnsi"/>
          <w:sz w:val="20"/>
        </w:rPr>
        <w:t>, 2019.</w:t>
      </w:r>
    </w:p>
    <w:sectPr w:rsidR="005F5338" w:rsidRPr="00162B00" w:rsidSect="00C077D0">
      <w:headerReference w:type="default" r:id="rId23"/>
      <w:footerReference w:type="default" r:id="rId24"/>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0BEFA" w14:textId="77777777" w:rsidR="00A913C0" w:rsidRDefault="00A913C0" w:rsidP="00162B00">
      <w:r>
        <w:separator/>
      </w:r>
    </w:p>
  </w:endnote>
  <w:endnote w:type="continuationSeparator" w:id="0">
    <w:p w14:paraId="1519A69F" w14:textId="77777777" w:rsidR="00A913C0" w:rsidRDefault="00A913C0" w:rsidP="00162B00">
      <w:r>
        <w:continuationSeparator/>
      </w:r>
    </w:p>
  </w:endnote>
  <w:endnote w:type="continuationNotice" w:id="1">
    <w:p w14:paraId="3D7DFDB0" w14:textId="77777777" w:rsidR="00A913C0" w:rsidRDefault="00A913C0" w:rsidP="00162B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42453"/>
      <w:docPartObj>
        <w:docPartGallery w:val="Page Numbers (Bottom of Page)"/>
        <w:docPartUnique/>
      </w:docPartObj>
    </w:sdtPr>
    <w:sdtEndPr>
      <w:rPr>
        <w:noProof/>
      </w:rPr>
    </w:sdtEndPr>
    <w:sdtContent>
      <w:p w14:paraId="3CE90194" w14:textId="40404F5F" w:rsidR="001E6555" w:rsidRDefault="001E6555" w:rsidP="00162B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0E21B8" w14:textId="77777777" w:rsidR="005F5338" w:rsidRDefault="005F5338" w:rsidP="00162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47DF9" w14:textId="77777777" w:rsidR="00A913C0" w:rsidRDefault="00A913C0" w:rsidP="00162B00">
      <w:r>
        <w:separator/>
      </w:r>
    </w:p>
  </w:footnote>
  <w:footnote w:type="continuationSeparator" w:id="0">
    <w:p w14:paraId="2AF4222E" w14:textId="77777777" w:rsidR="00A913C0" w:rsidRDefault="00A913C0" w:rsidP="00162B00">
      <w:r>
        <w:continuationSeparator/>
      </w:r>
    </w:p>
  </w:footnote>
  <w:footnote w:type="continuationNotice" w:id="1">
    <w:p w14:paraId="31ACE907" w14:textId="77777777" w:rsidR="00A913C0" w:rsidRDefault="00A913C0" w:rsidP="00162B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0425F" w14:textId="35CA5DEB" w:rsidR="00F077B4" w:rsidRDefault="00F077B4">
    <w:pPr>
      <w:pStyle w:val="Header"/>
    </w:pPr>
    <w:r>
      <w:rPr>
        <w:rFonts w:eastAsia="Times New Roman"/>
      </w:rPr>
      <w:t>DRAFT: NOT FOR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679C"/>
    <w:multiLevelType w:val="multilevel"/>
    <w:tmpl w:val="FCD66C0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11910DFF"/>
    <w:multiLevelType w:val="hybridMultilevel"/>
    <w:tmpl w:val="616CE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E539A"/>
    <w:multiLevelType w:val="hybridMultilevel"/>
    <w:tmpl w:val="FAFE861C"/>
    <w:lvl w:ilvl="0" w:tplc="89B215F6">
      <w:start w:val="1"/>
      <w:numFmt w:val="bullet"/>
      <w:lvlText w:val="•"/>
      <w:lvlJc w:val="left"/>
      <w:pPr>
        <w:tabs>
          <w:tab w:val="num" w:pos="720"/>
        </w:tabs>
        <w:ind w:left="720" w:hanging="360"/>
      </w:pPr>
      <w:rPr>
        <w:rFonts w:ascii="Arial" w:hAnsi="Arial" w:hint="default"/>
      </w:rPr>
    </w:lvl>
    <w:lvl w:ilvl="1" w:tplc="DD0E046C">
      <w:numFmt w:val="bullet"/>
      <w:lvlText w:val="•"/>
      <w:lvlJc w:val="left"/>
      <w:pPr>
        <w:tabs>
          <w:tab w:val="num" w:pos="1440"/>
        </w:tabs>
        <w:ind w:left="1440" w:hanging="360"/>
      </w:pPr>
      <w:rPr>
        <w:rFonts w:ascii="Arial" w:hAnsi="Arial" w:hint="default"/>
      </w:rPr>
    </w:lvl>
    <w:lvl w:ilvl="2" w:tplc="09DA3640" w:tentative="1">
      <w:start w:val="1"/>
      <w:numFmt w:val="bullet"/>
      <w:lvlText w:val="•"/>
      <w:lvlJc w:val="left"/>
      <w:pPr>
        <w:tabs>
          <w:tab w:val="num" w:pos="2160"/>
        </w:tabs>
        <w:ind w:left="2160" w:hanging="360"/>
      </w:pPr>
      <w:rPr>
        <w:rFonts w:ascii="Arial" w:hAnsi="Arial" w:hint="default"/>
      </w:rPr>
    </w:lvl>
    <w:lvl w:ilvl="3" w:tplc="84227EE2" w:tentative="1">
      <w:start w:val="1"/>
      <w:numFmt w:val="bullet"/>
      <w:lvlText w:val="•"/>
      <w:lvlJc w:val="left"/>
      <w:pPr>
        <w:tabs>
          <w:tab w:val="num" w:pos="2880"/>
        </w:tabs>
        <w:ind w:left="2880" w:hanging="360"/>
      </w:pPr>
      <w:rPr>
        <w:rFonts w:ascii="Arial" w:hAnsi="Arial" w:hint="default"/>
      </w:rPr>
    </w:lvl>
    <w:lvl w:ilvl="4" w:tplc="202A403E" w:tentative="1">
      <w:start w:val="1"/>
      <w:numFmt w:val="bullet"/>
      <w:lvlText w:val="•"/>
      <w:lvlJc w:val="left"/>
      <w:pPr>
        <w:tabs>
          <w:tab w:val="num" w:pos="3600"/>
        </w:tabs>
        <w:ind w:left="3600" w:hanging="360"/>
      </w:pPr>
      <w:rPr>
        <w:rFonts w:ascii="Arial" w:hAnsi="Arial" w:hint="default"/>
      </w:rPr>
    </w:lvl>
    <w:lvl w:ilvl="5" w:tplc="0DBAF67A" w:tentative="1">
      <w:start w:val="1"/>
      <w:numFmt w:val="bullet"/>
      <w:lvlText w:val="•"/>
      <w:lvlJc w:val="left"/>
      <w:pPr>
        <w:tabs>
          <w:tab w:val="num" w:pos="4320"/>
        </w:tabs>
        <w:ind w:left="4320" w:hanging="360"/>
      </w:pPr>
      <w:rPr>
        <w:rFonts w:ascii="Arial" w:hAnsi="Arial" w:hint="default"/>
      </w:rPr>
    </w:lvl>
    <w:lvl w:ilvl="6" w:tplc="28BAAD06" w:tentative="1">
      <w:start w:val="1"/>
      <w:numFmt w:val="bullet"/>
      <w:lvlText w:val="•"/>
      <w:lvlJc w:val="left"/>
      <w:pPr>
        <w:tabs>
          <w:tab w:val="num" w:pos="5040"/>
        </w:tabs>
        <w:ind w:left="5040" w:hanging="360"/>
      </w:pPr>
      <w:rPr>
        <w:rFonts w:ascii="Arial" w:hAnsi="Arial" w:hint="default"/>
      </w:rPr>
    </w:lvl>
    <w:lvl w:ilvl="7" w:tplc="5C8E2010" w:tentative="1">
      <w:start w:val="1"/>
      <w:numFmt w:val="bullet"/>
      <w:lvlText w:val="•"/>
      <w:lvlJc w:val="left"/>
      <w:pPr>
        <w:tabs>
          <w:tab w:val="num" w:pos="5760"/>
        </w:tabs>
        <w:ind w:left="5760" w:hanging="360"/>
      </w:pPr>
      <w:rPr>
        <w:rFonts w:ascii="Arial" w:hAnsi="Arial" w:hint="default"/>
      </w:rPr>
    </w:lvl>
    <w:lvl w:ilvl="8" w:tplc="8EF6D4F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7760BA7"/>
    <w:multiLevelType w:val="hybridMultilevel"/>
    <w:tmpl w:val="7B96A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C23D1"/>
    <w:multiLevelType w:val="multilevel"/>
    <w:tmpl w:val="3C7A63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EF5565"/>
    <w:multiLevelType w:val="hybridMultilevel"/>
    <w:tmpl w:val="B934A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DA7866"/>
    <w:multiLevelType w:val="hybridMultilevel"/>
    <w:tmpl w:val="59A473B6"/>
    <w:lvl w:ilvl="0" w:tplc="8B2CADD4">
      <w:start w:val="1"/>
      <w:numFmt w:val="bullet"/>
      <w:lvlText w:val="•"/>
      <w:lvlJc w:val="left"/>
      <w:pPr>
        <w:tabs>
          <w:tab w:val="num" w:pos="720"/>
        </w:tabs>
        <w:ind w:left="720" w:hanging="360"/>
      </w:pPr>
      <w:rPr>
        <w:rFonts w:ascii="Arial" w:hAnsi="Arial" w:hint="default"/>
      </w:rPr>
    </w:lvl>
    <w:lvl w:ilvl="1" w:tplc="524A3F3A" w:tentative="1">
      <w:start w:val="1"/>
      <w:numFmt w:val="bullet"/>
      <w:lvlText w:val="•"/>
      <w:lvlJc w:val="left"/>
      <w:pPr>
        <w:tabs>
          <w:tab w:val="num" w:pos="1440"/>
        </w:tabs>
        <w:ind w:left="1440" w:hanging="360"/>
      </w:pPr>
      <w:rPr>
        <w:rFonts w:ascii="Arial" w:hAnsi="Arial" w:hint="default"/>
      </w:rPr>
    </w:lvl>
    <w:lvl w:ilvl="2" w:tplc="DDFA47A8" w:tentative="1">
      <w:start w:val="1"/>
      <w:numFmt w:val="bullet"/>
      <w:lvlText w:val="•"/>
      <w:lvlJc w:val="left"/>
      <w:pPr>
        <w:tabs>
          <w:tab w:val="num" w:pos="2160"/>
        </w:tabs>
        <w:ind w:left="2160" w:hanging="360"/>
      </w:pPr>
      <w:rPr>
        <w:rFonts w:ascii="Arial" w:hAnsi="Arial" w:hint="default"/>
      </w:rPr>
    </w:lvl>
    <w:lvl w:ilvl="3" w:tplc="5492CBE2" w:tentative="1">
      <w:start w:val="1"/>
      <w:numFmt w:val="bullet"/>
      <w:lvlText w:val="•"/>
      <w:lvlJc w:val="left"/>
      <w:pPr>
        <w:tabs>
          <w:tab w:val="num" w:pos="2880"/>
        </w:tabs>
        <w:ind w:left="2880" w:hanging="360"/>
      </w:pPr>
      <w:rPr>
        <w:rFonts w:ascii="Arial" w:hAnsi="Arial" w:hint="default"/>
      </w:rPr>
    </w:lvl>
    <w:lvl w:ilvl="4" w:tplc="3C40F0CC" w:tentative="1">
      <w:start w:val="1"/>
      <w:numFmt w:val="bullet"/>
      <w:lvlText w:val="•"/>
      <w:lvlJc w:val="left"/>
      <w:pPr>
        <w:tabs>
          <w:tab w:val="num" w:pos="3600"/>
        </w:tabs>
        <w:ind w:left="3600" w:hanging="360"/>
      </w:pPr>
      <w:rPr>
        <w:rFonts w:ascii="Arial" w:hAnsi="Arial" w:hint="default"/>
      </w:rPr>
    </w:lvl>
    <w:lvl w:ilvl="5" w:tplc="64941692" w:tentative="1">
      <w:start w:val="1"/>
      <w:numFmt w:val="bullet"/>
      <w:lvlText w:val="•"/>
      <w:lvlJc w:val="left"/>
      <w:pPr>
        <w:tabs>
          <w:tab w:val="num" w:pos="4320"/>
        </w:tabs>
        <w:ind w:left="4320" w:hanging="360"/>
      </w:pPr>
      <w:rPr>
        <w:rFonts w:ascii="Arial" w:hAnsi="Arial" w:hint="default"/>
      </w:rPr>
    </w:lvl>
    <w:lvl w:ilvl="6" w:tplc="37CAC86C" w:tentative="1">
      <w:start w:val="1"/>
      <w:numFmt w:val="bullet"/>
      <w:lvlText w:val="•"/>
      <w:lvlJc w:val="left"/>
      <w:pPr>
        <w:tabs>
          <w:tab w:val="num" w:pos="5040"/>
        </w:tabs>
        <w:ind w:left="5040" w:hanging="360"/>
      </w:pPr>
      <w:rPr>
        <w:rFonts w:ascii="Arial" w:hAnsi="Arial" w:hint="default"/>
      </w:rPr>
    </w:lvl>
    <w:lvl w:ilvl="7" w:tplc="7550DD32" w:tentative="1">
      <w:start w:val="1"/>
      <w:numFmt w:val="bullet"/>
      <w:lvlText w:val="•"/>
      <w:lvlJc w:val="left"/>
      <w:pPr>
        <w:tabs>
          <w:tab w:val="num" w:pos="5760"/>
        </w:tabs>
        <w:ind w:left="5760" w:hanging="360"/>
      </w:pPr>
      <w:rPr>
        <w:rFonts w:ascii="Arial" w:hAnsi="Arial" w:hint="default"/>
      </w:rPr>
    </w:lvl>
    <w:lvl w:ilvl="8" w:tplc="73A4F24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CE308F3"/>
    <w:multiLevelType w:val="hybridMultilevel"/>
    <w:tmpl w:val="FB2A1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06372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76E90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CE24576"/>
    <w:multiLevelType w:val="hybridMultilevel"/>
    <w:tmpl w:val="F0381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F40E0E"/>
    <w:multiLevelType w:val="hybridMultilevel"/>
    <w:tmpl w:val="BECE9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9"/>
  </w:num>
  <w:num w:numId="5">
    <w:abstractNumId w:val="0"/>
  </w:num>
  <w:num w:numId="6">
    <w:abstractNumId w:val="7"/>
  </w:num>
  <w:num w:numId="7">
    <w:abstractNumId w:val="2"/>
  </w:num>
  <w:num w:numId="8">
    <w:abstractNumId w:val="11"/>
  </w:num>
  <w:num w:numId="9">
    <w:abstractNumId w:val="3"/>
  </w:num>
  <w:num w:numId="10">
    <w:abstractNumId w:val="10"/>
  </w:num>
  <w:num w:numId="11">
    <w:abstractNumId w:val="6"/>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65B"/>
    <w:rsid w:val="00007A6E"/>
    <w:rsid w:val="000144E9"/>
    <w:rsid w:val="00021068"/>
    <w:rsid w:val="00031F41"/>
    <w:rsid w:val="0005576F"/>
    <w:rsid w:val="00093BB4"/>
    <w:rsid w:val="0009781D"/>
    <w:rsid w:val="000A0C0F"/>
    <w:rsid w:val="000A480E"/>
    <w:rsid w:val="000A78FC"/>
    <w:rsid w:val="000B45D1"/>
    <w:rsid w:val="000C1B2A"/>
    <w:rsid w:val="000C6783"/>
    <w:rsid w:val="000F0D75"/>
    <w:rsid w:val="000F365B"/>
    <w:rsid w:val="00102A26"/>
    <w:rsid w:val="00126775"/>
    <w:rsid w:val="00140E7A"/>
    <w:rsid w:val="00144066"/>
    <w:rsid w:val="001453AB"/>
    <w:rsid w:val="00162B00"/>
    <w:rsid w:val="0017398F"/>
    <w:rsid w:val="00176665"/>
    <w:rsid w:val="00193EC8"/>
    <w:rsid w:val="001A5F21"/>
    <w:rsid w:val="001B3B95"/>
    <w:rsid w:val="001B5B60"/>
    <w:rsid w:val="001C152A"/>
    <w:rsid w:val="001C464F"/>
    <w:rsid w:val="001D0AC2"/>
    <w:rsid w:val="001E208C"/>
    <w:rsid w:val="001E6555"/>
    <w:rsid w:val="00200997"/>
    <w:rsid w:val="00201B0E"/>
    <w:rsid w:val="00231574"/>
    <w:rsid w:val="00231713"/>
    <w:rsid w:val="002360F4"/>
    <w:rsid w:val="00242C42"/>
    <w:rsid w:val="00243D03"/>
    <w:rsid w:val="00252399"/>
    <w:rsid w:val="0026002E"/>
    <w:rsid w:val="002621F4"/>
    <w:rsid w:val="00270691"/>
    <w:rsid w:val="00270A5F"/>
    <w:rsid w:val="00283363"/>
    <w:rsid w:val="002A12E1"/>
    <w:rsid w:val="002B0423"/>
    <w:rsid w:val="002B096A"/>
    <w:rsid w:val="002B6213"/>
    <w:rsid w:val="002D3BB4"/>
    <w:rsid w:val="002E15DC"/>
    <w:rsid w:val="002F238D"/>
    <w:rsid w:val="002F3D3B"/>
    <w:rsid w:val="00305456"/>
    <w:rsid w:val="003101AE"/>
    <w:rsid w:val="0031546F"/>
    <w:rsid w:val="00322912"/>
    <w:rsid w:val="00322E57"/>
    <w:rsid w:val="00326921"/>
    <w:rsid w:val="0034461D"/>
    <w:rsid w:val="00353C63"/>
    <w:rsid w:val="0035425C"/>
    <w:rsid w:val="00362E3F"/>
    <w:rsid w:val="00367096"/>
    <w:rsid w:val="00367CB4"/>
    <w:rsid w:val="0038557C"/>
    <w:rsid w:val="003A3421"/>
    <w:rsid w:val="003B051A"/>
    <w:rsid w:val="003C14A0"/>
    <w:rsid w:val="003C1D1D"/>
    <w:rsid w:val="003D1FC9"/>
    <w:rsid w:val="003F7E9B"/>
    <w:rsid w:val="00421494"/>
    <w:rsid w:val="0042251A"/>
    <w:rsid w:val="0042539D"/>
    <w:rsid w:val="00431991"/>
    <w:rsid w:val="004410E3"/>
    <w:rsid w:val="00442880"/>
    <w:rsid w:val="004464C4"/>
    <w:rsid w:val="004552EC"/>
    <w:rsid w:val="00466EC0"/>
    <w:rsid w:val="00481FAE"/>
    <w:rsid w:val="004836A2"/>
    <w:rsid w:val="00487A86"/>
    <w:rsid w:val="004A5870"/>
    <w:rsid w:val="004C7C41"/>
    <w:rsid w:val="00525902"/>
    <w:rsid w:val="00526071"/>
    <w:rsid w:val="0052766E"/>
    <w:rsid w:val="00535656"/>
    <w:rsid w:val="005667C3"/>
    <w:rsid w:val="00573F64"/>
    <w:rsid w:val="005766E9"/>
    <w:rsid w:val="00590816"/>
    <w:rsid w:val="005A0710"/>
    <w:rsid w:val="005C0061"/>
    <w:rsid w:val="005C1C3F"/>
    <w:rsid w:val="005C51D5"/>
    <w:rsid w:val="005E1068"/>
    <w:rsid w:val="005F384E"/>
    <w:rsid w:val="005F5338"/>
    <w:rsid w:val="0060286E"/>
    <w:rsid w:val="00605876"/>
    <w:rsid w:val="006222CB"/>
    <w:rsid w:val="0062241E"/>
    <w:rsid w:val="00622FDC"/>
    <w:rsid w:val="00624C2F"/>
    <w:rsid w:val="00640713"/>
    <w:rsid w:val="00641004"/>
    <w:rsid w:val="00654A92"/>
    <w:rsid w:val="00661591"/>
    <w:rsid w:val="00692A5A"/>
    <w:rsid w:val="006A029C"/>
    <w:rsid w:val="006A212D"/>
    <w:rsid w:val="006B08DF"/>
    <w:rsid w:val="006B70BB"/>
    <w:rsid w:val="006E2993"/>
    <w:rsid w:val="006F1E19"/>
    <w:rsid w:val="006F2773"/>
    <w:rsid w:val="006F2906"/>
    <w:rsid w:val="007024DA"/>
    <w:rsid w:val="007045FE"/>
    <w:rsid w:val="007074C2"/>
    <w:rsid w:val="007126F6"/>
    <w:rsid w:val="007471DA"/>
    <w:rsid w:val="00756F32"/>
    <w:rsid w:val="007869CC"/>
    <w:rsid w:val="00796FF3"/>
    <w:rsid w:val="00797F8E"/>
    <w:rsid w:val="007A547D"/>
    <w:rsid w:val="007C029C"/>
    <w:rsid w:val="007C53E1"/>
    <w:rsid w:val="007D2A70"/>
    <w:rsid w:val="007F0725"/>
    <w:rsid w:val="007F0E9F"/>
    <w:rsid w:val="007F5648"/>
    <w:rsid w:val="008116F9"/>
    <w:rsid w:val="0081779B"/>
    <w:rsid w:val="00822AA8"/>
    <w:rsid w:val="00826E39"/>
    <w:rsid w:val="008527C2"/>
    <w:rsid w:val="00872FA7"/>
    <w:rsid w:val="00874CCC"/>
    <w:rsid w:val="00885F91"/>
    <w:rsid w:val="0089488A"/>
    <w:rsid w:val="008B515C"/>
    <w:rsid w:val="008D0BA9"/>
    <w:rsid w:val="008D6D8D"/>
    <w:rsid w:val="0090369E"/>
    <w:rsid w:val="00905F61"/>
    <w:rsid w:val="009127A9"/>
    <w:rsid w:val="00912B75"/>
    <w:rsid w:val="00917CE9"/>
    <w:rsid w:val="00937F70"/>
    <w:rsid w:val="009417B6"/>
    <w:rsid w:val="00942F0B"/>
    <w:rsid w:val="00977C44"/>
    <w:rsid w:val="00977ED7"/>
    <w:rsid w:val="00980290"/>
    <w:rsid w:val="0099291A"/>
    <w:rsid w:val="00993B10"/>
    <w:rsid w:val="009A15CF"/>
    <w:rsid w:val="009A1624"/>
    <w:rsid w:val="009A315A"/>
    <w:rsid w:val="009C52AE"/>
    <w:rsid w:val="009D2BF5"/>
    <w:rsid w:val="009E0BBB"/>
    <w:rsid w:val="009E6FB1"/>
    <w:rsid w:val="009F35CB"/>
    <w:rsid w:val="009F51AF"/>
    <w:rsid w:val="00A06179"/>
    <w:rsid w:val="00A24578"/>
    <w:rsid w:val="00A3729D"/>
    <w:rsid w:val="00A43A31"/>
    <w:rsid w:val="00A54632"/>
    <w:rsid w:val="00A5753B"/>
    <w:rsid w:val="00A77376"/>
    <w:rsid w:val="00A81822"/>
    <w:rsid w:val="00A837E4"/>
    <w:rsid w:val="00A84224"/>
    <w:rsid w:val="00A913C0"/>
    <w:rsid w:val="00AA277E"/>
    <w:rsid w:val="00AB6EEA"/>
    <w:rsid w:val="00AD778A"/>
    <w:rsid w:val="00AE2160"/>
    <w:rsid w:val="00B01266"/>
    <w:rsid w:val="00B01B22"/>
    <w:rsid w:val="00B06854"/>
    <w:rsid w:val="00B421FC"/>
    <w:rsid w:val="00B43352"/>
    <w:rsid w:val="00B50293"/>
    <w:rsid w:val="00B57291"/>
    <w:rsid w:val="00B627D7"/>
    <w:rsid w:val="00B6730A"/>
    <w:rsid w:val="00B8474F"/>
    <w:rsid w:val="00BC4775"/>
    <w:rsid w:val="00BD23E0"/>
    <w:rsid w:val="00BD4BF3"/>
    <w:rsid w:val="00BE28AA"/>
    <w:rsid w:val="00BE4649"/>
    <w:rsid w:val="00C03349"/>
    <w:rsid w:val="00C077D0"/>
    <w:rsid w:val="00C113B0"/>
    <w:rsid w:val="00C159E7"/>
    <w:rsid w:val="00C52379"/>
    <w:rsid w:val="00C5715D"/>
    <w:rsid w:val="00C6521D"/>
    <w:rsid w:val="00C66D11"/>
    <w:rsid w:val="00C71436"/>
    <w:rsid w:val="00C75511"/>
    <w:rsid w:val="00C76C29"/>
    <w:rsid w:val="00C80293"/>
    <w:rsid w:val="00C823FE"/>
    <w:rsid w:val="00C9567A"/>
    <w:rsid w:val="00CA61BA"/>
    <w:rsid w:val="00CB06D3"/>
    <w:rsid w:val="00CD52B4"/>
    <w:rsid w:val="00CD747B"/>
    <w:rsid w:val="00CE2231"/>
    <w:rsid w:val="00CE67A6"/>
    <w:rsid w:val="00CE78CF"/>
    <w:rsid w:val="00CF02C9"/>
    <w:rsid w:val="00CF4D5F"/>
    <w:rsid w:val="00D15971"/>
    <w:rsid w:val="00D53FA6"/>
    <w:rsid w:val="00D80A67"/>
    <w:rsid w:val="00D86433"/>
    <w:rsid w:val="00DA1586"/>
    <w:rsid w:val="00DA6BCC"/>
    <w:rsid w:val="00DA7C4E"/>
    <w:rsid w:val="00DB3A50"/>
    <w:rsid w:val="00DC424B"/>
    <w:rsid w:val="00DD5A0A"/>
    <w:rsid w:val="00DE3C64"/>
    <w:rsid w:val="00E064C4"/>
    <w:rsid w:val="00E13CC5"/>
    <w:rsid w:val="00E51793"/>
    <w:rsid w:val="00E76629"/>
    <w:rsid w:val="00E804FF"/>
    <w:rsid w:val="00EA287E"/>
    <w:rsid w:val="00EC113D"/>
    <w:rsid w:val="00EC286F"/>
    <w:rsid w:val="00ED48E9"/>
    <w:rsid w:val="00EE0492"/>
    <w:rsid w:val="00EE5974"/>
    <w:rsid w:val="00EF3D78"/>
    <w:rsid w:val="00F05572"/>
    <w:rsid w:val="00F077B4"/>
    <w:rsid w:val="00F079B5"/>
    <w:rsid w:val="00F209C4"/>
    <w:rsid w:val="00F517E0"/>
    <w:rsid w:val="00F51EDF"/>
    <w:rsid w:val="00F7342B"/>
    <w:rsid w:val="00F7562C"/>
    <w:rsid w:val="00F82906"/>
    <w:rsid w:val="00FD6849"/>
    <w:rsid w:val="00FF164C"/>
    <w:rsid w:val="00FF3496"/>
    <w:rsid w:val="03CB6133"/>
    <w:rsid w:val="0409BADF"/>
    <w:rsid w:val="06CE361C"/>
    <w:rsid w:val="07469A14"/>
    <w:rsid w:val="0787B4F0"/>
    <w:rsid w:val="092E3584"/>
    <w:rsid w:val="0A57D7E4"/>
    <w:rsid w:val="0AF2D808"/>
    <w:rsid w:val="0BD2A179"/>
    <w:rsid w:val="0E6D9599"/>
    <w:rsid w:val="0EA618B6"/>
    <w:rsid w:val="111AC0CC"/>
    <w:rsid w:val="12D80EC4"/>
    <w:rsid w:val="18213108"/>
    <w:rsid w:val="1A95C0BD"/>
    <w:rsid w:val="1B7FBE16"/>
    <w:rsid w:val="1BF51FE3"/>
    <w:rsid w:val="1E3E392B"/>
    <w:rsid w:val="1F8A1BB4"/>
    <w:rsid w:val="1FE9C9C8"/>
    <w:rsid w:val="238FED4F"/>
    <w:rsid w:val="25C72753"/>
    <w:rsid w:val="28F14109"/>
    <w:rsid w:val="293D5DDB"/>
    <w:rsid w:val="29D872CF"/>
    <w:rsid w:val="2A5863AC"/>
    <w:rsid w:val="2B86F4D6"/>
    <w:rsid w:val="2C3FFEC2"/>
    <w:rsid w:val="2CAD214D"/>
    <w:rsid w:val="2E99D68E"/>
    <w:rsid w:val="304ECD0F"/>
    <w:rsid w:val="30A49E6F"/>
    <w:rsid w:val="35274016"/>
    <w:rsid w:val="38191BFE"/>
    <w:rsid w:val="386F4A34"/>
    <w:rsid w:val="3896ED8B"/>
    <w:rsid w:val="3E68F180"/>
    <w:rsid w:val="3F621DB6"/>
    <w:rsid w:val="405E139B"/>
    <w:rsid w:val="4086E64C"/>
    <w:rsid w:val="42DA1E9F"/>
    <w:rsid w:val="431C8EA9"/>
    <w:rsid w:val="436DA742"/>
    <w:rsid w:val="44641B28"/>
    <w:rsid w:val="44760E21"/>
    <w:rsid w:val="47D42F32"/>
    <w:rsid w:val="47D6E775"/>
    <w:rsid w:val="48EE1A56"/>
    <w:rsid w:val="4AF0CDF8"/>
    <w:rsid w:val="4AF4A228"/>
    <w:rsid w:val="4CE6AB4C"/>
    <w:rsid w:val="4E4E0193"/>
    <w:rsid w:val="52E30CBC"/>
    <w:rsid w:val="546E8D0D"/>
    <w:rsid w:val="55A05ABE"/>
    <w:rsid w:val="5620E84F"/>
    <w:rsid w:val="58A94ACF"/>
    <w:rsid w:val="5A2DFCD9"/>
    <w:rsid w:val="5A7384C2"/>
    <w:rsid w:val="5C78A017"/>
    <w:rsid w:val="5E036A39"/>
    <w:rsid w:val="5FCD5874"/>
    <w:rsid w:val="6167DC04"/>
    <w:rsid w:val="6562252E"/>
    <w:rsid w:val="661145D0"/>
    <w:rsid w:val="6627E629"/>
    <w:rsid w:val="67011D13"/>
    <w:rsid w:val="6742D8AA"/>
    <w:rsid w:val="67EE9D54"/>
    <w:rsid w:val="68B6755A"/>
    <w:rsid w:val="68DCD492"/>
    <w:rsid w:val="6BF4EC11"/>
    <w:rsid w:val="6C8E30E6"/>
    <w:rsid w:val="6DE28CB6"/>
    <w:rsid w:val="6E6A20FE"/>
    <w:rsid w:val="70F560C5"/>
    <w:rsid w:val="7119C19F"/>
    <w:rsid w:val="74026728"/>
    <w:rsid w:val="74EF9872"/>
    <w:rsid w:val="75F874D2"/>
    <w:rsid w:val="7A185000"/>
    <w:rsid w:val="7A1C586D"/>
    <w:rsid w:val="7AF0E255"/>
    <w:rsid w:val="7B661CBD"/>
    <w:rsid w:val="7D2C41F9"/>
    <w:rsid w:val="7E67AEA2"/>
    <w:rsid w:val="7F763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2D842"/>
  <w15:chartTrackingRefBased/>
  <w15:docId w15:val="{45A6D448-3D55-4435-9DD9-3C3FE5B02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2B00"/>
    <w:pPr>
      <w:spacing w:before="120"/>
    </w:pPr>
    <w:rPr>
      <w:szCs w:val="24"/>
    </w:rPr>
  </w:style>
  <w:style w:type="paragraph" w:styleId="Heading1">
    <w:name w:val="heading 1"/>
    <w:basedOn w:val="Normal"/>
    <w:next w:val="Normal"/>
    <w:link w:val="Heading1Char"/>
    <w:uiPriority w:val="9"/>
    <w:qFormat/>
    <w:rsid w:val="007869CC"/>
    <w:pPr>
      <w:keepNext/>
      <w:keepLines/>
      <w:numPr>
        <w:numId w:val="13"/>
      </w:numPr>
      <w:spacing w:before="240" w:after="120"/>
      <w:outlineLvl w:val="0"/>
    </w:pPr>
    <w:rPr>
      <w:rFonts w:eastAsiaTheme="majorEastAsia" w:cstheme="minorHAnsi"/>
      <w:b/>
      <w:color w:val="000000" w:themeColor="text1"/>
      <w:sz w:val="28"/>
      <w:szCs w:val="32"/>
      <w:lang w:eastAsia="en-US"/>
    </w:rPr>
  </w:style>
  <w:style w:type="paragraph" w:styleId="Heading2">
    <w:name w:val="heading 2"/>
    <w:basedOn w:val="Normal"/>
    <w:next w:val="Normal"/>
    <w:link w:val="Heading2Char"/>
    <w:uiPriority w:val="9"/>
    <w:unhideWhenUsed/>
    <w:qFormat/>
    <w:rsid w:val="002F238D"/>
    <w:pPr>
      <w:keepNext/>
      <w:keepLines/>
      <w:numPr>
        <w:ilvl w:val="1"/>
        <w:numId w:val="13"/>
      </w:numPr>
      <w:spacing w:after="0"/>
      <w:outlineLvl w:val="1"/>
    </w:pPr>
    <w:rPr>
      <w:rFonts w:eastAsiaTheme="majorEastAsia" w:cstheme="minorHAnsi"/>
      <w:color w:val="000000" w:themeColor="text1"/>
      <w:szCs w:val="26"/>
    </w:rPr>
  </w:style>
  <w:style w:type="paragraph" w:styleId="Heading3">
    <w:name w:val="heading 3"/>
    <w:basedOn w:val="Normal"/>
    <w:next w:val="Normal"/>
    <w:link w:val="Heading3Char"/>
    <w:uiPriority w:val="9"/>
    <w:unhideWhenUsed/>
    <w:qFormat/>
    <w:rsid w:val="002F238D"/>
    <w:pPr>
      <w:keepNext/>
      <w:keepLines/>
      <w:numPr>
        <w:ilvl w:val="2"/>
        <w:numId w:val="13"/>
      </w:numPr>
      <w:spacing w:after="0"/>
      <w:ind w:left="576" w:hanging="576"/>
      <w:outlineLvl w:val="2"/>
    </w:pPr>
    <w:rPr>
      <w:rFonts w:eastAsiaTheme="majorEastAsia" w:cstheme="majorBidi"/>
      <w:color w:val="000000" w:themeColor="text1"/>
    </w:rPr>
  </w:style>
  <w:style w:type="paragraph" w:styleId="Heading4">
    <w:name w:val="heading 4"/>
    <w:basedOn w:val="Normal"/>
    <w:next w:val="Normal"/>
    <w:link w:val="Heading4Char"/>
    <w:uiPriority w:val="9"/>
    <w:semiHidden/>
    <w:unhideWhenUsed/>
    <w:qFormat/>
    <w:rsid w:val="00B627D7"/>
    <w:pPr>
      <w:keepNext/>
      <w:keepLines/>
      <w:numPr>
        <w:ilvl w:val="3"/>
        <w:numId w:val="1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627D7"/>
    <w:pPr>
      <w:keepNext/>
      <w:keepLines/>
      <w:numPr>
        <w:ilvl w:val="4"/>
        <w:numId w:val="1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627D7"/>
    <w:pPr>
      <w:keepNext/>
      <w:keepLines/>
      <w:numPr>
        <w:ilvl w:val="5"/>
        <w:numId w:val="1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627D7"/>
    <w:pPr>
      <w:keepNext/>
      <w:keepLines/>
      <w:numPr>
        <w:ilvl w:val="6"/>
        <w:numId w:val="1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627D7"/>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27D7"/>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26071"/>
    <w:pPr>
      <w:spacing w:after="0" w:line="240" w:lineRule="auto"/>
      <w:contextualSpacing/>
      <w:jc w:val="center"/>
    </w:pPr>
    <w:rPr>
      <w:rFonts w:eastAsiaTheme="majorEastAsia" w:cstheme="minorHAnsi"/>
      <w:b/>
      <w:spacing w:val="-10"/>
      <w:kern w:val="28"/>
      <w:sz w:val="40"/>
      <w:szCs w:val="56"/>
    </w:rPr>
  </w:style>
  <w:style w:type="character" w:customStyle="1" w:styleId="TitleChar">
    <w:name w:val="Title Char"/>
    <w:basedOn w:val="DefaultParagraphFont"/>
    <w:link w:val="Title"/>
    <w:uiPriority w:val="10"/>
    <w:rsid w:val="00526071"/>
    <w:rPr>
      <w:rFonts w:eastAsiaTheme="majorEastAsia" w:cstheme="minorHAnsi"/>
      <w:b/>
      <w:spacing w:val="-10"/>
      <w:kern w:val="28"/>
      <w:sz w:val="40"/>
      <w:szCs w:val="56"/>
    </w:rPr>
  </w:style>
  <w:style w:type="character" w:customStyle="1" w:styleId="Heading1Char">
    <w:name w:val="Heading 1 Char"/>
    <w:basedOn w:val="DefaultParagraphFont"/>
    <w:link w:val="Heading1"/>
    <w:uiPriority w:val="9"/>
    <w:rsid w:val="007869CC"/>
    <w:rPr>
      <w:rFonts w:eastAsiaTheme="majorEastAsia" w:cstheme="minorHAnsi"/>
      <w:b/>
      <w:color w:val="000000" w:themeColor="text1"/>
      <w:sz w:val="28"/>
      <w:szCs w:val="32"/>
      <w:lang w:eastAsia="en-US"/>
    </w:rPr>
  </w:style>
  <w:style w:type="paragraph" w:styleId="Caption">
    <w:name w:val="caption"/>
    <w:basedOn w:val="Normal"/>
    <w:next w:val="Normal"/>
    <w:link w:val="CaptionChar"/>
    <w:uiPriority w:val="35"/>
    <w:unhideWhenUsed/>
    <w:qFormat/>
    <w:rsid w:val="00421494"/>
    <w:pPr>
      <w:spacing w:after="360" w:line="240" w:lineRule="auto"/>
    </w:pPr>
    <w:rPr>
      <w:rFonts w:eastAsiaTheme="minorHAnsi"/>
      <w:b/>
      <w:iCs/>
      <w:color w:val="000000" w:themeColor="text1"/>
      <w:lang w:eastAsia="en-US"/>
    </w:rPr>
  </w:style>
  <w:style w:type="paragraph" w:styleId="Header">
    <w:name w:val="header"/>
    <w:basedOn w:val="Normal"/>
    <w:link w:val="HeaderChar"/>
    <w:uiPriority w:val="99"/>
    <w:unhideWhenUsed/>
    <w:rsid w:val="005F5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338"/>
  </w:style>
  <w:style w:type="paragraph" w:styleId="Footer">
    <w:name w:val="footer"/>
    <w:basedOn w:val="Normal"/>
    <w:link w:val="FooterChar"/>
    <w:uiPriority w:val="99"/>
    <w:unhideWhenUsed/>
    <w:rsid w:val="005F5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338"/>
  </w:style>
  <w:style w:type="character" w:styleId="Hyperlink">
    <w:name w:val="Hyperlink"/>
    <w:basedOn w:val="DefaultParagraphFont"/>
    <w:uiPriority w:val="99"/>
    <w:unhideWhenUsed/>
    <w:rsid w:val="005F5338"/>
    <w:rPr>
      <w:color w:val="0563C1" w:themeColor="hyperlink"/>
      <w:u w:val="single"/>
    </w:rPr>
  </w:style>
  <w:style w:type="paragraph" w:styleId="ListParagraph">
    <w:name w:val="List Paragraph"/>
    <w:basedOn w:val="Normal"/>
    <w:uiPriority w:val="34"/>
    <w:qFormat/>
    <w:rsid w:val="00243D03"/>
    <w:pPr>
      <w:ind w:left="720"/>
      <w:contextualSpacing/>
    </w:pPr>
  </w:style>
  <w:style w:type="character" w:customStyle="1" w:styleId="Heading2Char">
    <w:name w:val="Heading 2 Char"/>
    <w:basedOn w:val="DefaultParagraphFont"/>
    <w:link w:val="Heading2"/>
    <w:uiPriority w:val="9"/>
    <w:rsid w:val="002F238D"/>
    <w:rPr>
      <w:rFonts w:eastAsiaTheme="majorEastAsia" w:cstheme="minorHAnsi"/>
      <w:color w:val="000000" w:themeColor="text1"/>
      <w:szCs w:val="26"/>
    </w:rPr>
  </w:style>
  <w:style w:type="character" w:customStyle="1" w:styleId="Heading3Char">
    <w:name w:val="Heading 3 Char"/>
    <w:basedOn w:val="DefaultParagraphFont"/>
    <w:link w:val="Heading3"/>
    <w:uiPriority w:val="9"/>
    <w:rsid w:val="002F238D"/>
    <w:rPr>
      <w:rFonts w:eastAsiaTheme="majorEastAsia" w:cstheme="majorBidi"/>
      <w:color w:val="000000" w:themeColor="text1"/>
      <w:szCs w:val="24"/>
    </w:rPr>
  </w:style>
  <w:style w:type="character" w:customStyle="1" w:styleId="Heading4Char">
    <w:name w:val="Heading 4 Char"/>
    <w:basedOn w:val="DefaultParagraphFont"/>
    <w:link w:val="Heading4"/>
    <w:uiPriority w:val="9"/>
    <w:semiHidden/>
    <w:rsid w:val="00B627D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627D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627D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627D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627D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627D7"/>
    <w:rPr>
      <w:rFonts w:asciiTheme="majorHAnsi" w:eastAsiaTheme="majorEastAsia" w:hAnsiTheme="majorHAnsi" w:cstheme="majorBidi"/>
      <w:i/>
      <w:iCs/>
      <w:color w:val="272727" w:themeColor="text1" w:themeTint="D8"/>
      <w:sz w:val="21"/>
      <w:szCs w:val="21"/>
    </w:rPr>
  </w:style>
  <w:style w:type="paragraph" w:customStyle="1" w:styleId="Caption-Table">
    <w:name w:val="Caption-Table"/>
    <w:basedOn w:val="Caption"/>
    <w:link w:val="Caption-TableChar"/>
    <w:qFormat/>
    <w:rsid w:val="00231713"/>
    <w:pPr>
      <w:keepNext/>
      <w:spacing w:after="120"/>
    </w:pPr>
  </w:style>
  <w:style w:type="character" w:customStyle="1" w:styleId="CaptionChar">
    <w:name w:val="Caption Char"/>
    <w:basedOn w:val="DefaultParagraphFont"/>
    <w:link w:val="Caption"/>
    <w:uiPriority w:val="35"/>
    <w:rsid w:val="00421494"/>
    <w:rPr>
      <w:rFonts w:eastAsiaTheme="minorHAnsi"/>
      <w:b/>
      <w:iCs/>
      <w:color w:val="000000" w:themeColor="text1"/>
      <w:szCs w:val="24"/>
      <w:lang w:eastAsia="en-US"/>
    </w:rPr>
  </w:style>
  <w:style w:type="character" w:customStyle="1" w:styleId="Caption-TableChar">
    <w:name w:val="Caption-Table Char"/>
    <w:basedOn w:val="CaptionChar"/>
    <w:link w:val="Caption-Table"/>
    <w:rsid w:val="00231713"/>
    <w:rPr>
      <w:rFonts w:eastAsiaTheme="minorHAnsi"/>
      <w:b/>
      <w:iCs/>
      <w:color w:val="000000" w:themeColor="text1"/>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027508">
      <w:bodyDiv w:val="1"/>
      <w:marLeft w:val="0"/>
      <w:marRight w:val="0"/>
      <w:marTop w:val="0"/>
      <w:marBottom w:val="0"/>
      <w:divBdr>
        <w:top w:val="none" w:sz="0" w:space="0" w:color="auto"/>
        <w:left w:val="none" w:sz="0" w:space="0" w:color="auto"/>
        <w:bottom w:val="none" w:sz="0" w:space="0" w:color="auto"/>
        <w:right w:val="none" w:sz="0" w:space="0" w:color="auto"/>
      </w:divBdr>
      <w:divsChild>
        <w:div w:id="1287588598">
          <w:marLeft w:val="360"/>
          <w:marRight w:val="0"/>
          <w:marTop w:val="200"/>
          <w:marBottom w:val="0"/>
          <w:divBdr>
            <w:top w:val="none" w:sz="0" w:space="0" w:color="auto"/>
            <w:left w:val="none" w:sz="0" w:space="0" w:color="auto"/>
            <w:bottom w:val="none" w:sz="0" w:space="0" w:color="auto"/>
            <w:right w:val="none" w:sz="0" w:space="0" w:color="auto"/>
          </w:divBdr>
        </w:div>
        <w:div w:id="586428513">
          <w:marLeft w:val="1080"/>
          <w:marRight w:val="0"/>
          <w:marTop w:val="100"/>
          <w:marBottom w:val="0"/>
          <w:divBdr>
            <w:top w:val="none" w:sz="0" w:space="0" w:color="auto"/>
            <w:left w:val="none" w:sz="0" w:space="0" w:color="auto"/>
            <w:bottom w:val="none" w:sz="0" w:space="0" w:color="auto"/>
            <w:right w:val="none" w:sz="0" w:space="0" w:color="auto"/>
          </w:divBdr>
        </w:div>
        <w:div w:id="303319031">
          <w:marLeft w:val="360"/>
          <w:marRight w:val="0"/>
          <w:marTop w:val="200"/>
          <w:marBottom w:val="0"/>
          <w:divBdr>
            <w:top w:val="none" w:sz="0" w:space="0" w:color="auto"/>
            <w:left w:val="none" w:sz="0" w:space="0" w:color="auto"/>
            <w:bottom w:val="none" w:sz="0" w:space="0" w:color="auto"/>
            <w:right w:val="none" w:sz="0" w:space="0" w:color="auto"/>
          </w:divBdr>
        </w:div>
        <w:div w:id="1255238650">
          <w:marLeft w:val="360"/>
          <w:marRight w:val="0"/>
          <w:marTop w:val="200"/>
          <w:marBottom w:val="0"/>
          <w:divBdr>
            <w:top w:val="none" w:sz="0" w:space="0" w:color="auto"/>
            <w:left w:val="none" w:sz="0" w:space="0" w:color="auto"/>
            <w:bottom w:val="none" w:sz="0" w:space="0" w:color="auto"/>
            <w:right w:val="none" w:sz="0" w:space="0" w:color="auto"/>
          </w:divBdr>
        </w:div>
        <w:div w:id="1335381808">
          <w:marLeft w:val="360"/>
          <w:marRight w:val="0"/>
          <w:marTop w:val="200"/>
          <w:marBottom w:val="0"/>
          <w:divBdr>
            <w:top w:val="none" w:sz="0" w:space="0" w:color="auto"/>
            <w:left w:val="none" w:sz="0" w:space="0" w:color="auto"/>
            <w:bottom w:val="none" w:sz="0" w:space="0" w:color="auto"/>
            <w:right w:val="none" w:sz="0" w:space="0" w:color="auto"/>
          </w:divBdr>
        </w:div>
      </w:divsChild>
    </w:div>
    <w:div w:id="1943487796">
      <w:bodyDiv w:val="1"/>
      <w:marLeft w:val="0"/>
      <w:marRight w:val="0"/>
      <w:marTop w:val="0"/>
      <w:marBottom w:val="0"/>
      <w:divBdr>
        <w:top w:val="none" w:sz="0" w:space="0" w:color="auto"/>
        <w:left w:val="none" w:sz="0" w:space="0" w:color="auto"/>
        <w:bottom w:val="none" w:sz="0" w:space="0" w:color="auto"/>
        <w:right w:val="none" w:sz="0" w:space="0" w:color="auto"/>
      </w:divBdr>
      <w:divsChild>
        <w:div w:id="1393848901">
          <w:marLeft w:val="360"/>
          <w:marRight w:val="0"/>
          <w:marTop w:val="20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1007/s10584-021-03048-6"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doi.org/10.5194/esd-14-1015-202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epa.gov/cira/FrED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globalchange.mit.edu/publication/173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8ac966c-2a12-4d22-a676-f243763a6d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293FBDE70BB54D82B62A125A709321" ma:contentTypeVersion="16" ma:contentTypeDescription="Create a new document." ma:contentTypeScope="" ma:versionID="c67d9cc21f35b68330eb3c761205d7f7">
  <xsd:schema xmlns:xsd="http://www.w3.org/2001/XMLSchema" xmlns:xs="http://www.w3.org/2001/XMLSchema" xmlns:p="http://schemas.microsoft.com/office/2006/metadata/properties" xmlns:ns3="c8ac966c-2a12-4d22-a676-f243763a6dac" xmlns:ns4="7188edda-abf4-4ad8-a391-a81e11210764" targetNamespace="http://schemas.microsoft.com/office/2006/metadata/properties" ma:root="true" ma:fieldsID="dc5da9c4ce6823d4f078e1a32c5aa71d" ns3:_="" ns4:_="">
    <xsd:import namespace="c8ac966c-2a12-4d22-a676-f243763a6dac"/>
    <xsd:import namespace="7188edda-abf4-4ad8-a391-a81e112107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c966c-2a12-4d22-a676-f243763a6d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8edda-abf4-4ad8-a391-a81e112107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3075A-D152-4023-B833-3A73239785BA}">
  <ds:schemaRefs>
    <ds:schemaRef ds:uri="http://schemas.microsoft.com/sharepoint/v3/contenttype/forms"/>
  </ds:schemaRefs>
</ds:datastoreItem>
</file>

<file path=customXml/itemProps2.xml><?xml version="1.0" encoding="utf-8"?>
<ds:datastoreItem xmlns:ds="http://schemas.openxmlformats.org/officeDocument/2006/customXml" ds:itemID="{F6FBC124-5A6E-4858-BDFD-5850747269D9}">
  <ds:schemaRefs>
    <ds:schemaRef ds:uri="http://schemas.microsoft.com/office/2006/metadata/properties"/>
    <ds:schemaRef ds:uri="http://schemas.microsoft.com/office/infopath/2007/PartnerControls"/>
    <ds:schemaRef ds:uri="c8ac966c-2a12-4d22-a676-f243763a6dac"/>
  </ds:schemaRefs>
</ds:datastoreItem>
</file>

<file path=customXml/itemProps3.xml><?xml version="1.0" encoding="utf-8"?>
<ds:datastoreItem xmlns:ds="http://schemas.openxmlformats.org/officeDocument/2006/customXml" ds:itemID="{E0975821-553D-4F3B-91B7-B03127D49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c966c-2a12-4d22-a676-f243763a6dac"/>
    <ds:schemaRef ds:uri="7188edda-abf4-4ad8-a391-a81e11210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B93461-E1F9-47BD-8F39-AD585359F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11</Pages>
  <Words>3242</Words>
  <Characters>18484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Yuan</dc:creator>
  <cp:keywords/>
  <dc:description/>
  <cp:lastModifiedBy>Mei Yuan</cp:lastModifiedBy>
  <cp:revision>39</cp:revision>
  <cp:lastPrinted>2025-04-15T03:50:00Z</cp:lastPrinted>
  <dcterms:created xsi:type="dcterms:W3CDTF">2025-04-13T05:32:00Z</dcterms:created>
  <dcterms:modified xsi:type="dcterms:W3CDTF">2025-04-15T03:52:00Z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0x0101007B293FBDE70BB54D82B62A125A709321</vt:lpwstr>
  </property>
</Properties>
</file>