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6E71C" w14:textId="486B14E2" w:rsidR="00887AB8" w:rsidRDefault="00887AB8" w:rsidP="00B922E1">
      <w:pPr>
        <w:pStyle w:val="berschrift1"/>
        <w:numPr>
          <w:ilvl w:val="0"/>
          <w:numId w:val="0"/>
        </w:numPr>
        <w:ind w:left="851"/>
        <w:rPr>
          <w:rStyle w:val="Autor"/>
        </w:rPr>
      </w:pPr>
    </w:p>
    <w:p w14:paraId="51091481" w14:textId="5BD1A84A" w:rsidR="00B922E1" w:rsidRDefault="003E1D96" w:rsidP="00B922E1">
      <w:pPr>
        <w:pStyle w:val="Titelberschrift"/>
        <w:rPr>
          <w:lang w:val="en-GB"/>
        </w:rPr>
      </w:pPr>
      <w:r>
        <w:rPr>
          <w:lang w:val="en-GB"/>
        </w:rPr>
        <w:t>Integrating dietary health, environmental and economic considerations into impact assessment of international trade agreements</w:t>
      </w:r>
    </w:p>
    <w:p w14:paraId="253733CB" w14:textId="77777777" w:rsidR="002626B6" w:rsidRDefault="002626B6" w:rsidP="002626B6">
      <w:pPr>
        <w:rPr>
          <w:lang w:val="en-GB"/>
        </w:rPr>
      </w:pPr>
    </w:p>
    <w:p w14:paraId="3999F0A9" w14:textId="2BB2A462" w:rsidR="00FB50D9" w:rsidRPr="0046058A" w:rsidRDefault="002626B6" w:rsidP="0046058A">
      <w:pPr>
        <w:spacing w:line="360" w:lineRule="auto"/>
        <w:rPr>
          <w:sz w:val="22"/>
          <w:szCs w:val="22"/>
          <w:lang w:val="en-GB"/>
        </w:rPr>
      </w:pPr>
      <w:r w:rsidRPr="0046058A">
        <w:rPr>
          <w:b/>
          <w:bCs/>
          <w:sz w:val="22"/>
          <w:szCs w:val="22"/>
          <w:lang w:val="en-GB"/>
        </w:rPr>
        <w:t>Background</w:t>
      </w:r>
      <w:r w:rsidRPr="0046058A">
        <w:rPr>
          <w:sz w:val="22"/>
          <w:szCs w:val="22"/>
          <w:lang w:val="en-GB"/>
        </w:rPr>
        <w:t>:</w:t>
      </w:r>
      <w:r w:rsidR="00B922E1" w:rsidRPr="0046058A">
        <w:rPr>
          <w:sz w:val="22"/>
          <w:szCs w:val="22"/>
          <w:lang w:val="en-GB"/>
        </w:rPr>
        <w:t xml:space="preserve"> </w:t>
      </w:r>
      <w:r w:rsidRPr="0046058A">
        <w:rPr>
          <w:sz w:val="22"/>
          <w:szCs w:val="22"/>
          <w:lang w:val="en-GB"/>
        </w:rPr>
        <w:t xml:space="preserve">Trade agreements, like the CPTPP agreement, are primarily </w:t>
      </w:r>
      <w:r w:rsidR="00DE08C3">
        <w:rPr>
          <w:sz w:val="22"/>
          <w:szCs w:val="22"/>
          <w:lang w:val="en-GB"/>
        </w:rPr>
        <w:t>implemented for</w:t>
      </w:r>
      <w:r w:rsidRPr="0046058A">
        <w:rPr>
          <w:sz w:val="22"/>
          <w:szCs w:val="22"/>
          <w:lang w:val="en-GB"/>
        </w:rPr>
        <w:t xml:space="preserve"> economic reasons. However, they are increasingly scrutinised for their impacts on health and sustainability. Here, we </w:t>
      </w:r>
      <w:r w:rsidR="00E16CD1" w:rsidRPr="0046058A">
        <w:rPr>
          <w:sz w:val="22"/>
          <w:szCs w:val="22"/>
          <w:lang w:val="en-GB"/>
        </w:rPr>
        <w:t xml:space="preserve">analyse the </w:t>
      </w:r>
      <w:r w:rsidR="00D579D1">
        <w:rPr>
          <w:sz w:val="22"/>
          <w:szCs w:val="22"/>
          <w:lang w:val="en-GB"/>
        </w:rPr>
        <w:t xml:space="preserve">dietary </w:t>
      </w:r>
      <w:r w:rsidR="00E16CD1" w:rsidRPr="0046058A">
        <w:rPr>
          <w:sz w:val="22"/>
          <w:szCs w:val="22"/>
          <w:lang w:val="en-GB"/>
        </w:rPr>
        <w:t xml:space="preserve">health, </w:t>
      </w:r>
      <w:r w:rsidR="00AB4A3A">
        <w:rPr>
          <w:sz w:val="22"/>
          <w:szCs w:val="22"/>
          <w:lang w:val="en-GB"/>
        </w:rPr>
        <w:t>environmental</w:t>
      </w:r>
      <w:r w:rsidR="00E16CD1" w:rsidRPr="0046058A">
        <w:rPr>
          <w:sz w:val="22"/>
          <w:szCs w:val="22"/>
          <w:lang w:val="en-GB"/>
        </w:rPr>
        <w:t>, and economic effects of several existing trade agreements, condensing the impact to a single metric using a multicriteria approach</w:t>
      </w:r>
      <w:r w:rsidR="00AB4A3A">
        <w:rPr>
          <w:sz w:val="22"/>
          <w:szCs w:val="22"/>
          <w:lang w:val="en-GB"/>
        </w:rPr>
        <w:t xml:space="preserve">, see </w:t>
      </w:r>
      <w:proofErr w:type="spellStart"/>
      <w:r w:rsidR="00E16CD1" w:rsidRPr="0046058A">
        <w:rPr>
          <w:sz w:val="22"/>
          <w:szCs w:val="22"/>
          <w:lang w:val="en-GB"/>
        </w:rPr>
        <w:t>Springmann</w:t>
      </w:r>
      <w:proofErr w:type="spellEnd"/>
      <w:r w:rsidR="00E16CD1" w:rsidRPr="0046058A">
        <w:rPr>
          <w:sz w:val="22"/>
          <w:szCs w:val="22"/>
          <w:lang w:val="en-GB"/>
        </w:rPr>
        <w:t xml:space="preserve"> </w:t>
      </w:r>
      <w:r w:rsidR="00AB4A3A">
        <w:rPr>
          <w:sz w:val="22"/>
          <w:szCs w:val="22"/>
          <w:lang w:val="en-GB"/>
        </w:rPr>
        <w:t>(</w:t>
      </w:r>
      <w:r w:rsidR="00E16CD1" w:rsidRPr="0046058A">
        <w:rPr>
          <w:sz w:val="22"/>
          <w:szCs w:val="22"/>
          <w:lang w:val="en-GB"/>
        </w:rPr>
        <w:t xml:space="preserve">2024). </w:t>
      </w:r>
      <w:r w:rsidR="002B39B2">
        <w:rPr>
          <w:sz w:val="22"/>
          <w:szCs w:val="22"/>
          <w:lang w:val="en-GB"/>
        </w:rPr>
        <w:t xml:space="preserve">With this we </w:t>
      </w:r>
      <w:r w:rsidR="00E16CD1" w:rsidRPr="0046058A">
        <w:rPr>
          <w:sz w:val="22"/>
          <w:szCs w:val="22"/>
          <w:lang w:val="en-GB"/>
        </w:rPr>
        <w:t>develop a taxonomy of trade agreements</w:t>
      </w:r>
      <w:r w:rsidR="00FB50D9" w:rsidRPr="0046058A">
        <w:rPr>
          <w:sz w:val="22"/>
          <w:szCs w:val="22"/>
          <w:lang w:val="en-GB"/>
        </w:rPr>
        <w:t>, which</w:t>
      </w:r>
      <w:r w:rsidR="00E16CD1" w:rsidRPr="0046058A">
        <w:rPr>
          <w:sz w:val="22"/>
          <w:szCs w:val="22"/>
          <w:lang w:val="en-GB"/>
        </w:rPr>
        <w:t xml:space="preserve"> helps to identify trade agreements that perform relatively well and gives </w:t>
      </w:r>
      <w:r w:rsidR="00FB50D9" w:rsidRPr="0046058A">
        <w:rPr>
          <w:sz w:val="22"/>
          <w:szCs w:val="22"/>
          <w:lang w:val="en-GB"/>
        </w:rPr>
        <w:t>essential</w:t>
      </w:r>
      <w:r w:rsidR="00E16CD1" w:rsidRPr="0046058A">
        <w:rPr>
          <w:sz w:val="22"/>
          <w:szCs w:val="22"/>
          <w:lang w:val="en-GB"/>
        </w:rPr>
        <w:t xml:space="preserve"> hints about best practices</w:t>
      </w:r>
      <w:r w:rsidR="00FB50D9" w:rsidRPr="0046058A">
        <w:rPr>
          <w:sz w:val="22"/>
          <w:szCs w:val="22"/>
          <w:lang w:val="en-GB"/>
        </w:rPr>
        <w:t xml:space="preserve"> and possible ways to improve existing and future trade agreements. </w:t>
      </w:r>
      <w:r w:rsidR="003E1D96">
        <w:rPr>
          <w:sz w:val="22"/>
          <w:szCs w:val="22"/>
          <w:lang w:val="en-GB"/>
        </w:rPr>
        <w:t xml:space="preserve">The model integration follows the work from Freund &amp; </w:t>
      </w:r>
      <w:proofErr w:type="spellStart"/>
      <w:r w:rsidR="003E1D96">
        <w:rPr>
          <w:sz w:val="22"/>
          <w:szCs w:val="22"/>
          <w:lang w:val="en-GB"/>
        </w:rPr>
        <w:t>Springmann</w:t>
      </w:r>
      <w:proofErr w:type="spellEnd"/>
      <w:r w:rsidR="003E1D96">
        <w:rPr>
          <w:sz w:val="22"/>
          <w:szCs w:val="22"/>
          <w:lang w:val="en-GB"/>
        </w:rPr>
        <w:t xml:space="preserve"> </w:t>
      </w:r>
      <w:r w:rsidR="00AB4A3A">
        <w:rPr>
          <w:sz w:val="22"/>
          <w:szCs w:val="22"/>
          <w:lang w:val="en-GB"/>
        </w:rPr>
        <w:t>(</w:t>
      </w:r>
      <w:r w:rsidR="003E1D96">
        <w:rPr>
          <w:sz w:val="22"/>
          <w:szCs w:val="22"/>
          <w:lang w:val="en-GB"/>
        </w:rPr>
        <w:t>2021</w:t>
      </w:r>
      <w:r w:rsidR="00AB4A3A">
        <w:rPr>
          <w:sz w:val="22"/>
          <w:szCs w:val="22"/>
          <w:lang w:val="en-GB"/>
        </w:rPr>
        <w:t>)</w:t>
      </w:r>
      <w:r w:rsidR="003E1D96">
        <w:rPr>
          <w:sz w:val="22"/>
          <w:szCs w:val="22"/>
          <w:lang w:val="en-GB"/>
        </w:rPr>
        <w:t xml:space="preserve"> and </w:t>
      </w:r>
      <w:proofErr w:type="spellStart"/>
      <w:r w:rsidR="003E1D96">
        <w:rPr>
          <w:sz w:val="22"/>
          <w:szCs w:val="22"/>
          <w:lang w:val="en-GB"/>
        </w:rPr>
        <w:t>Springmann</w:t>
      </w:r>
      <w:proofErr w:type="spellEnd"/>
      <w:r w:rsidR="003E1D96">
        <w:rPr>
          <w:sz w:val="22"/>
          <w:szCs w:val="22"/>
          <w:lang w:val="en-GB"/>
        </w:rPr>
        <w:t xml:space="preserve"> and Freund </w:t>
      </w:r>
      <w:r w:rsidR="00AB4A3A">
        <w:rPr>
          <w:sz w:val="22"/>
          <w:szCs w:val="22"/>
          <w:lang w:val="en-GB"/>
        </w:rPr>
        <w:t>(</w:t>
      </w:r>
      <w:r w:rsidR="003E1D96">
        <w:rPr>
          <w:sz w:val="22"/>
          <w:szCs w:val="22"/>
          <w:lang w:val="en-GB"/>
        </w:rPr>
        <w:t>2022</w:t>
      </w:r>
      <w:r w:rsidR="00AB4A3A">
        <w:rPr>
          <w:sz w:val="22"/>
          <w:szCs w:val="22"/>
          <w:lang w:val="en-GB"/>
        </w:rPr>
        <w:t>)</w:t>
      </w:r>
      <w:r w:rsidR="003E1D96">
        <w:rPr>
          <w:sz w:val="22"/>
          <w:szCs w:val="22"/>
          <w:lang w:val="en-GB"/>
        </w:rPr>
        <w:t>.</w:t>
      </w:r>
    </w:p>
    <w:p w14:paraId="4E33482C" w14:textId="53B0D47D" w:rsidR="00E16CD1" w:rsidRDefault="00FB50D9" w:rsidP="0046058A">
      <w:pPr>
        <w:spacing w:line="360" w:lineRule="auto"/>
        <w:rPr>
          <w:b/>
          <w:bCs/>
          <w:sz w:val="22"/>
          <w:szCs w:val="22"/>
          <w:lang w:val="en-GB"/>
        </w:rPr>
      </w:pPr>
      <w:r w:rsidRPr="0046058A">
        <w:rPr>
          <w:b/>
          <w:bCs/>
          <w:sz w:val="22"/>
          <w:szCs w:val="22"/>
          <w:lang w:val="en-GB"/>
        </w:rPr>
        <w:t>Methods:</w:t>
      </w:r>
      <w:r w:rsidR="0087450C" w:rsidRPr="0046058A">
        <w:rPr>
          <w:b/>
          <w:bCs/>
          <w:sz w:val="22"/>
          <w:szCs w:val="22"/>
          <w:lang w:val="en-GB"/>
        </w:rPr>
        <w:t xml:space="preserve"> </w:t>
      </w:r>
      <w:r w:rsidR="0087450C" w:rsidRPr="0046058A">
        <w:rPr>
          <w:sz w:val="22"/>
          <w:szCs w:val="22"/>
          <w:lang w:val="en-GB"/>
        </w:rPr>
        <w:t xml:space="preserve">We use several computational models to quantify the impacts of trade agreements on costs, the environment, and health. We use the Modular Applied </w:t>
      </w:r>
      <w:proofErr w:type="spellStart"/>
      <w:r w:rsidR="0087450C" w:rsidRPr="0046058A">
        <w:rPr>
          <w:sz w:val="22"/>
          <w:szCs w:val="22"/>
          <w:lang w:val="en-GB"/>
        </w:rPr>
        <w:t>GeNeral</w:t>
      </w:r>
      <w:proofErr w:type="spellEnd"/>
      <w:r w:rsidR="0087450C" w:rsidRPr="0046058A">
        <w:rPr>
          <w:sz w:val="22"/>
          <w:szCs w:val="22"/>
          <w:lang w:val="en-GB"/>
        </w:rPr>
        <w:t xml:space="preserve"> Equilibrium Tool (MAGNET) to resolve the agents' reactions to tariff changes in a general equilibrium structure following the respective trade agreements</w:t>
      </w:r>
      <w:r w:rsidR="003E1D96">
        <w:rPr>
          <w:sz w:val="22"/>
          <w:szCs w:val="22"/>
          <w:lang w:val="en-GB"/>
        </w:rPr>
        <w:t xml:space="preserve">; see </w:t>
      </w:r>
      <w:proofErr w:type="spellStart"/>
      <w:r w:rsidR="003E1D96">
        <w:rPr>
          <w:sz w:val="22"/>
          <w:szCs w:val="22"/>
          <w:lang w:val="en-GB"/>
        </w:rPr>
        <w:t>Woltjer</w:t>
      </w:r>
      <w:proofErr w:type="spellEnd"/>
      <w:r w:rsidR="003E1D96">
        <w:rPr>
          <w:sz w:val="22"/>
          <w:szCs w:val="22"/>
          <w:lang w:val="en-GB"/>
        </w:rPr>
        <w:t xml:space="preserve"> &amp; Kuiper (2014)</w:t>
      </w:r>
      <w:r w:rsidR="0087450C" w:rsidRPr="0046058A">
        <w:rPr>
          <w:b/>
          <w:bCs/>
          <w:sz w:val="22"/>
          <w:szCs w:val="22"/>
          <w:lang w:val="en-GB"/>
        </w:rPr>
        <w:t xml:space="preserve">. </w:t>
      </w:r>
      <w:r w:rsidR="0087450C" w:rsidRPr="0046058A">
        <w:rPr>
          <w:sz w:val="22"/>
          <w:szCs w:val="22"/>
          <w:lang w:val="en-GB"/>
        </w:rPr>
        <w:t xml:space="preserve">The tariffs for the trade agreements are calculated based on </w:t>
      </w:r>
      <w:r w:rsidR="00B81CC2" w:rsidRPr="0046058A">
        <w:rPr>
          <w:sz w:val="22"/>
          <w:szCs w:val="22"/>
          <w:lang w:val="en-GB"/>
        </w:rPr>
        <w:t>forward-looking</w:t>
      </w:r>
      <w:r w:rsidR="0087450C" w:rsidRPr="0046058A">
        <w:rPr>
          <w:sz w:val="22"/>
          <w:szCs w:val="22"/>
          <w:lang w:val="en-GB"/>
        </w:rPr>
        <w:t xml:space="preserve"> tariffs from</w:t>
      </w:r>
      <w:r w:rsidR="00B81CC2" w:rsidRPr="0046058A">
        <w:rPr>
          <w:sz w:val="22"/>
          <w:szCs w:val="22"/>
          <w:lang w:val="en-GB"/>
        </w:rPr>
        <w:t xml:space="preserve"> ITC’s</w:t>
      </w:r>
      <w:r w:rsidR="0087450C" w:rsidRPr="0046058A">
        <w:rPr>
          <w:sz w:val="22"/>
          <w:szCs w:val="22"/>
          <w:lang w:val="en-GB"/>
        </w:rPr>
        <w:t xml:space="preserve"> MACMAP</w:t>
      </w:r>
      <w:r w:rsidR="00B81CC2" w:rsidRPr="0046058A">
        <w:rPr>
          <w:sz w:val="22"/>
          <w:szCs w:val="22"/>
          <w:lang w:val="en-GB"/>
        </w:rPr>
        <w:t xml:space="preserve"> database. The HS6 tariff line data is then aggregated to the MAGNET/GTAP model level </w:t>
      </w:r>
      <w:r w:rsidR="00374360" w:rsidRPr="0046058A">
        <w:rPr>
          <w:sz w:val="22"/>
          <w:szCs w:val="22"/>
          <w:lang w:val="en-GB"/>
        </w:rPr>
        <w:t>with</w:t>
      </w:r>
      <w:r w:rsidR="00B81CC2" w:rsidRPr="0046058A">
        <w:rPr>
          <w:sz w:val="22"/>
          <w:szCs w:val="22"/>
          <w:lang w:val="en-GB"/>
        </w:rPr>
        <w:t xml:space="preserve"> the Tariff Analytical and Simulation Tool for Economists (TASTE) software using trade weights</w:t>
      </w:r>
      <w:r w:rsidR="00374360" w:rsidRPr="0046058A">
        <w:rPr>
          <w:sz w:val="22"/>
          <w:szCs w:val="22"/>
          <w:lang w:val="en-GB"/>
        </w:rPr>
        <w:t xml:space="preserve"> for the aggregation</w:t>
      </w:r>
      <w:r w:rsidR="003E1D96">
        <w:rPr>
          <w:sz w:val="22"/>
          <w:szCs w:val="22"/>
          <w:lang w:val="en-GB"/>
        </w:rPr>
        <w:t xml:space="preserve">, see </w:t>
      </w:r>
      <w:proofErr w:type="spellStart"/>
      <w:r w:rsidR="003E1D96">
        <w:rPr>
          <w:sz w:val="22"/>
          <w:szCs w:val="22"/>
          <w:lang w:val="en-GB"/>
        </w:rPr>
        <w:t>Horrige</w:t>
      </w:r>
      <w:proofErr w:type="spellEnd"/>
      <w:r w:rsidR="003E1D96">
        <w:rPr>
          <w:sz w:val="22"/>
          <w:szCs w:val="22"/>
          <w:lang w:val="en-GB"/>
        </w:rPr>
        <w:t xml:space="preserve"> &amp;Laborde (2010)</w:t>
      </w:r>
      <w:r w:rsidR="00B81CC2" w:rsidRPr="0046058A">
        <w:rPr>
          <w:sz w:val="22"/>
          <w:szCs w:val="22"/>
          <w:lang w:val="en-GB"/>
        </w:rPr>
        <w:t>.</w:t>
      </w:r>
      <w:r w:rsidR="00374360" w:rsidRPr="0046058A">
        <w:rPr>
          <w:sz w:val="22"/>
          <w:szCs w:val="22"/>
          <w:lang w:val="en-GB"/>
        </w:rPr>
        <w:t xml:space="preserve"> We integrate all trade agreements in our baseline until 2030 and investigate their effects against a counterfactual where Most Favoured Nations (MFN) tariffs would prevail.</w:t>
      </w:r>
      <w:r w:rsidR="00B81CC2" w:rsidRPr="0046058A">
        <w:rPr>
          <w:sz w:val="22"/>
          <w:szCs w:val="22"/>
          <w:lang w:val="en-GB"/>
        </w:rPr>
        <w:t xml:space="preserve"> </w:t>
      </w:r>
      <w:r w:rsidRPr="0046058A">
        <w:rPr>
          <w:sz w:val="22"/>
          <w:szCs w:val="22"/>
          <w:lang w:val="en-GB"/>
        </w:rPr>
        <w:t xml:space="preserve">For the health analysis, we </w:t>
      </w:r>
      <w:r w:rsidR="00DE08C3">
        <w:rPr>
          <w:sz w:val="22"/>
          <w:szCs w:val="22"/>
          <w:lang w:val="en-GB"/>
        </w:rPr>
        <w:t>estimate</w:t>
      </w:r>
      <w:r w:rsidR="003E1D96">
        <w:rPr>
          <w:sz w:val="22"/>
          <w:szCs w:val="22"/>
          <w:lang w:val="en-GB"/>
        </w:rPr>
        <w:t xml:space="preserve"> </w:t>
      </w:r>
      <w:r w:rsidR="00DE08C3">
        <w:rPr>
          <w:sz w:val="22"/>
          <w:szCs w:val="22"/>
          <w:lang w:val="en-GB"/>
        </w:rPr>
        <w:t>consumption changes from the economic model and</w:t>
      </w:r>
      <w:r w:rsidR="00DE08C3" w:rsidRPr="00DE08C3">
        <w:rPr>
          <w:b/>
          <w:bCs/>
          <w:sz w:val="22"/>
          <w:szCs w:val="22"/>
          <w:lang w:val="en-GB"/>
        </w:rPr>
        <w:t xml:space="preserve"> </w:t>
      </w:r>
      <w:r w:rsidR="00DE08C3" w:rsidRPr="00DE08C3">
        <w:rPr>
          <w:sz w:val="22"/>
          <w:szCs w:val="22"/>
          <w:lang w:val="en-GB"/>
        </w:rPr>
        <w:t>we then used these changes in a comparative risk assessment of diet- and weight-related risks. The assessment included eight diet- and weight-related risk factors and five disease endpoints. The risk factors were high consumption of red meat, low consumption of fruits, vegetables, nuts and legumes, and being underweight, overweight or obese, the latter of which is related to changes in energy intake from all foods. The disease endpoints were CHD, stroke, type 2 diabetes mellitus, cancer (in aggregate and as colorectal cancers), and respiratory disease</w:t>
      </w:r>
      <w:r w:rsidR="00AB4A3A">
        <w:rPr>
          <w:sz w:val="22"/>
          <w:szCs w:val="22"/>
          <w:lang w:val="en-GB"/>
        </w:rPr>
        <w:t xml:space="preserve">, see </w:t>
      </w:r>
      <w:proofErr w:type="spellStart"/>
      <w:r w:rsidR="00AB4A3A">
        <w:rPr>
          <w:sz w:val="22"/>
          <w:szCs w:val="22"/>
          <w:lang w:val="en-GB"/>
        </w:rPr>
        <w:t>Springmann</w:t>
      </w:r>
      <w:proofErr w:type="spellEnd"/>
      <w:r w:rsidR="00AB4A3A">
        <w:rPr>
          <w:sz w:val="22"/>
          <w:szCs w:val="22"/>
          <w:lang w:val="en-GB"/>
        </w:rPr>
        <w:t xml:space="preserve"> et al. (2016)</w:t>
      </w:r>
      <w:r w:rsidR="00DE08C3" w:rsidRPr="00DE08C3">
        <w:rPr>
          <w:sz w:val="22"/>
          <w:szCs w:val="22"/>
          <w:lang w:val="en-GB"/>
        </w:rPr>
        <w:t xml:space="preserve">. To </w:t>
      </w:r>
      <w:r w:rsidR="00DE08C3">
        <w:rPr>
          <w:sz w:val="22"/>
          <w:szCs w:val="22"/>
          <w:lang w:val="en-GB"/>
        </w:rPr>
        <w:t>parameterise</w:t>
      </w:r>
      <w:r w:rsidR="00DE08C3" w:rsidRPr="00DE08C3">
        <w:rPr>
          <w:sz w:val="22"/>
          <w:szCs w:val="22"/>
          <w:lang w:val="en-GB"/>
        </w:rPr>
        <w:t xml:space="preserve"> the comparative risk assessment, we used data on cause-specific mortality, population and body weight, and relative risk estimates that relate change in risk factors to changes in disease mortality</w:t>
      </w:r>
      <w:r w:rsidR="00DE08C3">
        <w:rPr>
          <w:b/>
          <w:bCs/>
          <w:sz w:val="22"/>
          <w:szCs w:val="22"/>
          <w:lang w:val="en-GB"/>
        </w:rPr>
        <w:t xml:space="preserve">. </w:t>
      </w:r>
      <w:r w:rsidR="00756DFD" w:rsidRPr="0046058A">
        <w:rPr>
          <w:sz w:val="22"/>
          <w:szCs w:val="22"/>
          <w:lang w:val="en-GB"/>
        </w:rPr>
        <w:t>We used estimates from life cycle assessments (LCAs) for the environmental analysis for GHG emissions, land use, and fresh/</w:t>
      </w:r>
      <w:proofErr w:type="spellStart"/>
      <w:r w:rsidR="00756DFD" w:rsidRPr="0046058A">
        <w:rPr>
          <w:sz w:val="22"/>
          <w:szCs w:val="22"/>
          <w:lang w:val="en-GB"/>
        </w:rPr>
        <w:t>bluewater</w:t>
      </w:r>
      <w:proofErr w:type="spellEnd"/>
      <w:r w:rsidR="00756DFD" w:rsidRPr="0046058A">
        <w:rPr>
          <w:sz w:val="22"/>
          <w:szCs w:val="22"/>
          <w:lang w:val="en-GB"/>
        </w:rPr>
        <w:t xml:space="preserve"> use</w:t>
      </w:r>
      <w:r w:rsidR="003E1D96">
        <w:rPr>
          <w:sz w:val="22"/>
          <w:szCs w:val="22"/>
          <w:lang w:val="en-GB"/>
        </w:rPr>
        <w:t xml:space="preserve">, see Poore and </w:t>
      </w:r>
      <w:proofErr w:type="spellStart"/>
      <w:r w:rsidR="003E1D96">
        <w:rPr>
          <w:sz w:val="22"/>
          <w:szCs w:val="22"/>
          <w:lang w:val="en-GB"/>
        </w:rPr>
        <w:t>Nemecek</w:t>
      </w:r>
      <w:proofErr w:type="spellEnd"/>
      <w:r w:rsidR="003E1D96">
        <w:rPr>
          <w:sz w:val="22"/>
          <w:szCs w:val="22"/>
          <w:lang w:val="en-GB"/>
        </w:rPr>
        <w:t xml:space="preserve"> (2918)</w:t>
      </w:r>
      <w:r w:rsidR="00756DFD" w:rsidRPr="0046058A">
        <w:rPr>
          <w:sz w:val="22"/>
          <w:szCs w:val="22"/>
          <w:lang w:val="en-GB"/>
        </w:rPr>
        <w:t>. LCAs track the environmental impacts of food products across the food chain, including production, processing, transport, and retail. Where possible, we used regionalised values from meta-analyses of LCAs that harmonised input data and scope of assessments from farm to retail.</w:t>
      </w:r>
      <w:r w:rsidR="00756DFD" w:rsidRPr="0046058A">
        <w:rPr>
          <w:b/>
          <w:bCs/>
          <w:sz w:val="22"/>
          <w:szCs w:val="22"/>
          <w:lang w:val="en-GB"/>
        </w:rPr>
        <w:t xml:space="preserve"> </w:t>
      </w:r>
    </w:p>
    <w:p w14:paraId="5520E986" w14:textId="6AAB8CEC" w:rsidR="007C451C" w:rsidRDefault="007C451C" w:rsidP="0046058A">
      <w:pPr>
        <w:spacing w:line="360" w:lineRule="auto"/>
        <w:rPr>
          <w:b/>
          <w:bCs/>
          <w:sz w:val="22"/>
          <w:szCs w:val="22"/>
          <w:lang w:val="en-GB"/>
        </w:rPr>
      </w:pPr>
    </w:p>
    <w:p w14:paraId="0A5FEFD0" w14:textId="54474E4A" w:rsidR="00AE7A71" w:rsidRPr="00AE7A71" w:rsidRDefault="008E712D" w:rsidP="0046058A">
      <w:pPr>
        <w:spacing w:line="360" w:lineRule="auto"/>
        <w:rPr>
          <w:sz w:val="22"/>
          <w:szCs w:val="22"/>
          <w:lang w:val="en-GB"/>
        </w:rPr>
      </w:pPr>
      <w:r>
        <w:rPr>
          <w:b/>
          <w:bCs/>
          <w:sz w:val="22"/>
          <w:szCs w:val="22"/>
          <w:lang w:val="en-GB"/>
        </w:rPr>
        <w:t xml:space="preserve">Expected </w:t>
      </w:r>
      <w:r w:rsidR="007C451C">
        <w:rPr>
          <w:b/>
          <w:bCs/>
          <w:sz w:val="22"/>
          <w:szCs w:val="22"/>
          <w:lang w:val="en-GB"/>
        </w:rPr>
        <w:t>Results</w:t>
      </w:r>
      <w:r w:rsidR="007C451C" w:rsidRPr="0046058A">
        <w:rPr>
          <w:b/>
          <w:bCs/>
          <w:sz w:val="22"/>
          <w:szCs w:val="22"/>
          <w:lang w:val="en-GB"/>
        </w:rPr>
        <w:t>:</w:t>
      </w:r>
      <w:r>
        <w:rPr>
          <w:b/>
          <w:bCs/>
          <w:sz w:val="22"/>
          <w:szCs w:val="22"/>
          <w:lang w:val="en-GB"/>
        </w:rPr>
        <w:t xml:space="preserve"> </w:t>
      </w:r>
      <w:r>
        <w:rPr>
          <w:sz w:val="22"/>
          <w:szCs w:val="22"/>
          <w:lang w:val="en-GB"/>
        </w:rPr>
        <w:t>We plan to cover a range of trade agreements that (</w:t>
      </w:r>
      <w:proofErr w:type="spellStart"/>
      <w:r>
        <w:rPr>
          <w:sz w:val="22"/>
          <w:szCs w:val="22"/>
          <w:lang w:val="en-GB"/>
        </w:rPr>
        <w:t>i</w:t>
      </w:r>
      <w:proofErr w:type="spellEnd"/>
      <w:r>
        <w:rPr>
          <w:sz w:val="22"/>
          <w:szCs w:val="22"/>
          <w:lang w:val="en-GB"/>
        </w:rPr>
        <w:t>)</w:t>
      </w:r>
      <w:r w:rsidR="00AE7A71">
        <w:rPr>
          <w:sz w:val="22"/>
          <w:szCs w:val="22"/>
          <w:lang w:val="en-GB"/>
        </w:rPr>
        <w:t xml:space="preserve"> are already in place, (ii)</w:t>
      </w:r>
      <w:r>
        <w:rPr>
          <w:sz w:val="22"/>
          <w:szCs w:val="22"/>
          <w:lang w:val="en-GB"/>
        </w:rPr>
        <w:t xml:space="preserve"> include a significant </w:t>
      </w:r>
      <w:proofErr w:type="gramStart"/>
      <w:r>
        <w:rPr>
          <w:sz w:val="22"/>
          <w:szCs w:val="22"/>
          <w:lang w:val="en-GB"/>
        </w:rPr>
        <w:t>amount</w:t>
      </w:r>
      <w:proofErr w:type="gramEnd"/>
      <w:r>
        <w:rPr>
          <w:sz w:val="22"/>
          <w:szCs w:val="22"/>
          <w:lang w:val="en-GB"/>
        </w:rPr>
        <w:t xml:space="preserve"> of agri-food products in the liberalisation pathways</w:t>
      </w:r>
      <w:r w:rsidR="00AE7A71">
        <w:rPr>
          <w:sz w:val="22"/>
          <w:szCs w:val="22"/>
          <w:lang w:val="en-GB"/>
        </w:rPr>
        <w:t>, and</w:t>
      </w:r>
      <w:r>
        <w:rPr>
          <w:sz w:val="22"/>
          <w:szCs w:val="22"/>
          <w:lang w:val="en-GB"/>
        </w:rPr>
        <w:t xml:space="preserve"> (ii</w:t>
      </w:r>
      <w:r w:rsidR="00AE7A71">
        <w:rPr>
          <w:sz w:val="22"/>
          <w:szCs w:val="22"/>
          <w:lang w:val="en-GB"/>
        </w:rPr>
        <w:t>i</w:t>
      </w:r>
      <w:r>
        <w:rPr>
          <w:sz w:val="22"/>
          <w:szCs w:val="22"/>
          <w:lang w:val="en-GB"/>
        </w:rPr>
        <w:t>) include countries with considerable size</w:t>
      </w:r>
      <w:r w:rsidR="00AE7A71">
        <w:rPr>
          <w:sz w:val="22"/>
          <w:szCs w:val="22"/>
          <w:lang w:val="en-GB"/>
        </w:rPr>
        <w:t xml:space="preserve">. All agreements are analysed according to their economic, environmental and health impacts </w:t>
      </w:r>
      <w:r w:rsidR="00AB4A3A">
        <w:rPr>
          <w:sz w:val="22"/>
          <w:szCs w:val="22"/>
          <w:lang w:val="en-GB"/>
        </w:rPr>
        <w:t>and</w:t>
      </w:r>
      <w:r w:rsidR="00AE7A71">
        <w:rPr>
          <w:sz w:val="22"/>
          <w:szCs w:val="22"/>
          <w:lang w:val="en-GB"/>
        </w:rPr>
        <w:t xml:space="preserve"> to a combined indicator, integrating all impacts. Thus, we can still emphasise potential trade-offs and synergies among the single indicators but are also </w:t>
      </w:r>
      <w:r w:rsidR="00AB4A3A">
        <w:rPr>
          <w:sz w:val="22"/>
          <w:szCs w:val="22"/>
          <w:lang w:val="en-GB"/>
        </w:rPr>
        <w:t>positioned</w:t>
      </w:r>
      <w:r w:rsidR="00AE7A71">
        <w:rPr>
          <w:sz w:val="22"/>
          <w:szCs w:val="22"/>
          <w:lang w:val="en-GB"/>
        </w:rPr>
        <w:t xml:space="preserve"> to create a ranking of trade agreements in line with the multicriteria </w:t>
      </w:r>
      <w:r w:rsidR="00315380">
        <w:rPr>
          <w:sz w:val="22"/>
          <w:szCs w:val="22"/>
          <w:lang w:val="en-GB"/>
        </w:rPr>
        <w:t xml:space="preserve">aggregator. </w:t>
      </w:r>
      <w:r w:rsidR="00AE7A71">
        <w:rPr>
          <w:sz w:val="22"/>
          <w:szCs w:val="22"/>
          <w:lang w:val="en-GB"/>
        </w:rPr>
        <w:t xml:space="preserve">  </w:t>
      </w:r>
    </w:p>
    <w:tbl>
      <w:tblPr>
        <w:tblStyle w:val="Tabellenraster"/>
        <w:tblW w:w="0" w:type="auto"/>
        <w:tblLook w:val="04A0" w:firstRow="1" w:lastRow="0" w:firstColumn="1" w:lastColumn="0" w:noHBand="0" w:noVBand="1"/>
      </w:tblPr>
      <w:tblGrid>
        <w:gridCol w:w="4760"/>
        <w:gridCol w:w="4761"/>
      </w:tblGrid>
      <w:tr w:rsidR="00AE7A71" w14:paraId="33A30B66" w14:textId="77777777" w:rsidTr="00AE7A71">
        <w:tc>
          <w:tcPr>
            <w:tcW w:w="4760" w:type="dxa"/>
            <w:shd w:val="clear" w:color="auto" w:fill="BFBFBF" w:themeFill="background1" w:themeFillShade="BF"/>
            <w:vAlign w:val="bottom"/>
          </w:tcPr>
          <w:p w14:paraId="0D9FE766" w14:textId="4C5CFCCF" w:rsidR="00AE7A71" w:rsidRPr="00AE7A71" w:rsidRDefault="00AE7A71" w:rsidP="00AE7A71">
            <w:pPr>
              <w:spacing w:line="360" w:lineRule="auto"/>
              <w:rPr>
                <w:rFonts w:cs="Calibri"/>
                <w:b/>
                <w:bCs/>
                <w:color w:val="000000"/>
                <w:sz w:val="22"/>
                <w:szCs w:val="22"/>
              </w:rPr>
            </w:pPr>
            <w:r w:rsidRPr="00AE7A71">
              <w:rPr>
                <w:rFonts w:cs="Calibri"/>
                <w:b/>
                <w:bCs/>
                <w:color w:val="000000"/>
                <w:sz w:val="22"/>
                <w:szCs w:val="22"/>
              </w:rPr>
              <w:t>Agreement</w:t>
            </w:r>
          </w:p>
        </w:tc>
        <w:tc>
          <w:tcPr>
            <w:tcW w:w="4761" w:type="dxa"/>
            <w:shd w:val="clear" w:color="auto" w:fill="BFBFBF" w:themeFill="background1" w:themeFillShade="BF"/>
            <w:vAlign w:val="bottom"/>
          </w:tcPr>
          <w:p w14:paraId="4A7CDFD0" w14:textId="590EA49A" w:rsidR="00AE7A71" w:rsidRPr="00AE7A71" w:rsidRDefault="00AE7A71" w:rsidP="00AE7A71">
            <w:pPr>
              <w:spacing w:line="360" w:lineRule="auto"/>
              <w:rPr>
                <w:rFonts w:cs="Calibri"/>
                <w:b/>
                <w:bCs/>
                <w:color w:val="000000"/>
                <w:sz w:val="22"/>
                <w:szCs w:val="22"/>
              </w:rPr>
            </w:pPr>
            <w:proofErr w:type="spellStart"/>
            <w:r w:rsidRPr="00AE7A71">
              <w:rPr>
                <w:rFonts w:cs="Calibri"/>
                <w:b/>
                <w:bCs/>
                <w:color w:val="000000"/>
                <w:sz w:val="22"/>
                <w:szCs w:val="22"/>
              </w:rPr>
              <w:t>Current</w:t>
            </w:r>
            <w:proofErr w:type="spellEnd"/>
            <w:r w:rsidRPr="00AE7A71">
              <w:rPr>
                <w:rFonts w:cs="Calibri"/>
                <w:b/>
                <w:bCs/>
                <w:color w:val="000000"/>
                <w:sz w:val="22"/>
                <w:szCs w:val="22"/>
              </w:rPr>
              <w:t xml:space="preserve"> </w:t>
            </w:r>
            <w:proofErr w:type="spellStart"/>
            <w:r w:rsidRPr="00AE7A71">
              <w:rPr>
                <w:rFonts w:cs="Calibri"/>
                <w:b/>
                <w:bCs/>
                <w:color w:val="000000"/>
                <w:sz w:val="22"/>
                <w:szCs w:val="22"/>
              </w:rPr>
              <w:t>Signatories</w:t>
            </w:r>
            <w:proofErr w:type="spellEnd"/>
          </w:p>
        </w:tc>
      </w:tr>
      <w:tr w:rsidR="00AE7A71" w14:paraId="2BD9D569" w14:textId="77777777" w:rsidTr="001F45C7">
        <w:tc>
          <w:tcPr>
            <w:tcW w:w="4760" w:type="dxa"/>
            <w:vAlign w:val="bottom"/>
          </w:tcPr>
          <w:p w14:paraId="000FB3BA" w14:textId="139BC058" w:rsidR="00AE7A71" w:rsidRDefault="00AE7A71" w:rsidP="00AE7A71">
            <w:pPr>
              <w:spacing w:line="360" w:lineRule="auto"/>
              <w:rPr>
                <w:sz w:val="22"/>
                <w:szCs w:val="22"/>
                <w:lang w:val="en-GB"/>
              </w:rPr>
            </w:pPr>
            <w:r>
              <w:rPr>
                <w:rFonts w:cs="Calibri"/>
                <w:color w:val="000000"/>
                <w:sz w:val="22"/>
                <w:szCs w:val="22"/>
              </w:rPr>
              <w:t>CPTPP</w:t>
            </w:r>
          </w:p>
        </w:tc>
        <w:tc>
          <w:tcPr>
            <w:tcW w:w="4761" w:type="dxa"/>
            <w:vAlign w:val="bottom"/>
          </w:tcPr>
          <w:p w14:paraId="756E8464" w14:textId="592EB93F" w:rsidR="00AE7A71" w:rsidRDefault="00AE7A71" w:rsidP="00AE7A71">
            <w:pPr>
              <w:spacing w:line="360" w:lineRule="auto"/>
              <w:rPr>
                <w:sz w:val="22"/>
                <w:szCs w:val="22"/>
                <w:lang w:val="en-GB"/>
              </w:rPr>
            </w:pPr>
            <w:r>
              <w:rPr>
                <w:rFonts w:cs="Calibri"/>
                <w:color w:val="000000"/>
                <w:sz w:val="22"/>
                <w:szCs w:val="22"/>
              </w:rPr>
              <w:t xml:space="preserve">Australia; Brunei Darussalam; Canada; Chile; Japan; Malaysia; Mexico; New Zealand; Peru; Singapore; </w:t>
            </w:r>
            <w:proofErr w:type="spellStart"/>
            <w:r>
              <w:rPr>
                <w:rFonts w:cs="Calibri"/>
                <w:color w:val="000000"/>
                <w:sz w:val="22"/>
                <w:szCs w:val="22"/>
              </w:rPr>
              <w:t>Viet</w:t>
            </w:r>
            <w:proofErr w:type="spellEnd"/>
            <w:r>
              <w:rPr>
                <w:rFonts w:cs="Calibri"/>
                <w:color w:val="000000"/>
                <w:sz w:val="22"/>
                <w:szCs w:val="22"/>
              </w:rPr>
              <w:t xml:space="preserve"> Nam</w:t>
            </w:r>
          </w:p>
        </w:tc>
      </w:tr>
      <w:tr w:rsidR="00AE7A71" w14:paraId="3FDD76D9" w14:textId="77777777" w:rsidTr="001F45C7">
        <w:tc>
          <w:tcPr>
            <w:tcW w:w="4760" w:type="dxa"/>
            <w:vAlign w:val="bottom"/>
          </w:tcPr>
          <w:p w14:paraId="5EDCDF9B" w14:textId="70859873" w:rsidR="00AE7A71" w:rsidRDefault="00AE7A71" w:rsidP="00AE7A71">
            <w:pPr>
              <w:spacing w:line="360" w:lineRule="auto"/>
              <w:rPr>
                <w:sz w:val="22"/>
                <w:szCs w:val="22"/>
                <w:lang w:val="en-GB"/>
              </w:rPr>
            </w:pPr>
            <w:r>
              <w:rPr>
                <w:rFonts w:cs="Calibri"/>
                <w:color w:val="000000"/>
                <w:sz w:val="22"/>
                <w:szCs w:val="22"/>
              </w:rPr>
              <w:t>CKFTA</w:t>
            </w:r>
          </w:p>
        </w:tc>
        <w:tc>
          <w:tcPr>
            <w:tcW w:w="4761" w:type="dxa"/>
            <w:vAlign w:val="bottom"/>
          </w:tcPr>
          <w:p w14:paraId="5A7B1B91" w14:textId="21CD9C63" w:rsidR="00AE7A71" w:rsidRDefault="00AE7A71" w:rsidP="00AE7A71">
            <w:pPr>
              <w:spacing w:line="360" w:lineRule="auto"/>
              <w:rPr>
                <w:sz w:val="22"/>
                <w:szCs w:val="22"/>
                <w:lang w:val="en-GB"/>
              </w:rPr>
            </w:pPr>
            <w:r>
              <w:rPr>
                <w:rFonts w:cs="Calibri"/>
                <w:color w:val="000000"/>
                <w:sz w:val="22"/>
                <w:szCs w:val="22"/>
              </w:rPr>
              <w:t>Canada, Korea</w:t>
            </w:r>
          </w:p>
        </w:tc>
      </w:tr>
      <w:tr w:rsidR="00AE7A71" w14:paraId="13F4217F" w14:textId="77777777" w:rsidTr="001F45C7">
        <w:tc>
          <w:tcPr>
            <w:tcW w:w="4760" w:type="dxa"/>
            <w:vAlign w:val="bottom"/>
          </w:tcPr>
          <w:p w14:paraId="2E252F43" w14:textId="527CA7D5" w:rsidR="00AE7A71" w:rsidRDefault="00AE7A71" w:rsidP="00AE7A71">
            <w:pPr>
              <w:spacing w:line="360" w:lineRule="auto"/>
              <w:rPr>
                <w:sz w:val="22"/>
                <w:szCs w:val="22"/>
                <w:lang w:val="en-GB"/>
              </w:rPr>
            </w:pPr>
            <w:r>
              <w:rPr>
                <w:rFonts w:cs="Calibri"/>
                <w:color w:val="000000"/>
                <w:sz w:val="22"/>
                <w:szCs w:val="22"/>
              </w:rPr>
              <w:t>PA</w:t>
            </w:r>
          </w:p>
        </w:tc>
        <w:tc>
          <w:tcPr>
            <w:tcW w:w="4761" w:type="dxa"/>
            <w:vAlign w:val="center"/>
          </w:tcPr>
          <w:p w14:paraId="6392DB4E" w14:textId="133F6D26" w:rsidR="00AE7A71" w:rsidRDefault="00AE7A71" w:rsidP="00AE7A71">
            <w:pPr>
              <w:spacing w:line="360" w:lineRule="auto"/>
              <w:rPr>
                <w:sz w:val="22"/>
                <w:szCs w:val="22"/>
                <w:lang w:val="en-GB"/>
              </w:rPr>
            </w:pPr>
            <w:r>
              <w:rPr>
                <w:rFonts w:cs="Calibri"/>
                <w:color w:val="000000"/>
                <w:sz w:val="22"/>
                <w:szCs w:val="22"/>
              </w:rPr>
              <w:t>Chile; Colombia; Mexico; Peru</w:t>
            </w:r>
          </w:p>
        </w:tc>
      </w:tr>
      <w:tr w:rsidR="00AE7A71" w14:paraId="37CAA7FD" w14:textId="77777777" w:rsidTr="001F45C7">
        <w:tc>
          <w:tcPr>
            <w:tcW w:w="4760" w:type="dxa"/>
            <w:vAlign w:val="bottom"/>
          </w:tcPr>
          <w:p w14:paraId="17B5B6AB" w14:textId="034B0B52" w:rsidR="00AE7A71" w:rsidRDefault="00AE7A71" w:rsidP="00AE7A71">
            <w:pPr>
              <w:spacing w:line="360" w:lineRule="auto"/>
              <w:rPr>
                <w:sz w:val="22"/>
                <w:szCs w:val="22"/>
                <w:lang w:val="en-GB"/>
              </w:rPr>
            </w:pPr>
            <w:r>
              <w:rPr>
                <w:rFonts w:cs="Calibri"/>
                <w:color w:val="000000"/>
                <w:sz w:val="22"/>
                <w:szCs w:val="22"/>
              </w:rPr>
              <w:t>KOTRA</w:t>
            </w:r>
          </w:p>
        </w:tc>
        <w:tc>
          <w:tcPr>
            <w:tcW w:w="4761" w:type="dxa"/>
            <w:vAlign w:val="bottom"/>
          </w:tcPr>
          <w:p w14:paraId="312D7412" w14:textId="1F6C3167" w:rsidR="00AE7A71" w:rsidRDefault="00AE7A71" w:rsidP="00AE7A71">
            <w:pPr>
              <w:spacing w:line="360" w:lineRule="auto"/>
              <w:rPr>
                <w:sz w:val="22"/>
                <w:szCs w:val="22"/>
                <w:lang w:val="en-GB"/>
              </w:rPr>
            </w:pPr>
            <w:r>
              <w:rPr>
                <w:rFonts w:cs="Calibri"/>
                <w:color w:val="000000"/>
                <w:sz w:val="22"/>
                <w:szCs w:val="22"/>
              </w:rPr>
              <w:t>Colombia; Korea</w:t>
            </w:r>
          </w:p>
        </w:tc>
      </w:tr>
      <w:tr w:rsidR="00AE7A71" w14:paraId="417E5EDC" w14:textId="77777777" w:rsidTr="001F45C7">
        <w:tc>
          <w:tcPr>
            <w:tcW w:w="4760" w:type="dxa"/>
            <w:vAlign w:val="bottom"/>
          </w:tcPr>
          <w:p w14:paraId="749B5964" w14:textId="5D055462" w:rsidR="00AE7A71" w:rsidRDefault="00AE7A71" w:rsidP="00AE7A71">
            <w:pPr>
              <w:spacing w:line="360" w:lineRule="auto"/>
              <w:rPr>
                <w:sz w:val="22"/>
                <w:szCs w:val="22"/>
                <w:lang w:val="en-GB"/>
              </w:rPr>
            </w:pPr>
            <w:r>
              <w:rPr>
                <w:rFonts w:cs="Calibri"/>
                <w:color w:val="000000"/>
                <w:sz w:val="22"/>
                <w:szCs w:val="22"/>
              </w:rPr>
              <w:t>CAN-UKR</w:t>
            </w:r>
          </w:p>
        </w:tc>
        <w:tc>
          <w:tcPr>
            <w:tcW w:w="4761" w:type="dxa"/>
            <w:vAlign w:val="bottom"/>
          </w:tcPr>
          <w:p w14:paraId="06C15249" w14:textId="30830D4B" w:rsidR="00AE7A71" w:rsidRDefault="00AE7A71" w:rsidP="00AE7A71">
            <w:pPr>
              <w:spacing w:line="360" w:lineRule="auto"/>
              <w:rPr>
                <w:sz w:val="22"/>
                <w:szCs w:val="22"/>
                <w:lang w:val="en-GB"/>
              </w:rPr>
            </w:pPr>
            <w:r>
              <w:rPr>
                <w:rFonts w:cs="Calibri"/>
                <w:color w:val="000000"/>
                <w:sz w:val="22"/>
                <w:szCs w:val="22"/>
              </w:rPr>
              <w:t>Canada; Ukraine</w:t>
            </w:r>
          </w:p>
        </w:tc>
      </w:tr>
      <w:tr w:rsidR="00AE7A71" w14:paraId="668A509F" w14:textId="77777777" w:rsidTr="001F45C7">
        <w:tc>
          <w:tcPr>
            <w:tcW w:w="4760" w:type="dxa"/>
            <w:vAlign w:val="bottom"/>
          </w:tcPr>
          <w:p w14:paraId="2809FB6F" w14:textId="2EA1B9FC" w:rsidR="00AE7A71" w:rsidRDefault="00AE7A71" w:rsidP="00AE7A71">
            <w:pPr>
              <w:spacing w:line="360" w:lineRule="auto"/>
              <w:rPr>
                <w:sz w:val="22"/>
                <w:szCs w:val="22"/>
                <w:lang w:val="en-GB"/>
              </w:rPr>
            </w:pPr>
            <w:r>
              <w:rPr>
                <w:rFonts w:cs="Calibri"/>
                <w:color w:val="000000"/>
                <w:sz w:val="22"/>
                <w:szCs w:val="22"/>
              </w:rPr>
              <w:t>CETA</w:t>
            </w:r>
          </w:p>
        </w:tc>
        <w:tc>
          <w:tcPr>
            <w:tcW w:w="4761" w:type="dxa"/>
            <w:vAlign w:val="bottom"/>
          </w:tcPr>
          <w:p w14:paraId="21FF9F2D" w14:textId="0D68B3D2" w:rsidR="00AE7A71" w:rsidRDefault="00AE7A71" w:rsidP="00AE7A71">
            <w:pPr>
              <w:spacing w:line="360" w:lineRule="auto"/>
              <w:rPr>
                <w:sz w:val="22"/>
                <w:szCs w:val="22"/>
                <w:lang w:val="en-GB"/>
              </w:rPr>
            </w:pPr>
            <w:r>
              <w:rPr>
                <w:rFonts w:cs="Calibri"/>
                <w:color w:val="000000"/>
                <w:sz w:val="22"/>
                <w:szCs w:val="22"/>
              </w:rPr>
              <w:t>Canada; European Union</w:t>
            </w:r>
          </w:p>
        </w:tc>
      </w:tr>
      <w:tr w:rsidR="00AE7A71" w14:paraId="05A656F4" w14:textId="77777777" w:rsidTr="001F45C7">
        <w:tc>
          <w:tcPr>
            <w:tcW w:w="4760" w:type="dxa"/>
            <w:vAlign w:val="bottom"/>
          </w:tcPr>
          <w:p w14:paraId="6343C458" w14:textId="04C72668" w:rsidR="00AE7A71" w:rsidRDefault="00AE7A71" w:rsidP="00AE7A71">
            <w:pPr>
              <w:spacing w:line="360" w:lineRule="auto"/>
              <w:rPr>
                <w:sz w:val="22"/>
                <w:szCs w:val="22"/>
                <w:lang w:val="en-GB"/>
              </w:rPr>
            </w:pPr>
            <w:r>
              <w:rPr>
                <w:rFonts w:cs="Calibri"/>
                <w:color w:val="000000"/>
                <w:sz w:val="22"/>
                <w:szCs w:val="22"/>
              </w:rPr>
              <w:t>EUJEPA</w:t>
            </w:r>
          </w:p>
        </w:tc>
        <w:tc>
          <w:tcPr>
            <w:tcW w:w="4761" w:type="dxa"/>
            <w:vAlign w:val="bottom"/>
          </w:tcPr>
          <w:p w14:paraId="39D042FB" w14:textId="67191036" w:rsidR="00AE7A71" w:rsidRDefault="00AE7A71" w:rsidP="00AE7A71">
            <w:pPr>
              <w:spacing w:line="360" w:lineRule="auto"/>
              <w:rPr>
                <w:sz w:val="22"/>
                <w:szCs w:val="22"/>
                <w:lang w:val="en-GB"/>
              </w:rPr>
            </w:pPr>
            <w:r>
              <w:rPr>
                <w:rFonts w:cs="Calibri"/>
                <w:color w:val="000000"/>
                <w:sz w:val="22"/>
                <w:szCs w:val="22"/>
              </w:rPr>
              <w:t>Japan; European Union</w:t>
            </w:r>
          </w:p>
        </w:tc>
      </w:tr>
      <w:tr w:rsidR="00AE7A71" w14:paraId="6EEF1A27" w14:textId="77777777" w:rsidTr="001F45C7">
        <w:tc>
          <w:tcPr>
            <w:tcW w:w="4760" w:type="dxa"/>
            <w:vAlign w:val="bottom"/>
          </w:tcPr>
          <w:p w14:paraId="596271DB" w14:textId="478FDCCE" w:rsidR="00AE7A71" w:rsidRDefault="00AE7A71" w:rsidP="00AE7A71">
            <w:pPr>
              <w:spacing w:line="360" w:lineRule="auto"/>
              <w:rPr>
                <w:sz w:val="22"/>
                <w:szCs w:val="22"/>
                <w:lang w:val="en-GB"/>
              </w:rPr>
            </w:pPr>
            <w:r>
              <w:rPr>
                <w:rFonts w:cs="Calibri"/>
                <w:color w:val="000000"/>
                <w:sz w:val="22"/>
                <w:szCs w:val="22"/>
              </w:rPr>
              <w:t>USJTA</w:t>
            </w:r>
          </w:p>
        </w:tc>
        <w:tc>
          <w:tcPr>
            <w:tcW w:w="4761" w:type="dxa"/>
            <w:vAlign w:val="bottom"/>
          </w:tcPr>
          <w:p w14:paraId="30B6C6A3" w14:textId="7516A7F8" w:rsidR="00AE7A71" w:rsidRDefault="00AE7A71" w:rsidP="00AE7A71">
            <w:pPr>
              <w:spacing w:line="360" w:lineRule="auto"/>
              <w:rPr>
                <w:sz w:val="22"/>
                <w:szCs w:val="22"/>
                <w:lang w:val="en-GB"/>
              </w:rPr>
            </w:pPr>
            <w:r w:rsidRPr="00AE7A71">
              <w:rPr>
                <w:rFonts w:cs="Calibri"/>
                <w:color w:val="000000"/>
                <w:sz w:val="22"/>
                <w:szCs w:val="22"/>
                <w:lang w:val="en-GB"/>
              </w:rPr>
              <w:t>Japan; United States of America</w:t>
            </w:r>
          </w:p>
        </w:tc>
      </w:tr>
      <w:tr w:rsidR="00AE7A71" w14:paraId="24D49BF4" w14:textId="77777777" w:rsidTr="001F45C7">
        <w:tc>
          <w:tcPr>
            <w:tcW w:w="4760" w:type="dxa"/>
            <w:vAlign w:val="bottom"/>
          </w:tcPr>
          <w:p w14:paraId="65CB3A2F" w14:textId="0136CCD5" w:rsidR="00AE7A71" w:rsidRDefault="00AE7A71" w:rsidP="00AE7A71">
            <w:pPr>
              <w:spacing w:line="360" w:lineRule="auto"/>
              <w:rPr>
                <w:sz w:val="22"/>
                <w:szCs w:val="22"/>
                <w:lang w:val="en-GB"/>
              </w:rPr>
            </w:pPr>
            <w:r>
              <w:rPr>
                <w:rFonts w:cs="Calibri"/>
                <w:color w:val="000000"/>
                <w:sz w:val="22"/>
                <w:szCs w:val="22"/>
              </w:rPr>
              <w:t>USMCA</w:t>
            </w:r>
          </w:p>
        </w:tc>
        <w:tc>
          <w:tcPr>
            <w:tcW w:w="4761" w:type="dxa"/>
            <w:vAlign w:val="bottom"/>
          </w:tcPr>
          <w:p w14:paraId="40840C31" w14:textId="2E5CC50C" w:rsidR="00AE7A71" w:rsidRDefault="00AE7A71" w:rsidP="00AE7A71">
            <w:pPr>
              <w:spacing w:line="360" w:lineRule="auto"/>
              <w:rPr>
                <w:sz w:val="22"/>
                <w:szCs w:val="22"/>
                <w:lang w:val="en-GB"/>
              </w:rPr>
            </w:pPr>
            <w:r w:rsidRPr="00AE7A71">
              <w:rPr>
                <w:rFonts w:cs="Calibri"/>
                <w:color w:val="000000"/>
                <w:sz w:val="22"/>
                <w:szCs w:val="22"/>
                <w:lang w:val="en-GB"/>
              </w:rPr>
              <w:t>Canada; Mexico; United States of America</w:t>
            </w:r>
          </w:p>
        </w:tc>
      </w:tr>
    </w:tbl>
    <w:p w14:paraId="487EC88D" w14:textId="1F9275B0" w:rsidR="00AE7A71" w:rsidRDefault="00AE7A71" w:rsidP="0046058A">
      <w:pPr>
        <w:spacing w:line="360" w:lineRule="auto"/>
        <w:rPr>
          <w:sz w:val="22"/>
          <w:szCs w:val="22"/>
          <w:lang w:val="en-GB"/>
        </w:rPr>
      </w:pPr>
    </w:p>
    <w:p w14:paraId="50B9A8DE" w14:textId="46268ACA" w:rsidR="003E1D96" w:rsidRPr="00AB4A3A" w:rsidRDefault="003E1D96" w:rsidP="0046058A">
      <w:pPr>
        <w:spacing w:line="360" w:lineRule="auto"/>
        <w:rPr>
          <w:b/>
          <w:bCs/>
          <w:sz w:val="24"/>
          <w:szCs w:val="24"/>
          <w:lang w:val="en-GB"/>
        </w:rPr>
      </w:pPr>
      <w:r w:rsidRPr="00AB4A3A">
        <w:rPr>
          <w:b/>
          <w:bCs/>
          <w:sz w:val="24"/>
          <w:szCs w:val="24"/>
          <w:lang w:val="en-GB"/>
        </w:rPr>
        <w:t>Literature</w:t>
      </w:r>
    </w:p>
    <w:p w14:paraId="5D351883" w14:textId="77777777" w:rsidR="003E1D96" w:rsidRPr="003E1D96" w:rsidRDefault="003E1D96" w:rsidP="003E1D96">
      <w:pPr>
        <w:pStyle w:val="CitaviLiteraturverzeichnis"/>
        <w:rPr>
          <w:lang w:val="en-GB"/>
        </w:rPr>
      </w:pPr>
      <w:proofErr w:type="spellStart"/>
      <w:r w:rsidRPr="003E1D96">
        <w:rPr>
          <w:lang w:val="en-GB"/>
        </w:rPr>
        <w:t>Springmann</w:t>
      </w:r>
      <w:proofErr w:type="spellEnd"/>
      <w:r w:rsidRPr="003E1D96">
        <w:rPr>
          <w:lang w:val="en-GB"/>
        </w:rPr>
        <w:t xml:space="preserve">, Marco (2024): A multicriteria analysis of meat and milk alternatives from nutritional, health, environmental, and cost perspectives. In: </w:t>
      </w:r>
      <w:r w:rsidRPr="003E1D96">
        <w:rPr>
          <w:i/>
          <w:iCs/>
          <w:lang w:val="en-GB"/>
        </w:rPr>
        <w:t xml:space="preserve">Proceedings of the National Academy of Sciences of the United States of America </w:t>
      </w:r>
      <w:r w:rsidRPr="003E1D96">
        <w:rPr>
          <w:lang w:val="en-GB"/>
        </w:rPr>
        <w:t>121 (50), e2319010121. DOI: 10.1073/pnas.2319010121.</w:t>
      </w:r>
    </w:p>
    <w:p w14:paraId="6910AB90" w14:textId="77777777" w:rsidR="003E1D96" w:rsidRPr="003E1D96" w:rsidRDefault="003E1D96" w:rsidP="003E1D96">
      <w:pPr>
        <w:pStyle w:val="CitaviLiteraturverzeichnis"/>
        <w:rPr>
          <w:lang w:val="en-GB"/>
        </w:rPr>
      </w:pPr>
      <w:r w:rsidRPr="003E1D96">
        <w:rPr>
          <w:lang w:val="en-GB"/>
        </w:rPr>
        <w:t xml:space="preserve">Freund, Florian; </w:t>
      </w:r>
      <w:proofErr w:type="spellStart"/>
      <w:r w:rsidRPr="003E1D96">
        <w:rPr>
          <w:lang w:val="en-GB"/>
        </w:rPr>
        <w:t>Springmann</w:t>
      </w:r>
      <w:proofErr w:type="spellEnd"/>
      <w:r w:rsidRPr="003E1D96">
        <w:rPr>
          <w:lang w:val="en-GB"/>
        </w:rPr>
        <w:t xml:space="preserve">, Marco (2021): Policy analysis indicates health-sensitive trade and subsidy reforms are needed in the UK to avoid adverse dietary health impacts post-Brexit. In: </w:t>
      </w:r>
      <w:r w:rsidRPr="003E1D96">
        <w:rPr>
          <w:i/>
          <w:iCs/>
          <w:lang w:val="en-GB"/>
        </w:rPr>
        <w:t>Nature Food</w:t>
      </w:r>
      <w:r w:rsidRPr="003E1D96">
        <w:rPr>
          <w:lang w:val="en-GB"/>
        </w:rPr>
        <w:t>. DOI: 10.1038/s43016-021-00306-9.</w:t>
      </w:r>
    </w:p>
    <w:p w14:paraId="4EE28F55" w14:textId="77777777" w:rsidR="003E1D96" w:rsidRPr="003E1D96" w:rsidRDefault="003E1D96" w:rsidP="003E1D96">
      <w:pPr>
        <w:pStyle w:val="CitaviLiteraturverzeichnis"/>
        <w:rPr>
          <w:lang w:val="en-GB"/>
        </w:rPr>
      </w:pPr>
      <w:proofErr w:type="spellStart"/>
      <w:r w:rsidRPr="003E1D96">
        <w:rPr>
          <w:lang w:val="en-GB"/>
        </w:rPr>
        <w:t>Springmann</w:t>
      </w:r>
      <w:proofErr w:type="spellEnd"/>
      <w:r w:rsidRPr="003E1D96">
        <w:rPr>
          <w:lang w:val="en-GB"/>
        </w:rPr>
        <w:t xml:space="preserve">, Marco; Freund, Florian (2022): Options for reforming agricultural subsidies from health, climate, and economic perspectives. In: </w:t>
      </w:r>
      <w:r w:rsidRPr="003E1D96">
        <w:rPr>
          <w:i/>
          <w:iCs/>
          <w:lang w:val="en-GB"/>
        </w:rPr>
        <w:t xml:space="preserve">Nature Communications </w:t>
      </w:r>
      <w:r w:rsidRPr="003E1D96">
        <w:rPr>
          <w:lang w:val="en-GB"/>
        </w:rPr>
        <w:t>13 (1), S. 1–7. DOI: 10.1038/s41467-021-27645-2.</w:t>
      </w:r>
    </w:p>
    <w:p w14:paraId="5469BE01" w14:textId="1DDA7256" w:rsidR="003E1D96" w:rsidRDefault="003E1D96" w:rsidP="003E1D96">
      <w:pPr>
        <w:pStyle w:val="CitaviLiteraturverzeichnis"/>
      </w:pPr>
      <w:proofErr w:type="spellStart"/>
      <w:r w:rsidRPr="003E1D96">
        <w:rPr>
          <w:lang w:val="en-GB"/>
        </w:rPr>
        <w:t>Woltjer</w:t>
      </w:r>
      <w:proofErr w:type="spellEnd"/>
      <w:r w:rsidRPr="003E1D96">
        <w:rPr>
          <w:lang w:val="en-GB"/>
        </w:rPr>
        <w:t xml:space="preserve">, Geert; Kuiper, Marijke (2014): The MAGNET Model - Module description. </w:t>
      </w:r>
      <w:r>
        <w:t xml:space="preserve">UR, L. </w:t>
      </w:r>
      <w:proofErr w:type="spellStart"/>
      <w:r>
        <w:t>WageningenE.I</w:t>
      </w:r>
      <w:proofErr w:type="spellEnd"/>
      <w:r>
        <w:t>.</w:t>
      </w:r>
    </w:p>
    <w:p w14:paraId="467D0B10" w14:textId="19353F37" w:rsidR="003E1D96" w:rsidRDefault="003E1D96" w:rsidP="003E1D96">
      <w:pPr>
        <w:suppressAutoHyphens w:val="0"/>
        <w:spacing w:after="120"/>
        <w:rPr>
          <w:rFonts w:cs="Calibri"/>
          <w:szCs w:val="22"/>
          <w:lang w:val="en-GB"/>
        </w:rPr>
      </w:pPr>
      <w:r w:rsidRPr="003E1D96">
        <w:rPr>
          <w:rFonts w:cs="Calibri"/>
          <w:szCs w:val="22"/>
          <w:lang w:val="en-GB"/>
        </w:rPr>
        <w:lastRenderedPageBreak/>
        <w:t>Horridge, Mark; Laborde, David (2010): TASTE a program to adapt detailed trade and tariff data to GTAP-related purposes.</w:t>
      </w:r>
    </w:p>
    <w:p w14:paraId="2AC6F19B" w14:textId="7FBC0992" w:rsidR="003E1D96" w:rsidRPr="003E1D96" w:rsidRDefault="003E1D96" w:rsidP="003E1D96">
      <w:pPr>
        <w:pStyle w:val="CitaviLiteraturverzeichnis"/>
        <w:rPr>
          <w:lang w:val="en-GB"/>
        </w:rPr>
      </w:pPr>
      <w:proofErr w:type="spellStart"/>
      <w:r w:rsidRPr="003E1D96">
        <w:rPr>
          <w:lang w:val="en-GB"/>
        </w:rPr>
        <w:t>Springmann</w:t>
      </w:r>
      <w:proofErr w:type="spellEnd"/>
      <w:r w:rsidRPr="003E1D96">
        <w:rPr>
          <w:lang w:val="en-GB"/>
        </w:rPr>
        <w:t xml:space="preserve">, M.; </w:t>
      </w:r>
      <w:proofErr w:type="spellStart"/>
      <w:r w:rsidRPr="003E1D96">
        <w:rPr>
          <w:lang w:val="en-GB"/>
        </w:rPr>
        <w:t>Godfray</w:t>
      </w:r>
      <w:proofErr w:type="spellEnd"/>
      <w:r w:rsidRPr="003E1D96">
        <w:rPr>
          <w:lang w:val="en-GB"/>
        </w:rPr>
        <w:t xml:space="preserve">, H. C.; Rayner, M.; Scarborough, P. (2016): Analysis and valuation of the health and climate change </w:t>
      </w:r>
      <w:proofErr w:type="spellStart"/>
      <w:r w:rsidRPr="003E1D96">
        <w:rPr>
          <w:lang w:val="en-GB"/>
        </w:rPr>
        <w:t>cobenefits</w:t>
      </w:r>
      <w:proofErr w:type="spellEnd"/>
      <w:r w:rsidRPr="003E1D96">
        <w:rPr>
          <w:lang w:val="en-GB"/>
        </w:rPr>
        <w:t xml:space="preserve"> of dietary change. In: </w:t>
      </w:r>
      <w:r w:rsidRPr="003E1D96">
        <w:rPr>
          <w:i/>
          <w:iCs/>
          <w:lang w:val="en-GB"/>
        </w:rPr>
        <w:t xml:space="preserve">Proc Natl </w:t>
      </w:r>
      <w:proofErr w:type="spellStart"/>
      <w:r w:rsidRPr="003E1D96">
        <w:rPr>
          <w:i/>
          <w:iCs/>
          <w:lang w:val="en-GB"/>
        </w:rPr>
        <w:t>Acad</w:t>
      </w:r>
      <w:proofErr w:type="spellEnd"/>
      <w:r w:rsidRPr="003E1D96">
        <w:rPr>
          <w:i/>
          <w:iCs/>
          <w:lang w:val="en-GB"/>
        </w:rPr>
        <w:t xml:space="preserve"> Sci U S A </w:t>
      </w:r>
      <w:r w:rsidRPr="003E1D96">
        <w:rPr>
          <w:lang w:val="en-GB"/>
        </w:rPr>
        <w:t>113 (15), S. 4146–4151. DOI: 10.1073/pnas.1523119113.</w:t>
      </w:r>
    </w:p>
    <w:p w14:paraId="0407AA17" w14:textId="77777777" w:rsidR="003E1D96" w:rsidRPr="003E1D96" w:rsidRDefault="003E1D96" w:rsidP="003E1D96">
      <w:pPr>
        <w:suppressAutoHyphens w:val="0"/>
        <w:spacing w:after="120"/>
        <w:rPr>
          <w:rFonts w:cs="Calibri"/>
          <w:szCs w:val="22"/>
          <w:lang w:val="en-GB"/>
        </w:rPr>
      </w:pPr>
      <w:r w:rsidRPr="003E1D96">
        <w:rPr>
          <w:rFonts w:cs="Calibri"/>
          <w:szCs w:val="22"/>
          <w:lang w:val="en-GB"/>
        </w:rPr>
        <w:t xml:space="preserve">Poore, J.; </w:t>
      </w:r>
      <w:proofErr w:type="spellStart"/>
      <w:r w:rsidRPr="003E1D96">
        <w:rPr>
          <w:rFonts w:cs="Calibri"/>
          <w:szCs w:val="22"/>
          <w:lang w:val="en-GB"/>
        </w:rPr>
        <w:t>Nemecek</w:t>
      </w:r>
      <w:proofErr w:type="spellEnd"/>
      <w:r w:rsidRPr="003E1D96">
        <w:rPr>
          <w:rFonts w:cs="Calibri"/>
          <w:szCs w:val="22"/>
          <w:lang w:val="en-GB"/>
        </w:rPr>
        <w:t xml:space="preserve">, T. (2018): Reducing food’s environmental impacts through producers and consumers. In: </w:t>
      </w:r>
      <w:r w:rsidRPr="003E1D96">
        <w:rPr>
          <w:rFonts w:cs="Calibri"/>
          <w:i/>
          <w:iCs/>
          <w:szCs w:val="22"/>
          <w:lang w:val="en-GB"/>
        </w:rPr>
        <w:t xml:space="preserve">Science </w:t>
      </w:r>
      <w:r w:rsidRPr="003E1D96">
        <w:rPr>
          <w:rFonts w:cs="Calibri"/>
          <w:szCs w:val="22"/>
          <w:lang w:val="en-GB"/>
        </w:rPr>
        <w:t>360 (6392), S. 987–992. DOI: 10.1126/</w:t>
      </w:r>
      <w:proofErr w:type="gramStart"/>
      <w:r w:rsidRPr="003E1D96">
        <w:rPr>
          <w:rFonts w:cs="Calibri"/>
          <w:szCs w:val="22"/>
          <w:lang w:val="en-GB"/>
        </w:rPr>
        <w:t>science.aaq</w:t>
      </w:r>
      <w:proofErr w:type="gramEnd"/>
      <w:r w:rsidRPr="003E1D96">
        <w:rPr>
          <w:rFonts w:cs="Calibri"/>
          <w:szCs w:val="22"/>
          <w:lang w:val="en-GB"/>
        </w:rPr>
        <w:t>0216.</w:t>
      </w:r>
    </w:p>
    <w:p w14:paraId="6061213C" w14:textId="77777777" w:rsidR="003E1D96" w:rsidRPr="003E1D96" w:rsidRDefault="003E1D96" w:rsidP="003E1D96">
      <w:pPr>
        <w:pStyle w:val="CitaviLiteraturverzeichnis"/>
        <w:rPr>
          <w:lang w:val="en-GB"/>
        </w:rPr>
      </w:pPr>
    </w:p>
    <w:p w14:paraId="2438301F" w14:textId="77777777" w:rsidR="003E1D96" w:rsidRPr="008E712D" w:rsidRDefault="003E1D96" w:rsidP="0046058A">
      <w:pPr>
        <w:spacing w:line="360" w:lineRule="auto"/>
        <w:rPr>
          <w:sz w:val="22"/>
          <w:szCs w:val="22"/>
          <w:lang w:val="en-GB"/>
        </w:rPr>
      </w:pPr>
    </w:p>
    <w:sectPr w:rsidR="003E1D96" w:rsidRPr="008E712D" w:rsidSect="006962C8">
      <w:headerReference w:type="even" r:id="rId8"/>
      <w:headerReference w:type="default" r:id="rId9"/>
      <w:footerReference w:type="even" r:id="rId10"/>
      <w:footerReference w:type="default" r:id="rId11"/>
      <w:headerReference w:type="first" r:id="rId12"/>
      <w:footerReference w:type="first" r:id="rId13"/>
      <w:pgSz w:w="11913" w:h="16834" w:code="9"/>
      <w:pgMar w:top="1701" w:right="1191" w:bottom="1134" w:left="119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DC97" w14:textId="77777777" w:rsidR="00554620" w:rsidRDefault="00554620" w:rsidP="009360BF">
      <w:r>
        <w:separator/>
      </w:r>
    </w:p>
    <w:p w14:paraId="66AA4653" w14:textId="77777777" w:rsidR="00554620" w:rsidRDefault="00554620" w:rsidP="009360BF"/>
  </w:endnote>
  <w:endnote w:type="continuationSeparator" w:id="0">
    <w:p w14:paraId="44DE602A" w14:textId="77777777" w:rsidR="00554620" w:rsidRDefault="00554620" w:rsidP="009360BF">
      <w:r>
        <w:continuationSeparator/>
      </w:r>
    </w:p>
    <w:p w14:paraId="221BF1EB" w14:textId="77777777" w:rsidR="00554620" w:rsidRDefault="00554620" w:rsidP="0093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E789" w14:textId="77777777" w:rsidR="007274C8" w:rsidRDefault="007274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9FC1" w14:textId="77777777" w:rsidR="007274C8" w:rsidRDefault="007274C8" w:rsidP="007274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2331" w14:textId="77777777" w:rsidR="007274C8" w:rsidRDefault="00727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F364" w14:textId="77777777" w:rsidR="00554620" w:rsidRDefault="00554620" w:rsidP="009360BF">
      <w:r>
        <w:separator/>
      </w:r>
    </w:p>
  </w:footnote>
  <w:footnote w:type="continuationSeparator" w:id="0">
    <w:p w14:paraId="2F5E46CF" w14:textId="77777777" w:rsidR="00554620" w:rsidRDefault="00554620" w:rsidP="009360BF">
      <w:r>
        <w:continuationSeparator/>
      </w:r>
    </w:p>
    <w:p w14:paraId="4ECF508F" w14:textId="77777777" w:rsidR="00554620" w:rsidRDefault="00554620" w:rsidP="00936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5D81" w14:textId="77777777" w:rsidR="007274C8" w:rsidRDefault="007274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E138" w14:textId="77777777" w:rsidR="008D0BBC" w:rsidRPr="008D0BBC" w:rsidRDefault="008D0BBC" w:rsidP="007274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7A97" w14:textId="77777777" w:rsidR="007274C8" w:rsidRDefault="00727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3F8E"/>
    <w:multiLevelType w:val="multilevel"/>
    <w:tmpl w:val="994A2B2A"/>
    <w:numStyleLink w:val="Formatvorlage3"/>
  </w:abstractNum>
  <w:abstractNum w:abstractNumId="1" w15:restartNumberingAfterBreak="0">
    <w:nsid w:val="0A6164A0"/>
    <w:multiLevelType w:val="multilevel"/>
    <w:tmpl w:val="F1E80FD0"/>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6F0021"/>
    <w:multiLevelType w:val="hybridMultilevel"/>
    <w:tmpl w:val="28F47C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7973F9"/>
    <w:multiLevelType w:val="hybridMultilevel"/>
    <w:tmpl w:val="6EDEAA50"/>
    <w:lvl w:ilvl="0" w:tplc="04070001">
      <w:start w:val="1"/>
      <w:numFmt w:val="bullet"/>
      <w:lvlText w:val=""/>
      <w:lvlJc w:val="left"/>
      <w:pPr>
        <w:ind w:left="360" w:hanging="360"/>
      </w:pPr>
      <w:rPr>
        <w:rFonts w:ascii="Symbol" w:hAnsi="Symbol" w:hint="default"/>
      </w:rPr>
    </w:lvl>
    <w:lvl w:ilvl="1" w:tplc="633A454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00251DA"/>
    <w:multiLevelType w:val="multilevel"/>
    <w:tmpl w:val="994A2B2A"/>
    <w:numStyleLink w:val="Formatvorlage3"/>
  </w:abstractNum>
  <w:abstractNum w:abstractNumId="5" w15:restartNumberingAfterBreak="0">
    <w:nsid w:val="173D2728"/>
    <w:multiLevelType w:val="multilevel"/>
    <w:tmpl w:val="15801AD4"/>
    <w:styleLink w:val="Formatvorlage1"/>
    <w:lvl w:ilvl="0">
      <w:start w:val="1"/>
      <w:numFmt w:val="bullet"/>
      <w:pStyle w:val="Liste-1"/>
      <w:lvlText w:val=""/>
      <w:lvlJc w:val="left"/>
      <w:pPr>
        <w:ind w:left="284" w:hanging="284"/>
      </w:pPr>
      <w:rPr>
        <w:rFonts w:ascii="Symbol" w:hAnsi="Symbol" w:hint="default"/>
        <w:b w:val="0"/>
        <w:color w:val="008CD2"/>
        <w:u w:val="none" w:color="C0504D" w:themeColor="accent2"/>
      </w:rPr>
    </w:lvl>
    <w:lvl w:ilvl="1">
      <w:start w:val="1"/>
      <w:numFmt w:val="bullet"/>
      <w:lvlText w:val="‒"/>
      <w:lvlJc w:val="left"/>
      <w:pPr>
        <w:ind w:left="567" w:hanging="283"/>
      </w:pPr>
      <w:rPr>
        <w:rFonts w:ascii="Calibri" w:hAnsi="Calibri" w:hint="default"/>
        <w:b/>
        <w:i w:val="0"/>
        <w:color w:val="008CD2"/>
        <w:sz w:val="21"/>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color w:val="000000" w:themeColor="text1"/>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6" w15:restartNumberingAfterBreak="0">
    <w:nsid w:val="186C1445"/>
    <w:multiLevelType w:val="multilevel"/>
    <w:tmpl w:val="994A2B2A"/>
    <w:numStyleLink w:val="Formatvorlage3"/>
  </w:abstractNum>
  <w:abstractNum w:abstractNumId="7" w15:restartNumberingAfterBreak="0">
    <w:nsid w:val="18AA63DD"/>
    <w:multiLevelType w:val="multilevel"/>
    <w:tmpl w:val="FD02EA68"/>
    <w:numStyleLink w:val="Formatvorlage2"/>
  </w:abstractNum>
  <w:abstractNum w:abstractNumId="8" w15:restartNumberingAfterBreak="0">
    <w:nsid w:val="19A873C1"/>
    <w:multiLevelType w:val="multilevel"/>
    <w:tmpl w:val="994A2B2A"/>
    <w:numStyleLink w:val="Formatvorlage3"/>
  </w:abstractNum>
  <w:abstractNum w:abstractNumId="9" w15:restartNumberingAfterBreak="0">
    <w:nsid w:val="210576CB"/>
    <w:multiLevelType w:val="multilevel"/>
    <w:tmpl w:val="15801AD4"/>
    <w:numStyleLink w:val="Formatvorlage1"/>
  </w:abstractNum>
  <w:abstractNum w:abstractNumId="10" w15:restartNumberingAfterBreak="0">
    <w:nsid w:val="239E1F7A"/>
    <w:multiLevelType w:val="multilevel"/>
    <w:tmpl w:val="994A2B2A"/>
    <w:numStyleLink w:val="Formatvorlage3"/>
  </w:abstractNum>
  <w:abstractNum w:abstractNumId="11" w15:restartNumberingAfterBreak="0">
    <w:nsid w:val="242972B4"/>
    <w:multiLevelType w:val="multilevel"/>
    <w:tmpl w:val="FD02EA68"/>
    <w:numStyleLink w:val="Formatvorlage2"/>
  </w:abstractNum>
  <w:abstractNum w:abstractNumId="12" w15:restartNumberingAfterBreak="0">
    <w:nsid w:val="24F90F99"/>
    <w:multiLevelType w:val="multilevel"/>
    <w:tmpl w:val="15801AD4"/>
    <w:numStyleLink w:val="Formatvorlage1"/>
  </w:abstractNum>
  <w:abstractNum w:abstractNumId="13" w15:restartNumberingAfterBreak="0">
    <w:nsid w:val="26640A57"/>
    <w:multiLevelType w:val="multilevel"/>
    <w:tmpl w:val="FD02EA68"/>
    <w:numStyleLink w:val="Formatvorlage2"/>
  </w:abstractNum>
  <w:abstractNum w:abstractNumId="14" w15:restartNumberingAfterBreak="0">
    <w:nsid w:val="280F7469"/>
    <w:multiLevelType w:val="multilevel"/>
    <w:tmpl w:val="FD02EA68"/>
    <w:numStyleLink w:val="Formatvorlage2"/>
  </w:abstractNum>
  <w:abstractNum w:abstractNumId="15" w15:restartNumberingAfterBreak="0">
    <w:nsid w:val="2ABF1512"/>
    <w:multiLevelType w:val="multilevel"/>
    <w:tmpl w:val="FD02EA68"/>
    <w:numStyleLink w:val="Formatvorlage2"/>
  </w:abstractNum>
  <w:abstractNum w:abstractNumId="16" w15:restartNumberingAfterBreak="0">
    <w:nsid w:val="2EF813E8"/>
    <w:multiLevelType w:val="multilevel"/>
    <w:tmpl w:val="E00A6E2E"/>
    <w:lvl w:ilvl="0">
      <w:start w:val="2"/>
      <w:numFmt w:val="decimal"/>
      <w:lvlText w:val="%1"/>
      <w:lvlJc w:val="left"/>
      <w:pPr>
        <w:ind w:left="360" w:hanging="360"/>
      </w:pPr>
      <w:rPr>
        <w:rFonts w:ascii="Calibri" w:eastAsia="Times New Roman" w:hAnsi="Calibri" w:cs="Times New Roman" w:hint="default"/>
        <w:color w:val="0000FF" w:themeColor="hyperlink"/>
        <w:sz w:val="21"/>
        <w:u w:val="single"/>
      </w:rPr>
    </w:lvl>
    <w:lvl w:ilvl="1">
      <w:start w:val="7"/>
      <w:numFmt w:val="decimal"/>
      <w:lvlText w:val="%1.%2"/>
      <w:lvlJc w:val="left"/>
      <w:pPr>
        <w:ind w:left="785" w:hanging="360"/>
      </w:pPr>
      <w:rPr>
        <w:rFonts w:ascii="Calibri" w:eastAsia="Times New Roman" w:hAnsi="Calibri" w:cs="Times New Roman" w:hint="default"/>
        <w:color w:val="0000FF" w:themeColor="hyperlink"/>
        <w:sz w:val="21"/>
        <w:u w:val="single"/>
      </w:rPr>
    </w:lvl>
    <w:lvl w:ilvl="2">
      <w:start w:val="1"/>
      <w:numFmt w:val="decimal"/>
      <w:lvlText w:val="%1.%2.%3"/>
      <w:lvlJc w:val="left"/>
      <w:pPr>
        <w:ind w:left="1570" w:hanging="720"/>
      </w:pPr>
      <w:rPr>
        <w:rFonts w:ascii="Calibri" w:eastAsia="Times New Roman" w:hAnsi="Calibri" w:cs="Times New Roman" w:hint="default"/>
        <w:color w:val="0000FF" w:themeColor="hyperlink"/>
        <w:sz w:val="21"/>
        <w:u w:val="single"/>
      </w:rPr>
    </w:lvl>
    <w:lvl w:ilvl="3">
      <w:start w:val="1"/>
      <w:numFmt w:val="decimal"/>
      <w:lvlText w:val="%1.%2.%3.%4"/>
      <w:lvlJc w:val="left"/>
      <w:pPr>
        <w:ind w:left="2355" w:hanging="1080"/>
      </w:pPr>
      <w:rPr>
        <w:rFonts w:ascii="Calibri" w:eastAsia="Times New Roman" w:hAnsi="Calibri" w:cs="Times New Roman" w:hint="default"/>
        <w:color w:val="0000FF" w:themeColor="hyperlink"/>
        <w:sz w:val="21"/>
        <w:u w:val="single"/>
      </w:rPr>
    </w:lvl>
    <w:lvl w:ilvl="4">
      <w:start w:val="1"/>
      <w:numFmt w:val="decimal"/>
      <w:lvlText w:val="%1.%2.%3.%4.%5"/>
      <w:lvlJc w:val="left"/>
      <w:pPr>
        <w:ind w:left="2780" w:hanging="1080"/>
      </w:pPr>
      <w:rPr>
        <w:rFonts w:ascii="Calibri" w:eastAsia="Times New Roman" w:hAnsi="Calibri" w:cs="Times New Roman" w:hint="default"/>
        <w:color w:val="0000FF" w:themeColor="hyperlink"/>
        <w:sz w:val="21"/>
        <w:u w:val="single"/>
      </w:rPr>
    </w:lvl>
    <w:lvl w:ilvl="5">
      <w:start w:val="1"/>
      <w:numFmt w:val="decimal"/>
      <w:lvlText w:val="%1.%2.%3.%4.%5.%6"/>
      <w:lvlJc w:val="left"/>
      <w:pPr>
        <w:ind w:left="3565" w:hanging="1440"/>
      </w:pPr>
      <w:rPr>
        <w:rFonts w:ascii="Calibri" w:eastAsia="Times New Roman" w:hAnsi="Calibri" w:cs="Times New Roman" w:hint="default"/>
        <w:color w:val="0000FF" w:themeColor="hyperlink"/>
        <w:sz w:val="21"/>
        <w:u w:val="single"/>
      </w:rPr>
    </w:lvl>
    <w:lvl w:ilvl="6">
      <w:start w:val="1"/>
      <w:numFmt w:val="decimal"/>
      <w:lvlText w:val="%1.%2.%3.%4.%5.%6.%7"/>
      <w:lvlJc w:val="left"/>
      <w:pPr>
        <w:ind w:left="3990" w:hanging="1440"/>
      </w:pPr>
      <w:rPr>
        <w:rFonts w:ascii="Calibri" w:eastAsia="Times New Roman" w:hAnsi="Calibri" w:cs="Times New Roman" w:hint="default"/>
        <w:color w:val="0000FF" w:themeColor="hyperlink"/>
        <w:sz w:val="21"/>
        <w:u w:val="single"/>
      </w:rPr>
    </w:lvl>
    <w:lvl w:ilvl="7">
      <w:start w:val="1"/>
      <w:numFmt w:val="decimal"/>
      <w:lvlText w:val="%1.%2.%3.%4.%5.%6.%7.%8"/>
      <w:lvlJc w:val="left"/>
      <w:pPr>
        <w:ind w:left="4775" w:hanging="1800"/>
      </w:pPr>
      <w:rPr>
        <w:rFonts w:ascii="Calibri" w:eastAsia="Times New Roman" w:hAnsi="Calibri" w:cs="Times New Roman" w:hint="default"/>
        <w:color w:val="0000FF" w:themeColor="hyperlink"/>
        <w:sz w:val="21"/>
        <w:u w:val="single"/>
      </w:rPr>
    </w:lvl>
    <w:lvl w:ilvl="8">
      <w:start w:val="1"/>
      <w:numFmt w:val="decimal"/>
      <w:lvlText w:val="%1.%2.%3.%4.%5.%6.%7.%8.%9"/>
      <w:lvlJc w:val="left"/>
      <w:pPr>
        <w:ind w:left="5200" w:hanging="1800"/>
      </w:pPr>
      <w:rPr>
        <w:rFonts w:ascii="Calibri" w:eastAsia="Times New Roman" w:hAnsi="Calibri" w:cs="Times New Roman" w:hint="default"/>
        <w:color w:val="0000FF" w:themeColor="hyperlink"/>
        <w:sz w:val="21"/>
        <w:u w:val="single"/>
      </w:rPr>
    </w:lvl>
  </w:abstractNum>
  <w:abstractNum w:abstractNumId="17" w15:restartNumberingAfterBreak="0">
    <w:nsid w:val="2F174855"/>
    <w:multiLevelType w:val="multilevel"/>
    <w:tmpl w:val="FD02EA68"/>
    <w:numStyleLink w:val="Formatvorlage2"/>
  </w:abstractNum>
  <w:abstractNum w:abstractNumId="18" w15:restartNumberingAfterBreak="0">
    <w:nsid w:val="331855DA"/>
    <w:multiLevelType w:val="multilevel"/>
    <w:tmpl w:val="994A2B2A"/>
    <w:numStyleLink w:val="Formatvorlage3"/>
  </w:abstractNum>
  <w:abstractNum w:abstractNumId="19" w15:restartNumberingAfterBreak="0">
    <w:nsid w:val="34FC69FE"/>
    <w:multiLevelType w:val="multilevel"/>
    <w:tmpl w:val="994A2B2A"/>
    <w:numStyleLink w:val="Formatvorlage3"/>
  </w:abstractNum>
  <w:abstractNum w:abstractNumId="20" w15:restartNumberingAfterBreak="0">
    <w:nsid w:val="35360EBC"/>
    <w:multiLevelType w:val="multilevel"/>
    <w:tmpl w:val="FD02EA68"/>
    <w:styleLink w:val="Formatvorlage2"/>
    <w:lvl w:ilvl="0">
      <w:start w:val="1"/>
      <w:numFmt w:val="bullet"/>
      <w:pStyle w:val="Liste-2"/>
      <w:lvlText w:val="‒"/>
      <w:lvlJc w:val="left"/>
      <w:pPr>
        <w:ind w:left="284" w:hanging="284"/>
      </w:pPr>
      <w:rPr>
        <w:rFonts w:ascii="Calibri" w:hAnsi="Calibri" w:hint="default"/>
        <w:b/>
        <w:i w:val="0"/>
        <w:color w:val="008CD2"/>
        <w:sz w:val="21"/>
        <w:szCs w:val="32"/>
        <w:u w:val="none" w:color="C0504D" w:themeColor="accent2"/>
      </w:rPr>
    </w:lvl>
    <w:lvl w:ilvl="1">
      <w:start w:val="1"/>
      <w:numFmt w:val="bullet"/>
      <w:lvlText w:val=""/>
      <w:lvlJc w:val="left"/>
      <w:pPr>
        <w:ind w:left="567" w:hanging="283"/>
      </w:pPr>
      <w:rPr>
        <w:rFonts w:ascii="Symbol" w:hAnsi="Symbol" w:hint="default"/>
        <w:color w:val="008CD2"/>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21" w15:restartNumberingAfterBreak="0">
    <w:nsid w:val="3B6607EA"/>
    <w:multiLevelType w:val="multilevel"/>
    <w:tmpl w:val="F1E80FD0"/>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F5C7A11"/>
    <w:multiLevelType w:val="multilevel"/>
    <w:tmpl w:val="15801AD4"/>
    <w:numStyleLink w:val="Formatvorlage1"/>
  </w:abstractNum>
  <w:abstractNum w:abstractNumId="23" w15:restartNumberingAfterBreak="0">
    <w:nsid w:val="46CD5DFB"/>
    <w:multiLevelType w:val="multilevel"/>
    <w:tmpl w:val="994A2B2A"/>
    <w:numStyleLink w:val="Formatvorlage3"/>
  </w:abstractNum>
  <w:abstractNum w:abstractNumId="24" w15:restartNumberingAfterBreak="0">
    <w:nsid w:val="566C3A9B"/>
    <w:multiLevelType w:val="multilevel"/>
    <w:tmpl w:val="A964D06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94" w:hanging="794"/>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985" w:hanging="1985"/>
      </w:pPr>
      <w:rPr>
        <w:rFonts w:hint="default"/>
      </w:rPr>
    </w:lvl>
    <w:lvl w:ilvl="8">
      <w:start w:val="1"/>
      <w:numFmt w:val="decimal"/>
      <w:pStyle w:val="berschrift9"/>
      <w:lvlText w:val="%1.%2.%3.%4.%5.%6.%7.%8.%9"/>
      <w:lvlJc w:val="left"/>
      <w:pPr>
        <w:ind w:left="2268" w:hanging="2268"/>
      </w:pPr>
      <w:rPr>
        <w:rFonts w:hint="default"/>
      </w:rPr>
    </w:lvl>
  </w:abstractNum>
  <w:abstractNum w:abstractNumId="25" w15:restartNumberingAfterBreak="0">
    <w:nsid w:val="59653D74"/>
    <w:multiLevelType w:val="multilevel"/>
    <w:tmpl w:val="994A2B2A"/>
    <w:styleLink w:val="Formatvorlage3"/>
    <w:lvl w:ilvl="0">
      <w:start w:val="1"/>
      <w:numFmt w:val="decimal"/>
      <w:pStyle w:val="Liste-3"/>
      <w:lvlText w:val="(%1)"/>
      <w:lvlJc w:val="left"/>
      <w:pPr>
        <w:tabs>
          <w:tab w:val="num" w:pos="567"/>
        </w:tabs>
        <w:ind w:left="425" w:hanging="425"/>
      </w:pPr>
      <w:rPr>
        <w:rFonts w:hint="default"/>
        <w:b w:val="0"/>
        <w:i w:val="0"/>
      </w:rPr>
    </w:lvl>
    <w:lvl w:ilvl="1">
      <w:start w:val="1"/>
      <w:numFmt w:val="lowerLetter"/>
      <w:lvlText w:val="%2."/>
      <w:lvlJc w:val="left"/>
      <w:pPr>
        <w:tabs>
          <w:tab w:val="num" w:pos="1134"/>
        </w:tabs>
        <w:ind w:left="851" w:hanging="397"/>
      </w:pPr>
      <w:rPr>
        <w:rFonts w:hint="default"/>
      </w:rPr>
    </w:lvl>
    <w:lvl w:ilvl="2">
      <w:start w:val="1"/>
      <w:numFmt w:val="lowerRoman"/>
      <w:lvlText w:val="%3."/>
      <w:lvlJc w:val="right"/>
      <w:pPr>
        <w:tabs>
          <w:tab w:val="num" w:pos="1701"/>
        </w:tabs>
        <w:ind w:left="1247" w:hanging="255"/>
      </w:pPr>
      <w:rPr>
        <w:rFonts w:hint="default"/>
      </w:rPr>
    </w:lvl>
    <w:lvl w:ilvl="3">
      <w:start w:val="1"/>
      <w:numFmt w:val="decimal"/>
      <w:lvlText w:val="%4."/>
      <w:lvlJc w:val="left"/>
      <w:pPr>
        <w:tabs>
          <w:tab w:val="num" w:pos="2268"/>
        </w:tabs>
        <w:ind w:left="1814" w:hanging="680"/>
      </w:pPr>
      <w:rPr>
        <w:rFonts w:hint="default"/>
      </w:rPr>
    </w:lvl>
    <w:lvl w:ilvl="4">
      <w:start w:val="1"/>
      <w:numFmt w:val="lowerLetter"/>
      <w:lvlText w:val="%5."/>
      <w:lvlJc w:val="left"/>
      <w:pPr>
        <w:tabs>
          <w:tab w:val="num" w:pos="2835"/>
        </w:tabs>
        <w:ind w:left="2268" w:hanging="454"/>
      </w:pPr>
      <w:rPr>
        <w:rFonts w:hint="default"/>
      </w:rPr>
    </w:lvl>
    <w:lvl w:ilvl="5">
      <w:start w:val="1"/>
      <w:numFmt w:val="lowerRoman"/>
      <w:lvlText w:val="%6."/>
      <w:lvlJc w:val="right"/>
      <w:pPr>
        <w:tabs>
          <w:tab w:val="num" w:pos="3402"/>
        </w:tabs>
        <w:ind w:left="2722" w:hanging="454"/>
      </w:pPr>
      <w:rPr>
        <w:rFonts w:hint="default"/>
      </w:rPr>
    </w:lvl>
    <w:lvl w:ilvl="6">
      <w:start w:val="1"/>
      <w:numFmt w:val="decimal"/>
      <w:lvlText w:val="%7."/>
      <w:lvlJc w:val="left"/>
      <w:pPr>
        <w:tabs>
          <w:tab w:val="num" w:pos="3969"/>
        </w:tabs>
        <w:ind w:left="3175" w:hanging="453"/>
      </w:pPr>
      <w:rPr>
        <w:rFonts w:hint="default"/>
      </w:rPr>
    </w:lvl>
    <w:lvl w:ilvl="7">
      <w:start w:val="1"/>
      <w:numFmt w:val="lowerLetter"/>
      <w:lvlText w:val="%8."/>
      <w:lvlJc w:val="left"/>
      <w:pPr>
        <w:tabs>
          <w:tab w:val="num" w:pos="4536"/>
        </w:tabs>
        <w:ind w:left="3629" w:hanging="454"/>
      </w:pPr>
      <w:rPr>
        <w:rFonts w:hint="default"/>
      </w:rPr>
    </w:lvl>
    <w:lvl w:ilvl="8">
      <w:start w:val="1"/>
      <w:numFmt w:val="lowerRoman"/>
      <w:lvlText w:val="%9."/>
      <w:lvlJc w:val="right"/>
      <w:pPr>
        <w:tabs>
          <w:tab w:val="num" w:pos="5103"/>
        </w:tabs>
        <w:ind w:left="4082" w:hanging="453"/>
      </w:pPr>
      <w:rPr>
        <w:rFonts w:hint="default"/>
      </w:rPr>
    </w:lvl>
  </w:abstractNum>
  <w:abstractNum w:abstractNumId="26" w15:restartNumberingAfterBreak="0">
    <w:nsid w:val="5DC81DF9"/>
    <w:multiLevelType w:val="multilevel"/>
    <w:tmpl w:val="994A2B2A"/>
    <w:numStyleLink w:val="Formatvorlage3"/>
  </w:abstractNum>
  <w:abstractNum w:abstractNumId="27" w15:restartNumberingAfterBreak="0">
    <w:nsid w:val="659022DC"/>
    <w:multiLevelType w:val="multilevel"/>
    <w:tmpl w:val="994A2B2A"/>
    <w:numStyleLink w:val="Formatvorlage3"/>
  </w:abstractNum>
  <w:abstractNum w:abstractNumId="28" w15:restartNumberingAfterBreak="0">
    <w:nsid w:val="65D26BA9"/>
    <w:multiLevelType w:val="multilevel"/>
    <w:tmpl w:val="15801AD4"/>
    <w:numStyleLink w:val="Formatvorlage1"/>
  </w:abstractNum>
  <w:abstractNum w:abstractNumId="29" w15:restartNumberingAfterBreak="0">
    <w:nsid w:val="66BA4522"/>
    <w:multiLevelType w:val="hybridMultilevel"/>
    <w:tmpl w:val="C64035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9A92798"/>
    <w:multiLevelType w:val="multilevel"/>
    <w:tmpl w:val="994A2B2A"/>
    <w:numStyleLink w:val="Formatvorlage3"/>
  </w:abstractNum>
  <w:num w:numId="1">
    <w:abstractNumId w:val="24"/>
  </w:num>
  <w:num w:numId="2">
    <w:abstractNumId w:val="5"/>
  </w:num>
  <w:num w:numId="3">
    <w:abstractNumId w:val="20"/>
  </w:num>
  <w:num w:numId="4">
    <w:abstractNumId w:val="25"/>
  </w:num>
  <w:num w:numId="5">
    <w:abstractNumId w:val="11"/>
  </w:num>
  <w:num w:numId="6">
    <w:abstractNumId w:val="9"/>
  </w:num>
  <w:num w:numId="7">
    <w:abstractNumId w:val="21"/>
  </w:num>
  <w:num w:numId="8">
    <w:abstractNumId w:val="29"/>
  </w:num>
  <w:num w:numId="9">
    <w:abstractNumId w:val="2"/>
  </w:num>
  <w:num w:numId="10">
    <w:abstractNumId w:val="3"/>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2"/>
  </w:num>
  <w:num w:numId="20">
    <w:abstractNumId w:val="14"/>
  </w:num>
  <w:num w:numId="21">
    <w:abstractNumId w:val="12"/>
  </w:num>
  <w:num w:numId="22">
    <w:abstractNumId w:val="7"/>
  </w:num>
  <w:num w:numId="23">
    <w:abstractNumId w:val="8"/>
  </w:num>
  <w:num w:numId="24">
    <w:abstractNumId w:val="28"/>
  </w:num>
  <w:num w:numId="25">
    <w:abstractNumId w:val="15"/>
  </w:num>
  <w:num w:numId="26">
    <w:abstractNumId w:val="19"/>
  </w:num>
  <w:num w:numId="27">
    <w:abstractNumId w:val="16"/>
  </w:num>
  <w:num w:numId="28">
    <w:abstractNumId w:val="10"/>
  </w:num>
  <w:num w:numId="29">
    <w:abstractNumId w:val="30"/>
    <w:lvlOverride w:ilvl="0">
      <w:lvl w:ilvl="0">
        <w:start w:val="1"/>
        <w:numFmt w:val="decimal"/>
        <w:lvlText w:val="(%1)"/>
        <w:lvlJc w:val="left"/>
        <w:pPr>
          <w:tabs>
            <w:tab w:val="num" w:pos="567"/>
          </w:tabs>
          <w:ind w:left="454" w:hanging="454"/>
        </w:pPr>
        <w:rPr>
          <w:rFonts w:hint="default"/>
          <w:b w:val="0"/>
          <w:i w:val="0"/>
        </w:rPr>
      </w:lvl>
    </w:lvlOverride>
    <w:lvlOverride w:ilvl="1">
      <w:lvl w:ilvl="1">
        <w:start w:val="1"/>
        <w:numFmt w:val="lowerLetter"/>
        <w:lvlText w:val="%2."/>
        <w:lvlJc w:val="left"/>
        <w:pPr>
          <w:tabs>
            <w:tab w:val="num" w:pos="1134"/>
          </w:tabs>
          <w:ind w:left="851" w:hanging="397"/>
        </w:pPr>
        <w:rPr>
          <w:rFonts w:hint="default"/>
        </w:rPr>
      </w:lvl>
    </w:lvlOverride>
    <w:lvlOverride w:ilvl="2">
      <w:lvl w:ilvl="2">
        <w:start w:val="1"/>
        <w:numFmt w:val="lowerRoman"/>
        <w:lvlText w:val="%3."/>
        <w:lvlJc w:val="right"/>
        <w:pPr>
          <w:tabs>
            <w:tab w:val="num" w:pos="1701"/>
          </w:tabs>
          <w:ind w:left="1134" w:hanging="283"/>
        </w:pPr>
        <w:rPr>
          <w:rFonts w:hint="default"/>
        </w:rPr>
      </w:lvl>
    </w:lvlOverride>
    <w:lvlOverride w:ilvl="3">
      <w:lvl w:ilvl="3">
        <w:start w:val="1"/>
        <w:numFmt w:val="decimal"/>
        <w:lvlText w:val="%4."/>
        <w:lvlJc w:val="left"/>
        <w:pPr>
          <w:tabs>
            <w:tab w:val="num" w:pos="2268"/>
          </w:tabs>
          <w:ind w:left="1814" w:hanging="680"/>
        </w:pPr>
        <w:rPr>
          <w:rFonts w:hint="default"/>
        </w:rPr>
      </w:lvl>
    </w:lvlOverride>
    <w:lvlOverride w:ilvl="4">
      <w:lvl w:ilvl="4">
        <w:start w:val="1"/>
        <w:numFmt w:val="lowerLetter"/>
        <w:lvlText w:val="%5."/>
        <w:lvlJc w:val="left"/>
        <w:pPr>
          <w:tabs>
            <w:tab w:val="num" w:pos="2835"/>
          </w:tabs>
          <w:ind w:left="2268" w:hanging="454"/>
        </w:pPr>
        <w:rPr>
          <w:rFonts w:hint="default"/>
        </w:rPr>
      </w:lvl>
    </w:lvlOverride>
    <w:lvlOverride w:ilvl="5">
      <w:lvl w:ilvl="5">
        <w:start w:val="1"/>
        <w:numFmt w:val="lowerRoman"/>
        <w:lvlText w:val="%6."/>
        <w:lvlJc w:val="right"/>
        <w:pPr>
          <w:tabs>
            <w:tab w:val="num" w:pos="3402"/>
          </w:tabs>
          <w:ind w:left="2722" w:hanging="454"/>
        </w:pPr>
        <w:rPr>
          <w:rFonts w:hint="default"/>
        </w:rPr>
      </w:lvl>
    </w:lvlOverride>
    <w:lvlOverride w:ilvl="6">
      <w:lvl w:ilvl="6">
        <w:start w:val="1"/>
        <w:numFmt w:val="decimal"/>
        <w:lvlText w:val="%7."/>
        <w:lvlJc w:val="left"/>
        <w:pPr>
          <w:tabs>
            <w:tab w:val="num" w:pos="3969"/>
          </w:tabs>
          <w:ind w:left="3175" w:hanging="453"/>
        </w:pPr>
        <w:rPr>
          <w:rFonts w:hint="default"/>
        </w:rPr>
      </w:lvl>
    </w:lvlOverride>
    <w:lvlOverride w:ilvl="7">
      <w:lvl w:ilvl="7">
        <w:start w:val="1"/>
        <w:numFmt w:val="lowerLetter"/>
        <w:lvlText w:val="%8."/>
        <w:lvlJc w:val="left"/>
        <w:pPr>
          <w:tabs>
            <w:tab w:val="num" w:pos="4536"/>
          </w:tabs>
          <w:ind w:left="3629" w:hanging="454"/>
        </w:pPr>
        <w:rPr>
          <w:rFonts w:hint="default"/>
        </w:rPr>
      </w:lvl>
    </w:lvlOverride>
    <w:lvlOverride w:ilvl="8">
      <w:lvl w:ilvl="8">
        <w:start w:val="1"/>
        <w:numFmt w:val="lowerRoman"/>
        <w:lvlText w:val="%9."/>
        <w:lvlJc w:val="right"/>
        <w:pPr>
          <w:tabs>
            <w:tab w:val="num" w:pos="5103"/>
          </w:tabs>
          <w:ind w:left="4082" w:hanging="453"/>
        </w:pPr>
        <w:rPr>
          <w:rFonts w:hint="default"/>
        </w:rPr>
      </w:lvl>
    </w:lvlOverride>
  </w:num>
  <w:num w:numId="30">
    <w:abstractNumId w:val="18"/>
  </w:num>
  <w:num w:numId="31">
    <w:abstractNumId w:val="27"/>
  </w:num>
  <w:num w:numId="32">
    <w:abstractNumId w:val="0"/>
  </w:num>
  <w:num w:numId="33">
    <w:abstractNumId w:val="4"/>
  </w:num>
  <w:num w:numId="34">
    <w:abstractNumId w:val="13"/>
  </w:num>
  <w:num w:numId="35">
    <w:abstractNumId w:val="17"/>
  </w:num>
  <w:num w:numId="36">
    <w:abstractNumId w:val="26"/>
  </w:num>
  <w:num w:numId="37">
    <w:abstractNumId w:val="6"/>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0"/>
  <w:hyphenationZone w:val="425"/>
  <w:doNotHyphenateCaps/>
  <w:drawingGridHorizontalSpacing w:val="105"/>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E1"/>
    <w:rsid w:val="00001435"/>
    <w:rsid w:val="000114BB"/>
    <w:rsid w:val="00011F3D"/>
    <w:rsid w:val="000155C5"/>
    <w:rsid w:val="00016397"/>
    <w:rsid w:val="0002211F"/>
    <w:rsid w:val="00030A59"/>
    <w:rsid w:val="00034CB3"/>
    <w:rsid w:val="000358AD"/>
    <w:rsid w:val="000367D7"/>
    <w:rsid w:val="00041C64"/>
    <w:rsid w:val="0005696F"/>
    <w:rsid w:val="00056F6A"/>
    <w:rsid w:val="00062BDE"/>
    <w:rsid w:val="00064FC8"/>
    <w:rsid w:val="00065FE0"/>
    <w:rsid w:val="0007053D"/>
    <w:rsid w:val="0009635C"/>
    <w:rsid w:val="0009696B"/>
    <w:rsid w:val="000A37C9"/>
    <w:rsid w:val="000B0FA9"/>
    <w:rsid w:val="000B5007"/>
    <w:rsid w:val="000C2B83"/>
    <w:rsid w:val="000C41A5"/>
    <w:rsid w:val="000C4895"/>
    <w:rsid w:val="000C51D9"/>
    <w:rsid w:val="000C54CA"/>
    <w:rsid w:val="000C60E9"/>
    <w:rsid w:val="000D28DB"/>
    <w:rsid w:val="000D40EB"/>
    <w:rsid w:val="000D42C7"/>
    <w:rsid w:val="000E03FC"/>
    <w:rsid w:val="000E7C7C"/>
    <w:rsid w:val="0010310F"/>
    <w:rsid w:val="001057FA"/>
    <w:rsid w:val="00111F1B"/>
    <w:rsid w:val="00114EC0"/>
    <w:rsid w:val="00122F14"/>
    <w:rsid w:val="00136AAA"/>
    <w:rsid w:val="00144157"/>
    <w:rsid w:val="001515FA"/>
    <w:rsid w:val="00152E0B"/>
    <w:rsid w:val="00162F81"/>
    <w:rsid w:val="00165D2B"/>
    <w:rsid w:val="0016614B"/>
    <w:rsid w:val="00166666"/>
    <w:rsid w:val="00170209"/>
    <w:rsid w:val="00172F5A"/>
    <w:rsid w:val="00186739"/>
    <w:rsid w:val="00186916"/>
    <w:rsid w:val="001A0F91"/>
    <w:rsid w:val="001A5976"/>
    <w:rsid w:val="001A64F0"/>
    <w:rsid w:val="001A6DD0"/>
    <w:rsid w:val="001B24FD"/>
    <w:rsid w:val="001B3783"/>
    <w:rsid w:val="001C6986"/>
    <w:rsid w:val="001C7BD8"/>
    <w:rsid w:val="001D3BE5"/>
    <w:rsid w:val="001E04AA"/>
    <w:rsid w:val="001F7A69"/>
    <w:rsid w:val="0020048F"/>
    <w:rsid w:val="00207750"/>
    <w:rsid w:val="0021245C"/>
    <w:rsid w:val="002149F0"/>
    <w:rsid w:val="00221E07"/>
    <w:rsid w:val="00232E4B"/>
    <w:rsid w:val="002369FE"/>
    <w:rsid w:val="00244246"/>
    <w:rsid w:val="00253AA3"/>
    <w:rsid w:val="00255984"/>
    <w:rsid w:val="00255FEC"/>
    <w:rsid w:val="002626B6"/>
    <w:rsid w:val="00266E3E"/>
    <w:rsid w:val="00267AE7"/>
    <w:rsid w:val="00270BD3"/>
    <w:rsid w:val="00274A92"/>
    <w:rsid w:val="00284F93"/>
    <w:rsid w:val="00287038"/>
    <w:rsid w:val="00287EFE"/>
    <w:rsid w:val="00294194"/>
    <w:rsid w:val="002945AA"/>
    <w:rsid w:val="00295755"/>
    <w:rsid w:val="00296FF7"/>
    <w:rsid w:val="00297F8A"/>
    <w:rsid w:val="002A6FC4"/>
    <w:rsid w:val="002B39B2"/>
    <w:rsid w:val="002B3E94"/>
    <w:rsid w:val="002D290C"/>
    <w:rsid w:val="002D4826"/>
    <w:rsid w:val="002E5410"/>
    <w:rsid w:val="00303602"/>
    <w:rsid w:val="003069DC"/>
    <w:rsid w:val="00310480"/>
    <w:rsid w:val="003131D3"/>
    <w:rsid w:val="00315380"/>
    <w:rsid w:val="003206CA"/>
    <w:rsid w:val="00323640"/>
    <w:rsid w:val="00325C1D"/>
    <w:rsid w:val="00325CAA"/>
    <w:rsid w:val="00337020"/>
    <w:rsid w:val="00343AC4"/>
    <w:rsid w:val="003529BD"/>
    <w:rsid w:val="003627EC"/>
    <w:rsid w:val="00374360"/>
    <w:rsid w:val="00376998"/>
    <w:rsid w:val="00383E9C"/>
    <w:rsid w:val="0039057B"/>
    <w:rsid w:val="00397772"/>
    <w:rsid w:val="00397BAA"/>
    <w:rsid w:val="003A4FC7"/>
    <w:rsid w:val="003A767F"/>
    <w:rsid w:val="003B320B"/>
    <w:rsid w:val="003B6FD6"/>
    <w:rsid w:val="003B7AB3"/>
    <w:rsid w:val="003C26D9"/>
    <w:rsid w:val="003C34DC"/>
    <w:rsid w:val="003C3B05"/>
    <w:rsid w:val="003D2C1A"/>
    <w:rsid w:val="003D5402"/>
    <w:rsid w:val="003E1D96"/>
    <w:rsid w:val="003E4CC6"/>
    <w:rsid w:val="003F3D23"/>
    <w:rsid w:val="003F58FA"/>
    <w:rsid w:val="003F76B6"/>
    <w:rsid w:val="0040139D"/>
    <w:rsid w:val="0040742A"/>
    <w:rsid w:val="00431B4A"/>
    <w:rsid w:val="00440DB8"/>
    <w:rsid w:val="00442636"/>
    <w:rsid w:val="00442F88"/>
    <w:rsid w:val="00446FCD"/>
    <w:rsid w:val="00452BC9"/>
    <w:rsid w:val="004573D0"/>
    <w:rsid w:val="0046058A"/>
    <w:rsid w:val="00470117"/>
    <w:rsid w:val="00477149"/>
    <w:rsid w:val="0047736E"/>
    <w:rsid w:val="00482DF4"/>
    <w:rsid w:val="00485997"/>
    <w:rsid w:val="00492457"/>
    <w:rsid w:val="00493FA1"/>
    <w:rsid w:val="00495E7B"/>
    <w:rsid w:val="004A1840"/>
    <w:rsid w:val="004A4C64"/>
    <w:rsid w:val="004C0438"/>
    <w:rsid w:val="004C346D"/>
    <w:rsid w:val="004D2441"/>
    <w:rsid w:val="004D307B"/>
    <w:rsid w:val="004D4418"/>
    <w:rsid w:val="004D6A2F"/>
    <w:rsid w:val="004D7170"/>
    <w:rsid w:val="004E6A76"/>
    <w:rsid w:val="004F4F0F"/>
    <w:rsid w:val="005061A8"/>
    <w:rsid w:val="005071B9"/>
    <w:rsid w:val="00523D64"/>
    <w:rsid w:val="00540636"/>
    <w:rsid w:val="005424C7"/>
    <w:rsid w:val="0054292C"/>
    <w:rsid w:val="00554620"/>
    <w:rsid w:val="005579C4"/>
    <w:rsid w:val="00563344"/>
    <w:rsid w:val="00570B33"/>
    <w:rsid w:val="005762B3"/>
    <w:rsid w:val="005A2C7C"/>
    <w:rsid w:val="005A7C39"/>
    <w:rsid w:val="005B443F"/>
    <w:rsid w:val="005C50B6"/>
    <w:rsid w:val="005D548D"/>
    <w:rsid w:val="005E3794"/>
    <w:rsid w:val="005E62A2"/>
    <w:rsid w:val="005F0711"/>
    <w:rsid w:val="005F5045"/>
    <w:rsid w:val="005F66B0"/>
    <w:rsid w:val="005F6754"/>
    <w:rsid w:val="005F7D72"/>
    <w:rsid w:val="005F7D8C"/>
    <w:rsid w:val="00601E54"/>
    <w:rsid w:val="0060286E"/>
    <w:rsid w:val="006156D0"/>
    <w:rsid w:val="00621E4F"/>
    <w:rsid w:val="00622D0D"/>
    <w:rsid w:val="00627319"/>
    <w:rsid w:val="006410BE"/>
    <w:rsid w:val="00644B5B"/>
    <w:rsid w:val="0064550D"/>
    <w:rsid w:val="00652044"/>
    <w:rsid w:val="00654583"/>
    <w:rsid w:val="006554DA"/>
    <w:rsid w:val="00660DCF"/>
    <w:rsid w:val="006631FE"/>
    <w:rsid w:val="00663D4E"/>
    <w:rsid w:val="00664C79"/>
    <w:rsid w:val="00681B3F"/>
    <w:rsid w:val="00692E4C"/>
    <w:rsid w:val="006962C8"/>
    <w:rsid w:val="006A0574"/>
    <w:rsid w:val="006A50F1"/>
    <w:rsid w:val="006B07F6"/>
    <w:rsid w:val="006B3C44"/>
    <w:rsid w:val="006B3CBD"/>
    <w:rsid w:val="006B5D33"/>
    <w:rsid w:val="006C1AA2"/>
    <w:rsid w:val="006C36AD"/>
    <w:rsid w:val="006C5D63"/>
    <w:rsid w:val="006E3A39"/>
    <w:rsid w:val="006F3406"/>
    <w:rsid w:val="00703E00"/>
    <w:rsid w:val="007079FB"/>
    <w:rsid w:val="0071056C"/>
    <w:rsid w:val="00726E75"/>
    <w:rsid w:val="007274C8"/>
    <w:rsid w:val="00730001"/>
    <w:rsid w:val="007323E8"/>
    <w:rsid w:val="00733924"/>
    <w:rsid w:val="0074122A"/>
    <w:rsid w:val="007418A5"/>
    <w:rsid w:val="00752F5B"/>
    <w:rsid w:val="00755CED"/>
    <w:rsid w:val="00756DFD"/>
    <w:rsid w:val="007622F8"/>
    <w:rsid w:val="00766B9C"/>
    <w:rsid w:val="00791767"/>
    <w:rsid w:val="007960DF"/>
    <w:rsid w:val="007A07AA"/>
    <w:rsid w:val="007A48E2"/>
    <w:rsid w:val="007B69AE"/>
    <w:rsid w:val="007C451C"/>
    <w:rsid w:val="007C4B0B"/>
    <w:rsid w:val="007C67B8"/>
    <w:rsid w:val="007D0786"/>
    <w:rsid w:val="007D3B9B"/>
    <w:rsid w:val="007D6ED1"/>
    <w:rsid w:val="007D7FE4"/>
    <w:rsid w:val="007E5BCC"/>
    <w:rsid w:val="007F5F84"/>
    <w:rsid w:val="00802B8E"/>
    <w:rsid w:val="00805269"/>
    <w:rsid w:val="008147F7"/>
    <w:rsid w:val="008166D6"/>
    <w:rsid w:val="00816EF8"/>
    <w:rsid w:val="008227CA"/>
    <w:rsid w:val="00837EB3"/>
    <w:rsid w:val="00850203"/>
    <w:rsid w:val="00851762"/>
    <w:rsid w:val="008545E8"/>
    <w:rsid w:val="00857244"/>
    <w:rsid w:val="00861AB6"/>
    <w:rsid w:val="00865192"/>
    <w:rsid w:val="00865255"/>
    <w:rsid w:val="00867F43"/>
    <w:rsid w:val="008730E6"/>
    <w:rsid w:val="008743D0"/>
    <w:rsid w:val="0087450C"/>
    <w:rsid w:val="00874FDE"/>
    <w:rsid w:val="00881E68"/>
    <w:rsid w:val="008838F7"/>
    <w:rsid w:val="00887AB8"/>
    <w:rsid w:val="008A0FD1"/>
    <w:rsid w:val="008C5042"/>
    <w:rsid w:val="008D0BBC"/>
    <w:rsid w:val="008D2916"/>
    <w:rsid w:val="008D7B1B"/>
    <w:rsid w:val="008E36DC"/>
    <w:rsid w:val="008E712D"/>
    <w:rsid w:val="008E7959"/>
    <w:rsid w:val="008F1BE3"/>
    <w:rsid w:val="00902AE2"/>
    <w:rsid w:val="00916BAA"/>
    <w:rsid w:val="00916D31"/>
    <w:rsid w:val="00921D26"/>
    <w:rsid w:val="009312F1"/>
    <w:rsid w:val="009317F9"/>
    <w:rsid w:val="009360BF"/>
    <w:rsid w:val="009505D2"/>
    <w:rsid w:val="009521DD"/>
    <w:rsid w:val="00952357"/>
    <w:rsid w:val="0095247D"/>
    <w:rsid w:val="0095332F"/>
    <w:rsid w:val="00960D10"/>
    <w:rsid w:val="009623E4"/>
    <w:rsid w:val="0096678C"/>
    <w:rsid w:val="00967451"/>
    <w:rsid w:val="00972039"/>
    <w:rsid w:val="00993DAE"/>
    <w:rsid w:val="009A1178"/>
    <w:rsid w:val="009A4B82"/>
    <w:rsid w:val="009A73CE"/>
    <w:rsid w:val="009B1175"/>
    <w:rsid w:val="009B3384"/>
    <w:rsid w:val="009B5EA6"/>
    <w:rsid w:val="009B788C"/>
    <w:rsid w:val="009C3E2F"/>
    <w:rsid w:val="009C667D"/>
    <w:rsid w:val="009C71A2"/>
    <w:rsid w:val="009C7647"/>
    <w:rsid w:val="009D59E6"/>
    <w:rsid w:val="009D6FCA"/>
    <w:rsid w:val="009E2F59"/>
    <w:rsid w:val="009E74D5"/>
    <w:rsid w:val="00A06932"/>
    <w:rsid w:val="00A23A0E"/>
    <w:rsid w:val="00A24217"/>
    <w:rsid w:val="00A24E2E"/>
    <w:rsid w:val="00A311AA"/>
    <w:rsid w:val="00A45274"/>
    <w:rsid w:val="00A508B7"/>
    <w:rsid w:val="00A71471"/>
    <w:rsid w:val="00A74C04"/>
    <w:rsid w:val="00A758EF"/>
    <w:rsid w:val="00A80A75"/>
    <w:rsid w:val="00A92602"/>
    <w:rsid w:val="00AB0047"/>
    <w:rsid w:val="00AB4A3A"/>
    <w:rsid w:val="00AB5512"/>
    <w:rsid w:val="00AC689B"/>
    <w:rsid w:val="00AC7300"/>
    <w:rsid w:val="00AE58CA"/>
    <w:rsid w:val="00AE7A71"/>
    <w:rsid w:val="00AF2E5A"/>
    <w:rsid w:val="00AF345F"/>
    <w:rsid w:val="00AF5271"/>
    <w:rsid w:val="00AF609A"/>
    <w:rsid w:val="00B073E4"/>
    <w:rsid w:val="00B13E45"/>
    <w:rsid w:val="00B20C9C"/>
    <w:rsid w:val="00B31793"/>
    <w:rsid w:val="00B60376"/>
    <w:rsid w:val="00B60D81"/>
    <w:rsid w:val="00B62425"/>
    <w:rsid w:val="00B6266D"/>
    <w:rsid w:val="00B6494E"/>
    <w:rsid w:val="00B677C5"/>
    <w:rsid w:val="00B7697C"/>
    <w:rsid w:val="00B81CC2"/>
    <w:rsid w:val="00B85C27"/>
    <w:rsid w:val="00B922E1"/>
    <w:rsid w:val="00B92745"/>
    <w:rsid w:val="00B969C7"/>
    <w:rsid w:val="00B9771D"/>
    <w:rsid w:val="00BC0CCC"/>
    <w:rsid w:val="00BC10CB"/>
    <w:rsid w:val="00BC3944"/>
    <w:rsid w:val="00BC79B9"/>
    <w:rsid w:val="00BE15BC"/>
    <w:rsid w:val="00BF0D70"/>
    <w:rsid w:val="00BF0EB5"/>
    <w:rsid w:val="00BF1FFF"/>
    <w:rsid w:val="00BF2EED"/>
    <w:rsid w:val="00BF70C8"/>
    <w:rsid w:val="00C01EE2"/>
    <w:rsid w:val="00C05D27"/>
    <w:rsid w:val="00C10C81"/>
    <w:rsid w:val="00C14CCE"/>
    <w:rsid w:val="00C16787"/>
    <w:rsid w:val="00C25D03"/>
    <w:rsid w:val="00C27AA6"/>
    <w:rsid w:val="00C33631"/>
    <w:rsid w:val="00C34869"/>
    <w:rsid w:val="00C42150"/>
    <w:rsid w:val="00C57AD3"/>
    <w:rsid w:val="00C61AE1"/>
    <w:rsid w:val="00C736E9"/>
    <w:rsid w:val="00C77815"/>
    <w:rsid w:val="00C825D5"/>
    <w:rsid w:val="00C85697"/>
    <w:rsid w:val="00C92D5C"/>
    <w:rsid w:val="00C93794"/>
    <w:rsid w:val="00CA0A79"/>
    <w:rsid w:val="00CA6F44"/>
    <w:rsid w:val="00CA7C0C"/>
    <w:rsid w:val="00CB12F5"/>
    <w:rsid w:val="00CC166B"/>
    <w:rsid w:val="00D02FC0"/>
    <w:rsid w:val="00D20B51"/>
    <w:rsid w:val="00D20F72"/>
    <w:rsid w:val="00D26905"/>
    <w:rsid w:val="00D30DB2"/>
    <w:rsid w:val="00D46D45"/>
    <w:rsid w:val="00D55E42"/>
    <w:rsid w:val="00D571A7"/>
    <w:rsid w:val="00D57371"/>
    <w:rsid w:val="00D579D1"/>
    <w:rsid w:val="00D614EC"/>
    <w:rsid w:val="00D700F7"/>
    <w:rsid w:val="00D77947"/>
    <w:rsid w:val="00D82D81"/>
    <w:rsid w:val="00D8330D"/>
    <w:rsid w:val="00D90F62"/>
    <w:rsid w:val="00D96DC0"/>
    <w:rsid w:val="00DA5531"/>
    <w:rsid w:val="00DB17F4"/>
    <w:rsid w:val="00DB1885"/>
    <w:rsid w:val="00DB3B55"/>
    <w:rsid w:val="00DC2ED9"/>
    <w:rsid w:val="00DC4A3E"/>
    <w:rsid w:val="00DD1EC7"/>
    <w:rsid w:val="00DE08C3"/>
    <w:rsid w:val="00DE12CE"/>
    <w:rsid w:val="00DE78F7"/>
    <w:rsid w:val="00DF356C"/>
    <w:rsid w:val="00E00537"/>
    <w:rsid w:val="00E0087E"/>
    <w:rsid w:val="00E00B07"/>
    <w:rsid w:val="00E00F1B"/>
    <w:rsid w:val="00E0433D"/>
    <w:rsid w:val="00E04F14"/>
    <w:rsid w:val="00E10195"/>
    <w:rsid w:val="00E1091E"/>
    <w:rsid w:val="00E16CD1"/>
    <w:rsid w:val="00E22512"/>
    <w:rsid w:val="00E3276E"/>
    <w:rsid w:val="00E331DA"/>
    <w:rsid w:val="00E36FDC"/>
    <w:rsid w:val="00E41102"/>
    <w:rsid w:val="00E45EDD"/>
    <w:rsid w:val="00E53F7F"/>
    <w:rsid w:val="00E5473D"/>
    <w:rsid w:val="00E91F45"/>
    <w:rsid w:val="00EA184F"/>
    <w:rsid w:val="00EA4E85"/>
    <w:rsid w:val="00EB3236"/>
    <w:rsid w:val="00EC2A1C"/>
    <w:rsid w:val="00EC3A30"/>
    <w:rsid w:val="00ED4119"/>
    <w:rsid w:val="00ED6280"/>
    <w:rsid w:val="00ED68D5"/>
    <w:rsid w:val="00EE0156"/>
    <w:rsid w:val="00EE56E2"/>
    <w:rsid w:val="00EE5924"/>
    <w:rsid w:val="00EF0037"/>
    <w:rsid w:val="00EF16BE"/>
    <w:rsid w:val="00F02309"/>
    <w:rsid w:val="00F0504B"/>
    <w:rsid w:val="00F062FC"/>
    <w:rsid w:val="00F1291A"/>
    <w:rsid w:val="00F16417"/>
    <w:rsid w:val="00F17084"/>
    <w:rsid w:val="00F26DEC"/>
    <w:rsid w:val="00F33F56"/>
    <w:rsid w:val="00F340F3"/>
    <w:rsid w:val="00F36DD8"/>
    <w:rsid w:val="00F36FB8"/>
    <w:rsid w:val="00F45FF9"/>
    <w:rsid w:val="00F52C57"/>
    <w:rsid w:val="00F538FF"/>
    <w:rsid w:val="00F55EA0"/>
    <w:rsid w:val="00F65084"/>
    <w:rsid w:val="00F65714"/>
    <w:rsid w:val="00F679DF"/>
    <w:rsid w:val="00F7362C"/>
    <w:rsid w:val="00F75D82"/>
    <w:rsid w:val="00F77894"/>
    <w:rsid w:val="00F85083"/>
    <w:rsid w:val="00FA0357"/>
    <w:rsid w:val="00FA18BF"/>
    <w:rsid w:val="00FA63F5"/>
    <w:rsid w:val="00FB3E35"/>
    <w:rsid w:val="00FB50D9"/>
    <w:rsid w:val="00FC65D5"/>
    <w:rsid w:val="00FC7B14"/>
    <w:rsid w:val="00FE7741"/>
    <w:rsid w:val="00FF76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D36E58"/>
  <w15:chartTrackingRefBased/>
  <w15:docId w15:val="{040B4F6B-4386-494C-B8A2-9B705591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2AE2"/>
    <w:pPr>
      <w:suppressAutoHyphens/>
      <w:spacing w:before="160" w:line="280" w:lineRule="atLeast"/>
      <w:jc w:val="both"/>
    </w:pPr>
    <w:rPr>
      <w:rFonts w:ascii="Calibri" w:hAnsi="Calibri"/>
      <w:sz w:val="21"/>
    </w:rPr>
  </w:style>
  <w:style w:type="paragraph" w:styleId="berschrift1">
    <w:name w:val="heading 1"/>
    <w:basedOn w:val="Standard"/>
    <w:next w:val="Standard"/>
    <w:link w:val="berschrift1Zchn"/>
    <w:uiPriority w:val="9"/>
    <w:qFormat/>
    <w:rsid w:val="009C667D"/>
    <w:pPr>
      <w:keepNext/>
      <w:numPr>
        <w:numId w:val="1"/>
      </w:numPr>
      <w:spacing w:before="400"/>
      <w:ind w:left="851" w:hanging="851"/>
      <w:jc w:val="left"/>
      <w:outlineLvl w:val="0"/>
    </w:pPr>
    <w:rPr>
      <w:b/>
      <w:color w:val="008CD2"/>
      <w:sz w:val="26"/>
    </w:rPr>
  </w:style>
  <w:style w:type="paragraph" w:styleId="berschrift2">
    <w:name w:val="heading 2"/>
    <w:basedOn w:val="Standard"/>
    <w:next w:val="Standard"/>
    <w:link w:val="berschrift2Zchn"/>
    <w:qFormat/>
    <w:rsid w:val="009C667D"/>
    <w:pPr>
      <w:keepNext/>
      <w:numPr>
        <w:ilvl w:val="1"/>
        <w:numId w:val="1"/>
      </w:numPr>
      <w:spacing w:before="400"/>
      <w:ind w:left="964" w:hanging="964"/>
      <w:jc w:val="left"/>
      <w:outlineLvl w:val="1"/>
    </w:pPr>
    <w:rPr>
      <w:b/>
      <w:color w:val="008CD2"/>
      <w:sz w:val="26"/>
    </w:rPr>
  </w:style>
  <w:style w:type="paragraph" w:styleId="berschrift3">
    <w:name w:val="heading 3"/>
    <w:basedOn w:val="Standard"/>
    <w:next w:val="Standard"/>
    <w:link w:val="berschrift3Zchn"/>
    <w:qFormat/>
    <w:rsid w:val="009C667D"/>
    <w:pPr>
      <w:keepNext/>
      <w:numPr>
        <w:ilvl w:val="2"/>
        <w:numId w:val="1"/>
      </w:numPr>
      <w:spacing w:before="400"/>
      <w:ind w:left="1134" w:hanging="1134"/>
      <w:jc w:val="left"/>
      <w:outlineLvl w:val="2"/>
    </w:pPr>
    <w:rPr>
      <w:b/>
      <w:color w:val="008CD2"/>
      <w:sz w:val="26"/>
    </w:rPr>
  </w:style>
  <w:style w:type="paragraph" w:styleId="berschrift4">
    <w:name w:val="heading 4"/>
    <w:basedOn w:val="Standard"/>
    <w:next w:val="Standard"/>
    <w:link w:val="berschrift4Zchn"/>
    <w:qFormat/>
    <w:rsid w:val="009C667D"/>
    <w:pPr>
      <w:keepNext/>
      <w:numPr>
        <w:ilvl w:val="3"/>
        <w:numId w:val="1"/>
      </w:numPr>
      <w:spacing w:before="400"/>
      <w:ind w:left="1276" w:hanging="1276"/>
      <w:jc w:val="left"/>
      <w:outlineLvl w:val="3"/>
    </w:pPr>
    <w:rPr>
      <w:b/>
      <w:color w:val="008CD2"/>
      <w:sz w:val="26"/>
    </w:rPr>
  </w:style>
  <w:style w:type="paragraph" w:styleId="berschrift5">
    <w:name w:val="heading 5"/>
    <w:basedOn w:val="Standard"/>
    <w:next w:val="Standard"/>
    <w:link w:val="berschrift5Zchn"/>
    <w:rsid w:val="009C667D"/>
    <w:pPr>
      <w:keepNext/>
      <w:numPr>
        <w:ilvl w:val="4"/>
        <w:numId w:val="1"/>
      </w:numPr>
      <w:spacing w:before="400"/>
      <w:ind w:left="1418" w:hanging="1418"/>
      <w:jc w:val="left"/>
      <w:outlineLvl w:val="4"/>
    </w:pPr>
    <w:rPr>
      <w:b/>
      <w:color w:val="008CD2"/>
      <w:sz w:val="26"/>
    </w:rPr>
  </w:style>
  <w:style w:type="paragraph" w:styleId="berschrift6">
    <w:name w:val="heading 6"/>
    <w:basedOn w:val="Standard"/>
    <w:next w:val="Standard"/>
    <w:link w:val="berschrift6Zchn"/>
    <w:rsid w:val="009C667D"/>
    <w:pPr>
      <w:keepNext/>
      <w:numPr>
        <w:ilvl w:val="5"/>
        <w:numId w:val="1"/>
      </w:numPr>
      <w:spacing w:before="400"/>
      <w:ind w:left="1560" w:hanging="1560"/>
      <w:jc w:val="left"/>
      <w:outlineLvl w:val="5"/>
    </w:pPr>
    <w:rPr>
      <w:b/>
      <w:color w:val="008CD2"/>
      <w:sz w:val="26"/>
    </w:rPr>
  </w:style>
  <w:style w:type="paragraph" w:styleId="berschrift7">
    <w:name w:val="heading 7"/>
    <w:basedOn w:val="Standard"/>
    <w:next w:val="Standard"/>
    <w:link w:val="berschrift7Zchn"/>
    <w:rsid w:val="009C667D"/>
    <w:pPr>
      <w:keepNext/>
      <w:numPr>
        <w:ilvl w:val="6"/>
        <w:numId w:val="1"/>
      </w:numPr>
      <w:spacing w:before="400"/>
      <w:ind w:left="1701" w:hanging="1701"/>
      <w:jc w:val="left"/>
      <w:outlineLvl w:val="6"/>
    </w:pPr>
    <w:rPr>
      <w:b/>
      <w:color w:val="008CD2"/>
      <w:sz w:val="26"/>
    </w:rPr>
  </w:style>
  <w:style w:type="paragraph" w:styleId="berschrift8">
    <w:name w:val="heading 8"/>
    <w:basedOn w:val="Standard"/>
    <w:next w:val="Standard"/>
    <w:link w:val="berschrift8Zchn"/>
    <w:rsid w:val="009C667D"/>
    <w:pPr>
      <w:keepNext/>
      <w:numPr>
        <w:ilvl w:val="7"/>
        <w:numId w:val="1"/>
      </w:numPr>
      <w:spacing w:before="400"/>
      <w:ind w:left="1843" w:hanging="1843"/>
      <w:jc w:val="left"/>
      <w:outlineLvl w:val="7"/>
    </w:pPr>
    <w:rPr>
      <w:b/>
      <w:color w:val="008CD2"/>
      <w:sz w:val="26"/>
    </w:rPr>
  </w:style>
  <w:style w:type="paragraph" w:styleId="berschrift9">
    <w:name w:val="heading 9"/>
    <w:basedOn w:val="Standard"/>
    <w:next w:val="berschrift8"/>
    <w:link w:val="berschrift9Zchn"/>
    <w:rsid w:val="009C667D"/>
    <w:pPr>
      <w:keepNext/>
      <w:keepLines/>
      <w:numPr>
        <w:ilvl w:val="8"/>
        <w:numId w:val="1"/>
      </w:numPr>
      <w:spacing w:before="400"/>
      <w:ind w:left="1985" w:hanging="1985"/>
      <w:jc w:val="left"/>
      <w:outlineLvl w:val="8"/>
    </w:pPr>
    <w:rPr>
      <w:b/>
      <w:color w:val="008CD2"/>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afik">
    <w:name w:val="Grafik"/>
    <w:basedOn w:val="Standard"/>
    <w:next w:val="Quelle"/>
    <w:qFormat/>
    <w:rsid w:val="00BC0CCC"/>
    <w:pPr>
      <w:keepNext/>
      <w:tabs>
        <w:tab w:val="left" w:pos="1985"/>
      </w:tabs>
      <w:spacing w:before="0"/>
    </w:pPr>
    <w:rPr>
      <w:noProof/>
    </w:rPr>
  </w:style>
  <w:style w:type="paragraph" w:styleId="Funotentext">
    <w:name w:val="footnote text"/>
    <w:basedOn w:val="Standard"/>
    <w:link w:val="FunotentextZchn"/>
    <w:uiPriority w:val="99"/>
    <w:qFormat/>
    <w:rsid w:val="000358AD"/>
    <w:pPr>
      <w:tabs>
        <w:tab w:val="left" w:pos="284"/>
      </w:tabs>
      <w:spacing w:before="80" w:line="200" w:lineRule="atLeast"/>
      <w:ind w:left="284" w:hanging="284"/>
    </w:pPr>
    <w:rPr>
      <w:color w:val="595959"/>
      <w:position w:val="2"/>
      <w:sz w:val="18"/>
    </w:rPr>
  </w:style>
  <w:style w:type="character" w:styleId="Funotenzeichen">
    <w:name w:val="footnote reference"/>
    <w:basedOn w:val="Absatz-Standardschriftart"/>
    <w:semiHidden/>
    <w:rsid w:val="000358AD"/>
    <w:rPr>
      <w:rFonts w:ascii="Calibri" w:hAnsi="Calibri"/>
      <w:b/>
      <w:noProof w:val="0"/>
      <w:color w:val="008CD2"/>
      <w:position w:val="2"/>
      <w:sz w:val="19"/>
      <w:vertAlign w:val="superscript"/>
      <w:lang w:val="de-DE"/>
    </w:rPr>
  </w:style>
  <w:style w:type="paragraph" w:styleId="Fuzeile">
    <w:name w:val="footer"/>
    <w:basedOn w:val="Standard"/>
    <w:next w:val="Standard"/>
    <w:link w:val="FuzeileZchn"/>
    <w:uiPriority w:val="99"/>
    <w:rsid w:val="007274C8"/>
    <w:pPr>
      <w:tabs>
        <w:tab w:val="right" w:pos="9498"/>
      </w:tabs>
      <w:spacing w:before="0" w:line="240" w:lineRule="auto"/>
      <w:ind w:left="12" w:firstLine="1"/>
      <w:jc w:val="left"/>
    </w:pPr>
    <w:rPr>
      <w:sz w:val="18"/>
    </w:rPr>
  </w:style>
  <w:style w:type="paragraph" w:styleId="Kopfzeile">
    <w:name w:val="header"/>
    <w:basedOn w:val="Standard"/>
    <w:link w:val="KopfzeileZchn"/>
    <w:uiPriority w:val="99"/>
    <w:qFormat/>
    <w:rsid w:val="007274C8"/>
    <w:pPr>
      <w:tabs>
        <w:tab w:val="right" w:pos="9526"/>
      </w:tabs>
      <w:spacing w:before="0" w:line="240" w:lineRule="exact"/>
      <w:jc w:val="left"/>
    </w:pPr>
    <w:rPr>
      <w:color w:val="000000" w:themeColor="text1"/>
      <w:sz w:val="18"/>
    </w:rPr>
  </w:style>
  <w:style w:type="paragraph" w:customStyle="1" w:styleId="Literatur">
    <w:name w:val="Literatur"/>
    <w:basedOn w:val="Standard"/>
    <w:autoRedefine/>
    <w:qFormat/>
    <w:rsid w:val="00F52C57"/>
    <w:pPr>
      <w:tabs>
        <w:tab w:val="left" w:pos="1134"/>
      </w:tabs>
      <w:spacing w:before="80" w:line="240" w:lineRule="exact"/>
      <w:ind w:left="567" w:hanging="567"/>
    </w:pPr>
    <w:rPr>
      <w:color w:val="595959"/>
      <w:sz w:val="20"/>
    </w:rPr>
  </w:style>
  <w:style w:type="paragraph" w:customStyle="1" w:styleId="Titelberschrift">
    <w:name w:val="Titelüberschrift"/>
    <w:basedOn w:val="Standard"/>
    <w:next w:val="Standard"/>
    <w:qFormat/>
    <w:rsid w:val="00F75D82"/>
    <w:pPr>
      <w:tabs>
        <w:tab w:val="left" w:pos="425"/>
      </w:tabs>
      <w:spacing w:before="0"/>
    </w:pPr>
    <w:rPr>
      <w:b/>
      <w:color w:val="008CD2"/>
      <w:sz w:val="32"/>
    </w:rPr>
  </w:style>
  <w:style w:type="paragraph" w:styleId="Verzeichnis1">
    <w:name w:val="toc 1"/>
    <w:basedOn w:val="Standard"/>
    <w:next w:val="Standard"/>
    <w:autoRedefine/>
    <w:uiPriority w:val="39"/>
    <w:qFormat/>
    <w:rsid w:val="003C26D9"/>
    <w:pPr>
      <w:tabs>
        <w:tab w:val="left" w:pos="425"/>
        <w:tab w:val="right" w:pos="9526"/>
      </w:tabs>
      <w:spacing w:before="120"/>
      <w:ind w:left="425" w:hanging="425"/>
      <w:jc w:val="left"/>
    </w:pPr>
    <w:rPr>
      <w:b/>
      <w:color w:val="008CD2"/>
    </w:rPr>
  </w:style>
  <w:style w:type="paragraph" w:styleId="Verzeichnis2">
    <w:name w:val="toc 2"/>
    <w:basedOn w:val="Standard"/>
    <w:next w:val="Standard"/>
    <w:autoRedefine/>
    <w:uiPriority w:val="39"/>
    <w:rsid w:val="00816EF8"/>
    <w:pPr>
      <w:tabs>
        <w:tab w:val="left" w:pos="1134"/>
        <w:tab w:val="right" w:pos="9526"/>
      </w:tabs>
      <w:spacing w:before="60"/>
      <w:ind w:left="1134" w:hanging="709"/>
      <w:jc w:val="left"/>
    </w:pPr>
    <w:rPr>
      <w:color w:val="000000" w:themeColor="text1"/>
    </w:rPr>
  </w:style>
  <w:style w:type="paragraph" w:styleId="Verzeichnis3">
    <w:name w:val="toc 3"/>
    <w:basedOn w:val="Standard"/>
    <w:next w:val="Standard"/>
    <w:autoRedefine/>
    <w:uiPriority w:val="39"/>
    <w:rsid w:val="00816EF8"/>
    <w:pPr>
      <w:tabs>
        <w:tab w:val="left" w:pos="1985"/>
        <w:tab w:val="right" w:pos="9526"/>
      </w:tabs>
      <w:spacing w:before="0"/>
      <w:ind w:left="1985" w:hanging="851"/>
      <w:jc w:val="left"/>
    </w:pPr>
    <w:rPr>
      <w:color w:val="000000" w:themeColor="text1"/>
    </w:rPr>
  </w:style>
  <w:style w:type="character" w:customStyle="1" w:styleId="KopfzeileZchn">
    <w:name w:val="Kopfzeile Zchn"/>
    <w:basedOn w:val="Absatz-Standardschriftart"/>
    <w:link w:val="Kopfzeile"/>
    <w:uiPriority w:val="99"/>
    <w:locked/>
    <w:rsid w:val="007274C8"/>
    <w:rPr>
      <w:rFonts w:ascii="Calibri" w:hAnsi="Calibri"/>
      <w:color w:val="000000" w:themeColor="text1"/>
      <w:sz w:val="18"/>
    </w:rPr>
  </w:style>
  <w:style w:type="paragraph" w:customStyle="1" w:styleId="berschriftohneNum">
    <w:name w:val="Überschrift ohne Num."/>
    <w:basedOn w:val="berschrift1"/>
    <w:next w:val="Standard"/>
    <w:link w:val="berschriftohneNumZchn"/>
    <w:qFormat/>
    <w:rsid w:val="00730001"/>
    <w:pPr>
      <w:numPr>
        <w:numId w:val="0"/>
      </w:numPr>
    </w:pPr>
  </w:style>
  <w:style w:type="paragraph" w:customStyle="1" w:styleId="Zwischenberschriftbold">
    <w:name w:val="Zwischenüberschrift bold"/>
    <w:basedOn w:val="Standard"/>
    <w:next w:val="Standard"/>
    <w:qFormat/>
    <w:rsid w:val="00F75D82"/>
    <w:pPr>
      <w:keepNext/>
      <w:spacing w:before="320"/>
    </w:pPr>
    <w:rPr>
      <w:b/>
    </w:rPr>
  </w:style>
  <w:style w:type="paragraph" w:customStyle="1" w:styleId="Zwischenberschriftkursiv">
    <w:name w:val="Zwischenüberschrift kursiv"/>
    <w:basedOn w:val="Zwischenberschriftbold"/>
    <w:next w:val="Standard"/>
    <w:qFormat/>
    <w:rsid w:val="00E3276E"/>
    <w:rPr>
      <w:b w:val="0"/>
      <w:i/>
    </w:rPr>
  </w:style>
  <w:style w:type="paragraph" w:customStyle="1" w:styleId="Quelle">
    <w:name w:val="Quelle"/>
    <w:basedOn w:val="Standard"/>
    <w:next w:val="NachAbbTab"/>
    <w:link w:val="QuelleZchn"/>
    <w:qFormat/>
    <w:rsid w:val="006B07F6"/>
    <w:pPr>
      <w:spacing w:before="120" w:line="200" w:lineRule="atLeast"/>
    </w:pPr>
    <w:rPr>
      <w:color w:val="626262"/>
      <w:sz w:val="18"/>
    </w:rPr>
  </w:style>
  <w:style w:type="character" w:customStyle="1" w:styleId="berschrift1Zchn">
    <w:name w:val="Überschrift 1 Zchn"/>
    <w:basedOn w:val="Absatz-Standardschriftart"/>
    <w:link w:val="berschrift1"/>
    <w:uiPriority w:val="9"/>
    <w:rsid w:val="009C667D"/>
    <w:rPr>
      <w:rFonts w:ascii="Calibri" w:hAnsi="Calibri"/>
      <w:b/>
      <w:color w:val="008CD2"/>
      <w:sz w:val="26"/>
    </w:rPr>
  </w:style>
  <w:style w:type="character" w:customStyle="1" w:styleId="berschrift2Zchn">
    <w:name w:val="Überschrift 2 Zchn"/>
    <w:basedOn w:val="Absatz-Standardschriftart"/>
    <w:link w:val="berschrift2"/>
    <w:rsid w:val="009C667D"/>
    <w:rPr>
      <w:rFonts w:ascii="Calibri" w:hAnsi="Calibri"/>
      <w:b/>
      <w:color w:val="008CD2"/>
      <w:sz w:val="26"/>
    </w:rPr>
  </w:style>
  <w:style w:type="character" w:customStyle="1" w:styleId="berschrift3Zchn">
    <w:name w:val="Überschrift 3 Zchn"/>
    <w:basedOn w:val="Absatz-Standardschriftart"/>
    <w:link w:val="berschrift3"/>
    <w:rsid w:val="009C667D"/>
    <w:rPr>
      <w:rFonts w:ascii="Calibri" w:hAnsi="Calibri"/>
      <w:b/>
      <w:color w:val="008CD2"/>
      <w:sz w:val="26"/>
    </w:rPr>
  </w:style>
  <w:style w:type="character" w:customStyle="1" w:styleId="berschrift4Zchn">
    <w:name w:val="Überschrift 4 Zchn"/>
    <w:basedOn w:val="Absatz-Standardschriftart"/>
    <w:link w:val="berschrift4"/>
    <w:rsid w:val="009C667D"/>
    <w:rPr>
      <w:rFonts w:ascii="Calibri" w:hAnsi="Calibri"/>
      <w:b/>
      <w:color w:val="008CD2"/>
      <w:sz w:val="26"/>
    </w:rPr>
  </w:style>
  <w:style w:type="character" w:customStyle="1" w:styleId="berschrift5Zchn">
    <w:name w:val="Überschrift 5 Zchn"/>
    <w:basedOn w:val="Absatz-Standardschriftart"/>
    <w:link w:val="berschrift5"/>
    <w:rsid w:val="009C667D"/>
    <w:rPr>
      <w:rFonts w:ascii="Calibri" w:hAnsi="Calibri"/>
      <w:b/>
      <w:color w:val="008CD2"/>
      <w:sz w:val="26"/>
    </w:rPr>
  </w:style>
  <w:style w:type="character" w:customStyle="1" w:styleId="berschrift6Zchn">
    <w:name w:val="Überschrift 6 Zchn"/>
    <w:basedOn w:val="Absatz-Standardschriftart"/>
    <w:link w:val="berschrift6"/>
    <w:rsid w:val="009C667D"/>
    <w:rPr>
      <w:rFonts w:ascii="Calibri" w:hAnsi="Calibri"/>
      <w:b/>
      <w:color w:val="008CD2"/>
      <w:sz w:val="26"/>
    </w:rPr>
  </w:style>
  <w:style w:type="character" w:customStyle="1" w:styleId="berschrift7Zchn">
    <w:name w:val="Überschrift 7 Zchn"/>
    <w:basedOn w:val="Absatz-Standardschriftart"/>
    <w:link w:val="berschrift7"/>
    <w:rsid w:val="009C667D"/>
    <w:rPr>
      <w:rFonts w:ascii="Calibri" w:hAnsi="Calibri"/>
      <w:b/>
      <w:color w:val="008CD2"/>
      <w:sz w:val="26"/>
    </w:rPr>
  </w:style>
  <w:style w:type="character" w:customStyle="1" w:styleId="berschrift8Zchn">
    <w:name w:val="Überschrift 8 Zchn"/>
    <w:basedOn w:val="Absatz-Standardschriftart"/>
    <w:link w:val="berschrift8"/>
    <w:rsid w:val="009C667D"/>
    <w:rPr>
      <w:rFonts w:ascii="Calibri" w:hAnsi="Calibri"/>
      <w:b/>
      <w:color w:val="008CD2"/>
      <w:sz w:val="26"/>
    </w:rPr>
  </w:style>
  <w:style w:type="character" w:customStyle="1" w:styleId="berschrift9Zchn">
    <w:name w:val="Überschrift 9 Zchn"/>
    <w:basedOn w:val="Absatz-Standardschriftart"/>
    <w:link w:val="berschrift9"/>
    <w:rsid w:val="009C667D"/>
    <w:rPr>
      <w:rFonts w:ascii="Calibri" w:hAnsi="Calibri"/>
      <w:b/>
      <w:color w:val="008CD2"/>
      <w:sz w:val="26"/>
    </w:rPr>
  </w:style>
  <w:style w:type="character" w:customStyle="1" w:styleId="FunotentextZchn">
    <w:name w:val="Fußnotentext Zchn"/>
    <w:basedOn w:val="Absatz-Standardschriftart"/>
    <w:link w:val="Funotentext"/>
    <w:uiPriority w:val="99"/>
    <w:rsid w:val="000358AD"/>
    <w:rPr>
      <w:rFonts w:ascii="Calibri" w:hAnsi="Calibri"/>
      <w:color w:val="595959"/>
      <w:position w:val="2"/>
      <w:sz w:val="18"/>
    </w:rPr>
  </w:style>
  <w:style w:type="character" w:customStyle="1" w:styleId="FuzeileZchn">
    <w:name w:val="Fußzeile Zchn"/>
    <w:basedOn w:val="Absatz-Standardschriftart"/>
    <w:link w:val="Fuzeile"/>
    <w:uiPriority w:val="99"/>
    <w:rsid w:val="007274C8"/>
    <w:rPr>
      <w:rFonts w:ascii="Calibri" w:hAnsi="Calibri"/>
      <w:sz w:val="18"/>
    </w:rPr>
  </w:style>
  <w:style w:type="paragraph" w:styleId="Inhaltsverzeichnisberschrift">
    <w:name w:val="TOC Heading"/>
    <w:basedOn w:val="Standard"/>
    <w:next w:val="Standard"/>
    <w:uiPriority w:val="39"/>
    <w:qFormat/>
    <w:rsid w:val="006962C8"/>
    <w:pPr>
      <w:keepLines/>
      <w:spacing w:before="400" w:after="240"/>
    </w:pPr>
    <w:rPr>
      <w:b/>
      <w:bCs/>
      <w:color w:val="008CD2"/>
      <w:sz w:val="26"/>
      <w:szCs w:val="28"/>
    </w:rPr>
  </w:style>
  <w:style w:type="paragraph" w:styleId="berarbeitung">
    <w:name w:val="Revision"/>
    <w:hidden/>
    <w:uiPriority w:val="99"/>
    <w:semiHidden/>
    <w:rsid w:val="00B7697C"/>
    <w:rPr>
      <w:rFonts w:ascii="Times New Roman" w:hAnsi="Times New Roman"/>
      <w:spacing w:val="4"/>
      <w:sz w:val="24"/>
    </w:rPr>
  </w:style>
  <w:style w:type="character" w:customStyle="1" w:styleId="QuelleZchn">
    <w:name w:val="Quelle Zchn"/>
    <w:link w:val="Quelle"/>
    <w:rsid w:val="006B07F6"/>
    <w:rPr>
      <w:rFonts w:ascii="Calibri" w:hAnsi="Calibri"/>
      <w:color w:val="626262"/>
      <w:sz w:val="18"/>
    </w:rPr>
  </w:style>
  <w:style w:type="character" w:styleId="Platzhaltertext">
    <w:name w:val="Placeholder Text"/>
    <w:basedOn w:val="Absatz-Standardschriftart"/>
    <w:uiPriority w:val="99"/>
    <w:semiHidden/>
    <w:rsid w:val="00726E75"/>
    <w:rPr>
      <w:color w:val="808080"/>
    </w:rPr>
  </w:style>
  <w:style w:type="table" w:styleId="Tabellenraster">
    <w:name w:val="Table Grid"/>
    <w:basedOn w:val="NormaleTabelle"/>
    <w:rsid w:val="00BC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442636"/>
    <w:pPr>
      <w:spacing w:before="20" w:after="20" w:line="240" w:lineRule="auto"/>
      <w:jc w:val="left"/>
    </w:pPr>
    <w:rPr>
      <w:color w:val="000000" w:themeColor="text1"/>
      <w:sz w:val="20"/>
    </w:rPr>
  </w:style>
  <w:style w:type="paragraph" w:customStyle="1" w:styleId="NachAbbTab">
    <w:name w:val="Nach_Abb+Tab"/>
    <w:basedOn w:val="Standard"/>
    <w:next w:val="Standard"/>
    <w:link w:val="NachAbbTabZchn"/>
    <w:qFormat/>
    <w:rsid w:val="009C7647"/>
    <w:pPr>
      <w:spacing w:before="240"/>
    </w:pPr>
  </w:style>
  <w:style w:type="character" w:customStyle="1" w:styleId="NachAbbTabZchn">
    <w:name w:val="Nach_Abb+Tab Zchn"/>
    <w:link w:val="NachAbbTab"/>
    <w:rsid w:val="009C7647"/>
    <w:rPr>
      <w:rFonts w:ascii="Calibri" w:hAnsi="Calibri"/>
      <w:sz w:val="22"/>
    </w:rPr>
  </w:style>
  <w:style w:type="character" w:styleId="Kommentarzeichen">
    <w:name w:val="annotation reference"/>
    <w:basedOn w:val="Absatz-Standardschriftart"/>
    <w:uiPriority w:val="99"/>
    <w:semiHidden/>
    <w:unhideWhenUsed/>
    <w:rsid w:val="000155C5"/>
    <w:rPr>
      <w:sz w:val="16"/>
      <w:szCs w:val="16"/>
    </w:rPr>
  </w:style>
  <w:style w:type="paragraph" w:styleId="Kommentarthema">
    <w:name w:val="annotation subject"/>
    <w:basedOn w:val="Standard"/>
    <w:next w:val="Standard"/>
    <w:link w:val="KommentarthemaZchn"/>
    <w:uiPriority w:val="99"/>
    <w:semiHidden/>
    <w:unhideWhenUsed/>
    <w:rsid w:val="00D26905"/>
    <w:pPr>
      <w:spacing w:line="240" w:lineRule="auto"/>
    </w:pPr>
    <w:rPr>
      <w:b/>
      <w:bCs/>
      <w:sz w:val="20"/>
    </w:rPr>
  </w:style>
  <w:style w:type="character" w:customStyle="1" w:styleId="KommentarthemaZchn">
    <w:name w:val="Kommentarthema Zchn"/>
    <w:basedOn w:val="Absatz-Standardschriftart"/>
    <w:link w:val="Kommentarthema"/>
    <w:uiPriority w:val="99"/>
    <w:semiHidden/>
    <w:rsid w:val="00D26905"/>
    <w:rPr>
      <w:rFonts w:ascii="Calibri" w:hAnsi="Calibri"/>
      <w:b/>
      <w:bCs/>
    </w:rPr>
  </w:style>
  <w:style w:type="character" w:customStyle="1" w:styleId="Autor">
    <w:name w:val="Autor"/>
    <w:basedOn w:val="Absatz-Standardschriftart"/>
    <w:qFormat/>
    <w:rsid w:val="009D59E6"/>
    <w:rPr>
      <w:rFonts w:ascii="Calibri" w:hAnsi="Calibri"/>
      <w:caps w:val="0"/>
      <w:smallCaps/>
      <w:color w:val="000000" w:themeColor="text1"/>
      <w:sz w:val="24"/>
    </w:rPr>
  </w:style>
  <w:style w:type="numbering" w:customStyle="1" w:styleId="Formatvorlage1">
    <w:name w:val="Formatvorlage1"/>
    <w:uiPriority w:val="99"/>
    <w:rsid w:val="00D614EC"/>
    <w:pPr>
      <w:numPr>
        <w:numId w:val="2"/>
      </w:numPr>
    </w:pPr>
  </w:style>
  <w:style w:type="paragraph" w:customStyle="1" w:styleId="Liste-1">
    <w:name w:val="Liste-1"/>
    <w:basedOn w:val="Standard"/>
    <w:qFormat/>
    <w:rsid w:val="00D614EC"/>
    <w:pPr>
      <w:numPr>
        <w:numId w:val="2"/>
      </w:numPr>
      <w:tabs>
        <w:tab w:val="left" w:pos="567"/>
      </w:tabs>
      <w:spacing w:before="80"/>
    </w:pPr>
  </w:style>
  <w:style w:type="numbering" w:customStyle="1" w:styleId="Formatvorlage2">
    <w:name w:val="Formatvorlage2"/>
    <w:uiPriority w:val="99"/>
    <w:rsid w:val="00D614EC"/>
    <w:pPr>
      <w:numPr>
        <w:numId w:val="3"/>
      </w:numPr>
    </w:pPr>
  </w:style>
  <w:style w:type="numbering" w:customStyle="1" w:styleId="Formatvorlage3">
    <w:name w:val="Formatvorlage3"/>
    <w:uiPriority w:val="99"/>
    <w:rsid w:val="00D614EC"/>
    <w:pPr>
      <w:numPr>
        <w:numId w:val="4"/>
      </w:numPr>
    </w:pPr>
  </w:style>
  <w:style w:type="paragraph" w:customStyle="1" w:styleId="Liste-2">
    <w:name w:val="Liste-2"/>
    <w:basedOn w:val="Liste-1"/>
    <w:qFormat/>
    <w:rsid w:val="00D614EC"/>
    <w:pPr>
      <w:numPr>
        <w:numId w:val="35"/>
      </w:numPr>
    </w:pPr>
  </w:style>
  <w:style w:type="paragraph" w:customStyle="1" w:styleId="Liste-3">
    <w:name w:val="Liste-3"/>
    <w:basedOn w:val="Liste-2"/>
    <w:qFormat/>
    <w:rsid w:val="00D614EC"/>
    <w:pPr>
      <w:numPr>
        <w:numId w:val="37"/>
      </w:numPr>
      <w:tabs>
        <w:tab w:val="clear" w:pos="567"/>
      </w:tabs>
    </w:pPr>
  </w:style>
  <w:style w:type="character" w:styleId="BesuchterLink">
    <w:name w:val="FollowedHyperlink"/>
    <w:basedOn w:val="Absatz-Standardschriftart"/>
    <w:uiPriority w:val="99"/>
    <w:semiHidden/>
    <w:unhideWhenUsed/>
    <w:rsid w:val="009C7647"/>
    <w:rPr>
      <w:color w:val="800080" w:themeColor="followedHyperlink"/>
      <w:u w:val="single"/>
    </w:rPr>
  </w:style>
  <w:style w:type="table" w:customStyle="1" w:styleId="Thnen-Tabelle2">
    <w:name w:val="Thünen-Tabelle 2"/>
    <w:basedOn w:val="NormaleTabelle"/>
    <w:uiPriority w:val="99"/>
    <w:rsid w:val="0096678C"/>
    <w:rPr>
      <w:rFonts w:ascii="Calibri" w:hAnsi="Calibri"/>
      <w:color w:val="000000" w:themeColor="text1"/>
    </w:rPr>
    <w:tblPr>
      <w:tblStyleRowBandSize w:val="1"/>
    </w:tblPr>
    <w:tblStylePr w:type="firstRow">
      <w:rPr>
        <w:b/>
        <w:color w:val="FFFFFF" w:themeColor="background1"/>
      </w:rPr>
      <w:tblPr/>
      <w:tcPr>
        <w:shd w:val="clear" w:color="auto" w:fill="008CD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customStyle="1" w:styleId="NichtaufgelsteErwhnung1">
    <w:name w:val="Nicht aufgelöste Erwähnung1"/>
    <w:basedOn w:val="Absatz-Standardschriftart"/>
    <w:uiPriority w:val="99"/>
    <w:semiHidden/>
    <w:unhideWhenUsed/>
    <w:rsid w:val="009C7647"/>
    <w:rPr>
      <w:color w:val="605E5C"/>
      <w:shd w:val="clear" w:color="auto" w:fill="E1DFDD"/>
    </w:rPr>
  </w:style>
  <w:style w:type="character" w:customStyle="1" w:styleId="berschriftohneNumZchn">
    <w:name w:val="Überschrift ohne Num. Zchn"/>
    <w:basedOn w:val="Absatz-Standardschriftart"/>
    <w:link w:val="berschriftohneNum"/>
    <w:rsid w:val="00730001"/>
    <w:rPr>
      <w:rFonts w:ascii="Calibri" w:hAnsi="Calibri"/>
      <w:b/>
      <w:color w:val="008CD2"/>
      <w:sz w:val="28"/>
    </w:rPr>
  </w:style>
  <w:style w:type="table" w:styleId="HelleListe">
    <w:name w:val="Light List"/>
    <w:basedOn w:val="NormaleTabelle"/>
    <w:uiPriority w:val="61"/>
    <w:rsid w:val="00CC166B"/>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ntabelle6farbigAkzent5">
    <w:name w:val="List Table 6 Colorful Accent 5"/>
    <w:basedOn w:val="NormaleTabelle"/>
    <w:uiPriority w:val="51"/>
    <w:rsid w:val="00CC166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HelleSchattierung-Akzent1">
    <w:name w:val="Light Shading Accent 1"/>
    <w:basedOn w:val="NormaleTabelle"/>
    <w:uiPriority w:val="60"/>
    <w:rsid w:val="00CC166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hnen-Tabelle1">
    <w:name w:val="Thünen-Tabelle 1"/>
    <w:basedOn w:val="NormaleTabelle"/>
    <w:uiPriority w:val="99"/>
    <w:rsid w:val="00D26905"/>
    <w:rPr>
      <w:rFonts w:ascii="Calibri" w:hAnsi="Calibri"/>
      <w:color w:val="000000" w:themeColor="text1"/>
    </w:rPr>
    <w:tblPr>
      <w:tblBorders>
        <w:top w:val="single" w:sz="4" w:space="0" w:color="000000" w:themeColor="text1"/>
        <w:bottom w:val="single" w:sz="4" w:space="0" w:color="000000" w:themeColor="text1"/>
      </w:tblBorders>
    </w:tblPr>
    <w:tcPr>
      <w:vAlign w:val="center"/>
    </w:tcPr>
    <w:tblStylePr w:type="firstRow">
      <w:tblPr/>
      <w:tcPr>
        <w:tcBorders>
          <w:top w:val="single" w:sz="4" w:space="0" w:color="000000" w:themeColor="text1"/>
          <w:bottom w:val="single" w:sz="4" w:space="0" w:color="000000" w:themeColor="text1"/>
        </w:tcBorders>
      </w:tcPr>
    </w:tblStylePr>
  </w:style>
  <w:style w:type="paragraph" w:styleId="Beschriftung">
    <w:name w:val="caption"/>
    <w:basedOn w:val="Standard"/>
    <w:next w:val="Standard"/>
    <w:uiPriority w:val="35"/>
    <w:unhideWhenUsed/>
    <w:qFormat/>
    <w:rsid w:val="000B0FA9"/>
    <w:pPr>
      <w:keepNext/>
      <w:tabs>
        <w:tab w:val="left" w:pos="1418"/>
        <w:tab w:val="left" w:pos="2127"/>
      </w:tabs>
      <w:spacing w:before="240" w:after="120"/>
      <w:ind w:left="1418" w:hanging="1418"/>
    </w:pPr>
    <w:rPr>
      <w:b/>
      <w:noProof/>
    </w:rPr>
  </w:style>
  <w:style w:type="character" w:styleId="Hyperlink">
    <w:name w:val="Hyperlink"/>
    <w:basedOn w:val="Absatz-Standardschriftart"/>
    <w:uiPriority w:val="99"/>
    <w:unhideWhenUsed/>
    <w:rsid w:val="007274C8"/>
    <w:rPr>
      <w:color w:val="0000FF" w:themeColor="hyperlink"/>
      <w:u w:val="single"/>
    </w:rPr>
  </w:style>
  <w:style w:type="paragraph" w:customStyle="1" w:styleId="CitaviLiteraturverzeichnis">
    <w:name w:val="Citavi Literaturverzeichnis"/>
    <w:basedOn w:val="Standard"/>
    <w:rsid w:val="003E1D96"/>
    <w:pPr>
      <w:suppressAutoHyphens w:val="0"/>
      <w:spacing w:after="120"/>
    </w:pPr>
    <w:rPr>
      <w:rFonts w:eastAsia="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661010">
      <w:bodyDiv w:val="1"/>
      <w:marLeft w:val="0"/>
      <w:marRight w:val="0"/>
      <w:marTop w:val="0"/>
      <w:marBottom w:val="0"/>
      <w:divBdr>
        <w:top w:val="none" w:sz="0" w:space="0" w:color="auto"/>
        <w:left w:val="none" w:sz="0" w:space="0" w:color="auto"/>
        <w:bottom w:val="none" w:sz="0" w:space="0" w:color="auto"/>
        <w:right w:val="none" w:sz="0" w:space="0" w:color="auto"/>
      </w:divBdr>
    </w:div>
    <w:div w:id="4918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3F3970-C036-449A-9106-4F5499EB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773</Words>
  <Characters>4641</Characters>
  <Application>Microsoft Office Word</Application>
  <DocSecurity>0</DocSecurity>
  <Lines>81</Lines>
  <Paragraphs>37</Paragraphs>
  <ScaleCrop>false</ScaleCrop>
  <HeadingPairs>
    <vt:vector size="2" baseType="variant">
      <vt:variant>
        <vt:lpstr>Titel</vt:lpstr>
      </vt:variant>
      <vt:variant>
        <vt:i4>1</vt:i4>
      </vt:variant>
    </vt:vector>
  </HeadingPairs>
  <TitlesOfParts>
    <vt:vector size="1" baseType="lpstr">
      <vt:lpstr/>
    </vt:vector>
  </TitlesOfParts>
  <Company>Thuenen Institut</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Freund</dc:creator>
  <cp:keywords/>
  <dc:description/>
  <cp:lastModifiedBy>Florian Freund</cp:lastModifiedBy>
  <cp:revision>7</cp:revision>
  <cp:lastPrinted>2025-01-15T19:53:00Z</cp:lastPrinted>
  <dcterms:created xsi:type="dcterms:W3CDTF">2025-01-14T12:42:00Z</dcterms:created>
  <dcterms:modified xsi:type="dcterms:W3CDTF">2025-01-15T19:56:00Z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31557b26-f462-45f0-91c3-e2cfa525a6d7</vt:lpwstr>
  </property>
</Properties>
</file>