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5B64B7" w14:textId="43174403" w:rsidR="0043569E" w:rsidRDefault="0043569E" w:rsidP="0043569E">
      <w:pPr>
        <w:jc w:val="center"/>
        <w:rPr>
          <w:b/>
          <w:bCs/>
          <w:color w:val="2F5496" w:themeColor="accent1" w:themeShade="BF"/>
          <w:sz w:val="28"/>
          <w:szCs w:val="28"/>
        </w:rPr>
      </w:pPr>
      <w:r w:rsidRPr="004219C0">
        <w:rPr>
          <w:b/>
          <w:bCs/>
          <w:color w:val="2F5496" w:themeColor="accent1" w:themeShade="BF"/>
          <w:sz w:val="28"/>
          <w:szCs w:val="28"/>
        </w:rPr>
        <w:t>Carbon Border Adjustment Mechanism (CBAM) Explorer</w:t>
      </w:r>
    </w:p>
    <w:p w14:paraId="12F4B015" w14:textId="77777777" w:rsidR="00651CD9" w:rsidRPr="00651CD9" w:rsidRDefault="00651CD9" w:rsidP="00651CD9">
      <w:pPr>
        <w:jc w:val="both"/>
      </w:pPr>
      <w:r w:rsidRPr="00651CD9">
        <w:t>In December 2022, the EU reached a provisional agreement on the world’s first Carbon Border Adjustment Mechanism (CBAM), which aims to combat climate change and prevent carbon leakage (EP, 2022). The CBAM implementation will start by covering direct emissions from iron and steel, aluminum, cement, fertilizers, and electricity, with a further extension of commodity coverage and emissions’ scope over time.</w:t>
      </w:r>
    </w:p>
    <w:p w14:paraId="5013E32E" w14:textId="77777777" w:rsidR="00651CD9" w:rsidRPr="00651CD9" w:rsidRDefault="00651CD9" w:rsidP="00651CD9">
      <w:pPr>
        <w:jc w:val="both"/>
      </w:pPr>
      <w:r w:rsidRPr="00651CD9">
        <w:t xml:space="preserve">Governments of many EU trading partners have raised concerns about the possible implications of the CBAM for their economies, and several earlier studies have provided an assessment of various CBAM architectures in countries around the world (e.g., Chepeliev, 2021; </w:t>
      </w:r>
      <w:proofErr w:type="spellStart"/>
      <w:r w:rsidRPr="00651CD9">
        <w:t>Magacho</w:t>
      </w:r>
      <w:proofErr w:type="spellEnd"/>
      <w:r w:rsidRPr="00651CD9">
        <w:t xml:space="preserve"> et al., 2022; UNCTAD, 2021; Zhong and Pei, 2022). Overall, these earlier results suggest that at the macro level, implications of the CBAM for EU trading partners would be relatively modest, but selected producers of energy-intensive and trade-exposed goods in such countries, like Russia, China, India, Turkey, and Ukraine, might be impacted substantially. </w:t>
      </w:r>
    </w:p>
    <w:p w14:paraId="25FF357A" w14:textId="77777777" w:rsidR="00651CD9" w:rsidRPr="00651CD9" w:rsidRDefault="00651CD9" w:rsidP="00651CD9">
      <w:pPr>
        <w:jc w:val="both"/>
      </w:pPr>
      <w:r w:rsidRPr="00651CD9">
        <w:t xml:space="preserve">While providing valuable insights into the topic, earlier studies have not adequately considered several essential points, including the uncertainty around CBAM implementation. First, the future architecture of the CBAM, as suggested by the earlier policy discussions and legislations, is flexible and is expected to change over time. The latter would include changing commodity and emissions’ scope coverage. Second, the level of carbon prices in the EU that would be observed in the future is also uncertain and is subject to change depending on the stringency of the mitigation efforts. Third, as most studies utilize the standard Global Trade Analysis Project (GTAP) Data Base (Aguiar et al., 2019) for assessing the CBAM impacts, corresponding analyses suffer from aggregation bias. </w:t>
      </w:r>
      <w:proofErr w:type="gramStart"/>
      <w:r w:rsidRPr="00651CD9">
        <w:t>A number of</w:t>
      </w:r>
      <w:proofErr w:type="gramEnd"/>
      <w:r w:rsidRPr="00651CD9">
        <w:t xml:space="preserve"> commodities that are expected to be covered by the CBAM, such as cement, aluminum or fertilizers, are aggregated within broad GTAP sectors (non-metallic minerals, non-ferrous metals and chemicals, respectively). Finally, most of the earlier studies have a specific geographical focus with a limited set of individual countries included in the assessment.</w:t>
      </w:r>
    </w:p>
    <w:p w14:paraId="4AB35406" w14:textId="17958DE7" w:rsidR="00651CD9" w:rsidRDefault="00651CD9" w:rsidP="00651CD9">
      <w:pPr>
        <w:jc w:val="both"/>
      </w:pPr>
      <w:r w:rsidRPr="00651CD9">
        <w:t xml:space="preserve">In the current study, we aim to address some of the limitations of the earlier studies. Our assessment will start from the most recent Version 11 of the GTAP Data Base, which has the 2017 reference year (Aguiar et al., 2022). This version of the GTAP Data Base, apart from a more up-to-date base year, also includes </w:t>
      </w:r>
      <w:proofErr w:type="gramStart"/>
      <w:r w:rsidRPr="00651CD9">
        <w:t>a number of</w:t>
      </w:r>
      <w:proofErr w:type="gramEnd"/>
      <w:r w:rsidRPr="00651CD9">
        <w:t xml:space="preserve"> methodological improvements relevant to the assessment of the CBAM. The latter consists of a revised treatment of the fossil fuel combustion CO2 emissions and a refined representation of the bilateral energy trade flows. Relying on the GTAP-</w:t>
      </w:r>
      <w:r w:rsidR="00275FB1">
        <w:t xml:space="preserve">Circular economy </w:t>
      </w:r>
      <w:r w:rsidRPr="00651CD9">
        <w:t>version of this Data Base, we will implement selected sectoral splits for the CBAM-relevant commodities following an approach developed by Chepeliev et al. (2022). With this, we will split such commodities like steel (separating casting), cement, aluminum and plastic out of the aggregated GTAP sectors. In the next step, we will develop sectoral and regional aggregation retaining a high level of spatial resolution with a particular focus on developing regions keeping at least 60 individual countries in the aggregation. We will further update the database to the 2030 reference year via a one-step run of the GTAP</w:t>
      </w:r>
      <w:r w:rsidR="00275FB1">
        <w:t xml:space="preserve">-Circular Economy </w:t>
      </w:r>
      <w:r w:rsidRPr="00651CD9">
        <w:t xml:space="preserve">model using the macro assumptions from the most recent World Economic Outlook (IMF, 2022). </w:t>
      </w:r>
    </w:p>
    <w:p w14:paraId="31EA1F27" w14:textId="4188C8CF" w:rsidR="00651CD9" w:rsidRDefault="00651CD9" w:rsidP="00651CD9">
      <w:pPr>
        <w:jc w:val="both"/>
      </w:pPr>
      <w:r w:rsidRPr="00651CD9">
        <w:t xml:space="preserve">The analysis and dissemination of results will be carried out via two channels. First, the results would be used to estimate a wide range of impact assessment indicators across considered CBAM architectures - macro impacts, implications for exports, imports, output, consumer prices, emissions, etc. These results </w:t>
      </w:r>
      <w:r w:rsidRPr="00651CD9">
        <w:lastRenderedPageBreak/>
        <w:t xml:space="preserve">would be used for future visualization and public sharing via an online platform so that an interested user can either bulk download all indicators or select a specific CBAM architecture and visualize the corresponding impacts via the developed platform. We refer to this platform as a “CBAM explorer”. Second, the results would be used to estimate the CBAM exposure index, which is aimed at identifying the most vulnerable countries and commodities under alternative CBAM architectures. The original CBAM exposure index developed by Fischer et al. (2022) is based on the static reflection of the trade flows and emission intensity of the CBAM-related products. In this study, we will use this concept and will </w:t>
      </w:r>
      <w:r w:rsidR="00275FB1" w:rsidRPr="00651CD9">
        <w:t>extend</w:t>
      </w:r>
      <w:r w:rsidRPr="00651CD9">
        <w:t xml:space="preserve"> it with the model-based results, which </w:t>
      </w:r>
      <w:proofErr w:type="gramStart"/>
      <w:r w:rsidRPr="00651CD9">
        <w:t>take into account</w:t>
      </w:r>
      <w:proofErr w:type="gramEnd"/>
      <w:r w:rsidRPr="00651CD9">
        <w:t xml:space="preserve"> trade adjustment and substitution opportunities. This will allow us to identify countries and sectors/commodities that are expected to be the most vulnerable to CBAM under alternative architectures.</w:t>
      </w:r>
    </w:p>
    <w:p w14:paraId="51545722" w14:textId="5D5DDA76" w:rsidR="002C061E" w:rsidRPr="00651CD9" w:rsidRDefault="002C061E" w:rsidP="00651CD9">
      <w:pPr>
        <w:jc w:val="both"/>
      </w:pPr>
      <w:r w:rsidRPr="003E163F">
        <w:t>To quantify the impacts of the Carbon Border Adjustment Mechanism (CBAM) we implemented a static computable general equilibrium (CGE) model, while incorporating a Circular Economy database (GTAP-CE).</w:t>
      </w:r>
      <w:r w:rsidRPr="005E51C7">
        <w:t xml:space="preserve"> The </w:t>
      </w:r>
      <w:r>
        <w:t xml:space="preserve">GTAP-CE </w:t>
      </w:r>
      <w:r w:rsidRPr="005E51C7">
        <w:t>covers 99 sectors and provides detailed representations of primary, secondary, and recycling activities for metals (steel, aluminum, copper, and other metals) and plastics, as well as disaggregated activities for cement and fertilizers.</w:t>
      </w:r>
      <w:r>
        <w:t xml:space="preserve"> It would also be</w:t>
      </w:r>
      <w:r w:rsidRPr="005E51C7">
        <w:t xml:space="preserve"> </w:t>
      </w:r>
      <w:r w:rsidRPr="00651CD9">
        <w:t xml:space="preserve">covering a plausible range of CBAM configurations at a highly disaggregated regional level with a detailed representation of individual developing countries. </w:t>
      </w:r>
      <w:r w:rsidRPr="005E51C7">
        <w:t xml:space="preserve">As a baseline, we impose a uniform carbon price of $100 per </w:t>
      </w:r>
      <w:proofErr w:type="spellStart"/>
      <w:r w:rsidRPr="005E51C7">
        <w:t>tCO</w:t>
      </w:r>
      <w:proofErr w:type="spellEnd"/>
      <w:r w:rsidRPr="005E51C7">
        <w:t>₂ across all sectors in the European Union (including both ETS and non-ETS sectors), while maintaining 90% free allocations in the fertilizers, cement, iron and steel, and aluminum industries. This baseline serves as the reference point for evaluating the introduction of CBAM under two policy configurations</w:t>
      </w:r>
      <w:r>
        <w:t>-</w:t>
      </w:r>
      <w:r w:rsidRPr="005E51C7">
        <w:t>both of which remove free allocations in the covered sectors. In the first scenario,</w:t>
      </w:r>
      <w:r>
        <w:t xml:space="preserve"> the current</w:t>
      </w:r>
      <w:r w:rsidRPr="005E51C7">
        <w:t xml:space="preserve"> CBAM</w:t>
      </w:r>
      <w:r>
        <w:t>, it</w:t>
      </w:r>
      <w:r w:rsidRPr="005E51C7">
        <w:t xml:space="preserve"> is applied to Scope 1 emissions for all covered sectors and to Scope 2 emissions in cement, fertilizers, and electricity. In the second scenario, </w:t>
      </w:r>
      <w:r>
        <w:t xml:space="preserve">the expanded CBAM, </w:t>
      </w:r>
      <w:r w:rsidRPr="005E51C7">
        <w:t>coverage is expanded to both Scope 1 and Scope 2 emissions across all CBAM-covered sectors (</w:t>
      </w:r>
      <w:r>
        <w:t xml:space="preserve">iron and </w:t>
      </w:r>
      <w:r w:rsidRPr="005E51C7">
        <w:t>steel, aluminum, fertilizers, cement, and electricity).</w:t>
      </w:r>
    </w:p>
    <w:p w14:paraId="6D600BDA" w14:textId="0FC45E4B" w:rsidR="00662309" w:rsidRDefault="007D2BF4" w:rsidP="007D2BF4">
      <w:pPr>
        <w:jc w:val="both"/>
      </w:pPr>
      <w:r w:rsidRPr="007D2BF4">
        <w:t xml:space="preserve">The introduction of a unilateral high carbon price—set at approximately $100 per ton of CO₂—has been shown to slightly reduce global welfare, with the most pronounced losses occurring </w:t>
      </w:r>
      <w:r w:rsidR="00662309">
        <w:t xml:space="preserve">due </w:t>
      </w:r>
      <w:r w:rsidRPr="007D2BF4">
        <w:t>the European Union. This result is primarily attributable to higher production costs and a consequent decline in competitiveness for EU industries. Overall, the decrease in global GDP is modest (approximately 0.17%), while the EU itself experiences a GDP decline of less than 1%</w:t>
      </w:r>
      <w:r w:rsidR="00304773">
        <w:t>.</w:t>
      </w:r>
      <w:r w:rsidR="003403DE">
        <w:t xml:space="preserve"> </w:t>
      </w:r>
    </w:p>
    <w:p w14:paraId="14240D9F" w14:textId="3FF8EE0A" w:rsidR="007D2BF4" w:rsidRDefault="003403DE" w:rsidP="00662309">
      <w:pPr>
        <w:jc w:val="both"/>
      </w:pPr>
      <w:r>
        <w:t xml:space="preserve">In terms of welfare, the EU </w:t>
      </w:r>
      <w:r w:rsidR="00275FB1">
        <w:t>sees</w:t>
      </w:r>
      <w:r>
        <w:t xml:space="preserve"> a loss of $122 billion dollars, while the rest of the World of $17 billion dollars. </w:t>
      </w:r>
      <w:r w:rsidR="007D2BF4" w:rsidRPr="007D2BF4">
        <w:t>Fossil-fuel-dependent regions, including Russia, Saudi Arabia, and parts of Western Asia, emerge as the most adversely affected</w:t>
      </w:r>
      <w:r w:rsidR="00662309">
        <w:t xml:space="preserve"> in terms of welfare</w:t>
      </w:r>
      <w:r w:rsidR="007D2BF4" w:rsidRPr="007D2BF4">
        <w:t>. These countries face significant economic challenges due to a drop in fossil fuel exports, particularly oil and gas, to the EU. The reduced demand in Europe, driven by the carbon price, directly translates into lower revenues for these regions.</w:t>
      </w:r>
      <w:r w:rsidR="00662309">
        <w:t xml:space="preserve"> </w:t>
      </w:r>
      <w:r w:rsidR="007D2BF4" w:rsidRPr="007D2BF4">
        <w:t xml:space="preserve">In contrast, high-income regions in Asia, along with major economies such as China, India, and the USA, tend to benefit from the policy. </w:t>
      </w:r>
    </w:p>
    <w:p w14:paraId="59B0B057" w14:textId="77777777" w:rsidR="002C061E" w:rsidRDefault="002C061E" w:rsidP="00662309">
      <w:pPr>
        <w:jc w:val="both"/>
      </w:pPr>
    </w:p>
    <w:p w14:paraId="7B5431E4" w14:textId="77777777" w:rsidR="002C061E" w:rsidRDefault="002C061E" w:rsidP="00662309">
      <w:pPr>
        <w:jc w:val="both"/>
      </w:pPr>
    </w:p>
    <w:p w14:paraId="0561B91C" w14:textId="77777777" w:rsidR="002C061E" w:rsidRDefault="002C061E" w:rsidP="00662309">
      <w:pPr>
        <w:jc w:val="both"/>
      </w:pPr>
    </w:p>
    <w:p w14:paraId="5773D10A" w14:textId="77777777" w:rsidR="002C061E" w:rsidRDefault="002C061E" w:rsidP="00662309">
      <w:pPr>
        <w:jc w:val="both"/>
      </w:pPr>
    </w:p>
    <w:p w14:paraId="29D8CC5D" w14:textId="77777777" w:rsidR="002C061E" w:rsidRDefault="002C061E" w:rsidP="00662309">
      <w:pPr>
        <w:jc w:val="both"/>
      </w:pPr>
    </w:p>
    <w:p w14:paraId="0AFD2323" w14:textId="77777777" w:rsidR="002C061E" w:rsidRDefault="002C061E" w:rsidP="00662309">
      <w:pPr>
        <w:jc w:val="both"/>
      </w:pPr>
    </w:p>
    <w:p w14:paraId="36CD1BAC" w14:textId="58CD88A1" w:rsidR="00EA4ACC" w:rsidRDefault="00EA4ACC" w:rsidP="00662309">
      <w:pPr>
        <w:jc w:val="both"/>
      </w:pPr>
      <w:r w:rsidRPr="00EA4ACC">
        <w:rPr>
          <w:noProof/>
        </w:rPr>
        <w:drawing>
          <wp:inline distT="0" distB="0" distL="0" distR="0" wp14:anchorId="5FFF5DC1" wp14:editId="7F533E2E">
            <wp:extent cx="5943600" cy="2769235"/>
            <wp:effectExtent l="0" t="0" r="0" b="12065"/>
            <wp:docPr id="874371116" name="Chart 1">
              <a:extLst xmlns:a="http://schemas.openxmlformats.org/drawingml/2006/main">
                <a:ext uri="{FF2B5EF4-FFF2-40B4-BE49-F238E27FC236}">
                  <a16:creationId xmlns:a16="http://schemas.microsoft.com/office/drawing/2014/main" id="{6C55D491-7B37-1FDE-2652-025AC0EF4DF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331FA69A" w14:textId="79758714" w:rsidR="00EA4ACC" w:rsidRDefault="00EA4ACC" w:rsidP="00EA4ACC">
      <w:pPr>
        <w:spacing w:after="0"/>
        <w:jc w:val="both"/>
        <w:rPr>
          <w:i/>
          <w:iCs/>
        </w:rPr>
      </w:pPr>
      <w:r w:rsidRPr="00EA4ACC">
        <w:rPr>
          <w:i/>
          <w:iCs/>
        </w:rPr>
        <w:t>Source: Author’s calculations</w:t>
      </w:r>
    </w:p>
    <w:p w14:paraId="6DE54E08" w14:textId="77777777" w:rsidR="00EA4ACC" w:rsidRPr="00EA4ACC" w:rsidRDefault="00EA4ACC" w:rsidP="00EA4ACC">
      <w:pPr>
        <w:spacing w:after="0"/>
        <w:jc w:val="both"/>
        <w:rPr>
          <w:i/>
          <w:iCs/>
        </w:rPr>
      </w:pPr>
    </w:p>
    <w:p w14:paraId="259CD8E9" w14:textId="5DA98CB5" w:rsidR="00EA4ACC" w:rsidRPr="00EA4ACC" w:rsidRDefault="00EA4ACC" w:rsidP="00662309">
      <w:pPr>
        <w:jc w:val="both"/>
        <w:rPr>
          <w:i/>
          <w:iCs/>
        </w:rPr>
      </w:pPr>
      <w:r w:rsidRPr="00EA4ACC">
        <w:rPr>
          <w:i/>
          <w:iCs/>
          <w:noProof/>
        </w:rPr>
        <w:drawing>
          <wp:inline distT="0" distB="0" distL="0" distR="0" wp14:anchorId="4C87EA46" wp14:editId="10EF8118">
            <wp:extent cx="5909310" cy="3592830"/>
            <wp:effectExtent l="0" t="0" r="15240" b="7620"/>
            <wp:docPr id="47319253" name="Chart 1">
              <a:extLst xmlns:a="http://schemas.openxmlformats.org/drawingml/2006/main">
                <a:ext uri="{FF2B5EF4-FFF2-40B4-BE49-F238E27FC236}">
                  <a16:creationId xmlns:a16="http://schemas.microsoft.com/office/drawing/2014/main" id="{2BB6F327-6DB4-0C0D-A912-7AA96693336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7A098428" w14:textId="23923724" w:rsidR="00EA4ACC" w:rsidRPr="00EA4ACC" w:rsidRDefault="00EA4ACC" w:rsidP="00EA4ACC">
      <w:pPr>
        <w:spacing w:after="0"/>
        <w:jc w:val="both"/>
        <w:rPr>
          <w:i/>
          <w:iCs/>
        </w:rPr>
      </w:pPr>
      <w:r w:rsidRPr="00EA4ACC">
        <w:rPr>
          <w:i/>
          <w:iCs/>
        </w:rPr>
        <w:t>Note: This graph excludes data from the European Union.</w:t>
      </w:r>
    </w:p>
    <w:p w14:paraId="267560A9" w14:textId="06696036" w:rsidR="00EA4ACC" w:rsidRPr="00EA4ACC" w:rsidRDefault="00EA4ACC" w:rsidP="00EA4ACC">
      <w:pPr>
        <w:spacing w:after="0"/>
        <w:jc w:val="both"/>
        <w:rPr>
          <w:i/>
          <w:iCs/>
        </w:rPr>
      </w:pPr>
      <w:r w:rsidRPr="00EA4ACC">
        <w:rPr>
          <w:i/>
          <w:iCs/>
        </w:rPr>
        <w:t>Source: Author's calculations</w:t>
      </w:r>
    </w:p>
    <w:p w14:paraId="2BF98110" w14:textId="77777777" w:rsidR="00EA4ACC" w:rsidRPr="007D2BF4" w:rsidRDefault="00EA4ACC" w:rsidP="00EA4ACC">
      <w:pPr>
        <w:spacing w:after="0"/>
        <w:jc w:val="both"/>
        <w:rPr>
          <w:b/>
          <w:bCs/>
        </w:rPr>
      </w:pPr>
    </w:p>
    <w:p w14:paraId="1DD7502A" w14:textId="7BA2353B" w:rsidR="00662309" w:rsidRDefault="00662309" w:rsidP="007D2BF4">
      <w:pPr>
        <w:jc w:val="both"/>
      </w:pPr>
      <w:r>
        <w:lastRenderedPageBreak/>
        <w:t>The carbon price shows to be effective in</w:t>
      </w:r>
      <w:r w:rsidR="007D2BF4" w:rsidRPr="007D2BF4">
        <w:t xml:space="preserve"> significant</w:t>
      </w:r>
      <w:r>
        <w:t>ly</w:t>
      </w:r>
      <w:r w:rsidR="007D2BF4" w:rsidRPr="007D2BF4">
        <w:t xml:space="preserve"> </w:t>
      </w:r>
      <w:r w:rsidR="00524182" w:rsidRPr="007D2BF4">
        <w:t>reduc</w:t>
      </w:r>
      <w:r w:rsidR="00524182">
        <w:t>ing</w:t>
      </w:r>
      <w:r w:rsidR="007D2BF4" w:rsidRPr="007D2BF4">
        <w:t xml:space="preserve"> EU emissions—by around 27%. However, this reduction is somewhat tempered at the global level, with an </w:t>
      </w:r>
      <w:proofErr w:type="gramStart"/>
      <w:r w:rsidR="007D2BF4" w:rsidRPr="007D2BF4">
        <w:t>overall emissions</w:t>
      </w:r>
      <w:proofErr w:type="gramEnd"/>
      <w:r w:rsidR="007D2BF4" w:rsidRPr="007D2BF4">
        <w:t xml:space="preserve"> decrease of only about 1%</w:t>
      </w:r>
      <w:r w:rsidR="00524182">
        <w:t xml:space="preserve">, while the rest of the world sees an increase of emissions of 0.9%. </w:t>
      </w:r>
      <w:r w:rsidR="00524182" w:rsidRPr="00524182">
        <w:t xml:space="preserve">Rising emissions in the rest of Europe, the USA, and Russia illustrate carbon leakage, as higher production costs within the EU prompt a shift of economic activity to more competitive regions </w:t>
      </w:r>
      <w:r w:rsidR="00836EF1">
        <w:t>that do not have an</w:t>
      </w:r>
      <w:r w:rsidR="00524182" w:rsidRPr="00524182">
        <w:t xml:space="preserve"> equivalent carbon pricing.</w:t>
      </w:r>
    </w:p>
    <w:p w14:paraId="326F7D19" w14:textId="3C1B83A7" w:rsidR="007D2BF4" w:rsidRPr="007D2BF4" w:rsidRDefault="007D2BF4" w:rsidP="007D2BF4">
      <w:pPr>
        <w:jc w:val="both"/>
      </w:pPr>
      <w:r w:rsidRPr="007D2BF4">
        <w:t xml:space="preserve">The introduction of </w:t>
      </w:r>
      <w:r w:rsidR="00836EF1">
        <w:t>the</w:t>
      </w:r>
      <w:r w:rsidRPr="007D2BF4">
        <w:t xml:space="preserve"> carbon price notably curtails the export of fossil fuels from key energy-producing regions. Specifically, exports of coal, gas, and oil to the EU decline substantially by around 2% (equating to approximately $165 billion). The reduction in energy imports into the EU is particularly pronounced for countries such as the USA, Russia, Saudi Arabia, Qatar, and Nigeria. For example, Russia experiences a marked downturn in exports of oil, gas, and coal to the EU. Similarly, while the USA registers </w:t>
      </w:r>
      <w:r w:rsidR="001168E2" w:rsidRPr="007D2BF4">
        <w:t>decline</w:t>
      </w:r>
      <w:r w:rsidRPr="007D2BF4">
        <w:t xml:space="preserve"> in sectors including other services, general manufacturing, and oil products, China is primarily affected in its electronics and manufacturing sectors.</w:t>
      </w:r>
      <w:r w:rsidR="00836EF1">
        <w:t xml:space="preserve"> </w:t>
      </w:r>
      <w:r w:rsidRPr="007D2BF4">
        <w:t xml:space="preserve">Moreover, trade patterns indicate a significant diversion of energy trade away from the EU. Fossil fuel exporting countries such as Saudi Arabia, Qatar, and Nigeria face notable challenges, as their </w:t>
      </w:r>
      <w:r w:rsidR="00836EF1">
        <w:t>EU</w:t>
      </w:r>
      <w:r w:rsidRPr="007D2BF4">
        <w:t xml:space="preserve"> markets shrink in response to the increased carbon cost.</w:t>
      </w:r>
      <w:r w:rsidR="00836EF1">
        <w:t xml:space="preserve"> While redirecting trade to regions like</w:t>
      </w:r>
      <w:r w:rsidRPr="007D2BF4">
        <w:t xml:space="preserve"> High-Income Asia, China, and India, are positioned to capture a larger share of trade in the affected commodities.</w:t>
      </w:r>
    </w:p>
    <w:p w14:paraId="7B983036" w14:textId="026B725F" w:rsidR="001168E2" w:rsidRDefault="001168E2" w:rsidP="007D2BF4">
      <w:pPr>
        <w:jc w:val="both"/>
      </w:pPr>
      <w:r>
        <w:t>T</w:t>
      </w:r>
      <w:r w:rsidR="007D2BF4" w:rsidRPr="007D2BF4">
        <w:t xml:space="preserve">he unilateral imposition of a high carbon price within the EU achieves a considerable reduction in domestic emissions at the cost of welfare losses, while simultaneously </w:t>
      </w:r>
      <w:r w:rsidR="00836EF1" w:rsidRPr="007D2BF4">
        <w:t>prompting</w:t>
      </w:r>
      <w:r w:rsidR="007D2BF4" w:rsidRPr="007D2BF4">
        <w:t xml:space="preserve"> shifts in global production and trade patterns. Fossil-fuel-dependent regions suffer disproportionately due to decreased demand, whereas emerging economies and industrial powerhouses stand to gain from the resultant competitive shifts. </w:t>
      </w:r>
      <w:r>
        <w:t>The CBAM plays</w:t>
      </w:r>
      <w:r w:rsidRPr="001168E2">
        <w:t xml:space="preserve"> </w:t>
      </w:r>
      <w:r>
        <w:t>an</w:t>
      </w:r>
      <w:r w:rsidRPr="001168E2">
        <w:t xml:space="preserve"> essential </w:t>
      </w:r>
      <w:r>
        <w:t xml:space="preserve">role </w:t>
      </w:r>
      <w:r w:rsidRPr="001168E2">
        <w:t>b</w:t>
      </w:r>
      <w:r>
        <w:t>y d</w:t>
      </w:r>
      <w:r w:rsidRPr="001168E2">
        <w:t>irectly address</w:t>
      </w:r>
      <w:r>
        <w:t>ing</w:t>
      </w:r>
      <w:r w:rsidRPr="001168E2">
        <w:t xml:space="preserve"> the risk of carbon leakage by ensuring that imports are subject to similar carbon costs as domestic production. This mechanism not only preserves the environmental integrity of the EU’s climate policy but also protects domestic industries by leveling the playing field, thereby preventing the relocation of production to regions with less stringent environmental standards.</w:t>
      </w:r>
    </w:p>
    <w:p w14:paraId="549351FC" w14:textId="207C4C31" w:rsidR="001168E2" w:rsidRDefault="001168E2" w:rsidP="007D2BF4">
      <w:pPr>
        <w:jc w:val="both"/>
      </w:pPr>
      <w:r>
        <w:t>With the implementation of the CBAM exports to</w:t>
      </w:r>
      <w:r w:rsidRPr="001168E2">
        <w:t xml:space="preserve"> the EU </w:t>
      </w:r>
      <w:r>
        <w:t>of</w:t>
      </w:r>
      <w:r w:rsidRPr="001168E2">
        <w:t xml:space="preserve"> carbon-intensive sectors—such as fossil fuel-generated electricity, fertilizers, and cement—</w:t>
      </w:r>
      <w:r w:rsidR="001C0E3F">
        <w:t xml:space="preserve"> </w:t>
      </w:r>
      <w:r w:rsidRPr="001168E2">
        <w:t xml:space="preserve">experienced a notable decline, while fossil fuel exports have similarly decreased due to diminished demand amid the broader shift toward renewable and clean energy sources. In contrast, imports of clean energy into the EU have surged, underscoring a growing market preference for sustainable energy alternatives. In the expanded CBAM scenario—which features comprehensive Carbon Border Adjustment Mechanism coverage for both Scope 1 and Scope 2 emissions across all relevant sectors, including iron, steel, and </w:t>
      </w:r>
      <w:proofErr w:type="gramStart"/>
      <w:r w:rsidRPr="001168E2">
        <w:t>aluminum—</w:t>
      </w:r>
      <w:proofErr w:type="gramEnd"/>
      <w:r w:rsidRPr="001168E2">
        <w:t xml:space="preserve">there is a markedly higher reduction in imports of </w:t>
      </w:r>
      <w:r w:rsidR="00C64A22">
        <w:t xml:space="preserve">the additional </w:t>
      </w:r>
      <w:r w:rsidRPr="001168E2">
        <w:t>heavy industries compared to the limited Scope 2 CBAM scenario</w:t>
      </w:r>
      <w:r w:rsidR="00C64A22">
        <w:t>.</w:t>
      </w:r>
    </w:p>
    <w:p w14:paraId="2EE45F77" w14:textId="77777777" w:rsidR="002C061E" w:rsidRDefault="002C061E" w:rsidP="007D2BF4">
      <w:pPr>
        <w:jc w:val="both"/>
      </w:pPr>
    </w:p>
    <w:p w14:paraId="4F2233E7" w14:textId="2CFA7AD2" w:rsidR="002C061E" w:rsidRDefault="002C061E" w:rsidP="007D2BF4">
      <w:pPr>
        <w:jc w:val="both"/>
      </w:pPr>
      <w:r w:rsidRPr="002C061E">
        <w:rPr>
          <w:noProof/>
        </w:rPr>
        <w:lastRenderedPageBreak/>
        <w:drawing>
          <wp:inline distT="0" distB="0" distL="0" distR="0" wp14:anchorId="20469B10" wp14:editId="2BA72D5F">
            <wp:extent cx="5787390" cy="7391400"/>
            <wp:effectExtent l="0" t="0" r="3810" b="0"/>
            <wp:docPr id="523361825" name="Chart 1">
              <a:extLst xmlns:a="http://schemas.openxmlformats.org/drawingml/2006/main">
                <a:ext uri="{FF2B5EF4-FFF2-40B4-BE49-F238E27FC236}">
                  <a16:creationId xmlns:a16="http://schemas.microsoft.com/office/drawing/2014/main" id="{7A6A1E29-6AA8-D075-6CAE-4550F295167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3064BAD" w14:textId="77777777" w:rsidR="002C061E" w:rsidRPr="00EA4ACC" w:rsidRDefault="002C061E" w:rsidP="002C061E">
      <w:pPr>
        <w:spacing w:after="0"/>
        <w:jc w:val="both"/>
        <w:rPr>
          <w:i/>
          <w:iCs/>
        </w:rPr>
      </w:pPr>
      <w:r w:rsidRPr="00EA4ACC">
        <w:rPr>
          <w:i/>
          <w:iCs/>
        </w:rPr>
        <w:t>Source: Author's calculations</w:t>
      </w:r>
    </w:p>
    <w:p w14:paraId="47A54C87" w14:textId="77777777" w:rsidR="002C061E" w:rsidRDefault="002C061E" w:rsidP="007D2BF4">
      <w:pPr>
        <w:jc w:val="both"/>
      </w:pPr>
    </w:p>
    <w:p w14:paraId="64B1A622" w14:textId="51EDDA83" w:rsidR="001C0E3F" w:rsidRPr="001C0E3F" w:rsidRDefault="001C0E3F" w:rsidP="001C0E3F">
      <w:pPr>
        <w:jc w:val="both"/>
      </w:pPr>
      <w:r w:rsidRPr="001C0E3F">
        <w:lastRenderedPageBreak/>
        <w:t xml:space="preserve">Under the current CBAM, </w:t>
      </w:r>
      <w:r w:rsidR="0021449A">
        <w:t xml:space="preserve">the rest of the </w:t>
      </w:r>
      <w:r w:rsidR="00275FB1">
        <w:t>world’s</w:t>
      </w:r>
      <w:r w:rsidRPr="001C0E3F">
        <w:t xml:space="preserve"> emissions are nearly zero, although they remain marginally higher than in the expanded scenario, resulting in a minimal level of carbon leakage despite efforts to level the playing field. In contrast, the expanded scenario</w:t>
      </w:r>
      <w:r>
        <w:t xml:space="preserve"> </w:t>
      </w:r>
      <w:r w:rsidRPr="001C0E3F">
        <w:t>reduces carbon leakage to effectively zero.</w:t>
      </w:r>
      <w:r>
        <w:t xml:space="preserve"> </w:t>
      </w:r>
      <w:r w:rsidRPr="001C0E3F">
        <w:t xml:space="preserve">In both frameworks, the principal driver of global emissions decline is the significant reduction in EU emissions, which dropped by nearly 16% (approximately </w:t>
      </w:r>
      <w:r>
        <w:t>440 million tons of CO2</w:t>
      </w:r>
      <w:r w:rsidRPr="001C0E3F">
        <w:t>). This notable decrease is pivotal in steering the overall reduction in emissions on a global scale</w:t>
      </w:r>
      <w:r w:rsidR="0021449A">
        <w:t>, which declined around -1.3% (443 million tons of CO2).</w:t>
      </w:r>
    </w:p>
    <w:p w14:paraId="0E3F5B9E" w14:textId="6E307A00" w:rsidR="001C0E3F" w:rsidRPr="001C0E3F" w:rsidRDefault="001C0E3F" w:rsidP="001C0E3F">
      <w:pPr>
        <w:jc w:val="both"/>
      </w:pPr>
      <w:r w:rsidRPr="001C0E3F">
        <w:t>Global welfare declines by around USD 144.1 billion under the current CBAM and by USD 144.7 billion under the expanded scenario, with the bulk of these losses—approximately USD 129 billion—concentrated within the EU. These figures highlight the substantial domestic cost associated with such unilateral carbon pricing, despite the environmental benefits. Meanwhile, the impact on global GDP remains relatively contained, with a minor decline of about 0.17% (roughly USD 141 billion). This modest global GDP contraction is largely attributable to the EU’s own GDP decline of approximately 0.7% (around USD 143 billion).</w:t>
      </w:r>
    </w:p>
    <w:p w14:paraId="62B77122" w14:textId="3D418D74" w:rsidR="00C76DF3" w:rsidRDefault="00C76DF3" w:rsidP="00C76DF3">
      <w:pPr>
        <w:jc w:val="both"/>
      </w:pPr>
      <w:r w:rsidRPr="00C76DF3">
        <w:t xml:space="preserve">In </w:t>
      </w:r>
      <w:r w:rsidR="00DC1912">
        <w:t>conclusion</w:t>
      </w:r>
      <w:r w:rsidRPr="00C76DF3">
        <w:t xml:space="preserve">, this study provides a </w:t>
      </w:r>
      <w:r w:rsidR="00DC1912">
        <w:t>quantitative analysis of the</w:t>
      </w:r>
      <w:r w:rsidRPr="00C76DF3">
        <w:t xml:space="preserve"> Carbon Border Adjustment Mechanism (CBAM) by leveraging a static computable general equilibrium model that integrates the enhanced GTAP-CE database. By incorporating </w:t>
      </w:r>
      <w:r w:rsidR="00DC1912">
        <w:t xml:space="preserve">a more granular database </w:t>
      </w:r>
      <w:r w:rsidRPr="00C76DF3">
        <w:t xml:space="preserve">this analysis </w:t>
      </w:r>
      <w:r w:rsidR="00DC1912">
        <w:t>offers a more comprehensive understanding of the CBAM results than previously possible in CGE analysis.</w:t>
      </w:r>
      <w:r w:rsidRPr="00C76DF3">
        <w:t xml:space="preserve"> </w:t>
      </w:r>
    </w:p>
    <w:p w14:paraId="4B173DBD" w14:textId="57F0145A" w:rsidR="00DC1912" w:rsidRPr="00C76DF3" w:rsidRDefault="00DC1912" w:rsidP="00C76DF3">
      <w:pPr>
        <w:jc w:val="both"/>
      </w:pPr>
      <w:r w:rsidRPr="00DC1912">
        <w:t>Under a carbon price scenario—with a uniform carbon price of USD 100 per ton and partial free allocations—the EU achieves substantial emissions reductions (nearly 27%</w:t>
      </w:r>
      <w:r>
        <w:t>)</w:t>
      </w:r>
      <w:r w:rsidR="00246685">
        <w:t xml:space="preserve">, while global </w:t>
      </w:r>
      <w:r w:rsidR="00C64A22">
        <w:t>emissions</w:t>
      </w:r>
      <w:r w:rsidR="00246685">
        <w:t xml:space="preserve"> would have a relatively small reduction (around 2%) with the rest of world seeing an increase of emissions (around 0.9%) and thus reflecting carbon leakage.</w:t>
      </w:r>
      <w:r>
        <w:t xml:space="preserve"> </w:t>
      </w:r>
      <w:r w:rsidR="0066203C">
        <w:t>Global</w:t>
      </w:r>
      <w:r w:rsidRPr="00DC1912">
        <w:t xml:space="preserve"> GDP impacts</w:t>
      </w:r>
      <w:r w:rsidR="00246685">
        <w:t xml:space="preserve"> are modest</w:t>
      </w:r>
      <w:r w:rsidRPr="00DC1912">
        <w:t xml:space="preserve"> (around </w:t>
      </w:r>
      <w:r>
        <w:t>0.</w:t>
      </w:r>
      <w:r w:rsidR="0066203C">
        <w:t>17</w:t>
      </w:r>
      <w:r w:rsidRPr="00DC1912">
        <w:t xml:space="preserve">%) </w:t>
      </w:r>
      <w:r w:rsidR="00246685">
        <w:t>with</w:t>
      </w:r>
      <w:r w:rsidR="003403DE">
        <w:t xml:space="preserve"> a</w:t>
      </w:r>
      <w:r w:rsidRPr="00DC1912">
        <w:t xml:space="preserve"> domestic welfare los</w:t>
      </w:r>
      <w:r w:rsidR="003403DE">
        <w:t xml:space="preserve">s of </w:t>
      </w:r>
      <w:r w:rsidR="0066203C">
        <w:t>138</w:t>
      </w:r>
      <w:r w:rsidR="003403DE">
        <w:t xml:space="preserve"> billion dollars</w:t>
      </w:r>
      <w:r w:rsidRPr="00DC1912">
        <w:t xml:space="preserve">. In contrast, when the CBAM is introduced (either the current version or an expanded one), </w:t>
      </w:r>
      <w:r w:rsidR="00246685">
        <w:t xml:space="preserve">carbon leakage is avoided with negligible emissions in the rest of the world, with </w:t>
      </w:r>
      <w:r w:rsidR="0066203C">
        <w:t>global emissions declining an additional 1.3%.</w:t>
      </w:r>
      <w:r w:rsidR="00246685">
        <w:t xml:space="preserve"> </w:t>
      </w:r>
      <w:r w:rsidRPr="00DC1912">
        <w:t xml:space="preserve">the overall global GDP contraction </w:t>
      </w:r>
      <w:r w:rsidR="003403DE">
        <w:t>by around</w:t>
      </w:r>
      <w:r w:rsidRPr="00DC1912">
        <w:t xml:space="preserve"> 0.17%, </w:t>
      </w:r>
      <w:r w:rsidR="0066203C">
        <w:t>and a global welfare decline of 144.7 billion dollars</w:t>
      </w:r>
      <w:r w:rsidRPr="00DC1912">
        <w:t xml:space="preserve">. Moreover, while the carbon price alone triggers </w:t>
      </w:r>
      <w:r w:rsidR="003403DE" w:rsidRPr="00DC1912">
        <w:t>shift</w:t>
      </w:r>
      <w:r w:rsidRPr="00DC1912">
        <w:t xml:space="preserve"> in trade by reducing fossil fuel exports from carbon-intensive regions, the CBAM reinforces these changes by aligning import costs with domestic production costs, effectively curbing carbon </w:t>
      </w:r>
      <w:proofErr w:type="gramStart"/>
      <w:r w:rsidRPr="00DC1912">
        <w:t>leakage—</w:t>
      </w:r>
      <w:proofErr w:type="gramEnd"/>
      <w:r w:rsidRPr="00DC1912">
        <w:t>especially under the expanded scenario, where leakage is nearly eliminated.</w:t>
      </w:r>
    </w:p>
    <w:p w14:paraId="6B00EA1A" w14:textId="2EFED64A" w:rsidR="003E163F" w:rsidRDefault="00C76DF3" w:rsidP="003E163F">
      <w:pPr>
        <w:jc w:val="both"/>
      </w:pPr>
      <w:r w:rsidRPr="00C76DF3">
        <w:t xml:space="preserve">The methodological advancements and publicly available visualization tools developed through this work offer vital insights and a robust framework for decision-making. </w:t>
      </w:r>
      <w:r w:rsidR="00E761CB" w:rsidRPr="00E761CB">
        <w:t xml:space="preserve">As such, the study is poised to benefit </w:t>
      </w:r>
      <w:r w:rsidR="00E761CB">
        <w:t xml:space="preserve">the current discussion on CBAM and related policies </w:t>
      </w:r>
      <w:r w:rsidR="00E761CB" w:rsidRPr="00E761CB">
        <w:t>by providing clear insights into the interplay between carbon pricing and CBAM policies. By highlighting the comparative impacts on welfare, emissions, and trade dynamics, the analysis fosters a more comprehensive discussion that can inform both academic debate and policy design, supporting informed decision-making and enhancing the overall dialogue on effective climate policy strategies.</w:t>
      </w:r>
    </w:p>
    <w:p w14:paraId="48B4200D" w14:textId="77777777" w:rsidR="003E163F" w:rsidRDefault="003E163F" w:rsidP="00651CD9">
      <w:pPr>
        <w:jc w:val="both"/>
      </w:pPr>
    </w:p>
    <w:p w14:paraId="284A9708" w14:textId="77777777" w:rsidR="00651CD9" w:rsidRDefault="00651CD9">
      <w:r>
        <w:br w:type="page"/>
      </w:r>
    </w:p>
    <w:p w14:paraId="1A370D8A" w14:textId="6063D1A2" w:rsidR="004219C0" w:rsidRPr="005E35FB" w:rsidRDefault="004219C0" w:rsidP="00651CD9">
      <w:pPr>
        <w:pStyle w:val="Heading1"/>
        <w:rPr>
          <w:sz w:val="28"/>
          <w:szCs w:val="28"/>
        </w:rPr>
      </w:pPr>
      <w:r w:rsidRPr="005E35FB">
        <w:rPr>
          <w:sz w:val="28"/>
          <w:szCs w:val="28"/>
        </w:rPr>
        <w:lastRenderedPageBreak/>
        <w:t>References</w:t>
      </w:r>
    </w:p>
    <w:p w14:paraId="14ACD498" w14:textId="595E1969" w:rsidR="00F3180B" w:rsidRDefault="00F3180B" w:rsidP="00542DD5">
      <w:pPr>
        <w:jc w:val="both"/>
      </w:pPr>
      <w:r>
        <w:t xml:space="preserve">Aguiar, A., Chepeliev, M., Corong, E., &amp; van der Mensbrugghe, D. 2022. The Global Trade Analysis Project (GTAP) Data Base: Version 11. </w:t>
      </w:r>
      <w:r>
        <w:rPr>
          <w:i/>
          <w:iCs/>
        </w:rPr>
        <w:t>Journal of Global Economic Analysis</w:t>
      </w:r>
      <w:r>
        <w:t xml:space="preserve">, </w:t>
      </w:r>
      <w:r>
        <w:rPr>
          <w:i/>
          <w:iCs/>
        </w:rPr>
        <w:t>7</w:t>
      </w:r>
      <w:r>
        <w:t xml:space="preserve">(2). Retrieved from </w:t>
      </w:r>
      <w:hyperlink r:id="rId10" w:history="1">
        <w:r w:rsidRPr="00DD7A76">
          <w:rPr>
            <w:rStyle w:val="Hyperlink"/>
          </w:rPr>
          <w:t>https://jgea.org/ojs/index.php/jgea/article/view/181</w:t>
        </w:r>
      </w:hyperlink>
      <w:r>
        <w:t xml:space="preserve"> </w:t>
      </w:r>
    </w:p>
    <w:p w14:paraId="08066B23" w14:textId="54918C97" w:rsidR="00CC71AD" w:rsidRDefault="00CC71AD" w:rsidP="00542DD5">
      <w:pPr>
        <w:jc w:val="both"/>
      </w:pPr>
      <w:r w:rsidRPr="00CC71AD">
        <w:t>Aguiar, A., Chepeliev, M., Corong, E. L., McDougall,</w:t>
      </w:r>
      <w:r>
        <w:t xml:space="preserve"> </w:t>
      </w:r>
      <w:r w:rsidRPr="00CC71AD">
        <w:t>R., &amp; van der Mensbrugghe, D. 2019. The GTAP</w:t>
      </w:r>
      <w:r>
        <w:t xml:space="preserve"> </w:t>
      </w:r>
      <w:r w:rsidRPr="00CC71AD">
        <w:t>Data Base: Version 10. Journal of Global Economic</w:t>
      </w:r>
      <w:r>
        <w:t xml:space="preserve"> </w:t>
      </w:r>
      <w:r w:rsidRPr="00CC71AD">
        <w:t xml:space="preserve">Analysis, 4(1), 1–27. </w:t>
      </w:r>
      <w:hyperlink r:id="rId11" w:history="1">
        <w:r w:rsidRPr="00DD7A76">
          <w:rPr>
            <w:rStyle w:val="Hyperlink"/>
          </w:rPr>
          <w:t>https://doi.org/10.21642/jgea.040101af</w:t>
        </w:r>
      </w:hyperlink>
      <w:r>
        <w:t xml:space="preserve"> </w:t>
      </w:r>
    </w:p>
    <w:p w14:paraId="55D3EB61" w14:textId="27E14450" w:rsidR="0088022B" w:rsidRDefault="0088022B" w:rsidP="00542DD5">
      <w:pPr>
        <w:jc w:val="both"/>
      </w:pPr>
      <w:r w:rsidRPr="0088022B">
        <w:t>Chepeliev, M. 2021. Possible Implications of the European Carbon Border Adjustment</w:t>
      </w:r>
      <w:r w:rsidR="00CC71AD">
        <w:t xml:space="preserve"> </w:t>
      </w:r>
      <w:r w:rsidRPr="0088022B">
        <w:t>Mechanism for Ukraine and Other EU Trading Partners. Energy RESEARCH LETTERS, 2(1).</w:t>
      </w:r>
      <w:r w:rsidR="00CC71AD">
        <w:t xml:space="preserve"> </w:t>
      </w:r>
      <w:hyperlink r:id="rId12" w:history="1">
        <w:r w:rsidRPr="00DD7A76">
          <w:rPr>
            <w:rStyle w:val="Hyperlink"/>
          </w:rPr>
          <w:t>https://doi.org/10.46557/001c.21527</w:t>
        </w:r>
      </w:hyperlink>
    </w:p>
    <w:p w14:paraId="055FA307" w14:textId="4CC51B86" w:rsidR="0010272D" w:rsidRDefault="0010272D" w:rsidP="00542DD5">
      <w:pPr>
        <w:jc w:val="both"/>
      </w:pPr>
      <w:r>
        <w:t xml:space="preserve">Chepeliev, M., Aguiar, A., Farole, T., Liverani, A., &amp; van der Mensbrugghe, D. 2022. EU Green Deal and Circular Economy Transition: Impacts and Interactions. </w:t>
      </w:r>
      <w:hyperlink r:id="rId13" w:history="1">
        <w:r w:rsidRPr="00DD7A76">
          <w:rPr>
            <w:rStyle w:val="Hyperlink"/>
          </w:rPr>
          <w:t>https://www.gtap.agecon.purdue.edu/resources/res_display.asp?RecordID=6607</w:t>
        </w:r>
      </w:hyperlink>
    </w:p>
    <w:p w14:paraId="30DD8E65" w14:textId="5BA5DEC2" w:rsidR="00542DD5" w:rsidRPr="00542DD5" w:rsidRDefault="00542DD5" w:rsidP="00542DD5">
      <w:pPr>
        <w:jc w:val="both"/>
      </w:pPr>
      <w:r w:rsidRPr="00542DD5">
        <w:t>European Parliament (EP). 2022. Deal reached on new carbon leakage instrument to raise global climate ambition. P</w:t>
      </w:r>
      <w:r>
        <w:t xml:space="preserve">ress Release. 13-12-2022. </w:t>
      </w:r>
      <w:hyperlink r:id="rId14" w:history="1">
        <w:r w:rsidRPr="00DD7A76">
          <w:rPr>
            <w:rStyle w:val="Hyperlink"/>
          </w:rPr>
          <w:t>https://www.europarl.europa.eu/news/en/press-room/20221212IPR64509/deal-reached-on-new-carbon-leakage-instrument-to-raise-global-climate-ambition</w:t>
        </w:r>
      </w:hyperlink>
      <w:r>
        <w:t xml:space="preserve"> </w:t>
      </w:r>
    </w:p>
    <w:p w14:paraId="66AE40CB" w14:textId="600BE32E" w:rsidR="00856A05" w:rsidRDefault="00856A05" w:rsidP="0043569E">
      <w:pPr>
        <w:jc w:val="both"/>
      </w:pPr>
      <w:r w:rsidRPr="00BB31B0">
        <w:rPr>
          <w:rFonts w:ascii="Calibri" w:hAnsi="Calibri" w:cs="Calibri"/>
        </w:rPr>
        <w:t>Fisher,</w:t>
      </w:r>
      <w:r>
        <w:rPr>
          <w:rFonts w:ascii="Calibri" w:hAnsi="Calibri" w:cs="Calibri"/>
        </w:rPr>
        <w:t xml:space="preserve"> C.,</w:t>
      </w:r>
      <w:r w:rsidRPr="00BB31B0">
        <w:rPr>
          <w:rFonts w:ascii="Calibri" w:hAnsi="Calibri" w:cs="Calibri"/>
        </w:rPr>
        <w:t xml:space="preserve"> Jung</w:t>
      </w:r>
      <w:r>
        <w:rPr>
          <w:rFonts w:ascii="Calibri" w:hAnsi="Calibri" w:cs="Calibri"/>
        </w:rPr>
        <w:t>, E.</w:t>
      </w:r>
      <w:r w:rsidRPr="00BB31B0">
        <w:rPr>
          <w:rFonts w:ascii="Calibri" w:hAnsi="Calibri" w:cs="Calibri"/>
        </w:rPr>
        <w:t xml:space="preserve"> and Maliszewska</w:t>
      </w:r>
      <w:r>
        <w:rPr>
          <w:rFonts w:ascii="Calibri" w:hAnsi="Calibri" w:cs="Calibri"/>
        </w:rPr>
        <w:t>, M</w:t>
      </w:r>
      <w:r w:rsidRPr="00BB31B0">
        <w:rPr>
          <w:rFonts w:ascii="Calibri" w:hAnsi="Calibri" w:cs="Calibri"/>
        </w:rPr>
        <w:t>.</w:t>
      </w:r>
      <w:r>
        <w:rPr>
          <w:rFonts w:ascii="Calibri" w:hAnsi="Calibri" w:cs="Calibri"/>
        </w:rPr>
        <w:t xml:space="preserve"> 2023. </w:t>
      </w:r>
      <w:r>
        <w:t>CBAM Exposure Index. World Bank (forthcoming).</w:t>
      </w:r>
    </w:p>
    <w:p w14:paraId="704739BB" w14:textId="29A62A37" w:rsidR="005E35FB" w:rsidRPr="003E163F" w:rsidRDefault="005E35FB" w:rsidP="0043569E">
      <w:pPr>
        <w:jc w:val="both"/>
        <w:rPr>
          <w:lang w:val="fr-FR"/>
        </w:rPr>
      </w:pPr>
      <w:r>
        <w:t xml:space="preserve">International Monetary Fund (IMF). World Economic Outlook (October 2022). </w:t>
      </w:r>
      <w:hyperlink r:id="rId15" w:history="1">
        <w:r w:rsidRPr="003E163F">
          <w:rPr>
            <w:rStyle w:val="Hyperlink"/>
            <w:lang w:val="fr-FR"/>
          </w:rPr>
          <w:t>https://www.imf.org/external/datamapper/datasets/WEO</w:t>
        </w:r>
      </w:hyperlink>
    </w:p>
    <w:p w14:paraId="224C77CB" w14:textId="78DA7854" w:rsidR="0088022B" w:rsidRDefault="0088022B" w:rsidP="0043569E">
      <w:pPr>
        <w:jc w:val="both"/>
      </w:pPr>
      <w:proofErr w:type="spellStart"/>
      <w:r w:rsidRPr="003E163F">
        <w:rPr>
          <w:lang w:val="fr-FR"/>
        </w:rPr>
        <w:t>Magacho</w:t>
      </w:r>
      <w:proofErr w:type="spellEnd"/>
      <w:r w:rsidRPr="003E163F">
        <w:rPr>
          <w:lang w:val="fr-FR"/>
        </w:rPr>
        <w:t xml:space="preserve">, G., Espagne, É., &amp; Godin, A. 2022. </w:t>
      </w:r>
      <w:r>
        <w:t xml:space="preserve">Impacts of CBAM on EU trade partners: consequences for developing countries. </w:t>
      </w:r>
      <w:r>
        <w:rPr>
          <w:i/>
          <w:iCs/>
        </w:rPr>
        <w:t>AFD Research Papers</w:t>
      </w:r>
      <w:r>
        <w:t>, (238), 1-20.</w:t>
      </w:r>
      <w:r w:rsidR="00945756">
        <w:t xml:space="preserve"> </w:t>
      </w:r>
      <w:hyperlink r:id="rId16" w:history="1">
        <w:r w:rsidR="00945756" w:rsidRPr="00DD7A76">
          <w:rPr>
            <w:rStyle w:val="Hyperlink"/>
          </w:rPr>
          <w:t>https://www.afd.fr/en/ressources/impacts-cbam-eu-trade-partners-consequences-developing-countries</w:t>
        </w:r>
      </w:hyperlink>
    </w:p>
    <w:p w14:paraId="16FE62AB" w14:textId="47A5BE77" w:rsidR="00CC71AD" w:rsidRDefault="00CC71AD" w:rsidP="0043569E">
      <w:pPr>
        <w:jc w:val="both"/>
      </w:pPr>
      <w:r>
        <w:t>United Nations Conference on Trade and Development (</w:t>
      </w:r>
      <w:r w:rsidRPr="00CC71AD">
        <w:t>UNCTAD</w:t>
      </w:r>
      <w:r>
        <w:t>)</w:t>
      </w:r>
      <w:r w:rsidRPr="00CC71AD">
        <w:t>. 2021. A European Union Carbon Border Adjustment Mechanism: Implications for</w:t>
      </w:r>
      <w:r>
        <w:t xml:space="preserve"> </w:t>
      </w:r>
      <w:r w:rsidRPr="00CC71AD">
        <w:t xml:space="preserve">Developing Countries. Accessed via: </w:t>
      </w:r>
      <w:hyperlink r:id="rId17" w:history="1">
        <w:r w:rsidRPr="00DD7A76">
          <w:rPr>
            <w:rStyle w:val="Hyperlink"/>
          </w:rPr>
          <w:t>https://unctad.org/system/files/official-document/osginf2021d2_en.pdf</w:t>
        </w:r>
      </w:hyperlink>
      <w:r>
        <w:t xml:space="preserve"> </w:t>
      </w:r>
    </w:p>
    <w:p w14:paraId="6BFB13E4" w14:textId="064D197A" w:rsidR="004219C0" w:rsidRDefault="0088022B" w:rsidP="0043569E">
      <w:pPr>
        <w:jc w:val="both"/>
      </w:pPr>
      <w:r>
        <w:t xml:space="preserve">Zhong, J., &amp; Pei, J. 2022. Beggar thy neighbor? On the competitiveness and welfare impacts of the EU's proposed carbon border adjustment mechanism. </w:t>
      </w:r>
      <w:r>
        <w:rPr>
          <w:i/>
          <w:iCs/>
        </w:rPr>
        <w:t>Energy Policy</w:t>
      </w:r>
      <w:r>
        <w:t xml:space="preserve">, </w:t>
      </w:r>
      <w:r>
        <w:rPr>
          <w:i/>
          <w:iCs/>
        </w:rPr>
        <w:t>162</w:t>
      </w:r>
      <w:r>
        <w:t>, 112802.</w:t>
      </w:r>
    </w:p>
    <w:p w14:paraId="2F86955A" w14:textId="02174A40" w:rsidR="00C4332A" w:rsidRDefault="00C4332A"/>
    <w:sectPr w:rsidR="00C4332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5DEAD3" w14:textId="77777777" w:rsidR="00C5124F" w:rsidRDefault="00C5124F" w:rsidP="00C4332A">
      <w:pPr>
        <w:spacing w:after="0" w:line="240" w:lineRule="auto"/>
      </w:pPr>
      <w:r>
        <w:separator/>
      </w:r>
    </w:p>
  </w:endnote>
  <w:endnote w:type="continuationSeparator" w:id="0">
    <w:p w14:paraId="420F428B" w14:textId="77777777" w:rsidR="00C5124F" w:rsidRDefault="00C5124F" w:rsidP="00C433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88BFC9" w14:textId="77777777" w:rsidR="00C5124F" w:rsidRDefault="00C5124F" w:rsidP="00C4332A">
      <w:pPr>
        <w:spacing w:after="0" w:line="240" w:lineRule="auto"/>
      </w:pPr>
      <w:r>
        <w:separator/>
      </w:r>
    </w:p>
  </w:footnote>
  <w:footnote w:type="continuationSeparator" w:id="0">
    <w:p w14:paraId="0CFEBD87" w14:textId="77777777" w:rsidR="00C5124F" w:rsidRDefault="00C5124F" w:rsidP="00C433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AD34E2"/>
    <w:multiLevelType w:val="hybridMultilevel"/>
    <w:tmpl w:val="7C0A0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D416B6"/>
    <w:multiLevelType w:val="hybridMultilevel"/>
    <w:tmpl w:val="1466DC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4AA4492"/>
    <w:multiLevelType w:val="hybridMultilevel"/>
    <w:tmpl w:val="82383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51530054">
    <w:abstractNumId w:val="0"/>
  </w:num>
  <w:num w:numId="2" w16cid:durableId="1540707418">
    <w:abstractNumId w:val="2"/>
  </w:num>
  <w:num w:numId="3" w16cid:durableId="9071073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69E"/>
    <w:rsid w:val="0010272D"/>
    <w:rsid w:val="001168E2"/>
    <w:rsid w:val="001618EA"/>
    <w:rsid w:val="001C0E3F"/>
    <w:rsid w:val="0021449A"/>
    <w:rsid w:val="00245B48"/>
    <w:rsid w:val="00246685"/>
    <w:rsid w:val="00275FB1"/>
    <w:rsid w:val="002C061E"/>
    <w:rsid w:val="002C79BE"/>
    <w:rsid w:val="00304773"/>
    <w:rsid w:val="003403DE"/>
    <w:rsid w:val="003D5A08"/>
    <w:rsid w:val="003E163F"/>
    <w:rsid w:val="004219C0"/>
    <w:rsid w:val="0043569E"/>
    <w:rsid w:val="004671B1"/>
    <w:rsid w:val="004D7740"/>
    <w:rsid w:val="00524182"/>
    <w:rsid w:val="00542DD5"/>
    <w:rsid w:val="0059693A"/>
    <w:rsid w:val="005E35FB"/>
    <w:rsid w:val="00651CD9"/>
    <w:rsid w:val="0066203C"/>
    <w:rsid w:val="00662309"/>
    <w:rsid w:val="00722D6C"/>
    <w:rsid w:val="00791017"/>
    <w:rsid w:val="00792863"/>
    <w:rsid w:val="00792D2B"/>
    <w:rsid w:val="007D2BF4"/>
    <w:rsid w:val="00824115"/>
    <w:rsid w:val="00836EF1"/>
    <w:rsid w:val="00856A05"/>
    <w:rsid w:val="0088022B"/>
    <w:rsid w:val="008A038F"/>
    <w:rsid w:val="00945756"/>
    <w:rsid w:val="009803F5"/>
    <w:rsid w:val="009D7F8A"/>
    <w:rsid w:val="00C4332A"/>
    <w:rsid w:val="00C5124F"/>
    <w:rsid w:val="00C64A22"/>
    <w:rsid w:val="00C76DF3"/>
    <w:rsid w:val="00CC71AD"/>
    <w:rsid w:val="00DC1912"/>
    <w:rsid w:val="00E761CB"/>
    <w:rsid w:val="00EA4ACC"/>
    <w:rsid w:val="00EE5541"/>
    <w:rsid w:val="00F318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DF6B4"/>
  <w15:chartTrackingRefBased/>
  <w15:docId w15:val="{409A5544-4D93-4362-8DB8-F3744910A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061E"/>
  </w:style>
  <w:style w:type="paragraph" w:styleId="Heading1">
    <w:name w:val="heading 1"/>
    <w:basedOn w:val="Normal"/>
    <w:next w:val="Normal"/>
    <w:link w:val="Heading1Char"/>
    <w:uiPriority w:val="9"/>
    <w:qFormat/>
    <w:rsid w:val="004219C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4332A"/>
    <w:pPr>
      <w:keepNext/>
      <w:keepLines/>
      <w:spacing w:before="40" w:after="0" w:line="240" w:lineRule="auto"/>
      <w:outlineLvl w:val="1"/>
    </w:pPr>
    <w:rPr>
      <w:rFonts w:asciiTheme="majorHAnsi" w:eastAsiaTheme="majorEastAsia" w:hAnsiTheme="majorHAnsi" w:cstheme="majorBidi"/>
      <w:color w:val="2F5496" w:themeColor="accent1" w:themeShade="BF"/>
      <w:sz w:val="26"/>
      <w:szCs w:val="26"/>
      <w:lang w:eastAsia="ko-KR"/>
    </w:rPr>
  </w:style>
  <w:style w:type="paragraph" w:styleId="Heading3">
    <w:name w:val="heading 3"/>
    <w:basedOn w:val="Normal"/>
    <w:next w:val="Normal"/>
    <w:link w:val="Heading3Char"/>
    <w:uiPriority w:val="9"/>
    <w:semiHidden/>
    <w:unhideWhenUsed/>
    <w:qFormat/>
    <w:rsid w:val="007D2BF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19C0"/>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542DD5"/>
    <w:rPr>
      <w:color w:val="0563C1" w:themeColor="hyperlink"/>
      <w:u w:val="single"/>
    </w:rPr>
  </w:style>
  <w:style w:type="character" w:styleId="UnresolvedMention">
    <w:name w:val="Unresolved Mention"/>
    <w:basedOn w:val="DefaultParagraphFont"/>
    <w:uiPriority w:val="99"/>
    <w:semiHidden/>
    <w:unhideWhenUsed/>
    <w:rsid w:val="00542DD5"/>
    <w:rPr>
      <w:color w:val="605E5C"/>
      <w:shd w:val="clear" w:color="auto" w:fill="E1DFDD"/>
    </w:rPr>
  </w:style>
  <w:style w:type="character" w:customStyle="1" w:styleId="Heading2Char">
    <w:name w:val="Heading 2 Char"/>
    <w:basedOn w:val="DefaultParagraphFont"/>
    <w:link w:val="Heading2"/>
    <w:uiPriority w:val="9"/>
    <w:rsid w:val="00C4332A"/>
    <w:rPr>
      <w:rFonts w:asciiTheme="majorHAnsi" w:eastAsiaTheme="majorEastAsia" w:hAnsiTheme="majorHAnsi" w:cstheme="majorBidi"/>
      <w:color w:val="2F5496" w:themeColor="accent1" w:themeShade="BF"/>
      <w:sz w:val="26"/>
      <w:szCs w:val="26"/>
      <w:lang w:eastAsia="ko-KR"/>
    </w:rPr>
  </w:style>
  <w:style w:type="paragraph" w:styleId="ListParagraph">
    <w:name w:val="List Paragraph"/>
    <w:basedOn w:val="Normal"/>
    <w:uiPriority w:val="34"/>
    <w:qFormat/>
    <w:rsid w:val="00C4332A"/>
    <w:pPr>
      <w:spacing w:after="0" w:line="240" w:lineRule="auto"/>
      <w:ind w:left="720"/>
      <w:contextualSpacing/>
    </w:pPr>
    <w:rPr>
      <w:rFonts w:ascii="Times New Roman" w:eastAsia="Times New Roman" w:hAnsi="Times New Roman" w:cs="Times New Roman"/>
      <w:sz w:val="24"/>
      <w:szCs w:val="24"/>
      <w:lang w:eastAsia="ko-KR"/>
    </w:rPr>
  </w:style>
  <w:style w:type="paragraph" w:styleId="FootnoteText">
    <w:name w:val="footnote text"/>
    <w:basedOn w:val="Normal"/>
    <w:link w:val="FootnoteTextChar"/>
    <w:uiPriority w:val="99"/>
    <w:semiHidden/>
    <w:unhideWhenUsed/>
    <w:rsid w:val="00C4332A"/>
    <w:pPr>
      <w:spacing w:after="0" w:line="240" w:lineRule="auto"/>
    </w:pPr>
    <w:rPr>
      <w:rFonts w:ascii="Times New Roman" w:eastAsia="Times New Roman" w:hAnsi="Times New Roman" w:cs="Times New Roman"/>
      <w:sz w:val="20"/>
      <w:szCs w:val="20"/>
      <w:lang w:eastAsia="ko-KR"/>
    </w:rPr>
  </w:style>
  <w:style w:type="character" w:customStyle="1" w:styleId="FootnoteTextChar">
    <w:name w:val="Footnote Text Char"/>
    <w:basedOn w:val="DefaultParagraphFont"/>
    <w:link w:val="FootnoteText"/>
    <w:uiPriority w:val="99"/>
    <w:semiHidden/>
    <w:rsid w:val="00C4332A"/>
    <w:rPr>
      <w:rFonts w:ascii="Times New Roman" w:eastAsia="Times New Roman" w:hAnsi="Times New Roman" w:cs="Times New Roman"/>
      <w:sz w:val="20"/>
      <w:szCs w:val="20"/>
      <w:lang w:eastAsia="ko-KR"/>
    </w:rPr>
  </w:style>
  <w:style w:type="character" w:styleId="FootnoteReference">
    <w:name w:val="footnote reference"/>
    <w:basedOn w:val="DefaultParagraphFont"/>
    <w:unhideWhenUsed/>
    <w:rsid w:val="00C4332A"/>
    <w:rPr>
      <w:vertAlign w:val="superscript"/>
    </w:rPr>
  </w:style>
  <w:style w:type="table" w:styleId="TableGrid">
    <w:name w:val="Table Grid"/>
    <w:basedOn w:val="TableNormal"/>
    <w:uiPriority w:val="39"/>
    <w:rsid w:val="00C4332A"/>
    <w:pPr>
      <w:spacing w:after="0" w:line="240" w:lineRule="auto"/>
    </w:pPr>
    <w:rPr>
      <w:rFonts w:eastAsiaTheme="minorEastAsia"/>
      <w:sz w:val="24"/>
      <w:szCs w:val="24"/>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4332A"/>
    <w:rPr>
      <w:sz w:val="16"/>
      <w:szCs w:val="16"/>
    </w:rPr>
  </w:style>
  <w:style w:type="paragraph" w:styleId="CommentText">
    <w:name w:val="annotation text"/>
    <w:basedOn w:val="Normal"/>
    <w:link w:val="CommentTextChar"/>
    <w:uiPriority w:val="99"/>
    <w:semiHidden/>
    <w:unhideWhenUsed/>
    <w:rsid w:val="00C4332A"/>
    <w:pPr>
      <w:spacing w:after="0" w:line="240" w:lineRule="auto"/>
    </w:pPr>
    <w:rPr>
      <w:rFonts w:ascii="Times New Roman" w:eastAsia="Times New Roman" w:hAnsi="Times New Roman" w:cs="Times New Roman"/>
      <w:sz w:val="20"/>
      <w:szCs w:val="20"/>
      <w:lang w:eastAsia="ko-KR"/>
    </w:rPr>
  </w:style>
  <w:style w:type="character" w:customStyle="1" w:styleId="CommentTextChar">
    <w:name w:val="Comment Text Char"/>
    <w:basedOn w:val="DefaultParagraphFont"/>
    <w:link w:val="CommentText"/>
    <w:uiPriority w:val="99"/>
    <w:semiHidden/>
    <w:rsid w:val="00C4332A"/>
    <w:rPr>
      <w:rFonts w:ascii="Times New Roman" w:eastAsia="Times New Roman" w:hAnsi="Times New Roman" w:cs="Times New Roman"/>
      <w:sz w:val="20"/>
      <w:szCs w:val="20"/>
      <w:lang w:eastAsia="ko-KR"/>
    </w:rPr>
  </w:style>
  <w:style w:type="character" w:styleId="Mention">
    <w:name w:val="Mention"/>
    <w:basedOn w:val="DefaultParagraphFont"/>
    <w:uiPriority w:val="99"/>
    <w:unhideWhenUsed/>
    <w:rsid w:val="00C4332A"/>
    <w:rPr>
      <w:color w:val="2B579A"/>
      <w:shd w:val="clear" w:color="auto" w:fill="E1DFDD"/>
    </w:rPr>
  </w:style>
  <w:style w:type="character" w:customStyle="1" w:styleId="Heading3Char">
    <w:name w:val="Heading 3 Char"/>
    <w:basedOn w:val="DefaultParagraphFont"/>
    <w:link w:val="Heading3"/>
    <w:uiPriority w:val="9"/>
    <w:semiHidden/>
    <w:rsid w:val="007D2BF4"/>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158432">
      <w:bodyDiv w:val="1"/>
      <w:marLeft w:val="0"/>
      <w:marRight w:val="0"/>
      <w:marTop w:val="0"/>
      <w:marBottom w:val="0"/>
      <w:divBdr>
        <w:top w:val="none" w:sz="0" w:space="0" w:color="auto"/>
        <w:left w:val="none" w:sz="0" w:space="0" w:color="auto"/>
        <w:bottom w:val="none" w:sz="0" w:space="0" w:color="auto"/>
        <w:right w:val="none" w:sz="0" w:space="0" w:color="auto"/>
      </w:divBdr>
    </w:div>
    <w:div w:id="107551852">
      <w:bodyDiv w:val="1"/>
      <w:marLeft w:val="0"/>
      <w:marRight w:val="0"/>
      <w:marTop w:val="0"/>
      <w:marBottom w:val="0"/>
      <w:divBdr>
        <w:top w:val="none" w:sz="0" w:space="0" w:color="auto"/>
        <w:left w:val="none" w:sz="0" w:space="0" w:color="auto"/>
        <w:bottom w:val="none" w:sz="0" w:space="0" w:color="auto"/>
        <w:right w:val="none" w:sz="0" w:space="0" w:color="auto"/>
      </w:divBdr>
    </w:div>
    <w:div w:id="134571461">
      <w:bodyDiv w:val="1"/>
      <w:marLeft w:val="0"/>
      <w:marRight w:val="0"/>
      <w:marTop w:val="0"/>
      <w:marBottom w:val="0"/>
      <w:divBdr>
        <w:top w:val="none" w:sz="0" w:space="0" w:color="auto"/>
        <w:left w:val="none" w:sz="0" w:space="0" w:color="auto"/>
        <w:bottom w:val="none" w:sz="0" w:space="0" w:color="auto"/>
        <w:right w:val="none" w:sz="0" w:space="0" w:color="auto"/>
      </w:divBdr>
    </w:div>
    <w:div w:id="293869158">
      <w:bodyDiv w:val="1"/>
      <w:marLeft w:val="0"/>
      <w:marRight w:val="0"/>
      <w:marTop w:val="0"/>
      <w:marBottom w:val="0"/>
      <w:divBdr>
        <w:top w:val="none" w:sz="0" w:space="0" w:color="auto"/>
        <w:left w:val="none" w:sz="0" w:space="0" w:color="auto"/>
        <w:bottom w:val="none" w:sz="0" w:space="0" w:color="auto"/>
        <w:right w:val="none" w:sz="0" w:space="0" w:color="auto"/>
      </w:divBdr>
    </w:div>
    <w:div w:id="354310608">
      <w:bodyDiv w:val="1"/>
      <w:marLeft w:val="0"/>
      <w:marRight w:val="0"/>
      <w:marTop w:val="0"/>
      <w:marBottom w:val="0"/>
      <w:divBdr>
        <w:top w:val="none" w:sz="0" w:space="0" w:color="auto"/>
        <w:left w:val="none" w:sz="0" w:space="0" w:color="auto"/>
        <w:bottom w:val="none" w:sz="0" w:space="0" w:color="auto"/>
        <w:right w:val="none" w:sz="0" w:space="0" w:color="auto"/>
      </w:divBdr>
    </w:div>
    <w:div w:id="816803500">
      <w:bodyDiv w:val="1"/>
      <w:marLeft w:val="0"/>
      <w:marRight w:val="0"/>
      <w:marTop w:val="0"/>
      <w:marBottom w:val="0"/>
      <w:divBdr>
        <w:top w:val="none" w:sz="0" w:space="0" w:color="auto"/>
        <w:left w:val="none" w:sz="0" w:space="0" w:color="auto"/>
        <w:bottom w:val="none" w:sz="0" w:space="0" w:color="auto"/>
        <w:right w:val="none" w:sz="0" w:space="0" w:color="auto"/>
      </w:divBdr>
    </w:div>
    <w:div w:id="1463353647">
      <w:bodyDiv w:val="1"/>
      <w:marLeft w:val="0"/>
      <w:marRight w:val="0"/>
      <w:marTop w:val="0"/>
      <w:marBottom w:val="0"/>
      <w:divBdr>
        <w:top w:val="none" w:sz="0" w:space="0" w:color="auto"/>
        <w:left w:val="none" w:sz="0" w:space="0" w:color="auto"/>
        <w:bottom w:val="none" w:sz="0" w:space="0" w:color="auto"/>
        <w:right w:val="none" w:sz="0" w:space="0" w:color="auto"/>
      </w:divBdr>
    </w:div>
    <w:div w:id="1844465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hyperlink" Target="https://www.gtap.agecon.purdue.edu/resources/res_display.asp?RecordID=6607"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hyperlink" Target="https://doi.org/10.46557/001c.21527" TargetMode="External"/><Relationship Id="rId17" Type="http://schemas.openxmlformats.org/officeDocument/2006/relationships/hyperlink" Target="https://unctad.org/system/files/official-document/osginf2021d2_en.pdf" TargetMode="External"/><Relationship Id="rId2" Type="http://schemas.openxmlformats.org/officeDocument/2006/relationships/styles" Target="styles.xml"/><Relationship Id="rId16" Type="http://schemas.openxmlformats.org/officeDocument/2006/relationships/hyperlink" Target="https://www.afd.fr/en/ressources/impacts-cbam-eu-trade-partners-consequences-developing-countrie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21642/jgea.040101af" TargetMode="External"/><Relationship Id="rId5" Type="http://schemas.openxmlformats.org/officeDocument/2006/relationships/footnotes" Target="footnotes.xml"/><Relationship Id="rId15" Type="http://schemas.openxmlformats.org/officeDocument/2006/relationships/hyperlink" Target="https://www.imf.org/external/datamapper/datasets/WEO" TargetMode="External"/><Relationship Id="rId10" Type="http://schemas.openxmlformats.org/officeDocument/2006/relationships/hyperlink" Target="https://jgea.org/ojs/index.php/jgea/article/view/181"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hyperlink" Target="https://www.europarl.europa.eu/news/en/press-room/20221212IPR64509/deal-reached-on-new-carbon-leakage-instrument-to-raise-global-climate-ambition"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0" i="0" u="none" strike="noStrike" kern="1200" spc="0" baseline="0">
                <a:solidFill>
                  <a:schemeClr val="tx1">
                    <a:lumMod val="65000"/>
                    <a:lumOff val="35000"/>
                  </a:schemeClr>
                </a:solidFill>
                <a:latin typeface="+mn-lt"/>
                <a:ea typeface="+mn-ea"/>
                <a:cs typeface="+mn-cs"/>
              </a:defRPr>
            </a:pPr>
            <a:r>
              <a:rPr lang="en-US"/>
              <a:t>Top Welfare Winners</a:t>
            </a:r>
          </a:p>
        </c:rich>
      </c:tx>
      <c:overlay val="0"/>
      <c:spPr>
        <a:noFill/>
        <a:ln>
          <a:noFill/>
        </a:ln>
        <a:effectLst/>
      </c:spPr>
      <c:txPr>
        <a:bodyPr rot="0" spcFirstLastPara="1" vertOverflow="ellipsis" vert="horz" wrap="square" anchor="ctr" anchorCtr="1"/>
        <a:lstStyle/>
        <a:p>
          <a:pPr>
            <a:defRPr sz="144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6">
                <a:lumMod val="75000"/>
              </a:schemeClr>
            </a:solidFill>
            <a:ln>
              <a:noFill/>
            </a:ln>
            <a:effectLst/>
          </c:spPr>
          <c:invertIfNegative val="0"/>
          <c:dLbls>
            <c:numFmt formatCode="#,##0.0" sourceLinked="0"/>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'EV$'!$R$13:$R$22</c:f>
              <c:strCache>
                <c:ptCount val="10"/>
                <c:pt idx="0">
                  <c:v>Panama</c:v>
                </c:pt>
                <c:pt idx="1">
                  <c:v>Belarus</c:v>
                </c:pt>
                <c:pt idx="2">
                  <c:v>Rest of Europe</c:v>
                </c:pt>
                <c:pt idx="3">
                  <c:v>Ukraine</c:v>
                </c:pt>
                <c:pt idx="4">
                  <c:v>Brazil</c:v>
                </c:pt>
                <c:pt idx="5">
                  <c:v>Türkiye</c:v>
                </c:pt>
                <c:pt idx="6">
                  <c:v>United States of America</c:v>
                </c:pt>
                <c:pt idx="7">
                  <c:v>India</c:v>
                </c:pt>
                <c:pt idx="8">
                  <c:v>China</c:v>
                </c:pt>
                <c:pt idx="9">
                  <c:v>High income Asia</c:v>
                </c:pt>
              </c:strCache>
            </c:strRef>
          </c:cat>
          <c:val>
            <c:numRef>
              <c:f>'EV$'!$S$13:$S$22</c:f>
              <c:numCache>
                <c:formatCode>General</c:formatCode>
                <c:ptCount val="10"/>
                <c:pt idx="0">
                  <c:v>2.1801785300000001</c:v>
                </c:pt>
                <c:pt idx="1">
                  <c:v>2.3595213300000002</c:v>
                </c:pt>
                <c:pt idx="2">
                  <c:v>3.0746923800000001</c:v>
                </c:pt>
                <c:pt idx="3">
                  <c:v>4.0207855200000004</c:v>
                </c:pt>
                <c:pt idx="4">
                  <c:v>4.2779440299999996</c:v>
                </c:pt>
                <c:pt idx="5">
                  <c:v>8.0104431199999997</c:v>
                </c:pt>
                <c:pt idx="6">
                  <c:v>11.421370850000001</c:v>
                </c:pt>
                <c:pt idx="7">
                  <c:v>18.342927249999999</c:v>
                </c:pt>
                <c:pt idx="8">
                  <c:v>34.452131350000002</c:v>
                </c:pt>
                <c:pt idx="9">
                  <c:v>54.82618652</c:v>
                </c:pt>
              </c:numCache>
            </c:numRef>
          </c:val>
          <c:extLst>
            <c:ext xmlns:c16="http://schemas.microsoft.com/office/drawing/2014/chart" uri="{C3380CC4-5D6E-409C-BE32-E72D297353CC}">
              <c16:uniqueId val="{00000000-B79E-41CD-9A92-334C1D658EF5}"/>
            </c:ext>
          </c:extLst>
        </c:ser>
        <c:dLbls>
          <c:dLblPos val="outEnd"/>
          <c:showLegendKey val="0"/>
          <c:showVal val="1"/>
          <c:showCatName val="0"/>
          <c:showSerName val="0"/>
          <c:showPercent val="0"/>
          <c:showBubbleSize val="0"/>
        </c:dLbls>
        <c:gapWidth val="219"/>
        <c:overlap val="-27"/>
        <c:axId val="1341400111"/>
        <c:axId val="1341399631"/>
      </c:barChart>
      <c:catAx>
        <c:axId val="134140011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1341399631"/>
        <c:crosses val="autoZero"/>
        <c:auto val="1"/>
        <c:lblAlgn val="ctr"/>
        <c:lblOffset val="100"/>
        <c:noMultiLvlLbl val="0"/>
      </c:catAx>
      <c:valAx>
        <c:axId val="1341399631"/>
        <c:scaling>
          <c:orientation val="minMax"/>
        </c:scaling>
        <c:delete val="0"/>
        <c:axPos val="l"/>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US"/>
                  <a:t>US $ Billion</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134140011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0" i="0" u="none" strike="noStrike" kern="1200" spc="0" baseline="0">
                <a:solidFill>
                  <a:schemeClr val="tx1">
                    <a:lumMod val="65000"/>
                    <a:lumOff val="35000"/>
                  </a:schemeClr>
                </a:solidFill>
                <a:latin typeface="+mn-lt"/>
                <a:ea typeface="+mn-ea"/>
                <a:cs typeface="+mn-cs"/>
              </a:defRPr>
            </a:pPr>
            <a:r>
              <a:rPr lang="en-US" dirty="0"/>
              <a:t>Top Welfare Losers</a:t>
            </a:r>
          </a:p>
        </c:rich>
      </c:tx>
      <c:layout>
        <c:manualLayout>
          <c:xMode val="edge"/>
          <c:yMode val="edge"/>
          <c:x val="0.32359711286089238"/>
          <c:y val="2.7777777777777776E-2"/>
        </c:manualLayout>
      </c:layout>
      <c:overlay val="0"/>
      <c:spPr>
        <a:noFill/>
        <a:ln>
          <a:noFill/>
        </a:ln>
        <a:effectLst/>
      </c:spPr>
      <c:txPr>
        <a:bodyPr rot="0" spcFirstLastPara="1" vertOverflow="ellipsis" vert="horz" wrap="square" anchor="ctr" anchorCtr="1"/>
        <a:lstStyle/>
        <a:p>
          <a:pPr>
            <a:defRPr sz="144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0933681490327848"/>
          <c:y val="0.54069307326431915"/>
          <c:w val="0.84260226659288484"/>
          <c:h val="0.43164246568860759"/>
        </c:manualLayout>
      </c:layout>
      <c:barChart>
        <c:barDir val="col"/>
        <c:grouping val="clustered"/>
        <c:varyColors val="0"/>
        <c:ser>
          <c:idx val="0"/>
          <c:order val="0"/>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'EV$'!$I$1:$I$19</c:f>
              <c:strCache>
                <c:ptCount val="19"/>
                <c:pt idx="0">
                  <c:v>Russian Federation</c:v>
                </c:pt>
                <c:pt idx="1">
                  <c:v>Saudi Arabia</c:v>
                </c:pt>
                <c:pt idx="2">
                  <c:v>Rest of Western Asia</c:v>
                </c:pt>
                <c:pt idx="3">
                  <c:v>Rest of OECD</c:v>
                </c:pt>
                <c:pt idx="4">
                  <c:v>Iran, Islamic Republic of</c:v>
                </c:pt>
                <c:pt idx="5">
                  <c:v>Rest of North Africa</c:v>
                </c:pt>
                <c:pt idx="6">
                  <c:v>Nigeria</c:v>
                </c:pt>
                <c:pt idx="7">
                  <c:v>Kazakhstan</c:v>
                </c:pt>
                <c:pt idx="8">
                  <c:v>United Arab Emirates</c:v>
                </c:pt>
                <c:pt idx="9">
                  <c:v>Kuwait</c:v>
                </c:pt>
                <c:pt idx="10">
                  <c:v>Qatar</c:v>
                </c:pt>
                <c:pt idx="11">
                  <c:v>South Central Africa</c:v>
                </c:pt>
                <c:pt idx="12">
                  <c:v>Cambodia</c:v>
                </c:pt>
                <c:pt idx="13">
                  <c:v>Viet Nam</c:v>
                </c:pt>
                <c:pt idx="14">
                  <c:v>Colombia</c:v>
                </c:pt>
                <c:pt idx="15">
                  <c:v>Malaysia</c:v>
                </c:pt>
                <c:pt idx="16">
                  <c:v>Rest of Central Africa</c:v>
                </c:pt>
                <c:pt idx="17">
                  <c:v>Azerbaijan</c:v>
                </c:pt>
                <c:pt idx="18">
                  <c:v>Egypt</c:v>
                </c:pt>
              </c:strCache>
            </c:strRef>
          </c:cat>
          <c:val>
            <c:numRef>
              <c:f>'EV$'!$J$1:$J$19</c:f>
              <c:numCache>
                <c:formatCode>0.0</c:formatCode>
                <c:ptCount val="19"/>
                <c:pt idx="0">
                  <c:v>-6.7557973630000001</c:v>
                </c:pt>
                <c:pt idx="1">
                  <c:v>-3.5318383789999999</c:v>
                </c:pt>
                <c:pt idx="2">
                  <c:v>-2.2324909670000004</c:v>
                </c:pt>
                <c:pt idx="3">
                  <c:v>-2.174414063</c:v>
                </c:pt>
                <c:pt idx="4">
                  <c:v>-2.1326623540000003</c:v>
                </c:pt>
                <c:pt idx="5">
                  <c:v>-1.9885400389999999</c:v>
                </c:pt>
                <c:pt idx="6">
                  <c:v>-1.3550783690000001</c:v>
                </c:pt>
                <c:pt idx="7">
                  <c:v>-1.3103870850000001</c:v>
                </c:pt>
                <c:pt idx="8">
                  <c:v>-1.119684814</c:v>
                </c:pt>
                <c:pt idx="9">
                  <c:v>-0.93991546600000009</c:v>
                </c:pt>
                <c:pt idx="10">
                  <c:v>-0.91339013699999994</c:v>
                </c:pt>
                <c:pt idx="11">
                  <c:v>-0.62758288600000001</c:v>
                </c:pt>
                <c:pt idx="12">
                  <c:v>-0.56846405</c:v>
                </c:pt>
                <c:pt idx="13">
                  <c:v>-0.56416577099999998</c:v>
                </c:pt>
                <c:pt idx="14">
                  <c:v>-0.51801593000000001</c:v>
                </c:pt>
                <c:pt idx="15">
                  <c:v>-0.49036749300000004</c:v>
                </c:pt>
                <c:pt idx="16">
                  <c:v>-0.44227111800000002</c:v>
                </c:pt>
                <c:pt idx="17">
                  <c:v>-0.43968347200000002</c:v>
                </c:pt>
                <c:pt idx="18">
                  <c:v>-0.41266690099999997</c:v>
                </c:pt>
              </c:numCache>
            </c:numRef>
          </c:val>
          <c:extLst>
            <c:ext xmlns:c16="http://schemas.microsoft.com/office/drawing/2014/chart" uri="{C3380CC4-5D6E-409C-BE32-E72D297353CC}">
              <c16:uniqueId val="{00000000-6A28-4334-B801-7C3E6EE66F86}"/>
            </c:ext>
          </c:extLst>
        </c:ser>
        <c:dLbls>
          <c:showLegendKey val="0"/>
          <c:showVal val="0"/>
          <c:showCatName val="0"/>
          <c:showSerName val="0"/>
          <c:showPercent val="0"/>
          <c:showBubbleSize val="0"/>
        </c:dLbls>
        <c:gapWidth val="219"/>
        <c:overlap val="-27"/>
        <c:axId val="1224080431"/>
        <c:axId val="1224078511"/>
      </c:barChart>
      <c:catAx>
        <c:axId val="1224080431"/>
        <c:scaling>
          <c:orientation val="minMax"/>
        </c:scaling>
        <c:delete val="0"/>
        <c:axPos val="b"/>
        <c:numFmt formatCode="General" sourceLinked="1"/>
        <c:majorTickMark val="none"/>
        <c:minorTickMark val="none"/>
        <c:tickLblPos val="high"/>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1224078511"/>
        <c:crosses val="autoZero"/>
        <c:auto val="1"/>
        <c:lblAlgn val="ctr"/>
        <c:lblOffset val="100"/>
        <c:noMultiLvlLbl val="0"/>
      </c:catAx>
      <c:valAx>
        <c:axId val="1224078511"/>
        <c:scaling>
          <c:orientation val="minMax"/>
        </c:scaling>
        <c:delete val="0"/>
        <c:axPos val="l"/>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US"/>
                  <a:t>US $ Billion</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122408043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Total</a:t>
            </a:r>
            <a:r>
              <a:rPr lang="en-US" baseline="0"/>
              <a:t> Exports into the EU (Percentage Change)</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28359063415751196"/>
          <c:y val="6.26478069107341E-2"/>
          <c:w val="0.68337941046674144"/>
          <c:h val="0.80305300754931408"/>
        </c:manualLayout>
      </c:layout>
      <c:barChart>
        <c:barDir val="bar"/>
        <c:grouping val="clustered"/>
        <c:varyColors val="0"/>
        <c:ser>
          <c:idx val="0"/>
          <c:order val="0"/>
          <c:tx>
            <c:strRef>
              <c:f>'Exports_to_EU_Commodityqms  EUR'!$O$1</c:f>
              <c:strCache>
                <c:ptCount val="1"/>
                <c:pt idx="0">
                  <c:v>Current CBAM</c:v>
                </c:pt>
              </c:strCache>
            </c:strRef>
          </c:tx>
          <c:spPr>
            <a:solidFill>
              <a:schemeClr val="accent1"/>
            </a:solidFill>
            <a:ln>
              <a:noFill/>
            </a:ln>
            <a:effectLst/>
          </c:spPr>
          <c:invertIfNegative val="0"/>
          <c:cat>
            <c:strRef>
              <c:f>'Exports_to_EU_Commodityqms  EUR'!$N$2:$N$43</c:f>
              <c:strCache>
                <c:ptCount val="42"/>
                <c:pt idx="0">
                  <c:v>Electric generation: Coal   </c:v>
                </c:pt>
                <c:pt idx="1">
                  <c:v>Electric generation: Gas   </c:v>
                </c:pt>
                <c:pt idx="2">
                  <c:v>Electric generation: Oil   </c:v>
                </c:pt>
                <c:pt idx="3">
                  <c:v>Coal     </c:v>
                </c:pt>
                <c:pt idx="4">
                  <c:v>Gas     </c:v>
                </c:pt>
                <c:pt idx="5">
                  <c:v>Refined oil    </c:v>
                </c:pt>
                <c:pt idx="6">
                  <c:v>Oil     </c:v>
                </c:pt>
                <c:pt idx="7">
                  <c:v>Fertilizers</c:v>
                </c:pt>
                <c:pt idx="8">
                  <c:v>Electric generation: Hydro   </c:v>
                </c:pt>
                <c:pt idx="9">
                  <c:v>TnD     </c:v>
                </c:pt>
                <c:pt idx="10">
                  <c:v>Electric generation: Nuclear   </c:v>
                </c:pt>
                <c:pt idx="11">
                  <c:v>Cement     </c:v>
                </c:pt>
                <c:pt idx="12">
                  <c:v>Iron and steel primary  </c:v>
                </c:pt>
                <c:pt idx="13">
                  <c:v>Non-metallic minerals mining   </c:v>
                </c:pt>
                <c:pt idx="14">
                  <c:v>Construction     </c:v>
                </c:pt>
                <c:pt idx="15">
                  <c:v>Chemicals     </c:v>
                </c:pt>
                <c:pt idx="16">
                  <c:v>Recycling     </c:v>
                </c:pt>
                <c:pt idx="17">
                  <c:v>Livestock     </c:v>
                </c:pt>
                <c:pt idx="18">
                  <c:v>Other services    </c:v>
                </c:pt>
                <c:pt idx="19">
                  <c:v>Trade incl. warehousing   </c:v>
                </c:pt>
                <c:pt idx="20">
                  <c:v>Other manufacturing    </c:v>
                </c:pt>
                <c:pt idx="21">
                  <c:v>Motor vehicles, parts and tran </c:v>
                </c:pt>
                <c:pt idx="22">
                  <c:v>Aluminum - secondary   </c:v>
                </c:pt>
                <c:pt idx="23">
                  <c:v>Forestry     </c:v>
                </c:pt>
                <c:pt idx="24">
                  <c:v>Computer, electronics and elec  </c:v>
                </c:pt>
                <c:pt idx="25">
                  <c:v>Plastics     </c:v>
                </c:pt>
                <c:pt idx="26">
                  <c:v>Rubber products    </c:v>
                </c:pt>
                <c:pt idx="27">
                  <c:v>Dairy     </c:v>
                </c:pt>
                <c:pt idx="28">
                  <c:v>Other non-ferrous metals   </c:v>
                </c:pt>
                <c:pt idx="29">
                  <c:v>Processed meat    </c:v>
                </c:pt>
                <c:pt idx="30">
                  <c:v>Mining of metal ores  </c:v>
                </c:pt>
                <c:pt idx="31">
                  <c:v>Other non-metallic minerals   </c:v>
                </c:pt>
                <c:pt idx="32">
                  <c:v>Other processed food   </c:v>
                </c:pt>
                <c:pt idx="33">
                  <c:v>Crops     </c:v>
                </c:pt>
                <c:pt idx="34">
                  <c:v>Aluminum - primary   </c:v>
                </c:pt>
                <c:pt idx="35">
                  <c:v>Iron and steel secondary  </c:v>
                </c:pt>
                <c:pt idx="36">
                  <c:v>Metals casting    </c:v>
                </c:pt>
                <c:pt idx="37">
                  <c:v>Grains     </c:v>
                </c:pt>
                <c:pt idx="38">
                  <c:v>Transport     </c:v>
                </c:pt>
                <c:pt idx="39">
                  <c:v>Electric generation: Other   </c:v>
                </c:pt>
                <c:pt idx="40">
                  <c:v>Electric generation: Wind   </c:v>
                </c:pt>
                <c:pt idx="41">
                  <c:v>Electric generation: Solar   </c:v>
                </c:pt>
              </c:strCache>
            </c:strRef>
          </c:cat>
          <c:val>
            <c:numRef>
              <c:f>'Exports_to_EU_Commodityqms  EUR'!$O$2:$O$43</c:f>
              <c:numCache>
                <c:formatCode>General</c:formatCode>
                <c:ptCount val="42"/>
                <c:pt idx="0">
                  <c:v>-48.506779000000002</c:v>
                </c:pt>
                <c:pt idx="1">
                  <c:v>-33.872920999999998</c:v>
                </c:pt>
                <c:pt idx="2">
                  <c:v>-29.791744000000001</c:v>
                </c:pt>
                <c:pt idx="3">
                  <c:v>-17.063016999999999</c:v>
                </c:pt>
                <c:pt idx="4">
                  <c:v>-16.203797999999999</c:v>
                </c:pt>
                <c:pt idx="5">
                  <c:v>-13.768687</c:v>
                </c:pt>
                <c:pt idx="6">
                  <c:v>-13.579482</c:v>
                </c:pt>
                <c:pt idx="7">
                  <c:v>-12.950398</c:v>
                </c:pt>
                <c:pt idx="8">
                  <c:v>-8.0494190000000003</c:v>
                </c:pt>
                <c:pt idx="9">
                  <c:v>-7.9849360000000003</c:v>
                </c:pt>
                <c:pt idx="10">
                  <c:v>-7.481554</c:v>
                </c:pt>
                <c:pt idx="11">
                  <c:v>-5.8654359999999999</c:v>
                </c:pt>
                <c:pt idx="12">
                  <c:v>-4.1149659999999999</c:v>
                </c:pt>
                <c:pt idx="13">
                  <c:v>-1.8325389999999999</c:v>
                </c:pt>
                <c:pt idx="14">
                  <c:v>-1.7973250000000001</c:v>
                </c:pt>
                <c:pt idx="15">
                  <c:v>-1.6985870000000001</c:v>
                </c:pt>
                <c:pt idx="16">
                  <c:v>-1.5390189999999999</c:v>
                </c:pt>
                <c:pt idx="17">
                  <c:v>-1.3961060000000001</c:v>
                </c:pt>
                <c:pt idx="18">
                  <c:v>-1.217911</c:v>
                </c:pt>
                <c:pt idx="19">
                  <c:v>-1.2027460000000001</c:v>
                </c:pt>
                <c:pt idx="20">
                  <c:v>-1.200442</c:v>
                </c:pt>
                <c:pt idx="21">
                  <c:v>-1.1880109999999999</c:v>
                </c:pt>
                <c:pt idx="22">
                  <c:v>-1.15368</c:v>
                </c:pt>
                <c:pt idx="23">
                  <c:v>-1.0776030000000001</c:v>
                </c:pt>
                <c:pt idx="24">
                  <c:v>-1.0526199999999999</c:v>
                </c:pt>
                <c:pt idx="25">
                  <c:v>-0.97522399999999998</c:v>
                </c:pt>
                <c:pt idx="26">
                  <c:v>-0.91808400000000001</c:v>
                </c:pt>
                <c:pt idx="27">
                  <c:v>-0.89734199999999997</c:v>
                </c:pt>
                <c:pt idx="28">
                  <c:v>-0.89442699999999997</c:v>
                </c:pt>
                <c:pt idx="29">
                  <c:v>-0.88911099999999998</c:v>
                </c:pt>
                <c:pt idx="30">
                  <c:v>-0.78852599999999995</c:v>
                </c:pt>
                <c:pt idx="31">
                  <c:v>-0.78842500000000004</c:v>
                </c:pt>
                <c:pt idx="32">
                  <c:v>-0.770092</c:v>
                </c:pt>
                <c:pt idx="33">
                  <c:v>-0.537856</c:v>
                </c:pt>
                <c:pt idx="34">
                  <c:v>-5.2389999999999999E-2</c:v>
                </c:pt>
                <c:pt idx="35">
                  <c:v>0.22381699999999999</c:v>
                </c:pt>
                <c:pt idx="36">
                  <c:v>0.45180300000000001</c:v>
                </c:pt>
                <c:pt idx="37">
                  <c:v>0.81839700000000004</c:v>
                </c:pt>
                <c:pt idx="38">
                  <c:v>1.4365589999999999</c:v>
                </c:pt>
                <c:pt idx="39">
                  <c:v>2.8106789999999999</c:v>
                </c:pt>
                <c:pt idx="40">
                  <c:v>6.9818309999999997</c:v>
                </c:pt>
                <c:pt idx="41">
                  <c:v>7.1022889999999999</c:v>
                </c:pt>
              </c:numCache>
            </c:numRef>
          </c:val>
          <c:extLst>
            <c:ext xmlns:c16="http://schemas.microsoft.com/office/drawing/2014/chart" uri="{C3380CC4-5D6E-409C-BE32-E72D297353CC}">
              <c16:uniqueId val="{00000000-6831-4932-B210-9B37B55A06EC}"/>
            </c:ext>
          </c:extLst>
        </c:ser>
        <c:ser>
          <c:idx val="1"/>
          <c:order val="1"/>
          <c:tx>
            <c:strRef>
              <c:f>'Exports_to_EU_Commodityqms  EUR'!$P$1</c:f>
              <c:strCache>
                <c:ptCount val="1"/>
                <c:pt idx="0">
                  <c:v>Expanded CBAM</c:v>
                </c:pt>
              </c:strCache>
            </c:strRef>
          </c:tx>
          <c:spPr>
            <a:solidFill>
              <a:schemeClr val="accent2"/>
            </a:solidFill>
            <a:ln>
              <a:noFill/>
            </a:ln>
            <a:effectLst/>
          </c:spPr>
          <c:invertIfNegative val="0"/>
          <c:cat>
            <c:strRef>
              <c:f>'Exports_to_EU_Commodityqms  EUR'!$N$2:$N$43</c:f>
              <c:strCache>
                <c:ptCount val="42"/>
                <c:pt idx="0">
                  <c:v>Electric generation: Coal   </c:v>
                </c:pt>
                <c:pt idx="1">
                  <c:v>Electric generation: Gas   </c:v>
                </c:pt>
                <c:pt idx="2">
                  <c:v>Electric generation: Oil   </c:v>
                </c:pt>
                <c:pt idx="3">
                  <c:v>Coal     </c:v>
                </c:pt>
                <c:pt idx="4">
                  <c:v>Gas     </c:v>
                </c:pt>
                <c:pt idx="5">
                  <c:v>Refined oil    </c:v>
                </c:pt>
                <c:pt idx="6">
                  <c:v>Oil     </c:v>
                </c:pt>
                <c:pt idx="7">
                  <c:v>Fertilizers</c:v>
                </c:pt>
                <c:pt idx="8">
                  <c:v>Electric generation: Hydro   </c:v>
                </c:pt>
                <c:pt idx="9">
                  <c:v>TnD     </c:v>
                </c:pt>
                <c:pt idx="10">
                  <c:v>Electric generation: Nuclear   </c:v>
                </c:pt>
                <c:pt idx="11">
                  <c:v>Cement     </c:v>
                </c:pt>
                <c:pt idx="12">
                  <c:v>Iron and steel primary  </c:v>
                </c:pt>
                <c:pt idx="13">
                  <c:v>Non-metallic minerals mining   </c:v>
                </c:pt>
                <c:pt idx="14">
                  <c:v>Construction     </c:v>
                </c:pt>
                <c:pt idx="15">
                  <c:v>Chemicals     </c:v>
                </c:pt>
                <c:pt idx="16">
                  <c:v>Recycling     </c:v>
                </c:pt>
                <c:pt idx="17">
                  <c:v>Livestock     </c:v>
                </c:pt>
                <c:pt idx="18">
                  <c:v>Other services    </c:v>
                </c:pt>
                <c:pt idx="19">
                  <c:v>Trade incl. warehousing   </c:v>
                </c:pt>
                <c:pt idx="20">
                  <c:v>Other manufacturing    </c:v>
                </c:pt>
                <c:pt idx="21">
                  <c:v>Motor vehicles, parts and tran </c:v>
                </c:pt>
                <c:pt idx="22">
                  <c:v>Aluminum - secondary   </c:v>
                </c:pt>
                <c:pt idx="23">
                  <c:v>Forestry     </c:v>
                </c:pt>
                <c:pt idx="24">
                  <c:v>Computer, electronics and elec  </c:v>
                </c:pt>
                <c:pt idx="25">
                  <c:v>Plastics     </c:v>
                </c:pt>
                <c:pt idx="26">
                  <c:v>Rubber products    </c:v>
                </c:pt>
                <c:pt idx="27">
                  <c:v>Dairy     </c:v>
                </c:pt>
                <c:pt idx="28">
                  <c:v>Other non-ferrous metals   </c:v>
                </c:pt>
                <c:pt idx="29">
                  <c:v>Processed meat    </c:v>
                </c:pt>
                <c:pt idx="30">
                  <c:v>Mining of metal ores  </c:v>
                </c:pt>
                <c:pt idx="31">
                  <c:v>Other non-metallic minerals   </c:v>
                </c:pt>
                <c:pt idx="32">
                  <c:v>Other processed food   </c:v>
                </c:pt>
                <c:pt idx="33">
                  <c:v>Crops     </c:v>
                </c:pt>
                <c:pt idx="34">
                  <c:v>Aluminum - primary   </c:v>
                </c:pt>
                <c:pt idx="35">
                  <c:v>Iron and steel secondary  </c:v>
                </c:pt>
                <c:pt idx="36">
                  <c:v>Metals casting    </c:v>
                </c:pt>
                <c:pt idx="37">
                  <c:v>Grains     </c:v>
                </c:pt>
                <c:pt idx="38">
                  <c:v>Transport     </c:v>
                </c:pt>
                <c:pt idx="39">
                  <c:v>Electric generation: Other   </c:v>
                </c:pt>
                <c:pt idx="40">
                  <c:v>Electric generation: Wind   </c:v>
                </c:pt>
                <c:pt idx="41">
                  <c:v>Electric generation: Solar   </c:v>
                </c:pt>
              </c:strCache>
            </c:strRef>
          </c:cat>
          <c:val>
            <c:numRef>
              <c:f>'Exports_to_EU_Commodityqms  EUR'!$P$2:$P$43</c:f>
              <c:numCache>
                <c:formatCode>General</c:formatCode>
                <c:ptCount val="42"/>
                <c:pt idx="0">
                  <c:v>-48.077914999999997</c:v>
                </c:pt>
                <c:pt idx="1">
                  <c:v>-33.529037000000002</c:v>
                </c:pt>
                <c:pt idx="2">
                  <c:v>-29.515957</c:v>
                </c:pt>
                <c:pt idx="3">
                  <c:v>-16.851863999999999</c:v>
                </c:pt>
                <c:pt idx="4">
                  <c:v>-16.019051000000001</c:v>
                </c:pt>
                <c:pt idx="5">
                  <c:v>-13.707143</c:v>
                </c:pt>
                <c:pt idx="6">
                  <c:v>-13.540445</c:v>
                </c:pt>
                <c:pt idx="7">
                  <c:v>-12.942964</c:v>
                </c:pt>
                <c:pt idx="8">
                  <c:v>-7.5928279999999999</c:v>
                </c:pt>
                <c:pt idx="9">
                  <c:v>-7.6001440000000002</c:v>
                </c:pt>
                <c:pt idx="10">
                  <c:v>-7.082992</c:v>
                </c:pt>
                <c:pt idx="11">
                  <c:v>-5.8418760000000001</c:v>
                </c:pt>
                <c:pt idx="12">
                  <c:v>-4.369014</c:v>
                </c:pt>
                <c:pt idx="13">
                  <c:v>-1.7664899999999999</c:v>
                </c:pt>
                <c:pt idx="14">
                  <c:v>-1.774232</c:v>
                </c:pt>
                <c:pt idx="15">
                  <c:v>-1.669618</c:v>
                </c:pt>
                <c:pt idx="16">
                  <c:v>5.9060000000000001E-2</c:v>
                </c:pt>
                <c:pt idx="17">
                  <c:v>-1.3957329999999999</c:v>
                </c:pt>
                <c:pt idx="18">
                  <c:v>-1.1894469999999999</c:v>
                </c:pt>
                <c:pt idx="19">
                  <c:v>-1.190283</c:v>
                </c:pt>
                <c:pt idx="20">
                  <c:v>-1.2027829999999999</c:v>
                </c:pt>
                <c:pt idx="21">
                  <c:v>-1.237015</c:v>
                </c:pt>
                <c:pt idx="22">
                  <c:v>-0.20591599999999999</c:v>
                </c:pt>
                <c:pt idx="23">
                  <c:v>-1.1707689999999999</c:v>
                </c:pt>
                <c:pt idx="24">
                  <c:v>-1.098651</c:v>
                </c:pt>
                <c:pt idx="25">
                  <c:v>-1.009835</c:v>
                </c:pt>
                <c:pt idx="26">
                  <c:v>-0.92217199999999999</c:v>
                </c:pt>
                <c:pt idx="27">
                  <c:v>-0.89392499999999997</c:v>
                </c:pt>
                <c:pt idx="28">
                  <c:v>-0.91238900000000001</c:v>
                </c:pt>
                <c:pt idx="29">
                  <c:v>-0.87301700000000004</c:v>
                </c:pt>
                <c:pt idx="30">
                  <c:v>2.6950000000000002E-2</c:v>
                </c:pt>
                <c:pt idx="31">
                  <c:v>-0.74945899999999999</c:v>
                </c:pt>
                <c:pt idx="32">
                  <c:v>-0.75993699999999997</c:v>
                </c:pt>
                <c:pt idx="33">
                  <c:v>-0.53677399999999997</c:v>
                </c:pt>
                <c:pt idx="34">
                  <c:v>-2.093315</c:v>
                </c:pt>
                <c:pt idx="35">
                  <c:v>-3.231484</c:v>
                </c:pt>
                <c:pt idx="36">
                  <c:v>1.3892580000000001</c:v>
                </c:pt>
                <c:pt idx="37">
                  <c:v>0.83930199999999999</c:v>
                </c:pt>
                <c:pt idx="38">
                  <c:v>1.4784219999999999</c:v>
                </c:pt>
                <c:pt idx="39">
                  <c:v>3.2510889999999999</c:v>
                </c:pt>
                <c:pt idx="40">
                  <c:v>7.3802839999999996</c:v>
                </c:pt>
                <c:pt idx="41">
                  <c:v>7.5067589999999997</c:v>
                </c:pt>
              </c:numCache>
            </c:numRef>
          </c:val>
          <c:extLst>
            <c:ext xmlns:c16="http://schemas.microsoft.com/office/drawing/2014/chart" uri="{C3380CC4-5D6E-409C-BE32-E72D297353CC}">
              <c16:uniqueId val="{00000001-6831-4932-B210-9B37B55A06EC}"/>
            </c:ext>
          </c:extLst>
        </c:ser>
        <c:dLbls>
          <c:showLegendKey val="0"/>
          <c:showVal val="0"/>
          <c:showCatName val="0"/>
          <c:showSerName val="0"/>
          <c:showPercent val="0"/>
          <c:showBubbleSize val="0"/>
        </c:dLbls>
        <c:gapWidth val="182"/>
        <c:axId val="1556958191"/>
        <c:axId val="1556958671"/>
      </c:barChart>
      <c:catAx>
        <c:axId val="1556958191"/>
        <c:scaling>
          <c:orientation val="minMax"/>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556958671"/>
        <c:crosses val="autoZero"/>
        <c:auto val="1"/>
        <c:lblAlgn val="ctr"/>
        <c:lblOffset val="100"/>
        <c:noMultiLvlLbl val="0"/>
      </c:catAx>
      <c:valAx>
        <c:axId val="1556958671"/>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dirty="0"/>
                  <a:t>%</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5695819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7</Pages>
  <Words>2535</Words>
  <Characters>14456</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Chepeliev, Maksym G</dc:creator>
  <cp:keywords/>
  <dc:description/>
  <cp:lastModifiedBy>Maryla Maliszewska</cp:lastModifiedBy>
  <cp:revision>2</cp:revision>
  <dcterms:created xsi:type="dcterms:W3CDTF">2025-04-15T14:48:00Z</dcterms:created>
  <dcterms:modified xsi:type="dcterms:W3CDTF">2025-04-15T14:48:00Z</dcterms:modified>
</cp:coreProperties>
</file>