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B125A" w14:textId="4ECEA952" w:rsidR="00A15F12" w:rsidRDefault="00A15F12" w:rsidP="00A15F12">
      <w:pPr>
        <w:spacing w:line="240" w:lineRule="auto"/>
      </w:pPr>
    </w:p>
    <w:p w14:paraId="0E2BC0D8" w14:textId="77777777" w:rsidR="00A15F12" w:rsidRDefault="00A15F12" w:rsidP="00A15F12">
      <w:pPr>
        <w:spacing w:line="240" w:lineRule="auto"/>
      </w:pPr>
    </w:p>
    <w:p w14:paraId="3F91D026" w14:textId="77777777" w:rsidR="00A15F12" w:rsidRDefault="00A15F12" w:rsidP="00A15F12">
      <w:pPr>
        <w:spacing w:line="240" w:lineRule="auto"/>
      </w:pPr>
    </w:p>
    <w:p w14:paraId="57EB05B0" w14:textId="77777777" w:rsidR="00A15F12" w:rsidRDefault="00A15F12" w:rsidP="00A15F12">
      <w:pPr>
        <w:spacing w:line="240" w:lineRule="auto"/>
      </w:pPr>
    </w:p>
    <w:p w14:paraId="6E462081" w14:textId="77777777" w:rsidR="00A15F12" w:rsidRDefault="00A15F12" w:rsidP="00A15F12">
      <w:pPr>
        <w:spacing w:line="240" w:lineRule="auto"/>
      </w:pPr>
    </w:p>
    <w:p w14:paraId="1359E077" w14:textId="77777777" w:rsidR="00A15F12" w:rsidRDefault="00A15F12" w:rsidP="00A15F12">
      <w:pPr>
        <w:spacing w:line="240" w:lineRule="auto"/>
      </w:pPr>
    </w:p>
    <w:p w14:paraId="7A04E269" w14:textId="77777777" w:rsidR="00A15F12" w:rsidRDefault="00A15F12" w:rsidP="00A15F12">
      <w:pPr>
        <w:spacing w:line="240" w:lineRule="auto"/>
      </w:pPr>
    </w:p>
    <w:p w14:paraId="286EC44A" w14:textId="77777777" w:rsidR="00A15F12" w:rsidRDefault="00A15F12" w:rsidP="00A15F12">
      <w:pPr>
        <w:spacing w:line="240" w:lineRule="auto"/>
      </w:pPr>
    </w:p>
    <w:p w14:paraId="3C6D2552" w14:textId="77777777" w:rsidR="00A15F12" w:rsidRDefault="00A15F12" w:rsidP="00A15F12">
      <w:pPr>
        <w:spacing w:line="240" w:lineRule="auto"/>
      </w:pPr>
    </w:p>
    <w:p w14:paraId="50DD4641" w14:textId="0981A685" w:rsidR="00A15F12" w:rsidRDefault="00874EBB" w:rsidP="00A15F12">
      <w:pPr>
        <w:spacing w:line="240" w:lineRule="auto"/>
        <w:jc w:val="center"/>
        <w:rPr>
          <w:rFonts w:ascii="Arial" w:hAnsi="Arial" w:cs="Arial"/>
          <w:b/>
          <w:bCs/>
          <w:color w:val="ED7D31" w:themeColor="accent2"/>
          <w:sz w:val="48"/>
          <w:szCs w:val="48"/>
        </w:rPr>
      </w:pPr>
      <w:r w:rsidRPr="00874EBB">
        <w:rPr>
          <w:rFonts w:ascii="Arial" w:hAnsi="Arial" w:cs="Arial"/>
          <w:b/>
          <w:bCs/>
          <w:color w:val="ED7D31" w:themeColor="accent2"/>
          <w:sz w:val="48"/>
          <w:szCs w:val="48"/>
        </w:rPr>
        <w:t xml:space="preserve">Fall </w:t>
      </w:r>
      <w:r w:rsidR="009B1D5F">
        <w:rPr>
          <w:rFonts w:ascii="Arial" w:hAnsi="Arial" w:cs="Arial"/>
          <w:b/>
          <w:bCs/>
          <w:color w:val="ED7D31" w:themeColor="accent2"/>
          <w:sz w:val="48"/>
          <w:szCs w:val="48"/>
        </w:rPr>
        <w:t xml:space="preserve">in </w:t>
      </w:r>
      <w:r w:rsidRPr="00874EBB">
        <w:rPr>
          <w:rFonts w:ascii="Arial" w:hAnsi="Arial" w:cs="Arial"/>
          <w:b/>
          <w:bCs/>
          <w:color w:val="ED7D31" w:themeColor="accent2"/>
          <w:sz w:val="48"/>
          <w:szCs w:val="48"/>
        </w:rPr>
        <w:t xml:space="preserve">hydrocarbon and cement </w:t>
      </w:r>
      <w:r w:rsidR="009B1D5F" w:rsidRPr="00874EBB">
        <w:rPr>
          <w:rFonts w:ascii="Arial" w:hAnsi="Arial" w:cs="Arial"/>
          <w:b/>
          <w:bCs/>
          <w:color w:val="ED7D31" w:themeColor="accent2"/>
          <w:sz w:val="48"/>
          <w:szCs w:val="48"/>
        </w:rPr>
        <w:t>prices</w:t>
      </w:r>
      <w:r w:rsidR="009B1D5F" w:rsidRPr="00874EBB">
        <w:rPr>
          <w:rFonts w:ascii="Arial" w:hAnsi="Arial" w:cs="Arial"/>
          <w:b/>
          <w:bCs/>
          <w:color w:val="ED7D31" w:themeColor="accent2"/>
          <w:sz w:val="48"/>
          <w:szCs w:val="48"/>
        </w:rPr>
        <w:t xml:space="preserve"> </w:t>
      </w:r>
      <w:r w:rsidRPr="00874EBB">
        <w:rPr>
          <w:rFonts w:ascii="Arial" w:hAnsi="Arial" w:cs="Arial"/>
          <w:b/>
          <w:bCs/>
          <w:color w:val="ED7D31" w:themeColor="accent2"/>
          <w:sz w:val="48"/>
          <w:szCs w:val="48"/>
        </w:rPr>
        <w:t>in Niger: What impact on employment and the well-being of men and women?</w:t>
      </w:r>
    </w:p>
    <w:p w14:paraId="53DCFCD6" w14:textId="622C6281" w:rsidR="00A15F12" w:rsidRPr="00874EBB" w:rsidRDefault="00874EBB" w:rsidP="00A15F12">
      <w:pPr>
        <w:spacing w:line="240" w:lineRule="auto"/>
        <w:jc w:val="center"/>
        <w:rPr>
          <w:b/>
          <w:bCs/>
          <w:sz w:val="28"/>
          <w:szCs w:val="28"/>
          <w:lang w:val="en-US"/>
        </w:rPr>
      </w:pPr>
      <w:r w:rsidRPr="00874EBB">
        <w:rPr>
          <w:b/>
          <w:bCs/>
          <w:sz w:val="28"/>
          <w:szCs w:val="28"/>
          <w:lang w:val="en-US"/>
        </w:rPr>
        <w:t>Saadatou Alkassoum Sangaré, Andrea El Meligi and Victor Nechifor</w:t>
      </w:r>
    </w:p>
    <w:p w14:paraId="5FDC73AF" w14:textId="77777777" w:rsidR="00A15F12" w:rsidRPr="00B23FF6" w:rsidRDefault="00A15F12" w:rsidP="00A15F12">
      <w:pPr>
        <w:spacing w:line="240" w:lineRule="auto"/>
        <w:jc w:val="center"/>
        <w:rPr>
          <w:sz w:val="28"/>
          <w:szCs w:val="28"/>
          <w:lang w:val="en-US"/>
        </w:rPr>
      </w:pPr>
      <w:hyperlink r:id="rId8" w:history="1">
        <w:r w:rsidRPr="00B23FF6">
          <w:rPr>
            <w:rStyle w:val="Lienhypertexte"/>
            <w:sz w:val="28"/>
            <w:szCs w:val="28"/>
            <w:lang w:val="en-US"/>
          </w:rPr>
          <w:t>saadalk@gmail.com</w:t>
        </w:r>
      </w:hyperlink>
    </w:p>
    <w:p w14:paraId="274EE787" w14:textId="77777777" w:rsidR="00A15F12" w:rsidRPr="00B23FF6" w:rsidRDefault="00A15F12" w:rsidP="00A15F12">
      <w:pPr>
        <w:spacing w:line="240" w:lineRule="auto"/>
        <w:jc w:val="center"/>
        <w:rPr>
          <w:lang w:val="en-US"/>
        </w:rPr>
      </w:pPr>
    </w:p>
    <w:p w14:paraId="1914EF8D" w14:textId="77777777" w:rsidR="00A15F12" w:rsidRPr="00A15F12" w:rsidRDefault="00A15F12" w:rsidP="00A15F12">
      <w:pPr>
        <w:spacing w:line="240" w:lineRule="auto"/>
        <w:jc w:val="center"/>
        <w:rPr>
          <w:lang w:val="en-US"/>
        </w:rPr>
      </w:pPr>
      <w:r w:rsidRPr="00A15F12">
        <w:rPr>
          <w:lang w:val="en-US"/>
        </w:rPr>
        <w:t>NIGER</w:t>
      </w:r>
    </w:p>
    <w:p w14:paraId="5336AEF7" w14:textId="77777777" w:rsidR="00A15F12" w:rsidRPr="00A15F12" w:rsidRDefault="00A15F12" w:rsidP="00A15F12">
      <w:pPr>
        <w:spacing w:line="240" w:lineRule="auto"/>
        <w:jc w:val="center"/>
        <w:rPr>
          <w:lang w:val="en-US"/>
        </w:rPr>
      </w:pPr>
    </w:p>
    <w:p w14:paraId="73E32327" w14:textId="77777777" w:rsidR="00A15F12" w:rsidRPr="00A15F12" w:rsidRDefault="00A15F12" w:rsidP="00A15F12">
      <w:pPr>
        <w:spacing w:line="240" w:lineRule="auto"/>
        <w:jc w:val="center"/>
        <w:rPr>
          <w:lang w:val="en-US"/>
        </w:rPr>
      </w:pPr>
    </w:p>
    <w:p w14:paraId="6BC87ECF" w14:textId="77777777" w:rsidR="00A15F12" w:rsidRPr="00A15F12" w:rsidRDefault="00A15F12" w:rsidP="00A15F12">
      <w:pPr>
        <w:spacing w:line="240" w:lineRule="auto"/>
        <w:jc w:val="center"/>
        <w:rPr>
          <w:lang w:val="en-US"/>
        </w:rPr>
      </w:pPr>
    </w:p>
    <w:p w14:paraId="05B5BDEB" w14:textId="531D14CF" w:rsidR="00A15F12" w:rsidRPr="00A15F12" w:rsidRDefault="00EF0216" w:rsidP="00A15F12">
      <w:pPr>
        <w:spacing w:line="240" w:lineRule="auto"/>
        <w:jc w:val="center"/>
        <w:rPr>
          <w:lang w:val="en-US"/>
        </w:rPr>
      </w:pPr>
      <w:r>
        <w:rPr>
          <w:lang w:val="en-US"/>
        </w:rPr>
        <w:t>Juin</w:t>
      </w:r>
      <w:r w:rsidR="00C93DCF">
        <w:rPr>
          <w:lang w:val="en-US"/>
        </w:rPr>
        <w:t xml:space="preserve"> </w:t>
      </w:r>
      <w:r w:rsidR="00A15F12" w:rsidRPr="00A15F12">
        <w:rPr>
          <w:lang w:val="en-US"/>
        </w:rPr>
        <w:t>2025</w:t>
      </w:r>
    </w:p>
    <w:p w14:paraId="28439772" w14:textId="77777777" w:rsidR="00A15F12" w:rsidRPr="00A15F12" w:rsidRDefault="00A15F12" w:rsidP="00A15F12">
      <w:pPr>
        <w:spacing w:line="240" w:lineRule="auto"/>
        <w:rPr>
          <w:lang w:val="en-US"/>
        </w:rPr>
      </w:pPr>
      <w:r w:rsidRPr="00A15F12">
        <w:rPr>
          <w:lang w:val="en-US"/>
        </w:rPr>
        <w:t xml:space="preserve"> </w:t>
      </w:r>
    </w:p>
    <w:p w14:paraId="4415B74C" w14:textId="77777777" w:rsidR="00A15F12" w:rsidRPr="00A15F12" w:rsidRDefault="00A15F12" w:rsidP="00A15F12">
      <w:pPr>
        <w:spacing w:line="240" w:lineRule="auto"/>
        <w:rPr>
          <w:lang w:val="en-US"/>
        </w:rPr>
      </w:pPr>
      <w:r w:rsidRPr="00A15F12">
        <w:rPr>
          <w:lang w:val="en-US"/>
        </w:rPr>
        <w:t xml:space="preserve"> </w:t>
      </w:r>
    </w:p>
    <w:p w14:paraId="1025B202" w14:textId="77777777" w:rsidR="00A15F12" w:rsidRPr="00A15F12" w:rsidRDefault="00A15F12" w:rsidP="00A15F12">
      <w:pPr>
        <w:spacing w:line="240" w:lineRule="auto"/>
        <w:rPr>
          <w:lang w:val="en-US"/>
        </w:rPr>
      </w:pPr>
    </w:p>
    <w:p w14:paraId="112AB093" w14:textId="77777777" w:rsidR="00A15F12" w:rsidRPr="00A15F12" w:rsidRDefault="00A15F12" w:rsidP="00A15F12">
      <w:pPr>
        <w:spacing w:line="240" w:lineRule="auto"/>
        <w:rPr>
          <w:lang w:val="en-US"/>
        </w:rPr>
      </w:pPr>
    </w:p>
    <w:p w14:paraId="2DC4B392" w14:textId="77777777" w:rsidR="00A15F12" w:rsidRPr="00A15F12" w:rsidRDefault="00A15F12" w:rsidP="00A15F12">
      <w:pPr>
        <w:spacing w:line="240" w:lineRule="auto"/>
        <w:rPr>
          <w:lang w:val="en-US"/>
        </w:rPr>
      </w:pPr>
    </w:p>
    <w:p w14:paraId="522DCFDA" w14:textId="77777777" w:rsidR="00A15F12" w:rsidRDefault="00A15F12" w:rsidP="00A15F12">
      <w:pPr>
        <w:spacing w:line="240" w:lineRule="auto"/>
        <w:rPr>
          <w:lang w:val="en-US"/>
        </w:rPr>
      </w:pPr>
    </w:p>
    <w:p w14:paraId="7E32185F" w14:textId="77777777" w:rsidR="00A15F12" w:rsidRDefault="00A15F12" w:rsidP="00A15F12">
      <w:pPr>
        <w:spacing w:line="240" w:lineRule="auto"/>
        <w:rPr>
          <w:lang w:val="en-US"/>
        </w:rPr>
      </w:pPr>
    </w:p>
    <w:p w14:paraId="750B045E" w14:textId="77777777" w:rsidR="00A15F12" w:rsidRDefault="00A15F12" w:rsidP="00A15F12">
      <w:pPr>
        <w:spacing w:line="240" w:lineRule="auto"/>
        <w:rPr>
          <w:lang w:val="en-US"/>
        </w:rPr>
      </w:pPr>
    </w:p>
    <w:p w14:paraId="7A1AAFAE" w14:textId="77777777" w:rsidR="00A15F12" w:rsidRPr="00A15F12" w:rsidRDefault="00A15F12" w:rsidP="00A15F12">
      <w:pPr>
        <w:spacing w:line="240" w:lineRule="auto"/>
        <w:rPr>
          <w:lang w:val="en-US"/>
        </w:rPr>
      </w:pPr>
    </w:p>
    <w:p w14:paraId="428BB197" w14:textId="77777777" w:rsidR="00A15F12" w:rsidRPr="00A15F12" w:rsidRDefault="00A15F12" w:rsidP="00A15F12">
      <w:pPr>
        <w:spacing w:line="240" w:lineRule="auto"/>
        <w:rPr>
          <w:lang w:val="en-US"/>
        </w:rPr>
      </w:pPr>
    </w:p>
    <w:p w14:paraId="0428CE11" w14:textId="77777777" w:rsidR="00A15F12" w:rsidRPr="00A15F12" w:rsidRDefault="00A15F12" w:rsidP="00A15F12">
      <w:pPr>
        <w:spacing w:line="240" w:lineRule="auto"/>
        <w:rPr>
          <w:rFonts w:ascii="Proxima Nova" w:hAnsi="Proxima Nova"/>
          <w:lang w:val="en-US"/>
        </w:rPr>
      </w:pPr>
    </w:p>
    <w:p w14:paraId="2C761E58" w14:textId="77777777" w:rsidR="00A15F12" w:rsidRPr="00A15F12" w:rsidRDefault="00A15F12" w:rsidP="00A15F12">
      <w:pPr>
        <w:spacing w:line="240" w:lineRule="auto"/>
        <w:rPr>
          <w:rFonts w:ascii="Times New Roman" w:hAnsi="Times New Roman" w:cs="Times New Roman"/>
          <w:sz w:val="24"/>
          <w:szCs w:val="24"/>
          <w:lang w:val="en-US"/>
        </w:rPr>
      </w:pPr>
      <w:r w:rsidRPr="00A15F12">
        <w:rPr>
          <w:rFonts w:ascii="Times New Roman" w:hAnsi="Times New Roman" w:cs="Times New Roman"/>
          <w:sz w:val="24"/>
          <w:szCs w:val="24"/>
          <w:lang w:val="en-US"/>
        </w:rPr>
        <w:lastRenderedPageBreak/>
        <w:t>ABSTRACT</w:t>
      </w:r>
    </w:p>
    <w:p w14:paraId="653D04B5" w14:textId="36329D74" w:rsidR="002735B7" w:rsidRPr="002735B7" w:rsidRDefault="002735B7" w:rsidP="00CE7954">
      <w:pPr>
        <w:spacing w:line="240" w:lineRule="auto"/>
        <w:jc w:val="both"/>
        <w:rPr>
          <w:rFonts w:ascii="Times New Roman" w:hAnsi="Times New Roman" w:cs="Times New Roman"/>
          <w:sz w:val="24"/>
          <w:szCs w:val="24"/>
          <w:lang w:val="en-US"/>
        </w:rPr>
      </w:pPr>
      <w:r w:rsidRPr="002735B7">
        <w:rPr>
          <w:rFonts w:ascii="Times New Roman" w:hAnsi="Times New Roman" w:cs="Times New Roman"/>
          <w:sz w:val="24"/>
          <w:szCs w:val="24"/>
          <w:lang w:val="en-US"/>
        </w:rPr>
        <w:t>The economic and social reforms initiated in 2023 by the political authorities aim to support the resilience of populations but may also have repercussions on gender inequalities, which remain high in Niger. This study uses a computable general equilibrium model to assess the distributional impacts between men and women of the petroleum products reform and the cement reform under various budget balance financing assumptions.</w:t>
      </w:r>
      <w:r w:rsidR="00CE7954">
        <w:rPr>
          <w:rFonts w:ascii="Roboto" w:hAnsi="Roboto"/>
          <w:color w:val="3C4043"/>
          <w:sz w:val="27"/>
          <w:szCs w:val="27"/>
          <w:shd w:val="clear" w:color="auto" w:fill="F5F5F5"/>
        </w:rPr>
        <w:t xml:space="preserve"> </w:t>
      </w:r>
      <w:r w:rsidR="00CE7954" w:rsidRPr="00CE7954">
        <w:rPr>
          <w:rFonts w:ascii="Times New Roman" w:hAnsi="Times New Roman" w:cs="Times New Roman"/>
          <w:sz w:val="24"/>
          <w:szCs w:val="24"/>
        </w:rPr>
        <w:t>The results highlight an improvement in household income and an increase in their purchasing power, but the pressure on public finances, persistent social disparities, and the risks of dependence on subsidies reveal the need for strategic adjustment.</w:t>
      </w:r>
    </w:p>
    <w:p w14:paraId="4F08D350" w14:textId="6DE56198" w:rsidR="00A15F12" w:rsidRPr="00A15F12" w:rsidRDefault="00A15F12" w:rsidP="002735B7">
      <w:pPr>
        <w:spacing w:line="240" w:lineRule="auto"/>
        <w:rPr>
          <w:rFonts w:ascii="Times New Roman" w:hAnsi="Times New Roman" w:cs="Times New Roman"/>
          <w:sz w:val="24"/>
          <w:szCs w:val="24"/>
          <w:lang w:val="en-US"/>
        </w:rPr>
      </w:pPr>
      <w:r w:rsidRPr="00A15F12">
        <w:rPr>
          <w:rFonts w:ascii="Times New Roman" w:hAnsi="Times New Roman" w:cs="Times New Roman"/>
          <w:sz w:val="24"/>
          <w:szCs w:val="24"/>
          <w:lang w:val="en-US"/>
        </w:rPr>
        <w:t>Keywords: Trade reforms - Gender - economic growth – CGE modeling</w:t>
      </w:r>
    </w:p>
    <w:p w14:paraId="20B3C3D8" w14:textId="77777777" w:rsidR="00A15F12" w:rsidRPr="00874EBB" w:rsidRDefault="00A15F12" w:rsidP="00A15F12">
      <w:pPr>
        <w:spacing w:line="240" w:lineRule="auto"/>
        <w:jc w:val="both"/>
        <w:rPr>
          <w:rFonts w:ascii="Times New Roman" w:hAnsi="Times New Roman" w:cs="Times New Roman"/>
          <w:sz w:val="24"/>
          <w:szCs w:val="24"/>
          <w:lang w:val="en-US"/>
        </w:rPr>
      </w:pPr>
    </w:p>
    <w:p w14:paraId="2B6CF5C2" w14:textId="77777777" w:rsidR="00A15F12" w:rsidRPr="00874EBB" w:rsidRDefault="00A15F12" w:rsidP="00A15F12">
      <w:pPr>
        <w:spacing w:line="240" w:lineRule="auto"/>
        <w:jc w:val="both"/>
        <w:rPr>
          <w:rFonts w:ascii="Times New Roman" w:hAnsi="Times New Roman" w:cs="Times New Roman"/>
          <w:sz w:val="24"/>
          <w:szCs w:val="24"/>
          <w:lang w:val="en-US"/>
        </w:rPr>
      </w:pPr>
    </w:p>
    <w:p w14:paraId="0E1CE779" w14:textId="77777777" w:rsidR="00A15F12" w:rsidRPr="00874EBB" w:rsidRDefault="00A15F12" w:rsidP="00A15F12">
      <w:pPr>
        <w:spacing w:line="240" w:lineRule="auto"/>
        <w:jc w:val="both"/>
        <w:rPr>
          <w:rFonts w:ascii="Times New Roman" w:hAnsi="Times New Roman" w:cs="Times New Roman"/>
          <w:sz w:val="24"/>
          <w:szCs w:val="24"/>
          <w:lang w:val="en-US"/>
        </w:rPr>
      </w:pPr>
    </w:p>
    <w:p w14:paraId="05E8D830" w14:textId="77777777" w:rsidR="00A15F12" w:rsidRPr="00874EBB" w:rsidRDefault="00A15F12" w:rsidP="00A15F12">
      <w:pPr>
        <w:spacing w:line="240" w:lineRule="auto"/>
        <w:jc w:val="both"/>
        <w:rPr>
          <w:rFonts w:ascii="Times New Roman" w:hAnsi="Times New Roman" w:cs="Times New Roman"/>
          <w:sz w:val="24"/>
          <w:szCs w:val="24"/>
          <w:lang w:val="en-US"/>
        </w:rPr>
      </w:pPr>
    </w:p>
    <w:p w14:paraId="50BA6B00" w14:textId="2EA4458E" w:rsidR="00A15F12" w:rsidRPr="00F10CB0" w:rsidRDefault="00CE7954" w:rsidP="00A15F12">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RESUME</w:t>
      </w:r>
    </w:p>
    <w:p w14:paraId="7C8D3E57" w14:textId="00598735" w:rsidR="000330C0" w:rsidRPr="00A6170C" w:rsidRDefault="00CE7954" w:rsidP="00A15F12">
      <w:pPr>
        <w:spacing w:line="240" w:lineRule="auto"/>
        <w:jc w:val="both"/>
        <w:rPr>
          <w:rFonts w:ascii="Times New Roman" w:hAnsi="Times New Roman" w:cs="Times New Roman"/>
          <w:sz w:val="24"/>
          <w:szCs w:val="24"/>
        </w:rPr>
      </w:pPr>
      <w:bookmarkStart w:id="0" w:name="_Hlk93209012"/>
      <w:r w:rsidRPr="00CE7954">
        <w:rPr>
          <w:rFonts w:ascii="Times New Roman" w:hAnsi="Times New Roman" w:cs="Times New Roman"/>
          <w:sz w:val="24"/>
          <w:szCs w:val="24"/>
        </w:rPr>
        <w:t>L’évaluation réalisée dans le cadre de cette étude met en évidence des impacts positifs tant au niveau microéconomique que macroéconomique. L’amélioration des revenus des ménages, la hausse du pouvoir d’achat et la perception globale du bien-être social sont des résultats encourageants. Cependant, les limites identifiées, telles que la pression sur les finances publiques, les disparités sociales persistantes et les risques de dépendance aux subventions, révèlent la nécessité d'un ajustement stratégique.</w:t>
      </w:r>
      <w:r>
        <w:rPr>
          <w:rFonts w:ascii="Times New Roman" w:hAnsi="Times New Roman" w:cs="Times New Roman"/>
          <w:sz w:val="24"/>
          <w:szCs w:val="24"/>
        </w:rPr>
        <w:t xml:space="preserve"> </w:t>
      </w:r>
      <w:r w:rsidRPr="00CE7954">
        <w:rPr>
          <w:rFonts w:ascii="Times New Roman" w:hAnsi="Times New Roman" w:cs="Times New Roman"/>
          <w:sz w:val="24"/>
          <w:szCs w:val="24"/>
        </w:rPr>
        <w:t>Les resutats mettent en evidence une amélioration des revenus des ménages et une hausse de leur pouvoir d'achat mais la pression sur les finances publiques, la persistance des disparités sociales et les risques de dépendance aux subventions révèlent la nécessité d'un ajustement stratégique.</w:t>
      </w:r>
    </w:p>
    <w:bookmarkEnd w:id="0"/>
    <w:p w14:paraId="7B50C24A" w14:textId="1707E3EA" w:rsidR="00A15F12" w:rsidRPr="00A6170C" w:rsidRDefault="00CE7954" w:rsidP="00A15F12">
      <w:pPr>
        <w:spacing w:line="240" w:lineRule="auto"/>
        <w:rPr>
          <w:sz w:val="24"/>
          <w:szCs w:val="24"/>
        </w:rPr>
      </w:pPr>
      <w:r w:rsidRPr="00CE7954">
        <w:rPr>
          <w:rFonts w:ascii="Times New Roman" w:hAnsi="Times New Roman" w:cs="Times New Roman"/>
          <w:sz w:val="24"/>
          <w:szCs w:val="24"/>
        </w:rPr>
        <w:t>Mots clés : Réformes économiques – Genre – Croissance économique - MEGC</w:t>
      </w:r>
    </w:p>
    <w:p w14:paraId="643A791B" w14:textId="77777777" w:rsidR="00A15F12" w:rsidRDefault="00A15F12" w:rsidP="00A15F12">
      <w:pPr>
        <w:spacing w:line="240" w:lineRule="auto"/>
      </w:pPr>
    </w:p>
    <w:p w14:paraId="3244F420" w14:textId="77777777" w:rsidR="00A15F12" w:rsidRDefault="00A15F12" w:rsidP="00A15F12">
      <w:pPr>
        <w:spacing w:line="240" w:lineRule="auto"/>
      </w:pPr>
    </w:p>
    <w:p w14:paraId="1A563802" w14:textId="77777777" w:rsidR="00A15F12" w:rsidRDefault="00A15F12" w:rsidP="00A15F12">
      <w:pPr>
        <w:spacing w:line="240" w:lineRule="auto"/>
      </w:pPr>
    </w:p>
    <w:p w14:paraId="78AF6A08" w14:textId="77777777" w:rsidR="00A15F12" w:rsidRDefault="00A15F12" w:rsidP="00A15F12">
      <w:pPr>
        <w:spacing w:line="240" w:lineRule="auto"/>
      </w:pPr>
    </w:p>
    <w:p w14:paraId="533E1FC1" w14:textId="77777777" w:rsidR="002735B7" w:rsidRDefault="002735B7" w:rsidP="00A15F12">
      <w:pPr>
        <w:spacing w:line="240" w:lineRule="auto"/>
      </w:pPr>
    </w:p>
    <w:p w14:paraId="05E94E74" w14:textId="77777777" w:rsidR="002735B7" w:rsidRDefault="002735B7" w:rsidP="00A15F12">
      <w:pPr>
        <w:spacing w:line="240" w:lineRule="auto"/>
      </w:pPr>
    </w:p>
    <w:p w14:paraId="28932322" w14:textId="77777777" w:rsidR="002735B7" w:rsidRDefault="002735B7" w:rsidP="00A15F12">
      <w:pPr>
        <w:spacing w:line="240" w:lineRule="auto"/>
      </w:pPr>
    </w:p>
    <w:p w14:paraId="4EE7AA1C" w14:textId="77777777" w:rsidR="002735B7" w:rsidRDefault="002735B7" w:rsidP="00A15F12">
      <w:pPr>
        <w:spacing w:line="240" w:lineRule="auto"/>
      </w:pPr>
    </w:p>
    <w:p w14:paraId="75107B4F" w14:textId="77777777" w:rsidR="002735B7" w:rsidRDefault="002735B7" w:rsidP="00A15F12">
      <w:pPr>
        <w:spacing w:line="240" w:lineRule="auto"/>
      </w:pPr>
    </w:p>
    <w:p w14:paraId="5F61A289" w14:textId="77777777" w:rsidR="002735B7" w:rsidRDefault="002735B7" w:rsidP="00A15F12">
      <w:pPr>
        <w:spacing w:line="240" w:lineRule="auto"/>
      </w:pPr>
    </w:p>
    <w:p w14:paraId="331217C7" w14:textId="77777777" w:rsidR="002735B7" w:rsidRDefault="002735B7" w:rsidP="00A15F12">
      <w:pPr>
        <w:spacing w:line="240" w:lineRule="auto"/>
      </w:pPr>
    </w:p>
    <w:p w14:paraId="3CBCBFC7" w14:textId="77777777" w:rsidR="002735B7" w:rsidRDefault="002735B7" w:rsidP="00A15F12">
      <w:pPr>
        <w:spacing w:line="240" w:lineRule="auto"/>
      </w:pPr>
    </w:p>
    <w:sdt>
      <w:sdtPr>
        <w:rPr>
          <w:rFonts w:asciiTheme="minorHAnsi" w:eastAsiaTheme="minorHAnsi" w:hAnsiTheme="minorHAnsi" w:cstheme="minorBidi"/>
          <w:color w:val="auto"/>
          <w:sz w:val="22"/>
          <w:szCs w:val="22"/>
          <w:lang w:eastAsia="en-US"/>
          <w14:ligatures w14:val="standardContextual"/>
        </w:rPr>
        <w:id w:val="-2126919698"/>
        <w:docPartObj>
          <w:docPartGallery w:val="Table of Contents"/>
          <w:docPartUnique/>
        </w:docPartObj>
      </w:sdtPr>
      <w:sdtEndPr>
        <w:rPr>
          <w:b/>
          <w:bCs/>
        </w:rPr>
      </w:sdtEndPr>
      <w:sdtContent>
        <w:p w14:paraId="387EE792" w14:textId="715E101D" w:rsidR="002735B7" w:rsidRDefault="002735B7">
          <w:pPr>
            <w:pStyle w:val="En-ttedetabledesmatires"/>
          </w:pPr>
          <w:r>
            <w:t>Table of Contents</w:t>
          </w:r>
        </w:p>
        <w:p w14:paraId="62934F23" w14:textId="317A25EB" w:rsidR="00CE7954" w:rsidRPr="00CE7954" w:rsidRDefault="00691852" w:rsidP="00CE7954">
          <w:pPr>
            <w:pStyle w:val="TM1"/>
            <w:rPr>
              <w:rFonts w:eastAsiaTheme="minorEastAsia"/>
              <w:b/>
              <w:bCs/>
              <w:kern w:val="2"/>
              <w:sz w:val="24"/>
              <w:szCs w:val="24"/>
              <w:lang w:val="fr-FR" w:eastAsia="fr-FR"/>
            </w:rPr>
          </w:pPr>
          <w:r>
            <w:rPr>
              <w:noProof w:val="0"/>
              <w:webHidden/>
            </w:rPr>
            <w:fldChar w:fldCharType="begin"/>
          </w:r>
          <w:r w:rsidR="002735B7">
            <w:instrText xml:space="preserve"> TOC \o "1-3" \h \z \u </w:instrText>
          </w:r>
          <w:r>
            <w:rPr>
              <w:noProof w:val="0"/>
              <w:webHidden/>
            </w:rPr>
            <w:fldChar w:fldCharType="separate"/>
          </w:r>
          <w:hyperlink w:anchor="_Toc200944543" w:history="1">
            <w:r w:rsidR="00CE7954" w:rsidRPr="00CE7954">
              <w:rPr>
                <w:rStyle w:val="Lienhypertexte"/>
                <w:b/>
                <w:bCs/>
              </w:rPr>
              <w:t>1.</w:t>
            </w:r>
            <w:r w:rsidR="00CE7954" w:rsidRPr="00CE7954">
              <w:rPr>
                <w:rFonts w:eastAsiaTheme="minorEastAsia"/>
                <w:b/>
                <w:bCs/>
                <w:kern w:val="2"/>
                <w:sz w:val="24"/>
                <w:szCs w:val="24"/>
                <w:lang w:val="fr-FR" w:eastAsia="fr-FR"/>
              </w:rPr>
              <w:tab/>
            </w:r>
            <w:r w:rsidR="00CE7954" w:rsidRPr="00CE7954">
              <w:rPr>
                <w:rStyle w:val="Lienhypertexte"/>
                <w:b/>
                <w:bCs/>
              </w:rPr>
              <w:t>Introduction</w:t>
            </w:r>
            <w:r w:rsidR="00CE7954" w:rsidRPr="00CE7954">
              <w:rPr>
                <w:b/>
                <w:bCs/>
                <w:webHidden/>
              </w:rPr>
              <w:tab/>
            </w:r>
            <w:r w:rsidR="00CE7954" w:rsidRPr="00CE7954">
              <w:rPr>
                <w:b/>
                <w:bCs/>
                <w:webHidden/>
              </w:rPr>
              <w:fldChar w:fldCharType="begin"/>
            </w:r>
            <w:r w:rsidR="00CE7954" w:rsidRPr="00CE7954">
              <w:rPr>
                <w:b/>
                <w:bCs/>
                <w:webHidden/>
              </w:rPr>
              <w:instrText xml:space="preserve"> PAGEREF _Toc200944543 \h </w:instrText>
            </w:r>
            <w:r w:rsidR="00CE7954" w:rsidRPr="00CE7954">
              <w:rPr>
                <w:b/>
                <w:bCs/>
                <w:webHidden/>
              </w:rPr>
            </w:r>
            <w:r w:rsidR="00CE7954" w:rsidRPr="00CE7954">
              <w:rPr>
                <w:b/>
                <w:bCs/>
                <w:webHidden/>
              </w:rPr>
              <w:fldChar w:fldCharType="separate"/>
            </w:r>
            <w:r w:rsidR="00CE7954" w:rsidRPr="00CE7954">
              <w:rPr>
                <w:b/>
                <w:bCs/>
                <w:webHidden/>
              </w:rPr>
              <w:t>4</w:t>
            </w:r>
            <w:r w:rsidR="00CE7954" w:rsidRPr="00CE7954">
              <w:rPr>
                <w:b/>
                <w:bCs/>
                <w:webHidden/>
              </w:rPr>
              <w:fldChar w:fldCharType="end"/>
            </w:r>
          </w:hyperlink>
        </w:p>
        <w:p w14:paraId="484FE94D" w14:textId="3B2FFDFF" w:rsidR="00CE7954" w:rsidRPr="00CE7954" w:rsidRDefault="00CE7954" w:rsidP="00CE7954">
          <w:pPr>
            <w:pStyle w:val="TM1"/>
            <w:rPr>
              <w:rFonts w:eastAsiaTheme="minorEastAsia"/>
              <w:kern w:val="2"/>
              <w:sz w:val="24"/>
              <w:szCs w:val="24"/>
              <w:lang w:val="fr-FR" w:eastAsia="fr-FR"/>
            </w:rPr>
          </w:pPr>
          <w:hyperlink w:anchor="_Toc200944544" w:history="1">
            <w:r w:rsidRPr="00CE7954">
              <w:rPr>
                <w:rStyle w:val="Lienhypertexte"/>
                <w:b/>
                <w:bCs/>
              </w:rPr>
              <w:t>2.</w:t>
            </w:r>
            <w:r w:rsidRPr="00CE7954">
              <w:rPr>
                <w:rFonts w:eastAsiaTheme="minorEastAsia"/>
                <w:b/>
                <w:bCs/>
                <w:kern w:val="2"/>
                <w:sz w:val="24"/>
                <w:szCs w:val="24"/>
                <w:lang w:val="fr-FR" w:eastAsia="fr-FR"/>
              </w:rPr>
              <w:tab/>
            </w:r>
            <w:r w:rsidRPr="00CE7954">
              <w:rPr>
                <w:rStyle w:val="Lienhypertexte"/>
                <w:b/>
                <w:bCs/>
              </w:rPr>
              <w:t>Characteristics of the oil and cement markets</w:t>
            </w:r>
            <w:r w:rsidRPr="00CE7954">
              <w:rPr>
                <w:b/>
                <w:bCs/>
                <w:webHidden/>
              </w:rPr>
              <w:tab/>
            </w:r>
            <w:r w:rsidRPr="00CE7954">
              <w:rPr>
                <w:b/>
                <w:bCs/>
                <w:webHidden/>
              </w:rPr>
              <w:fldChar w:fldCharType="begin"/>
            </w:r>
            <w:r w:rsidRPr="00CE7954">
              <w:rPr>
                <w:b/>
                <w:bCs/>
                <w:webHidden/>
              </w:rPr>
              <w:instrText xml:space="preserve"> PAGEREF _Toc200944544 \h </w:instrText>
            </w:r>
            <w:r w:rsidRPr="00CE7954">
              <w:rPr>
                <w:b/>
                <w:bCs/>
                <w:webHidden/>
              </w:rPr>
            </w:r>
            <w:r w:rsidRPr="00CE7954">
              <w:rPr>
                <w:b/>
                <w:bCs/>
                <w:webHidden/>
              </w:rPr>
              <w:fldChar w:fldCharType="separate"/>
            </w:r>
            <w:r w:rsidRPr="00CE7954">
              <w:rPr>
                <w:b/>
                <w:bCs/>
                <w:webHidden/>
              </w:rPr>
              <w:t>5</w:t>
            </w:r>
            <w:r w:rsidRPr="00CE7954">
              <w:rPr>
                <w:b/>
                <w:bCs/>
                <w:webHidden/>
              </w:rPr>
              <w:fldChar w:fldCharType="end"/>
            </w:r>
          </w:hyperlink>
        </w:p>
        <w:p w14:paraId="3CB604EA" w14:textId="38188ACC" w:rsidR="00CE7954" w:rsidRPr="00CE7954" w:rsidRDefault="00CE7954" w:rsidP="00CE7954">
          <w:pPr>
            <w:pStyle w:val="TM2"/>
            <w:rPr>
              <w:rFonts w:eastAsiaTheme="minorEastAsia"/>
              <w:kern w:val="2"/>
              <w:sz w:val="24"/>
              <w:szCs w:val="24"/>
              <w:lang w:val="fr-FR" w:eastAsia="fr-FR"/>
            </w:rPr>
          </w:pPr>
          <w:hyperlink w:anchor="_Toc200944545" w:history="1">
            <w:r w:rsidRPr="00CE7954">
              <w:rPr>
                <w:rStyle w:val="Lienhypertexte"/>
              </w:rPr>
              <w:t>2.1.</w:t>
            </w:r>
            <w:r w:rsidRPr="00CE7954">
              <w:rPr>
                <w:rFonts w:eastAsiaTheme="minorEastAsia"/>
                <w:kern w:val="2"/>
                <w:sz w:val="24"/>
                <w:szCs w:val="24"/>
                <w:lang w:val="fr-FR" w:eastAsia="fr-FR"/>
              </w:rPr>
              <w:tab/>
            </w:r>
            <w:r w:rsidRPr="00CE7954">
              <w:rPr>
                <w:rStyle w:val="Lienhypertexte"/>
              </w:rPr>
              <w:t>The oil market in Niger</w:t>
            </w:r>
            <w:r w:rsidRPr="00CE7954">
              <w:rPr>
                <w:webHidden/>
              </w:rPr>
              <w:tab/>
            </w:r>
            <w:r w:rsidRPr="00CE7954">
              <w:rPr>
                <w:webHidden/>
              </w:rPr>
              <w:fldChar w:fldCharType="begin"/>
            </w:r>
            <w:r w:rsidRPr="00CE7954">
              <w:rPr>
                <w:webHidden/>
              </w:rPr>
              <w:instrText xml:space="preserve"> PAGEREF _Toc200944545 \h </w:instrText>
            </w:r>
            <w:r w:rsidRPr="00CE7954">
              <w:rPr>
                <w:webHidden/>
              </w:rPr>
            </w:r>
            <w:r w:rsidRPr="00CE7954">
              <w:rPr>
                <w:webHidden/>
              </w:rPr>
              <w:fldChar w:fldCharType="separate"/>
            </w:r>
            <w:r w:rsidRPr="00CE7954">
              <w:rPr>
                <w:webHidden/>
              </w:rPr>
              <w:t>5</w:t>
            </w:r>
            <w:r w:rsidRPr="00CE7954">
              <w:rPr>
                <w:webHidden/>
              </w:rPr>
              <w:fldChar w:fldCharType="end"/>
            </w:r>
          </w:hyperlink>
        </w:p>
        <w:p w14:paraId="2DE76BF6" w14:textId="0B7B0F64" w:rsidR="00CE7954" w:rsidRPr="00CE7954" w:rsidRDefault="00CE7954" w:rsidP="00CE7954">
          <w:pPr>
            <w:pStyle w:val="TM2"/>
            <w:rPr>
              <w:rFonts w:eastAsiaTheme="minorEastAsia"/>
              <w:kern w:val="2"/>
              <w:sz w:val="24"/>
              <w:szCs w:val="24"/>
              <w:lang w:val="fr-FR" w:eastAsia="fr-FR"/>
            </w:rPr>
          </w:pPr>
          <w:hyperlink w:anchor="_Toc200944546" w:history="1">
            <w:r w:rsidRPr="00CE7954">
              <w:rPr>
                <w:rStyle w:val="Lienhypertexte"/>
              </w:rPr>
              <w:t>2.2.</w:t>
            </w:r>
            <w:r w:rsidRPr="00CE7954">
              <w:rPr>
                <w:rFonts w:eastAsiaTheme="minorEastAsia"/>
                <w:kern w:val="2"/>
                <w:sz w:val="24"/>
                <w:szCs w:val="24"/>
                <w:lang w:val="fr-FR" w:eastAsia="fr-FR"/>
              </w:rPr>
              <w:tab/>
            </w:r>
            <w:r w:rsidRPr="00CE7954">
              <w:rPr>
                <w:rStyle w:val="Lienhypertexte"/>
              </w:rPr>
              <w:t>The cement market</w:t>
            </w:r>
            <w:r w:rsidRPr="00CE7954">
              <w:rPr>
                <w:webHidden/>
              </w:rPr>
              <w:tab/>
            </w:r>
            <w:r w:rsidRPr="00CE7954">
              <w:rPr>
                <w:webHidden/>
              </w:rPr>
              <w:fldChar w:fldCharType="begin"/>
            </w:r>
            <w:r w:rsidRPr="00CE7954">
              <w:rPr>
                <w:webHidden/>
              </w:rPr>
              <w:instrText xml:space="preserve"> PAGEREF _Toc200944546 \h </w:instrText>
            </w:r>
            <w:r w:rsidRPr="00CE7954">
              <w:rPr>
                <w:webHidden/>
              </w:rPr>
            </w:r>
            <w:r w:rsidRPr="00CE7954">
              <w:rPr>
                <w:webHidden/>
              </w:rPr>
              <w:fldChar w:fldCharType="separate"/>
            </w:r>
            <w:r w:rsidRPr="00CE7954">
              <w:rPr>
                <w:webHidden/>
              </w:rPr>
              <w:t>6</w:t>
            </w:r>
            <w:r w:rsidRPr="00CE7954">
              <w:rPr>
                <w:webHidden/>
              </w:rPr>
              <w:fldChar w:fldCharType="end"/>
            </w:r>
          </w:hyperlink>
        </w:p>
        <w:p w14:paraId="222585E0" w14:textId="21055211" w:rsidR="00CE7954" w:rsidRDefault="00CE7954" w:rsidP="00CE7954">
          <w:pPr>
            <w:pStyle w:val="TM1"/>
            <w:rPr>
              <w:rFonts w:eastAsiaTheme="minorEastAsia"/>
              <w:kern w:val="2"/>
              <w:sz w:val="24"/>
              <w:szCs w:val="24"/>
              <w:lang w:val="fr-FR" w:eastAsia="fr-FR"/>
            </w:rPr>
          </w:pPr>
          <w:hyperlink w:anchor="_Toc200944547" w:history="1">
            <w:r w:rsidRPr="000B189E">
              <w:rPr>
                <w:rStyle w:val="Lienhypertexte"/>
                <w:b/>
                <w:bCs/>
              </w:rPr>
              <w:t>3.</w:t>
            </w:r>
            <w:r>
              <w:rPr>
                <w:rFonts w:eastAsiaTheme="minorEastAsia"/>
                <w:kern w:val="2"/>
                <w:sz w:val="24"/>
                <w:szCs w:val="24"/>
                <w:lang w:val="fr-FR" w:eastAsia="fr-FR"/>
              </w:rPr>
              <w:tab/>
            </w:r>
            <w:r w:rsidRPr="000B189E">
              <w:rPr>
                <w:rStyle w:val="Lienhypertexte"/>
                <w:b/>
                <w:bCs/>
              </w:rPr>
              <w:t>Literature review</w:t>
            </w:r>
            <w:r>
              <w:rPr>
                <w:webHidden/>
              </w:rPr>
              <w:tab/>
            </w:r>
            <w:r>
              <w:rPr>
                <w:webHidden/>
              </w:rPr>
              <w:fldChar w:fldCharType="begin"/>
            </w:r>
            <w:r>
              <w:rPr>
                <w:webHidden/>
              </w:rPr>
              <w:instrText xml:space="preserve"> PAGEREF _Toc200944547 \h </w:instrText>
            </w:r>
            <w:r>
              <w:rPr>
                <w:webHidden/>
              </w:rPr>
            </w:r>
            <w:r>
              <w:rPr>
                <w:webHidden/>
              </w:rPr>
              <w:fldChar w:fldCharType="separate"/>
            </w:r>
            <w:r>
              <w:rPr>
                <w:webHidden/>
              </w:rPr>
              <w:t>7</w:t>
            </w:r>
            <w:r>
              <w:rPr>
                <w:webHidden/>
              </w:rPr>
              <w:fldChar w:fldCharType="end"/>
            </w:r>
          </w:hyperlink>
        </w:p>
        <w:p w14:paraId="148D9D1F" w14:textId="3FB20FF2" w:rsidR="00CE7954" w:rsidRDefault="00CE7954" w:rsidP="00CE7954">
          <w:pPr>
            <w:pStyle w:val="TM1"/>
            <w:rPr>
              <w:rFonts w:eastAsiaTheme="minorEastAsia"/>
              <w:kern w:val="2"/>
              <w:sz w:val="24"/>
              <w:szCs w:val="24"/>
              <w:lang w:val="fr-FR" w:eastAsia="fr-FR"/>
            </w:rPr>
          </w:pPr>
          <w:hyperlink w:anchor="_Toc200944548" w:history="1">
            <w:r w:rsidRPr="000B189E">
              <w:rPr>
                <w:rStyle w:val="Lienhypertexte"/>
                <w:b/>
                <w:bCs/>
              </w:rPr>
              <w:t>4.</w:t>
            </w:r>
            <w:r>
              <w:rPr>
                <w:rFonts w:eastAsiaTheme="minorEastAsia"/>
                <w:kern w:val="2"/>
                <w:sz w:val="24"/>
                <w:szCs w:val="24"/>
                <w:lang w:val="fr-FR" w:eastAsia="fr-FR"/>
              </w:rPr>
              <w:tab/>
            </w:r>
            <w:r w:rsidRPr="000B189E">
              <w:rPr>
                <w:rStyle w:val="Lienhypertexte"/>
                <w:b/>
                <w:bCs/>
              </w:rPr>
              <w:t>Methodology</w:t>
            </w:r>
            <w:r>
              <w:rPr>
                <w:webHidden/>
              </w:rPr>
              <w:tab/>
            </w:r>
            <w:r>
              <w:rPr>
                <w:webHidden/>
              </w:rPr>
              <w:fldChar w:fldCharType="begin"/>
            </w:r>
            <w:r>
              <w:rPr>
                <w:webHidden/>
              </w:rPr>
              <w:instrText xml:space="preserve"> PAGEREF _Toc200944548 \h </w:instrText>
            </w:r>
            <w:r>
              <w:rPr>
                <w:webHidden/>
              </w:rPr>
            </w:r>
            <w:r>
              <w:rPr>
                <w:webHidden/>
              </w:rPr>
              <w:fldChar w:fldCharType="separate"/>
            </w:r>
            <w:r>
              <w:rPr>
                <w:webHidden/>
              </w:rPr>
              <w:t>8</w:t>
            </w:r>
            <w:r>
              <w:rPr>
                <w:webHidden/>
              </w:rPr>
              <w:fldChar w:fldCharType="end"/>
            </w:r>
          </w:hyperlink>
        </w:p>
        <w:p w14:paraId="17D17153" w14:textId="70D0DB08" w:rsidR="00CE7954" w:rsidRPr="00CE7954" w:rsidRDefault="00CE7954" w:rsidP="00CE7954">
          <w:pPr>
            <w:pStyle w:val="TM2"/>
            <w:rPr>
              <w:rFonts w:eastAsiaTheme="minorEastAsia"/>
              <w:kern w:val="2"/>
              <w:sz w:val="24"/>
              <w:szCs w:val="24"/>
              <w:lang w:val="fr-FR" w:eastAsia="fr-FR"/>
            </w:rPr>
          </w:pPr>
          <w:hyperlink w:anchor="_Toc200944549" w:history="1">
            <w:r w:rsidRPr="00CE7954">
              <w:rPr>
                <w:rStyle w:val="Lienhypertexte"/>
                <w:b w:val="0"/>
                <w:bCs w:val="0"/>
              </w:rPr>
              <w:t>4.1.</w:t>
            </w:r>
            <w:r w:rsidRPr="00CE7954">
              <w:rPr>
                <w:rFonts w:eastAsiaTheme="minorEastAsia"/>
                <w:kern w:val="2"/>
                <w:sz w:val="24"/>
                <w:szCs w:val="24"/>
                <w:lang w:val="fr-FR" w:eastAsia="fr-FR"/>
              </w:rPr>
              <w:tab/>
            </w:r>
            <w:r w:rsidRPr="00CE7954">
              <w:rPr>
                <w:rStyle w:val="Lienhypertexte"/>
                <w:b w:val="0"/>
                <w:bCs w:val="0"/>
              </w:rPr>
              <w:t>The data</w:t>
            </w:r>
            <w:r w:rsidRPr="00CE7954">
              <w:rPr>
                <w:webHidden/>
              </w:rPr>
              <w:tab/>
            </w:r>
            <w:r w:rsidRPr="00CE7954">
              <w:rPr>
                <w:webHidden/>
              </w:rPr>
              <w:fldChar w:fldCharType="begin"/>
            </w:r>
            <w:r w:rsidRPr="00CE7954">
              <w:rPr>
                <w:webHidden/>
              </w:rPr>
              <w:instrText xml:space="preserve"> PAGEREF _Toc200944549 \h </w:instrText>
            </w:r>
            <w:r w:rsidRPr="00CE7954">
              <w:rPr>
                <w:webHidden/>
              </w:rPr>
            </w:r>
            <w:r w:rsidRPr="00CE7954">
              <w:rPr>
                <w:webHidden/>
              </w:rPr>
              <w:fldChar w:fldCharType="separate"/>
            </w:r>
            <w:r w:rsidRPr="00CE7954">
              <w:rPr>
                <w:webHidden/>
              </w:rPr>
              <w:t>8</w:t>
            </w:r>
            <w:r w:rsidRPr="00CE7954">
              <w:rPr>
                <w:webHidden/>
              </w:rPr>
              <w:fldChar w:fldCharType="end"/>
            </w:r>
          </w:hyperlink>
        </w:p>
        <w:p w14:paraId="58F5466E" w14:textId="321544EC" w:rsidR="00CE7954" w:rsidRPr="00CE7954" w:rsidRDefault="00CE7954">
          <w:pPr>
            <w:pStyle w:val="TM3"/>
            <w:tabs>
              <w:tab w:val="left" w:pos="1200"/>
              <w:tab w:val="right" w:leader="dot" w:pos="9062"/>
            </w:tabs>
            <w:rPr>
              <w:rFonts w:eastAsiaTheme="minorEastAsia"/>
              <w:noProof/>
              <w:kern w:val="2"/>
              <w:sz w:val="24"/>
              <w:szCs w:val="24"/>
              <w:lang w:val="fr-FR" w:eastAsia="fr-FR"/>
            </w:rPr>
          </w:pPr>
          <w:hyperlink w:anchor="_Toc200944550" w:history="1">
            <w:r w:rsidRPr="00CE7954">
              <w:rPr>
                <w:rStyle w:val="Lienhypertexte"/>
                <w:noProof/>
              </w:rPr>
              <w:t>4.1.1.</w:t>
            </w:r>
            <w:r w:rsidRPr="00CE7954">
              <w:rPr>
                <w:rFonts w:eastAsiaTheme="minorEastAsia"/>
                <w:noProof/>
                <w:kern w:val="2"/>
                <w:sz w:val="24"/>
                <w:szCs w:val="24"/>
                <w:lang w:val="fr-FR" w:eastAsia="fr-FR"/>
              </w:rPr>
              <w:tab/>
            </w:r>
            <w:r w:rsidRPr="00CE7954">
              <w:rPr>
                <w:rStyle w:val="Lienhypertexte"/>
                <w:noProof/>
              </w:rPr>
              <w:t>The social accounting matrix</w:t>
            </w:r>
            <w:r w:rsidRPr="00CE7954">
              <w:rPr>
                <w:noProof/>
                <w:webHidden/>
              </w:rPr>
              <w:tab/>
            </w:r>
            <w:r w:rsidRPr="00CE7954">
              <w:rPr>
                <w:noProof/>
                <w:webHidden/>
              </w:rPr>
              <w:fldChar w:fldCharType="begin"/>
            </w:r>
            <w:r w:rsidRPr="00CE7954">
              <w:rPr>
                <w:noProof/>
                <w:webHidden/>
              </w:rPr>
              <w:instrText xml:space="preserve"> PAGEREF _Toc200944550 \h </w:instrText>
            </w:r>
            <w:r w:rsidRPr="00CE7954">
              <w:rPr>
                <w:noProof/>
                <w:webHidden/>
              </w:rPr>
            </w:r>
            <w:r w:rsidRPr="00CE7954">
              <w:rPr>
                <w:noProof/>
                <w:webHidden/>
              </w:rPr>
              <w:fldChar w:fldCharType="separate"/>
            </w:r>
            <w:r w:rsidRPr="00CE7954">
              <w:rPr>
                <w:noProof/>
                <w:webHidden/>
              </w:rPr>
              <w:t>8</w:t>
            </w:r>
            <w:r w:rsidRPr="00CE7954">
              <w:rPr>
                <w:noProof/>
                <w:webHidden/>
              </w:rPr>
              <w:fldChar w:fldCharType="end"/>
            </w:r>
          </w:hyperlink>
        </w:p>
        <w:p w14:paraId="549BDC86" w14:textId="63E86CE5" w:rsidR="00CE7954" w:rsidRPr="00CE7954" w:rsidRDefault="00CE7954">
          <w:pPr>
            <w:pStyle w:val="TM3"/>
            <w:tabs>
              <w:tab w:val="left" w:pos="1200"/>
              <w:tab w:val="right" w:leader="dot" w:pos="9062"/>
            </w:tabs>
            <w:rPr>
              <w:rFonts w:eastAsiaTheme="minorEastAsia"/>
              <w:noProof/>
              <w:kern w:val="2"/>
              <w:sz w:val="24"/>
              <w:szCs w:val="24"/>
              <w:lang w:val="fr-FR" w:eastAsia="fr-FR"/>
            </w:rPr>
          </w:pPr>
          <w:hyperlink w:anchor="_Toc200944551" w:history="1">
            <w:r w:rsidRPr="00CE7954">
              <w:rPr>
                <w:rStyle w:val="Lienhypertexte"/>
                <w:noProof/>
              </w:rPr>
              <w:t>4.1.2.</w:t>
            </w:r>
            <w:r w:rsidRPr="00CE7954">
              <w:rPr>
                <w:rFonts w:eastAsiaTheme="minorEastAsia"/>
                <w:noProof/>
                <w:kern w:val="2"/>
                <w:sz w:val="24"/>
                <w:szCs w:val="24"/>
                <w:lang w:val="fr-FR" w:eastAsia="fr-FR"/>
              </w:rPr>
              <w:tab/>
            </w:r>
            <w:r w:rsidRPr="00CE7954">
              <w:rPr>
                <w:rStyle w:val="Lienhypertexte"/>
                <w:noProof/>
              </w:rPr>
              <w:t>Place and importance of oil and cement in the Nigerien economy</w:t>
            </w:r>
            <w:r w:rsidRPr="00CE7954">
              <w:rPr>
                <w:noProof/>
                <w:webHidden/>
              </w:rPr>
              <w:tab/>
            </w:r>
            <w:r w:rsidRPr="00CE7954">
              <w:rPr>
                <w:noProof/>
                <w:webHidden/>
              </w:rPr>
              <w:fldChar w:fldCharType="begin"/>
            </w:r>
            <w:r w:rsidRPr="00CE7954">
              <w:rPr>
                <w:noProof/>
                <w:webHidden/>
              </w:rPr>
              <w:instrText xml:space="preserve"> PAGEREF _Toc200944551 \h </w:instrText>
            </w:r>
            <w:r w:rsidRPr="00CE7954">
              <w:rPr>
                <w:noProof/>
                <w:webHidden/>
              </w:rPr>
            </w:r>
            <w:r w:rsidRPr="00CE7954">
              <w:rPr>
                <w:noProof/>
                <w:webHidden/>
              </w:rPr>
              <w:fldChar w:fldCharType="separate"/>
            </w:r>
            <w:r w:rsidRPr="00CE7954">
              <w:rPr>
                <w:noProof/>
                <w:webHidden/>
              </w:rPr>
              <w:t>8</w:t>
            </w:r>
            <w:r w:rsidRPr="00CE7954">
              <w:rPr>
                <w:noProof/>
                <w:webHidden/>
              </w:rPr>
              <w:fldChar w:fldCharType="end"/>
            </w:r>
          </w:hyperlink>
        </w:p>
        <w:p w14:paraId="7A67F677" w14:textId="1A6F1CB3" w:rsidR="00CE7954" w:rsidRPr="00CE7954" w:rsidRDefault="00CE7954" w:rsidP="00CE7954">
          <w:pPr>
            <w:pStyle w:val="TM2"/>
            <w:rPr>
              <w:rFonts w:eastAsiaTheme="minorEastAsia"/>
              <w:b w:val="0"/>
              <w:bCs w:val="0"/>
              <w:kern w:val="2"/>
              <w:sz w:val="24"/>
              <w:szCs w:val="24"/>
              <w:lang w:val="fr-FR" w:eastAsia="fr-FR"/>
            </w:rPr>
          </w:pPr>
          <w:hyperlink w:anchor="_Toc200944552" w:history="1">
            <w:r w:rsidRPr="00CE7954">
              <w:rPr>
                <w:rStyle w:val="Lienhypertexte"/>
                <w:b w:val="0"/>
                <w:bCs w:val="0"/>
              </w:rPr>
              <w:t>4.2.</w:t>
            </w:r>
            <w:r w:rsidRPr="00CE7954">
              <w:rPr>
                <w:rFonts w:eastAsiaTheme="minorEastAsia"/>
                <w:b w:val="0"/>
                <w:bCs w:val="0"/>
                <w:kern w:val="2"/>
                <w:sz w:val="24"/>
                <w:szCs w:val="24"/>
                <w:lang w:val="fr-FR" w:eastAsia="fr-FR"/>
              </w:rPr>
              <w:tab/>
            </w:r>
            <w:r w:rsidRPr="00CE7954">
              <w:rPr>
                <w:rStyle w:val="Lienhypertexte"/>
                <w:b w:val="0"/>
                <w:bCs w:val="0"/>
              </w:rPr>
              <w:t>The model</w:t>
            </w:r>
            <w:r w:rsidRPr="00CE7954">
              <w:rPr>
                <w:b w:val="0"/>
                <w:bCs w:val="0"/>
                <w:webHidden/>
              </w:rPr>
              <w:tab/>
            </w:r>
            <w:r w:rsidRPr="00CE7954">
              <w:rPr>
                <w:b w:val="0"/>
                <w:bCs w:val="0"/>
                <w:webHidden/>
              </w:rPr>
              <w:fldChar w:fldCharType="begin"/>
            </w:r>
            <w:r w:rsidRPr="00CE7954">
              <w:rPr>
                <w:b w:val="0"/>
                <w:bCs w:val="0"/>
                <w:webHidden/>
              </w:rPr>
              <w:instrText xml:space="preserve"> PAGEREF _Toc200944552 \h </w:instrText>
            </w:r>
            <w:r w:rsidRPr="00CE7954">
              <w:rPr>
                <w:b w:val="0"/>
                <w:bCs w:val="0"/>
                <w:webHidden/>
              </w:rPr>
            </w:r>
            <w:r w:rsidRPr="00CE7954">
              <w:rPr>
                <w:b w:val="0"/>
                <w:bCs w:val="0"/>
                <w:webHidden/>
              </w:rPr>
              <w:fldChar w:fldCharType="separate"/>
            </w:r>
            <w:r w:rsidRPr="00CE7954">
              <w:rPr>
                <w:b w:val="0"/>
                <w:bCs w:val="0"/>
                <w:webHidden/>
              </w:rPr>
              <w:t>10</w:t>
            </w:r>
            <w:r w:rsidRPr="00CE7954">
              <w:rPr>
                <w:b w:val="0"/>
                <w:bCs w:val="0"/>
                <w:webHidden/>
              </w:rPr>
              <w:fldChar w:fldCharType="end"/>
            </w:r>
          </w:hyperlink>
        </w:p>
        <w:p w14:paraId="016721C1" w14:textId="05093C5D" w:rsidR="00CE7954" w:rsidRPr="00CE7954" w:rsidRDefault="00CE7954">
          <w:pPr>
            <w:pStyle w:val="TM3"/>
            <w:tabs>
              <w:tab w:val="left" w:pos="1200"/>
              <w:tab w:val="right" w:leader="dot" w:pos="9062"/>
            </w:tabs>
            <w:rPr>
              <w:rFonts w:eastAsiaTheme="minorEastAsia"/>
              <w:noProof/>
              <w:kern w:val="2"/>
              <w:sz w:val="24"/>
              <w:szCs w:val="24"/>
              <w:lang w:val="fr-FR" w:eastAsia="fr-FR"/>
            </w:rPr>
          </w:pPr>
          <w:hyperlink w:anchor="_Toc200944553" w:history="1">
            <w:r w:rsidRPr="00CE7954">
              <w:rPr>
                <w:rStyle w:val="Lienhypertexte"/>
                <w:noProof/>
              </w:rPr>
              <w:t>4.2.1.</w:t>
            </w:r>
            <w:r w:rsidRPr="00CE7954">
              <w:rPr>
                <w:rFonts w:eastAsiaTheme="minorEastAsia"/>
                <w:noProof/>
                <w:kern w:val="2"/>
                <w:sz w:val="24"/>
                <w:szCs w:val="24"/>
                <w:lang w:val="fr-FR" w:eastAsia="fr-FR"/>
              </w:rPr>
              <w:tab/>
            </w:r>
            <w:r w:rsidRPr="00CE7954">
              <w:rPr>
                <w:rStyle w:val="Lienhypertexte"/>
                <w:noProof/>
              </w:rPr>
              <w:t>Description of the EGC model</w:t>
            </w:r>
            <w:r w:rsidRPr="00CE7954">
              <w:rPr>
                <w:noProof/>
                <w:webHidden/>
              </w:rPr>
              <w:tab/>
            </w:r>
            <w:r w:rsidRPr="00CE7954">
              <w:rPr>
                <w:noProof/>
                <w:webHidden/>
              </w:rPr>
              <w:fldChar w:fldCharType="begin"/>
            </w:r>
            <w:r w:rsidRPr="00CE7954">
              <w:rPr>
                <w:noProof/>
                <w:webHidden/>
              </w:rPr>
              <w:instrText xml:space="preserve"> PAGEREF _Toc200944553 \h </w:instrText>
            </w:r>
            <w:r w:rsidRPr="00CE7954">
              <w:rPr>
                <w:noProof/>
                <w:webHidden/>
              </w:rPr>
            </w:r>
            <w:r w:rsidRPr="00CE7954">
              <w:rPr>
                <w:noProof/>
                <w:webHidden/>
              </w:rPr>
              <w:fldChar w:fldCharType="separate"/>
            </w:r>
            <w:r w:rsidRPr="00CE7954">
              <w:rPr>
                <w:noProof/>
                <w:webHidden/>
              </w:rPr>
              <w:t>10</w:t>
            </w:r>
            <w:r w:rsidRPr="00CE7954">
              <w:rPr>
                <w:noProof/>
                <w:webHidden/>
              </w:rPr>
              <w:fldChar w:fldCharType="end"/>
            </w:r>
          </w:hyperlink>
        </w:p>
        <w:p w14:paraId="6C869997" w14:textId="72D55FC0" w:rsidR="00CE7954" w:rsidRPr="00CE7954" w:rsidRDefault="00CE7954">
          <w:pPr>
            <w:pStyle w:val="TM3"/>
            <w:tabs>
              <w:tab w:val="left" w:pos="1200"/>
              <w:tab w:val="right" w:leader="dot" w:pos="9062"/>
            </w:tabs>
            <w:rPr>
              <w:rFonts w:eastAsiaTheme="minorEastAsia"/>
              <w:noProof/>
              <w:kern w:val="2"/>
              <w:sz w:val="24"/>
              <w:szCs w:val="24"/>
              <w:lang w:val="fr-FR" w:eastAsia="fr-FR"/>
            </w:rPr>
          </w:pPr>
          <w:hyperlink w:anchor="_Toc200944554" w:history="1">
            <w:r w:rsidRPr="00CE7954">
              <w:rPr>
                <w:rStyle w:val="Lienhypertexte"/>
                <w:rFonts w:ascii="Times New Roman" w:hAnsi="Times New Roman" w:cs="Times New Roman"/>
                <w:noProof/>
              </w:rPr>
              <w:t>4.2.2.</w:t>
            </w:r>
            <w:r w:rsidRPr="00CE7954">
              <w:rPr>
                <w:rFonts w:eastAsiaTheme="minorEastAsia"/>
                <w:noProof/>
                <w:kern w:val="2"/>
                <w:sz w:val="24"/>
                <w:szCs w:val="24"/>
                <w:lang w:val="fr-FR" w:eastAsia="fr-FR"/>
              </w:rPr>
              <w:tab/>
            </w:r>
            <w:r w:rsidRPr="00CE7954">
              <w:rPr>
                <w:rStyle w:val="Lienhypertexte"/>
                <w:rFonts w:ascii="Times New Roman" w:hAnsi="Times New Roman" w:cs="Times New Roman"/>
                <w:noProof/>
              </w:rPr>
              <w:t>Labor market specifications</w:t>
            </w:r>
            <w:r w:rsidRPr="00CE7954">
              <w:rPr>
                <w:noProof/>
                <w:webHidden/>
              </w:rPr>
              <w:tab/>
            </w:r>
            <w:r w:rsidRPr="00CE7954">
              <w:rPr>
                <w:noProof/>
                <w:webHidden/>
              </w:rPr>
              <w:fldChar w:fldCharType="begin"/>
            </w:r>
            <w:r w:rsidRPr="00CE7954">
              <w:rPr>
                <w:noProof/>
                <w:webHidden/>
              </w:rPr>
              <w:instrText xml:space="preserve"> PAGEREF _Toc200944554 \h </w:instrText>
            </w:r>
            <w:r w:rsidRPr="00CE7954">
              <w:rPr>
                <w:noProof/>
                <w:webHidden/>
              </w:rPr>
            </w:r>
            <w:r w:rsidRPr="00CE7954">
              <w:rPr>
                <w:noProof/>
                <w:webHidden/>
              </w:rPr>
              <w:fldChar w:fldCharType="separate"/>
            </w:r>
            <w:r w:rsidRPr="00CE7954">
              <w:rPr>
                <w:noProof/>
                <w:webHidden/>
              </w:rPr>
              <w:t>10</w:t>
            </w:r>
            <w:r w:rsidRPr="00CE7954">
              <w:rPr>
                <w:noProof/>
                <w:webHidden/>
              </w:rPr>
              <w:fldChar w:fldCharType="end"/>
            </w:r>
          </w:hyperlink>
        </w:p>
        <w:p w14:paraId="02BF23B5" w14:textId="3A52B7E9" w:rsidR="00CE7954" w:rsidRPr="00CE7954" w:rsidRDefault="00CE7954" w:rsidP="00CE7954">
          <w:pPr>
            <w:pStyle w:val="TM1"/>
            <w:rPr>
              <w:rFonts w:eastAsiaTheme="minorEastAsia"/>
              <w:b/>
              <w:bCs/>
              <w:kern w:val="2"/>
              <w:sz w:val="24"/>
              <w:szCs w:val="24"/>
              <w:lang w:val="fr-FR" w:eastAsia="fr-FR"/>
            </w:rPr>
          </w:pPr>
          <w:hyperlink w:anchor="_Toc200944555" w:history="1">
            <w:r w:rsidRPr="00CE7954">
              <w:rPr>
                <w:rStyle w:val="Lienhypertexte"/>
                <w:b/>
                <w:bCs/>
              </w:rPr>
              <w:t>5.</w:t>
            </w:r>
            <w:r w:rsidRPr="00CE7954">
              <w:rPr>
                <w:rFonts w:eastAsiaTheme="minorEastAsia"/>
                <w:b/>
                <w:bCs/>
                <w:kern w:val="2"/>
                <w:sz w:val="24"/>
                <w:szCs w:val="24"/>
                <w:lang w:val="fr-FR" w:eastAsia="fr-FR"/>
              </w:rPr>
              <w:tab/>
            </w:r>
            <w:r w:rsidRPr="00CE7954">
              <w:rPr>
                <w:rStyle w:val="Lienhypertexte"/>
                <w:b/>
                <w:bCs/>
              </w:rPr>
              <w:t>Scenarios</w:t>
            </w:r>
            <w:r w:rsidRPr="00CE7954">
              <w:rPr>
                <w:b/>
                <w:bCs/>
                <w:webHidden/>
              </w:rPr>
              <w:tab/>
            </w:r>
            <w:r w:rsidRPr="00CE7954">
              <w:rPr>
                <w:b/>
                <w:bCs/>
                <w:webHidden/>
              </w:rPr>
              <w:fldChar w:fldCharType="begin"/>
            </w:r>
            <w:r w:rsidRPr="00CE7954">
              <w:rPr>
                <w:b/>
                <w:bCs/>
                <w:webHidden/>
              </w:rPr>
              <w:instrText xml:space="preserve"> PAGEREF _Toc200944555 \h </w:instrText>
            </w:r>
            <w:r w:rsidRPr="00CE7954">
              <w:rPr>
                <w:b/>
                <w:bCs/>
                <w:webHidden/>
              </w:rPr>
            </w:r>
            <w:r w:rsidRPr="00CE7954">
              <w:rPr>
                <w:b/>
                <w:bCs/>
                <w:webHidden/>
              </w:rPr>
              <w:fldChar w:fldCharType="separate"/>
            </w:r>
            <w:r w:rsidRPr="00CE7954">
              <w:rPr>
                <w:b/>
                <w:bCs/>
                <w:webHidden/>
              </w:rPr>
              <w:t>11</w:t>
            </w:r>
            <w:r w:rsidRPr="00CE7954">
              <w:rPr>
                <w:b/>
                <w:bCs/>
                <w:webHidden/>
              </w:rPr>
              <w:fldChar w:fldCharType="end"/>
            </w:r>
          </w:hyperlink>
        </w:p>
        <w:p w14:paraId="79C97A57" w14:textId="77874AC0" w:rsidR="00CE7954" w:rsidRPr="00CE7954" w:rsidRDefault="00CE7954" w:rsidP="00CE7954">
          <w:pPr>
            <w:pStyle w:val="TM1"/>
            <w:rPr>
              <w:rFonts w:eastAsiaTheme="minorEastAsia"/>
              <w:b/>
              <w:bCs/>
              <w:kern w:val="2"/>
              <w:sz w:val="24"/>
              <w:szCs w:val="24"/>
              <w:lang w:val="fr-FR" w:eastAsia="fr-FR"/>
            </w:rPr>
          </w:pPr>
          <w:hyperlink w:anchor="_Toc200944556" w:history="1">
            <w:r w:rsidRPr="00CE7954">
              <w:rPr>
                <w:rStyle w:val="Lienhypertexte"/>
                <w:b/>
                <w:bCs/>
              </w:rPr>
              <w:t>6.</w:t>
            </w:r>
            <w:r w:rsidRPr="00CE7954">
              <w:rPr>
                <w:rFonts w:eastAsiaTheme="minorEastAsia"/>
                <w:b/>
                <w:bCs/>
                <w:kern w:val="2"/>
                <w:sz w:val="24"/>
                <w:szCs w:val="24"/>
                <w:lang w:val="fr-FR" w:eastAsia="fr-FR"/>
              </w:rPr>
              <w:tab/>
            </w:r>
            <w:r w:rsidRPr="00CE7954">
              <w:rPr>
                <w:rStyle w:val="Lienhypertexte"/>
                <w:b/>
                <w:bCs/>
              </w:rPr>
              <w:t>Results and Discussion</w:t>
            </w:r>
            <w:r w:rsidRPr="00CE7954">
              <w:rPr>
                <w:b/>
                <w:bCs/>
                <w:webHidden/>
              </w:rPr>
              <w:tab/>
            </w:r>
            <w:r w:rsidRPr="00CE7954">
              <w:rPr>
                <w:b/>
                <w:bCs/>
                <w:webHidden/>
              </w:rPr>
              <w:fldChar w:fldCharType="begin"/>
            </w:r>
            <w:r w:rsidRPr="00CE7954">
              <w:rPr>
                <w:b/>
                <w:bCs/>
                <w:webHidden/>
              </w:rPr>
              <w:instrText xml:space="preserve"> PAGEREF _Toc200944556 \h </w:instrText>
            </w:r>
            <w:r w:rsidRPr="00CE7954">
              <w:rPr>
                <w:b/>
                <w:bCs/>
                <w:webHidden/>
              </w:rPr>
            </w:r>
            <w:r w:rsidRPr="00CE7954">
              <w:rPr>
                <w:b/>
                <w:bCs/>
                <w:webHidden/>
              </w:rPr>
              <w:fldChar w:fldCharType="separate"/>
            </w:r>
            <w:r w:rsidRPr="00CE7954">
              <w:rPr>
                <w:b/>
                <w:bCs/>
                <w:webHidden/>
              </w:rPr>
              <w:t>12</w:t>
            </w:r>
            <w:r w:rsidRPr="00CE7954">
              <w:rPr>
                <w:b/>
                <w:bCs/>
                <w:webHidden/>
              </w:rPr>
              <w:fldChar w:fldCharType="end"/>
            </w:r>
          </w:hyperlink>
        </w:p>
        <w:p w14:paraId="41676686" w14:textId="1C96D77A" w:rsidR="00CE7954" w:rsidRPr="00CE7954" w:rsidRDefault="00CE7954" w:rsidP="00CE7954">
          <w:pPr>
            <w:pStyle w:val="TM2"/>
            <w:rPr>
              <w:rFonts w:eastAsiaTheme="minorEastAsia"/>
              <w:b w:val="0"/>
              <w:bCs w:val="0"/>
              <w:kern w:val="2"/>
              <w:sz w:val="24"/>
              <w:szCs w:val="24"/>
              <w:lang w:val="fr-FR" w:eastAsia="fr-FR"/>
            </w:rPr>
          </w:pPr>
          <w:hyperlink w:anchor="_Toc200944557" w:history="1">
            <w:r w:rsidRPr="00CE7954">
              <w:rPr>
                <w:rStyle w:val="Lienhypertexte"/>
                <w:b w:val="0"/>
                <w:bCs w:val="0"/>
              </w:rPr>
              <w:t>6.1.</w:t>
            </w:r>
            <w:r w:rsidRPr="00CE7954">
              <w:rPr>
                <w:rFonts w:eastAsiaTheme="minorEastAsia"/>
                <w:b w:val="0"/>
                <w:bCs w:val="0"/>
                <w:kern w:val="2"/>
                <w:sz w:val="24"/>
                <w:szCs w:val="24"/>
                <w:lang w:val="fr-FR" w:eastAsia="fr-FR"/>
              </w:rPr>
              <w:tab/>
            </w:r>
            <w:r w:rsidRPr="00CE7954">
              <w:rPr>
                <w:rStyle w:val="Lienhypertexte"/>
                <w:b w:val="0"/>
                <w:bCs w:val="0"/>
              </w:rPr>
              <w:t>Results of the reform on petroleum products</w:t>
            </w:r>
            <w:r w:rsidRPr="00CE7954">
              <w:rPr>
                <w:b w:val="0"/>
                <w:bCs w:val="0"/>
                <w:webHidden/>
              </w:rPr>
              <w:tab/>
            </w:r>
            <w:r w:rsidRPr="00CE7954">
              <w:rPr>
                <w:b w:val="0"/>
                <w:bCs w:val="0"/>
                <w:webHidden/>
              </w:rPr>
              <w:fldChar w:fldCharType="begin"/>
            </w:r>
            <w:r w:rsidRPr="00CE7954">
              <w:rPr>
                <w:b w:val="0"/>
                <w:bCs w:val="0"/>
                <w:webHidden/>
              </w:rPr>
              <w:instrText xml:space="preserve"> PAGEREF _Toc200944557 \h </w:instrText>
            </w:r>
            <w:r w:rsidRPr="00CE7954">
              <w:rPr>
                <w:b w:val="0"/>
                <w:bCs w:val="0"/>
                <w:webHidden/>
              </w:rPr>
            </w:r>
            <w:r w:rsidRPr="00CE7954">
              <w:rPr>
                <w:b w:val="0"/>
                <w:bCs w:val="0"/>
                <w:webHidden/>
              </w:rPr>
              <w:fldChar w:fldCharType="separate"/>
            </w:r>
            <w:r w:rsidRPr="00CE7954">
              <w:rPr>
                <w:b w:val="0"/>
                <w:bCs w:val="0"/>
                <w:webHidden/>
              </w:rPr>
              <w:t>12</w:t>
            </w:r>
            <w:r w:rsidRPr="00CE7954">
              <w:rPr>
                <w:b w:val="0"/>
                <w:bCs w:val="0"/>
                <w:webHidden/>
              </w:rPr>
              <w:fldChar w:fldCharType="end"/>
            </w:r>
          </w:hyperlink>
        </w:p>
        <w:p w14:paraId="36D50A75" w14:textId="4A001D71" w:rsidR="00CE7954" w:rsidRPr="00CE7954" w:rsidRDefault="00CE7954">
          <w:pPr>
            <w:pStyle w:val="TM3"/>
            <w:tabs>
              <w:tab w:val="left" w:pos="1200"/>
              <w:tab w:val="right" w:leader="dot" w:pos="9062"/>
            </w:tabs>
            <w:rPr>
              <w:rFonts w:eastAsiaTheme="minorEastAsia"/>
              <w:noProof/>
              <w:kern w:val="2"/>
              <w:sz w:val="24"/>
              <w:szCs w:val="24"/>
              <w:lang w:val="fr-FR" w:eastAsia="fr-FR"/>
            </w:rPr>
          </w:pPr>
          <w:hyperlink w:anchor="_Toc200944558" w:history="1">
            <w:r w:rsidRPr="00CE7954">
              <w:rPr>
                <w:rStyle w:val="Lienhypertexte"/>
                <w:noProof/>
              </w:rPr>
              <w:t>6.1.1.</w:t>
            </w:r>
            <w:r w:rsidRPr="00CE7954">
              <w:rPr>
                <w:rFonts w:eastAsiaTheme="minorEastAsia"/>
                <w:noProof/>
                <w:kern w:val="2"/>
                <w:sz w:val="24"/>
                <w:szCs w:val="24"/>
                <w:lang w:val="fr-FR" w:eastAsia="fr-FR"/>
              </w:rPr>
              <w:tab/>
            </w:r>
            <w:r w:rsidRPr="00CE7954">
              <w:rPr>
                <w:rStyle w:val="Lienhypertexte"/>
                <w:noProof/>
              </w:rPr>
              <w:t>Effects on macroeconomic variables</w:t>
            </w:r>
            <w:r w:rsidRPr="00CE7954">
              <w:rPr>
                <w:noProof/>
                <w:webHidden/>
              </w:rPr>
              <w:tab/>
            </w:r>
            <w:r w:rsidRPr="00CE7954">
              <w:rPr>
                <w:noProof/>
                <w:webHidden/>
              </w:rPr>
              <w:fldChar w:fldCharType="begin"/>
            </w:r>
            <w:r w:rsidRPr="00CE7954">
              <w:rPr>
                <w:noProof/>
                <w:webHidden/>
              </w:rPr>
              <w:instrText xml:space="preserve"> PAGEREF _Toc200944558 \h </w:instrText>
            </w:r>
            <w:r w:rsidRPr="00CE7954">
              <w:rPr>
                <w:noProof/>
                <w:webHidden/>
              </w:rPr>
            </w:r>
            <w:r w:rsidRPr="00CE7954">
              <w:rPr>
                <w:noProof/>
                <w:webHidden/>
              </w:rPr>
              <w:fldChar w:fldCharType="separate"/>
            </w:r>
            <w:r w:rsidRPr="00CE7954">
              <w:rPr>
                <w:noProof/>
                <w:webHidden/>
              </w:rPr>
              <w:t>12</w:t>
            </w:r>
            <w:r w:rsidRPr="00CE7954">
              <w:rPr>
                <w:noProof/>
                <w:webHidden/>
              </w:rPr>
              <w:fldChar w:fldCharType="end"/>
            </w:r>
          </w:hyperlink>
        </w:p>
        <w:p w14:paraId="25FEF3F0" w14:textId="320E1690" w:rsidR="00CE7954" w:rsidRPr="00CE7954" w:rsidRDefault="00CE7954">
          <w:pPr>
            <w:pStyle w:val="TM3"/>
            <w:tabs>
              <w:tab w:val="left" w:pos="1200"/>
              <w:tab w:val="right" w:leader="dot" w:pos="9062"/>
            </w:tabs>
            <w:rPr>
              <w:rFonts w:eastAsiaTheme="minorEastAsia"/>
              <w:noProof/>
              <w:kern w:val="2"/>
              <w:sz w:val="24"/>
              <w:szCs w:val="24"/>
              <w:lang w:val="fr-FR" w:eastAsia="fr-FR"/>
            </w:rPr>
          </w:pPr>
          <w:hyperlink w:anchor="_Toc200944559" w:history="1">
            <w:r w:rsidRPr="00CE7954">
              <w:rPr>
                <w:rStyle w:val="Lienhypertexte"/>
                <w:noProof/>
              </w:rPr>
              <w:t>6.1.2.</w:t>
            </w:r>
            <w:r w:rsidRPr="00CE7954">
              <w:rPr>
                <w:rFonts w:eastAsiaTheme="minorEastAsia"/>
                <w:noProof/>
                <w:kern w:val="2"/>
                <w:sz w:val="24"/>
                <w:szCs w:val="24"/>
                <w:lang w:val="fr-FR" w:eastAsia="fr-FR"/>
              </w:rPr>
              <w:tab/>
            </w:r>
            <w:r w:rsidRPr="00CE7954">
              <w:rPr>
                <w:rStyle w:val="Lienhypertexte"/>
                <w:noProof/>
              </w:rPr>
              <w:t>Effects on sectoral variables</w:t>
            </w:r>
            <w:r w:rsidRPr="00CE7954">
              <w:rPr>
                <w:noProof/>
                <w:webHidden/>
              </w:rPr>
              <w:tab/>
            </w:r>
            <w:r w:rsidRPr="00CE7954">
              <w:rPr>
                <w:noProof/>
                <w:webHidden/>
              </w:rPr>
              <w:fldChar w:fldCharType="begin"/>
            </w:r>
            <w:r w:rsidRPr="00CE7954">
              <w:rPr>
                <w:noProof/>
                <w:webHidden/>
              </w:rPr>
              <w:instrText xml:space="preserve"> PAGEREF _Toc200944559 \h </w:instrText>
            </w:r>
            <w:r w:rsidRPr="00CE7954">
              <w:rPr>
                <w:noProof/>
                <w:webHidden/>
              </w:rPr>
            </w:r>
            <w:r w:rsidRPr="00CE7954">
              <w:rPr>
                <w:noProof/>
                <w:webHidden/>
              </w:rPr>
              <w:fldChar w:fldCharType="separate"/>
            </w:r>
            <w:r w:rsidRPr="00CE7954">
              <w:rPr>
                <w:noProof/>
                <w:webHidden/>
              </w:rPr>
              <w:t>13</w:t>
            </w:r>
            <w:r w:rsidRPr="00CE7954">
              <w:rPr>
                <w:noProof/>
                <w:webHidden/>
              </w:rPr>
              <w:fldChar w:fldCharType="end"/>
            </w:r>
          </w:hyperlink>
        </w:p>
        <w:p w14:paraId="40E0F1F7" w14:textId="2F475C14" w:rsidR="00CE7954" w:rsidRPr="00CE7954" w:rsidRDefault="00CE7954">
          <w:pPr>
            <w:pStyle w:val="TM3"/>
            <w:tabs>
              <w:tab w:val="left" w:pos="1200"/>
              <w:tab w:val="right" w:leader="dot" w:pos="9062"/>
            </w:tabs>
            <w:rPr>
              <w:rFonts w:eastAsiaTheme="minorEastAsia"/>
              <w:noProof/>
              <w:kern w:val="2"/>
              <w:sz w:val="24"/>
              <w:szCs w:val="24"/>
              <w:lang w:val="fr-FR" w:eastAsia="fr-FR"/>
            </w:rPr>
          </w:pPr>
          <w:hyperlink w:anchor="_Toc200944560" w:history="1">
            <w:r w:rsidRPr="00CE7954">
              <w:rPr>
                <w:rStyle w:val="Lienhypertexte"/>
                <w:noProof/>
              </w:rPr>
              <w:t>6.1.3.</w:t>
            </w:r>
            <w:r w:rsidRPr="00CE7954">
              <w:rPr>
                <w:rFonts w:eastAsiaTheme="minorEastAsia"/>
                <w:noProof/>
                <w:kern w:val="2"/>
                <w:sz w:val="24"/>
                <w:szCs w:val="24"/>
                <w:lang w:val="fr-FR" w:eastAsia="fr-FR"/>
              </w:rPr>
              <w:tab/>
            </w:r>
            <w:r w:rsidRPr="00CE7954">
              <w:rPr>
                <w:rStyle w:val="Lienhypertexte"/>
                <w:noProof/>
              </w:rPr>
              <w:t>The effects on households</w:t>
            </w:r>
            <w:r w:rsidRPr="00CE7954">
              <w:rPr>
                <w:noProof/>
                <w:webHidden/>
              </w:rPr>
              <w:tab/>
            </w:r>
            <w:r w:rsidRPr="00CE7954">
              <w:rPr>
                <w:noProof/>
                <w:webHidden/>
              </w:rPr>
              <w:fldChar w:fldCharType="begin"/>
            </w:r>
            <w:r w:rsidRPr="00CE7954">
              <w:rPr>
                <w:noProof/>
                <w:webHidden/>
              </w:rPr>
              <w:instrText xml:space="preserve"> PAGEREF _Toc200944560 \h </w:instrText>
            </w:r>
            <w:r w:rsidRPr="00CE7954">
              <w:rPr>
                <w:noProof/>
                <w:webHidden/>
              </w:rPr>
            </w:r>
            <w:r w:rsidRPr="00CE7954">
              <w:rPr>
                <w:noProof/>
                <w:webHidden/>
              </w:rPr>
              <w:fldChar w:fldCharType="separate"/>
            </w:r>
            <w:r w:rsidRPr="00CE7954">
              <w:rPr>
                <w:noProof/>
                <w:webHidden/>
              </w:rPr>
              <w:t>15</w:t>
            </w:r>
            <w:r w:rsidRPr="00CE7954">
              <w:rPr>
                <w:noProof/>
                <w:webHidden/>
              </w:rPr>
              <w:fldChar w:fldCharType="end"/>
            </w:r>
          </w:hyperlink>
        </w:p>
        <w:p w14:paraId="10AF57EA" w14:textId="37E2BDAF" w:rsidR="00CE7954" w:rsidRPr="00CE7954" w:rsidRDefault="00CE7954" w:rsidP="00CE7954">
          <w:pPr>
            <w:pStyle w:val="TM2"/>
            <w:rPr>
              <w:rFonts w:eastAsiaTheme="minorEastAsia"/>
              <w:b w:val="0"/>
              <w:bCs w:val="0"/>
              <w:kern w:val="2"/>
              <w:sz w:val="24"/>
              <w:szCs w:val="24"/>
              <w:lang w:val="fr-FR" w:eastAsia="fr-FR"/>
            </w:rPr>
          </w:pPr>
          <w:hyperlink w:anchor="_Toc200944561" w:history="1">
            <w:r w:rsidRPr="00CE7954">
              <w:rPr>
                <w:rStyle w:val="Lienhypertexte"/>
                <w:b w:val="0"/>
                <w:bCs w:val="0"/>
              </w:rPr>
              <w:t>6.2.</w:t>
            </w:r>
            <w:r w:rsidRPr="00CE7954">
              <w:rPr>
                <w:rFonts w:eastAsiaTheme="minorEastAsia"/>
                <w:b w:val="0"/>
                <w:bCs w:val="0"/>
                <w:kern w:val="2"/>
                <w:sz w:val="24"/>
                <w:szCs w:val="24"/>
                <w:lang w:val="fr-FR" w:eastAsia="fr-FR"/>
              </w:rPr>
              <w:tab/>
            </w:r>
            <w:r w:rsidRPr="00CE7954">
              <w:rPr>
                <w:rStyle w:val="Lienhypertexte"/>
                <w:b w:val="0"/>
                <w:bCs w:val="0"/>
              </w:rPr>
              <w:t>Results of the cement reform</w:t>
            </w:r>
            <w:r w:rsidRPr="00CE7954">
              <w:rPr>
                <w:b w:val="0"/>
                <w:bCs w:val="0"/>
                <w:webHidden/>
              </w:rPr>
              <w:tab/>
            </w:r>
            <w:r w:rsidRPr="00CE7954">
              <w:rPr>
                <w:b w:val="0"/>
                <w:bCs w:val="0"/>
                <w:webHidden/>
              </w:rPr>
              <w:fldChar w:fldCharType="begin"/>
            </w:r>
            <w:r w:rsidRPr="00CE7954">
              <w:rPr>
                <w:b w:val="0"/>
                <w:bCs w:val="0"/>
                <w:webHidden/>
              </w:rPr>
              <w:instrText xml:space="preserve"> PAGEREF _Toc200944561 \h </w:instrText>
            </w:r>
            <w:r w:rsidRPr="00CE7954">
              <w:rPr>
                <w:b w:val="0"/>
                <w:bCs w:val="0"/>
                <w:webHidden/>
              </w:rPr>
            </w:r>
            <w:r w:rsidRPr="00CE7954">
              <w:rPr>
                <w:b w:val="0"/>
                <w:bCs w:val="0"/>
                <w:webHidden/>
              </w:rPr>
              <w:fldChar w:fldCharType="separate"/>
            </w:r>
            <w:r w:rsidRPr="00CE7954">
              <w:rPr>
                <w:b w:val="0"/>
                <w:bCs w:val="0"/>
                <w:webHidden/>
              </w:rPr>
              <w:t>18</w:t>
            </w:r>
            <w:r w:rsidRPr="00CE7954">
              <w:rPr>
                <w:b w:val="0"/>
                <w:bCs w:val="0"/>
                <w:webHidden/>
              </w:rPr>
              <w:fldChar w:fldCharType="end"/>
            </w:r>
          </w:hyperlink>
        </w:p>
        <w:p w14:paraId="31CC74EA" w14:textId="0FD2531F" w:rsidR="00CE7954" w:rsidRPr="00CE7954" w:rsidRDefault="00CE7954">
          <w:pPr>
            <w:pStyle w:val="TM3"/>
            <w:tabs>
              <w:tab w:val="left" w:pos="1200"/>
              <w:tab w:val="right" w:leader="dot" w:pos="9062"/>
            </w:tabs>
            <w:rPr>
              <w:rFonts w:eastAsiaTheme="minorEastAsia"/>
              <w:noProof/>
              <w:kern w:val="2"/>
              <w:sz w:val="24"/>
              <w:szCs w:val="24"/>
              <w:lang w:val="fr-FR" w:eastAsia="fr-FR"/>
            </w:rPr>
          </w:pPr>
          <w:hyperlink w:anchor="_Toc200944562" w:history="1">
            <w:r w:rsidRPr="00CE7954">
              <w:rPr>
                <w:rStyle w:val="Lienhypertexte"/>
                <w:noProof/>
              </w:rPr>
              <w:t>6.2.1.</w:t>
            </w:r>
            <w:r w:rsidRPr="00CE7954">
              <w:rPr>
                <w:rFonts w:eastAsiaTheme="minorEastAsia"/>
                <w:noProof/>
                <w:kern w:val="2"/>
                <w:sz w:val="24"/>
                <w:szCs w:val="24"/>
                <w:lang w:val="fr-FR" w:eastAsia="fr-FR"/>
              </w:rPr>
              <w:tab/>
            </w:r>
            <w:r w:rsidRPr="00CE7954">
              <w:rPr>
                <w:rStyle w:val="Lienhypertexte"/>
                <w:noProof/>
              </w:rPr>
              <w:t>Effects on macroeconomic variables</w:t>
            </w:r>
            <w:r w:rsidRPr="00CE7954">
              <w:rPr>
                <w:noProof/>
                <w:webHidden/>
              </w:rPr>
              <w:tab/>
            </w:r>
            <w:r w:rsidRPr="00CE7954">
              <w:rPr>
                <w:noProof/>
                <w:webHidden/>
              </w:rPr>
              <w:fldChar w:fldCharType="begin"/>
            </w:r>
            <w:r w:rsidRPr="00CE7954">
              <w:rPr>
                <w:noProof/>
                <w:webHidden/>
              </w:rPr>
              <w:instrText xml:space="preserve"> PAGEREF _Toc200944562 \h </w:instrText>
            </w:r>
            <w:r w:rsidRPr="00CE7954">
              <w:rPr>
                <w:noProof/>
                <w:webHidden/>
              </w:rPr>
            </w:r>
            <w:r w:rsidRPr="00CE7954">
              <w:rPr>
                <w:noProof/>
                <w:webHidden/>
              </w:rPr>
              <w:fldChar w:fldCharType="separate"/>
            </w:r>
            <w:r w:rsidRPr="00CE7954">
              <w:rPr>
                <w:noProof/>
                <w:webHidden/>
              </w:rPr>
              <w:t>18</w:t>
            </w:r>
            <w:r w:rsidRPr="00CE7954">
              <w:rPr>
                <w:noProof/>
                <w:webHidden/>
              </w:rPr>
              <w:fldChar w:fldCharType="end"/>
            </w:r>
          </w:hyperlink>
        </w:p>
        <w:p w14:paraId="0BAE04BC" w14:textId="24BC5E27" w:rsidR="00CE7954" w:rsidRPr="00CE7954" w:rsidRDefault="00CE7954">
          <w:pPr>
            <w:pStyle w:val="TM3"/>
            <w:tabs>
              <w:tab w:val="left" w:pos="1200"/>
              <w:tab w:val="right" w:leader="dot" w:pos="9062"/>
            </w:tabs>
            <w:rPr>
              <w:rFonts w:eastAsiaTheme="minorEastAsia"/>
              <w:noProof/>
              <w:kern w:val="2"/>
              <w:sz w:val="24"/>
              <w:szCs w:val="24"/>
              <w:lang w:val="fr-FR" w:eastAsia="fr-FR"/>
            </w:rPr>
          </w:pPr>
          <w:hyperlink w:anchor="_Toc200944563" w:history="1">
            <w:r w:rsidRPr="00CE7954">
              <w:rPr>
                <w:rStyle w:val="Lienhypertexte"/>
                <w:noProof/>
              </w:rPr>
              <w:t>6.2.2.</w:t>
            </w:r>
            <w:r w:rsidRPr="00CE7954">
              <w:rPr>
                <w:rFonts w:eastAsiaTheme="minorEastAsia"/>
                <w:noProof/>
                <w:kern w:val="2"/>
                <w:sz w:val="24"/>
                <w:szCs w:val="24"/>
                <w:lang w:val="fr-FR" w:eastAsia="fr-FR"/>
              </w:rPr>
              <w:tab/>
            </w:r>
            <w:r w:rsidRPr="00CE7954">
              <w:rPr>
                <w:rStyle w:val="Lienhypertexte"/>
                <w:noProof/>
              </w:rPr>
              <w:t>Effects on sectoral variables and employment</w:t>
            </w:r>
            <w:r w:rsidRPr="00CE7954">
              <w:rPr>
                <w:noProof/>
                <w:webHidden/>
              </w:rPr>
              <w:tab/>
            </w:r>
            <w:r w:rsidRPr="00CE7954">
              <w:rPr>
                <w:noProof/>
                <w:webHidden/>
              </w:rPr>
              <w:fldChar w:fldCharType="begin"/>
            </w:r>
            <w:r w:rsidRPr="00CE7954">
              <w:rPr>
                <w:noProof/>
                <w:webHidden/>
              </w:rPr>
              <w:instrText xml:space="preserve"> PAGEREF _Toc200944563 \h </w:instrText>
            </w:r>
            <w:r w:rsidRPr="00CE7954">
              <w:rPr>
                <w:noProof/>
                <w:webHidden/>
              </w:rPr>
            </w:r>
            <w:r w:rsidRPr="00CE7954">
              <w:rPr>
                <w:noProof/>
                <w:webHidden/>
              </w:rPr>
              <w:fldChar w:fldCharType="separate"/>
            </w:r>
            <w:r w:rsidRPr="00CE7954">
              <w:rPr>
                <w:noProof/>
                <w:webHidden/>
              </w:rPr>
              <w:t>19</w:t>
            </w:r>
            <w:r w:rsidRPr="00CE7954">
              <w:rPr>
                <w:noProof/>
                <w:webHidden/>
              </w:rPr>
              <w:fldChar w:fldCharType="end"/>
            </w:r>
          </w:hyperlink>
        </w:p>
        <w:p w14:paraId="2DF85DF7" w14:textId="3EE3A0B0" w:rsidR="00CE7954" w:rsidRPr="00CE7954" w:rsidRDefault="00CE7954">
          <w:pPr>
            <w:pStyle w:val="TM3"/>
            <w:tabs>
              <w:tab w:val="left" w:pos="1200"/>
              <w:tab w:val="right" w:leader="dot" w:pos="9062"/>
            </w:tabs>
            <w:rPr>
              <w:rFonts w:eastAsiaTheme="minorEastAsia"/>
              <w:noProof/>
              <w:kern w:val="2"/>
              <w:sz w:val="24"/>
              <w:szCs w:val="24"/>
              <w:lang w:val="fr-FR" w:eastAsia="fr-FR"/>
            </w:rPr>
          </w:pPr>
          <w:hyperlink w:anchor="_Toc200944564" w:history="1">
            <w:r w:rsidRPr="00CE7954">
              <w:rPr>
                <w:rStyle w:val="Lienhypertexte"/>
                <w:noProof/>
              </w:rPr>
              <w:t>6.2.3.</w:t>
            </w:r>
            <w:r w:rsidRPr="00CE7954">
              <w:rPr>
                <w:rFonts w:eastAsiaTheme="minorEastAsia"/>
                <w:noProof/>
                <w:kern w:val="2"/>
                <w:sz w:val="24"/>
                <w:szCs w:val="24"/>
                <w:lang w:val="fr-FR" w:eastAsia="fr-FR"/>
              </w:rPr>
              <w:tab/>
            </w:r>
            <w:r w:rsidRPr="00CE7954">
              <w:rPr>
                <w:rStyle w:val="Lienhypertexte"/>
                <w:noProof/>
              </w:rPr>
              <w:t>The effects on households</w:t>
            </w:r>
            <w:r w:rsidRPr="00CE7954">
              <w:rPr>
                <w:noProof/>
                <w:webHidden/>
              </w:rPr>
              <w:tab/>
            </w:r>
            <w:r w:rsidRPr="00CE7954">
              <w:rPr>
                <w:noProof/>
                <w:webHidden/>
              </w:rPr>
              <w:fldChar w:fldCharType="begin"/>
            </w:r>
            <w:r w:rsidRPr="00CE7954">
              <w:rPr>
                <w:noProof/>
                <w:webHidden/>
              </w:rPr>
              <w:instrText xml:space="preserve"> PAGEREF _Toc200944564 \h </w:instrText>
            </w:r>
            <w:r w:rsidRPr="00CE7954">
              <w:rPr>
                <w:noProof/>
                <w:webHidden/>
              </w:rPr>
            </w:r>
            <w:r w:rsidRPr="00CE7954">
              <w:rPr>
                <w:noProof/>
                <w:webHidden/>
              </w:rPr>
              <w:fldChar w:fldCharType="separate"/>
            </w:r>
            <w:r w:rsidRPr="00CE7954">
              <w:rPr>
                <w:noProof/>
                <w:webHidden/>
              </w:rPr>
              <w:t>20</w:t>
            </w:r>
            <w:r w:rsidRPr="00CE7954">
              <w:rPr>
                <w:noProof/>
                <w:webHidden/>
              </w:rPr>
              <w:fldChar w:fldCharType="end"/>
            </w:r>
          </w:hyperlink>
        </w:p>
        <w:p w14:paraId="2C399304" w14:textId="19629156" w:rsidR="00CE7954" w:rsidRDefault="00CE7954" w:rsidP="00CE7954">
          <w:pPr>
            <w:pStyle w:val="TM1"/>
            <w:rPr>
              <w:rFonts w:eastAsiaTheme="minorEastAsia"/>
              <w:kern w:val="2"/>
              <w:sz w:val="24"/>
              <w:szCs w:val="24"/>
              <w:lang w:val="fr-FR" w:eastAsia="fr-FR"/>
            </w:rPr>
          </w:pPr>
          <w:hyperlink w:anchor="_Toc200944565" w:history="1">
            <w:r w:rsidRPr="000B189E">
              <w:rPr>
                <w:rStyle w:val="Lienhypertexte"/>
                <w:b/>
                <w:bCs/>
              </w:rPr>
              <w:t>7.</w:t>
            </w:r>
            <w:r>
              <w:rPr>
                <w:rFonts w:eastAsiaTheme="minorEastAsia"/>
                <w:kern w:val="2"/>
                <w:sz w:val="24"/>
                <w:szCs w:val="24"/>
                <w:lang w:val="fr-FR" w:eastAsia="fr-FR"/>
              </w:rPr>
              <w:tab/>
            </w:r>
            <w:r w:rsidRPr="000B189E">
              <w:rPr>
                <w:rStyle w:val="Lienhypertexte"/>
                <w:b/>
                <w:bCs/>
              </w:rPr>
              <w:t>Conclusion</w:t>
            </w:r>
            <w:r>
              <w:rPr>
                <w:webHidden/>
              </w:rPr>
              <w:tab/>
            </w:r>
            <w:r>
              <w:rPr>
                <w:webHidden/>
              </w:rPr>
              <w:fldChar w:fldCharType="begin"/>
            </w:r>
            <w:r>
              <w:rPr>
                <w:webHidden/>
              </w:rPr>
              <w:instrText xml:space="preserve"> PAGEREF _Toc200944565 \h </w:instrText>
            </w:r>
            <w:r>
              <w:rPr>
                <w:webHidden/>
              </w:rPr>
            </w:r>
            <w:r>
              <w:rPr>
                <w:webHidden/>
              </w:rPr>
              <w:fldChar w:fldCharType="separate"/>
            </w:r>
            <w:r>
              <w:rPr>
                <w:webHidden/>
              </w:rPr>
              <w:t>23</w:t>
            </w:r>
            <w:r>
              <w:rPr>
                <w:webHidden/>
              </w:rPr>
              <w:fldChar w:fldCharType="end"/>
            </w:r>
          </w:hyperlink>
        </w:p>
        <w:p w14:paraId="37C9C277" w14:textId="25E5F074" w:rsidR="00CE7954" w:rsidRDefault="00CE7954" w:rsidP="00CE7954">
          <w:pPr>
            <w:pStyle w:val="TM1"/>
            <w:rPr>
              <w:rFonts w:eastAsiaTheme="minorEastAsia"/>
              <w:kern w:val="2"/>
              <w:sz w:val="24"/>
              <w:szCs w:val="24"/>
              <w:lang w:val="fr-FR" w:eastAsia="fr-FR"/>
            </w:rPr>
          </w:pPr>
          <w:hyperlink w:anchor="_Toc200944566" w:history="1">
            <w:r w:rsidRPr="000B189E">
              <w:rPr>
                <w:rStyle w:val="Lienhypertexte"/>
                <w:b/>
                <w:bCs/>
              </w:rPr>
              <w:t>8.</w:t>
            </w:r>
            <w:r>
              <w:rPr>
                <w:rFonts w:eastAsiaTheme="minorEastAsia"/>
                <w:kern w:val="2"/>
                <w:sz w:val="24"/>
                <w:szCs w:val="24"/>
                <w:lang w:val="fr-FR" w:eastAsia="fr-FR"/>
              </w:rPr>
              <w:tab/>
            </w:r>
            <w:r w:rsidRPr="000B189E">
              <w:rPr>
                <w:rStyle w:val="Lienhypertexte"/>
                <w:b/>
                <w:bCs/>
              </w:rPr>
              <w:t>References</w:t>
            </w:r>
            <w:r>
              <w:rPr>
                <w:webHidden/>
              </w:rPr>
              <w:tab/>
            </w:r>
            <w:r>
              <w:rPr>
                <w:webHidden/>
              </w:rPr>
              <w:fldChar w:fldCharType="begin"/>
            </w:r>
            <w:r>
              <w:rPr>
                <w:webHidden/>
              </w:rPr>
              <w:instrText xml:space="preserve"> PAGEREF _Toc200944566 \h </w:instrText>
            </w:r>
            <w:r>
              <w:rPr>
                <w:webHidden/>
              </w:rPr>
            </w:r>
            <w:r>
              <w:rPr>
                <w:webHidden/>
              </w:rPr>
              <w:fldChar w:fldCharType="separate"/>
            </w:r>
            <w:r>
              <w:rPr>
                <w:webHidden/>
              </w:rPr>
              <w:t>23</w:t>
            </w:r>
            <w:r>
              <w:rPr>
                <w:webHidden/>
              </w:rPr>
              <w:fldChar w:fldCharType="end"/>
            </w:r>
          </w:hyperlink>
        </w:p>
        <w:p w14:paraId="7786A474" w14:textId="33CDDD5A" w:rsidR="002735B7" w:rsidRDefault="00691852">
          <w:r>
            <w:rPr>
              <w:noProof/>
              <w:webHidden/>
            </w:rPr>
            <w:fldChar w:fldCharType="end"/>
          </w:r>
          <w:r w:rsidR="00CE7954">
            <w:rPr>
              <w:b/>
              <w:bCs/>
            </w:rPr>
            <w:t xml:space="preserve"> </w:t>
          </w:r>
        </w:p>
      </w:sdtContent>
    </w:sdt>
    <w:p w14:paraId="444B827D" w14:textId="77777777" w:rsidR="002735B7" w:rsidRDefault="002735B7" w:rsidP="00A15F12">
      <w:pPr>
        <w:spacing w:line="240" w:lineRule="auto"/>
      </w:pPr>
    </w:p>
    <w:p w14:paraId="670A4CF1" w14:textId="77777777" w:rsidR="002735B7" w:rsidRDefault="002735B7" w:rsidP="00A15F12">
      <w:pPr>
        <w:spacing w:line="240" w:lineRule="auto"/>
      </w:pPr>
    </w:p>
    <w:p w14:paraId="3A99C40B" w14:textId="77777777" w:rsidR="002735B7" w:rsidRDefault="002735B7" w:rsidP="00A15F12">
      <w:pPr>
        <w:spacing w:line="240" w:lineRule="auto"/>
      </w:pPr>
    </w:p>
    <w:p w14:paraId="5B4C83D1" w14:textId="77777777" w:rsidR="002735B7" w:rsidRDefault="002735B7" w:rsidP="00A15F12">
      <w:pPr>
        <w:spacing w:line="240" w:lineRule="auto"/>
      </w:pPr>
    </w:p>
    <w:p w14:paraId="744FE91E" w14:textId="77777777" w:rsidR="002735B7" w:rsidRDefault="002735B7" w:rsidP="00A15F12">
      <w:pPr>
        <w:spacing w:line="240" w:lineRule="auto"/>
      </w:pPr>
    </w:p>
    <w:p w14:paraId="19F3089A" w14:textId="24A8511A" w:rsidR="002735B7" w:rsidRDefault="002735B7" w:rsidP="00A15F12">
      <w:pPr>
        <w:spacing w:line="240" w:lineRule="auto"/>
      </w:pPr>
    </w:p>
    <w:p w14:paraId="7C83B5C8" w14:textId="77777777" w:rsidR="00A15F12" w:rsidRPr="00F44CB5" w:rsidRDefault="00A15F12" w:rsidP="00A15F12">
      <w:pPr>
        <w:pStyle w:val="Titre1"/>
        <w:numPr>
          <w:ilvl w:val="0"/>
          <w:numId w:val="1"/>
        </w:numPr>
        <w:tabs>
          <w:tab w:val="num" w:pos="360"/>
        </w:tabs>
        <w:spacing w:line="240" w:lineRule="auto"/>
        <w:ind w:left="0" w:firstLine="0"/>
      </w:pPr>
      <w:bookmarkStart w:id="1" w:name="_Toc87357289"/>
      <w:bookmarkStart w:id="2" w:name="_Toc200944543"/>
      <w:r w:rsidRPr="00F44CB5">
        <w:lastRenderedPageBreak/>
        <w:t>Introduction</w:t>
      </w:r>
      <w:bookmarkEnd w:id="1"/>
      <w:bookmarkEnd w:id="2"/>
    </w:p>
    <w:p w14:paraId="5EC5AD92" w14:textId="77777777" w:rsidR="00C93DCF" w:rsidRDefault="00C93DCF" w:rsidP="00C93DCF">
      <w:pPr>
        <w:spacing w:line="276" w:lineRule="auto"/>
        <w:jc w:val="both"/>
        <w:rPr>
          <w:rFonts w:ascii="Times New Roman" w:hAnsi="Times New Roman" w:cs="Times New Roman"/>
          <w:sz w:val="24"/>
          <w:szCs w:val="24"/>
        </w:rPr>
      </w:pPr>
      <w:r w:rsidRPr="000044C2">
        <w:rPr>
          <w:rFonts w:ascii="Times New Roman" w:hAnsi="Times New Roman" w:cs="Times New Roman"/>
          <w:sz w:val="24"/>
          <w:szCs w:val="24"/>
        </w:rPr>
        <w:t>Faced with the multiple challenges facing Niger, economic reforms are positioned as strategic levers to mitigate inequalities, improve the well-being of populations, and strengthen economic resilience. With a poverty rate affecting 41.8% of the population in 2021 and marked socioeconomic inequalities between rural and urban areas, as well as between women and men, the country must address pressing social needs while navigating an unstable global economic and geopolitical context.</w:t>
      </w:r>
    </w:p>
    <w:p w14:paraId="60A0AD21" w14:textId="77777777" w:rsidR="00C93DCF" w:rsidRDefault="00C93DCF" w:rsidP="00C93DCF">
      <w:pPr>
        <w:spacing w:line="276" w:lineRule="auto"/>
        <w:jc w:val="both"/>
        <w:rPr>
          <w:rFonts w:ascii="Times New Roman" w:hAnsi="Times New Roman" w:cs="Times New Roman"/>
          <w:sz w:val="24"/>
          <w:szCs w:val="24"/>
        </w:rPr>
      </w:pPr>
      <w:r>
        <w:rPr>
          <w:rFonts w:ascii="Times New Roman" w:hAnsi="Times New Roman" w:cs="Times New Roman"/>
          <w:sz w:val="24"/>
          <w:szCs w:val="24"/>
        </w:rPr>
        <w:t>Nigerien women represent more than half of the population and participate in the economy as producers, processors, and consumers. They operate in the current context where the Nigerien economy is experiencing a crisis caused by the political context following the coup d'état of July 26, 2023, and the accompanying restrictive measures (closure of the border with Benin, regional insecurity). The economic stabilization expected from 2024 will materialize under the assumption of moderate growth at 5.7%, resulting from optimal management of mining and extractive resources and the implementation of appropriate public policies guaranteeing a fair redistribution of economic gains. However, following the sanctions imposed on Niger and the closure of the borders of certain ECOWAS countries, a surge in product prices has gradually taken hold on the markets, significantly impacting the purchasing power of the majority of the Nigerien population.</w:t>
      </w:r>
    </w:p>
    <w:p w14:paraId="0F1EA4D5" w14:textId="77777777" w:rsidR="00C93DCF" w:rsidRDefault="00C93DCF" w:rsidP="00C93DCF">
      <w:pPr>
        <w:spacing w:line="276" w:lineRule="auto"/>
        <w:jc w:val="both"/>
        <w:rPr>
          <w:rFonts w:ascii="Times New Roman" w:hAnsi="Times New Roman" w:cs="Times New Roman"/>
          <w:sz w:val="24"/>
          <w:szCs w:val="24"/>
        </w:rPr>
      </w:pPr>
      <w:r>
        <w:rPr>
          <w:rFonts w:ascii="Times New Roman" w:hAnsi="Times New Roman" w:cs="Times New Roman"/>
          <w:sz w:val="24"/>
          <w:szCs w:val="24"/>
        </w:rPr>
        <w:t>Aware of this situation, the Nigerien public authorities have initiated economic reforms to improve the well-being of the population and support their resilience in a spirit of economic sovereignty. These reforms are tools that a state can use to maintain economic stability or revive activity, often at the cost of a temporary deterioration in the public balance.</w:t>
      </w:r>
    </w:p>
    <w:p w14:paraId="25A62AB0" w14:textId="77777777" w:rsidR="00C93DCF" w:rsidRPr="005F7DFF" w:rsidRDefault="00C93DCF" w:rsidP="00C93DCF">
      <w:pPr>
        <w:spacing w:line="276" w:lineRule="auto"/>
        <w:jc w:val="both"/>
        <w:rPr>
          <w:rFonts w:ascii="Times New Roman" w:hAnsi="Times New Roman" w:cs="Times New Roman"/>
          <w:sz w:val="24"/>
          <w:szCs w:val="24"/>
        </w:rPr>
      </w:pPr>
      <w:r w:rsidRPr="005F7DFF">
        <w:rPr>
          <w:rFonts w:ascii="Times New Roman" w:hAnsi="Times New Roman" w:cs="Times New Roman"/>
          <w:sz w:val="24"/>
          <w:szCs w:val="24"/>
        </w:rPr>
        <w:t xml:space="preserve">By capping hydrocarbon and cement prices, the Government aims to reduce the cost of living for households, support their purchasing power, and stimulate domestic consumption. Hydrocarbon subsidies represent an average of 3% of GDP, reflecting a significant commitment to contain the effects of rising prices on households. Furthermore, capping the price of cement at 55,000 CFA francs per ton in Niamey aims to revive the construction sector, which contributes 4% to GDP. These </w:t>
      </w:r>
      <w:r>
        <w:rPr>
          <w:rFonts w:ascii="Times New Roman" w:hAnsi="Times New Roman" w:cs="Times New Roman"/>
          <w:sz w:val="24"/>
          <w:szCs w:val="24"/>
        </w:rPr>
        <w:t xml:space="preserve">measures are </w:t>
      </w:r>
      <w:r w:rsidRPr="00C301F3">
        <w:rPr>
          <w:rFonts w:ascii="Times New Roman" w:hAnsi="Times New Roman" w:cs="Times New Roman"/>
          <w:sz w:val="24"/>
          <w:szCs w:val="24"/>
        </w:rPr>
        <w:t xml:space="preserve">in line with the Resilience Program for the Safeguarding of the Homeland (PRSP), which aims </w:t>
      </w:r>
      <w:r w:rsidRPr="00C301F3">
        <w:rPr>
          <w:rFonts w:ascii="Times New Roman" w:eastAsia="Calibri" w:hAnsi="Times New Roman" w:cs="Times New Roman"/>
          <w:sz w:val="24"/>
          <w:szCs w:val="24"/>
        </w:rPr>
        <w:t xml:space="preserve">to </w:t>
      </w:r>
      <w:r w:rsidRPr="00C301F3">
        <w:rPr>
          <w:rFonts w:ascii="Times New Roman" w:hAnsi="Times New Roman" w:cs="Times New Roman"/>
          <w:sz w:val="24"/>
          <w:szCs w:val="24"/>
        </w:rPr>
        <w:t>establish a new vision for the country's endogenous development by proposing relevant actions to overcome the effects of sanctions imposed on economic activity and the social and security situation, restore good governance, and strengthen social cohesion.</w:t>
      </w:r>
      <w:r w:rsidRPr="00C301F3">
        <w:rPr>
          <w:rStyle w:val="Appelnotedebasdep"/>
          <w:rFonts w:ascii="Times New Roman" w:hAnsi="Times New Roman" w:cs="Times New Roman"/>
          <w:sz w:val="24"/>
          <w:szCs w:val="24"/>
        </w:rPr>
        <w:footnoteReference w:id="1"/>
      </w:r>
    </w:p>
    <w:p w14:paraId="72C07B53" w14:textId="77777777" w:rsidR="00C93DCF" w:rsidRDefault="00C93DCF" w:rsidP="00C93DCF">
      <w:pPr>
        <w:spacing w:line="276" w:lineRule="auto"/>
        <w:jc w:val="both"/>
        <w:rPr>
          <w:rFonts w:ascii="Times New Roman" w:hAnsi="Times New Roman" w:cs="Times New Roman"/>
          <w:sz w:val="24"/>
          <w:szCs w:val="24"/>
        </w:rPr>
      </w:pPr>
      <w:r>
        <w:rPr>
          <w:rFonts w:ascii="Times New Roman" w:hAnsi="Times New Roman" w:cs="Times New Roman"/>
          <w:sz w:val="24"/>
          <w:szCs w:val="24"/>
        </w:rPr>
        <w:t>Given the implications of these social measures on public resources, it is essential to question their sustainability and their real impact on economic development and the well-being of populations, particularly women.</w:t>
      </w:r>
    </w:p>
    <w:p w14:paraId="5D4813BD" w14:textId="4C737036" w:rsidR="00C93DCF" w:rsidRDefault="00C93DCF" w:rsidP="00C93DCF">
      <w:pPr>
        <w:spacing w:line="276" w:lineRule="auto"/>
        <w:jc w:val="both"/>
        <w:rPr>
          <w:rFonts w:ascii="Times New Roman" w:hAnsi="Times New Roman" w:cs="Times New Roman"/>
          <w:sz w:val="24"/>
          <w:szCs w:val="24"/>
        </w:rPr>
      </w:pPr>
      <w:r w:rsidRPr="000E1E62">
        <w:rPr>
          <w:rFonts w:ascii="Times New Roman" w:hAnsi="Times New Roman" w:cs="Times New Roman"/>
          <w:sz w:val="24"/>
          <w:szCs w:val="24"/>
        </w:rPr>
        <w:t xml:space="preserve">However, these initiatives, although recent, do not represent a complete break with the </w:t>
      </w:r>
      <w:r>
        <w:rPr>
          <w:rFonts w:ascii="Times New Roman" w:hAnsi="Times New Roman" w:cs="Times New Roman"/>
          <w:sz w:val="24"/>
          <w:szCs w:val="24"/>
        </w:rPr>
        <w:t>historical dynamics of social policies implemented in Niger. Indeed, these efforts, although important, remain constrained by persistent challenges. As a result, the effectiveness and sustainability of these interventions are the subject of debate. While some authors see them as an essential short-</w:t>
      </w:r>
      <w:r>
        <w:rPr>
          <w:rFonts w:ascii="Times New Roman" w:hAnsi="Times New Roman" w:cs="Times New Roman"/>
          <w:sz w:val="24"/>
          <w:szCs w:val="24"/>
        </w:rPr>
        <w:lastRenderedPageBreak/>
        <w:t xml:space="preserve">term response to protect the most vulnerable (Olivier and </w:t>
      </w:r>
      <w:r w:rsidRPr="000E1E62">
        <w:rPr>
          <w:rFonts w:ascii="Times New Roman" w:hAnsi="Times New Roman" w:cs="Times New Roman"/>
          <w:sz w:val="24"/>
          <w:szCs w:val="24"/>
        </w:rPr>
        <w:t>Ridde 2012, Bortoli and Milin 2016, Djinadou 2024), others highlight the risks related to fiscal sustainability and the potential impact on macroeconomic balances ( Hickey and Toit 2007, Refafa and Laktar 2017, Mkenda and Mbise 2017). These questions call for rigorous analysis to better understand the impact of these policies, whether their effect on macroeconomic variables such as production and prices, or their direct impact on households and other economic agents.</w:t>
      </w:r>
    </w:p>
    <w:p w14:paraId="626FC689" w14:textId="105ECDED" w:rsidR="00C93DCF" w:rsidRDefault="00C93DCF" w:rsidP="00C93DCF">
      <w:pPr>
        <w:spacing w:line="276" w:lineRule="auto"/>
        <w:jc w:val="both"/>
      </w:pPr>
      <w:r w:rsidRPr="00EB5BA8">
        <w:rPr>
          <w:rFonts w:ascii="Times New Roman" w:hAnsi="Times New Roman" w:cs="Times New Roman"/>
          <w:sz w:val="24"/>
          <w:szCs w:val="24"/>
        </w:rPr>
        <w:t>This research aims to provide answers on the economic reforms that have the greatest impact on job creation and women's economic development. Specifically, it aims to highlight the transmission channels of these measures in order to identify their advantages and disadvantages. The added value of the study is twofold: it informs policies on the measures with the greatest impact and contributes to economic and empirical reflection on the topic.</w:t>
      </w:r>
    </w:p>
    <w:p w14:paraId="76EB7500" w14:textId="7FA8AF3E" w:rsidR="00C93DCF" w:rsidRPr="00505AC1" w:rsidRDefault="001C7EE1" w:rsidP="00C93DCF">
      <w:pPr>
        <w:pStyle w:val="Titre1"/>
        <w:numPr>
          <w:ilvl w:val="0"/>
          <w:numId w:val="1"/>
        </w:numPr>
        <w:tabs>
          <w:tab w:val="num" w:pos="360"/>
        </w:tabs>
        <w:spacing w:after="120" w:line="240" w:lineRule="auto"/>
        <w:ind w:left="0" w:firstLine="0"/>
      </w:pPr>
      <w:bookmarkStart w:id="3" w:name="_Toc200944544"/>
      <w:r>
        <w:t>Characteristics of the oil and cement markets</w:t>
      </w:r>
      <w:bookmarkEnd w:id="3"/>
    </w:p>
    <w:p w14:paraId="41F468C7" w14:textId="59B2CD93" w:rsidR="00C93DCF" w:rsidRDefault="00C93DCF" w:rsidP="00C93DCF">
      <w:pPr>
        <w:pStyle w:val="Titre2"/>
        <w:numPr>
          <w:ilvl w:val="1"/>
          <w:numId w:val="1"/>
        </w:numPr>
        <w:tabs>
          <w:tab w:val="num" w:pos="360"/>
        </w:tabs>
        <w:spacing w:line="240" w:lineRule="auto"/>
        <w:ind w:left="0" w:firstLine="0"/>
        <w:rPr>
          <w:b/>
          <w:bCs/>
        </w:rPr>
      </w:pPr>
      <w:bookmarkStart w:id="4" w:name="_Toc200944545"/>
      <w:r>
        <w:rPr>
          <w:b/>
          <w:bCs/>
        </w:rPr>
        <w:t>The oil market in Niger</w:t>
      </w:r>
      <w:bookmarkEnd w:id="4"/>
    </w:p>
    <w:p w14:paraId="73D778B2" w14:textId="74B3F4A4" w:rsidR="0094643A" w:rsidRPr="00484BCF" w:rsidRDefault="0094643A" w:rsidP="00484BCF">
      <w:pPr>
        <w:jc w:val="both"/>
        <w:rPr>
          <w:rFonts w:ascii="Times New Roman" w:hAnsi="Times New Roman" w:cs="Times New Roman"/>
          <w:sz w:val="24"/>
          <w:szCs w:val="24"/>
        </w:rPr>
      </w:pPr>
      <w:r w:rsidRPr="0094643A">
        <w:rPr>
          <w:rFonts w:ascii="Times New Roman" w:hAnsi="Times New Roman" w:cs="Times New Roman"/>
          <w:sz w:val="24"/>
          <w:szCs w:val="24"/>
        </w:rPr>
        <w:t xml:space="preserve">Niger's oil potential is based on two large sedimentary basins covering more than 90% of the national territory: the western basin ( Ullémenden , Tamesna ) and the eastern basin (Grabens system, Djado ). The country's oil chain includes a Zinder Refining Company (SORAZ) which has been producing around 110,000 barrels per day since 2024, a Nigerien Petroleum Company (SONIDEP) </w:t>
      </w:r>
      <w:r w:rsidR="00CB1792">
        <w:rPr>
          <w:rStyle w:val="Appelnotedebasdep"/>
          <w:rFonts w:ascii="Times New Roman" w:hAnsi="Times New Roman" w:cs="Times New Roman"/>
          <w:sz w:val="24"/>
          <w:szCs w:val="24"/>
        </w:rPr>
        <w:footnoteReference w:id="2"/>
      </w:r>
      <w:r w:rsidR="00CB1792">
        <w:rPr>
          <w:rFonts w:ascii="Times New Roman" w:hAnsi="Times New Roman" w:cs="Times New Roman"/>
          <w:sz w:val="24"/>
          <w:szCs w:val="24"/>
        </w:rPr>
        <w:t xml:space="preserve">which recovers 20,000 barrels for distribution on the domestic market as a priority, then the AES states, Togo and Chad and since January 2024 the West </w:t>
      </w:r>
      <w:r w:rsidR="00B67CD7" w:rsidRPr="00B67CD7">
        <w:rPr>
          <w:rFonts w:ascii="Times New Roman" w:hAnsi="Times New Roman" w:cs="Times New Roman"/>
          <w:sz w:val="24"/>
          <w:szCs w:val="24"/>
        </w:rPr>
        <w:t>African Oil Pipeline Company SA (Niger</w:t>
      </w:r>
      <w:r w:rsidR="006B0987">
        <w:rPr>
          <w:rFonts w:ascii="Times New Roman" w:hAnsi="Times New Roman" w:cs="Times New Roman"/>
          <w:sz w:val="24"/>
          <w:szCs w:val="24"/>
        </w:rPr>
        <w:t xml:space="preserve"> </w:t>
      </w:r>
      <w:r w:rsidR="00B67CD7" w:rsidRPr="00B67CD7">
        <w:rPr>
          <w:rFonts w:ascii="Times New Roman" w:hAnsi="Times New Roman" w:cs="Times New Roman"/>
          <w:sz w:val="24"/>
          <w:szCs w:val="24"/>
        </w:rPr>
        <w:t>&amp;</w:t>
      </w:r>
      <w:r w:rsidR="006B0987">
        <w:rPr>
          <w:rFonts w:ascii="Times New Roman" w:hAnsi="Times New Roman" w:cs="Times New Roman"/>
          <w:sz w:val="24"/>
          <w:szCs w:val="24"/>
        </w:rPr>
        <w:t xml:space="preserve"> </w:t>
      </w:r>
      <w:r w:rsidR="00B67CD7" w:rsidRPr="00B67CD7">
        <w:rPr>
          <w:rFonts w:ascii="Times New Roman" w:hAnsi="Times New Roman" w:cs="Times New Roman"/>
          <w:sz w:val="24"/>
          <w:szCs w:val="24"/>
        </w:rPr>
        <w:t xml:space="preserve">Benin) WAPCO involved in the export of crude oil via the Niger-Benin </w:t>
      </w:r>
      <w:r w:rsidR="00634774" w:rsidRPr="00634774">
        <w:rPr>
          <w:rFonts w:ascii="Times New Roman" w:hAnsi="Times New Roman" w:cs="Times New Roman"/>
          <w:sz w:val="24"/>
          <w:szCs w:val="24"/>
        </w:rPr>
        <w:t>pipeline , 1,950 km long, linking the Agadem block , in the east of Niger, to the Beninese coast of Sèmé</w:t>
      </w:r>
      <w:r w:rsidR="008F1A37" w:rsidRPr="008F1A37">
        <w:rPr>
          <w:rFonts w:ascii="Times New Roman" w:hAnsi="Times New Roman" w:cs="Times New Roman"/>
          <w:sz w:val="24"/>
          <w:szCs w:val="24"/>
        </w:rPr>
        <w:t>.</w:t>
      </w:r>
    </w:p>
    <w:p w14:paraId="5928082E" w14:textId="2785F04C" w:rsidR="0091574A" w:rsidRDefault="00484BCF" w:rsidP="0091574A">
      <w:pPr>
        <w:jc w:val="both"/>
        <w:rPr>
          <w:rFonts w:ascii="Times New Roman" w:hAnsi="Times New Roman" w:cs="Times New Roman"/>
          <w:sz w:val="24"/>
          <w:szCs w:val="24"/>
        </w:rPr>
      </w:pPr>
      <w:r w:rsidRPr="00484BCF">
        <w:rPr>
          <w:rFonts w:ascii="Times New Roman" w:hAnsi="Times New Roman" w:cs="Times New Roman"/>
          <w:sz w:val="24"/>
          <w:szCs w:val="24"/>
        </w:rPr>
        <w:t xml:space="preserve">Prices are set through consultation between the Ministry of Trade, the Ministry of Petroleum, SONIDEP, SORAZ, ARSE, CNPC and stakeholders through an equalization mechanism, resulting in a higher consumer price than the export price, taking into account transport costs. The consumer price of hydrocarbons increased from 579 FCFA for gasoline and 577 FCFA for diesel on January 1, 2012, to 540 FCFA for gasoline and 538 FCFA for diesel on January 1, 2013, and then remained stable until August 2022, when the price of diesel was raised to 668 FCFA. In 2024, as the country faces economic and financial pressures, a new fuel subsidy reform comes into effect in August, setting the price of diesel at 618 CFA francs and gasoline at </w:t>
      </w:r>
      <w:r w:rsidR="0091574A" w:rsidRPr="00484BCF">
        <w:rPr>
          <w:rFonts w:ascii="Times New Roman" w:hAnsi="Times New Roman" w:cs="Times New Roman"/>
          <w:sz w:val="24"/>
          <w:szCs w:val="24"/>
        </w:rPr>
        <w:t xml:space="preserve">499 CFA francs to </w:t>
      </w:r>
      <w:r w:rsidR="0091574A">
        <w:rPr>
          <w:rFonts w:ascii="Times New Roman" w:hAnsi="Times New Roman" w:cs="Times New Roman"/>
          <w:sz w:val="24"/>
          <w:szCs w:val="24"/>
        </w:rPr>
        <w:t>help consumers cope with the surge in the cost of basic necessities.</w:t>
      </w:r>
    </w:p>
    <w:p w14:paraId="44BDD288" w14:textId="36BD36A8" w:rsidR="00484BCF" w:rsidRDefault="008F1A37" w:rsidP="00484BCF">
      <w:pPr>
        <w:jc w:val="both"/>
        <w:rPr>
          <w:rFonts w:ascii="Times New Roman" w:hAnsi="Times New Roman" w:cs="Times New Roman"/>
          <w:sz w:val="24"/>
          <w:szCs w:val="24"/>
        </w:rPr>
      </w:pPr>
      <w:r w:rsidRPr="00484BCF">
        <w:rPr>
          <w:rFonts w:ascii="Times New Roman" w:hAnsi="Times New Roman" w:cs="Times New Roman"/>
          <w:sz w:val="24"/>
          <w:szCs w:val="24"/>
        </w:rPr>
        <w:t>Since oil is an essential source of energy for economic activities, including transport and industry (Philippe Duchemin, 1957), a reduction in its price will help reduce transport costs, improve access to energy and reduce the costs of production factors for goods and services. This could also result in a decrease in the prices of goods and services, thus strengthening the purchasing power of households (Anizon et al, 1986).</w:t>
      </w:r>
    </w:p>
    <w:p w14:paraId="58007E93" w14:textId="62B82E7A" w:rsidR="001C7EE1" w:rsidRDefault="001C7EE1" w:rsidP="001C7EE1">
      <w:pPr>
        <w:pStyle w:val="Titre2"/>
        <w:numPr>
          <w:ilvl w:val="1"/>
          <w:numId w:val="1"/>
        </w:numPr>
        <w:tabs>
          <w:tab w:val="num" w:pos="360"/>
        </w:tabs>
        <w:spacing w:line="240" w:lineRule="auto"/>
        <w:ind w:left="0" w:firstLine="0"/>
        <w:rPr>
          <w:b/>
          <w:bCs/>
        </w:rPr>
      </w:pPr>
      <w:bookmarkStart w:id="5" w:name="_Toc200944546"/>
      <w:r>
        <w:rPr>
          <w:b/>
          <w:bCs/>
        </w:rPr>
        <w:lastRenderedPageBreak/>
        <w:t>The cement market</w:t>
      </w:r>
      <w:bookmarkEnd w:id="5"/>
    </w:p>
    <w:p w14:paraId="48B4A773" w14:textId="31496736" w:rsidR="005E5CE5" w:rsidRPr="00D62232" w:rsidRDefault="00D62232" w:rsidP="00D62232">
      <w:pPr>
        <w:jc w:val="both"/>
        <w:rPr>
          <w:rFonts w:ascii="Times New Roman" w:hAnsi="Times New Roman" w:cs="Times New Roman"/>
          <w:sz w:val="24"/>
          <w:szCs w:val="24"/>
        </w:rPr>
      </w:pPr>
      <w:r>
        <w:rPr>
          <w:rFonts w:ascii="Times New Roman" w:hAnsi="Times New Roman" w:cs="Times New Roman"/>
          <w:sz w:val="24"/>
          <w:szCs w:val="24"/>
          <w:lang w:val="en-US"/>
        </w:rPr>
        <w:t xml:space="preserve">In Niger </w:t>
      </w:r>
      <w:r w:rsidR="005E5CE5" w:rsidRPr="00176B3E">
        <w:rPr>
          <w:rFonts w:ascii="Times New Roman" w:hAnsi="Times New Roman" w:cs="Times New Roman"/>
          <w:sz w:val="24"/>
          <w:szCs w:val="24"/>
        </w:rPr>
        <w:t xml:space="preserve">, the two combined cement plants, MCC and CBM, offer a total production capacity of 1,720,000 tonnes per year, which is an excess capacity compared to local market demand, estimated at 1,200,000 tonnes per year. Local cement sales are estimated in 2022 at 584,000 tonnes, representing a value of 40.147 billion </w:t>
      </w:r>
      <w:r w:rsidRPr="00F815AE">
        <w:rPr>
          <w:rFonts w:ascii="Times New Roman" w:hAnsi="Times New Roman" w:cs="Times New Roman"/>
          <w:sz w:val="24"/>
          <w:szCs w:val="24"/>
        </w:rPr>
        <w:t xml:space="preserve">CFA francs </w:t>
      </w:r>
      <w:r w:rsidRPr="00484BCF">
        <w:rPr>
          <w:rFonts w:ascii="Times New Roman" w:hAnsi="Times New Roman" w:cs="Times New Roman"/>
          <w:sz w:val="24"/>
          <w:szCs w:val="24"/>
        </w:rPr>
        <w:t>.</w:t>
      </w:r>
    </w:p>
    <w:p w14:paraId="5588BDEB" w14:textId="77777777" w:rsidR="005E5CE5" w:rsidRPr="00A7776A" w:rsidRDefault="005E5CE5" w:rsidP="005E5CE5">
      <w:pPr>
        <w:pStyle w:val="Lgende"/>
        <w:rPr>
          <w:rFonts w:ascii="Times New Roman" w:hAnsi="Times New Roman" w:cs="Times New Roman"/>
          <w:i w:val="0"/>
          <w:iCs w:val="0"/>
          <w:color w:val="000000" w:themeColor="text1"/>
          <w:sz w:val="22"/>
          <w:szCs w:val="22"/>
        </w:rPr>
      </w:pPr>
      <w:bookmarkStart w:id="6" w:name="_Toc183768527"/>
      <w:r w:rsidRPr="00574009">
        <w:rPr>
          <w:rFonts w:ascii="Times New Roman" w:hAnsi="Times New Roman" w:cs="Times New Roman"/>
          <w:b/>
          <w:bCs/>
          <w:i w:val="0"/>
          <w:iCs w:val="0"/>
          <w:color w:val="000000" w:themeColor="text1"/>
          <w:sz w:val="22"/>
          <w:szCs w:val="22"/>
          <w:u w:val="single"/>
        </w:rPr>
        <w:t xml:space="preserve">Table </w:t>
      </w:r>
      <w:r w:rsidRPr="00574009">
        <w:rPr>
          <w:rFonts w:ascii="Times New Roman" w:hAnsi="Times New Roman" w:cs="Times New Roman"/>
          <w:b/>
          <w:bCs/>
          <w:i w:val="0"/>
          <w:iCs w:val="0"/>
          <w:color w:val="000000" w:themeColor="text1"/>
          <w:sz w:val="22"/>
          <w:szCs w:val="22"/>
          <w:u w:val="single"/>
        </w:rPr>
        <w:fldChar w:fldCharType="begin"/>
      </w:r>
      <w:r w:rsidRPr="00574009">
        <w:rPr>
          <w:rFonts w:ascii="Times New Roman" w:hAnsi="Times New Roman" w:cs="Times New Roman"/>
          <w:b/>
          <w:bCs/>
          <w:i w:val="0"/>
          <w:iCs w:val="0"/>
          <w:color w:val="000000" w:themeColor="text1"/>
          <w:sz w:val="22"/>
          <w:szCs w:val="22"/>
          <w:u w:val="single"/>
        </w:rPr>
        <w:instrText xml:space="preserve"> SEQ Tableau \* ARABIC </w:instrText>
      </w:r>
      <w:r w:rsidRPr="00574009">
        <w:rPr>
          <w:rFonts w:ascii="Times New Roman" w:hAnsi="Times New Roman" w:cs="Times New Roman"/>
          <w:b/>
          <w:bCs/>
          <w:i w:val="0"/>
          <w:iCs w:val="0"/>
          <w:color w:val="000000" w:themeColor="text1"/>
          <w:sz w:val="22"/>
          <w:szCs w:val="22"/>
          <w:u w:val="single"/>
        </w:rPr>
        <w:fldChar w:fldCharType="separate"/>
      </w:r>
      <w:r>
        <w:rPr>
          <w:rFonts w:ascii="Times New Roman" w:hAnsi="Times New Roman" w:cs="Times New Roman"/>
          <w:b/>
          <w:bCs/>
          <w:i w:val="0"/>
          <w:iCs w:val="0"/>
          <w:noProof/>
          <w:color w:val="000000" w:themeColor="text1"/>
          <w:sz w:val="22"/>
          <w:szCs w:val="22"/>
          <w:u w:val="single"/>
        </w:rPr>
        <w:t xml:space="preserve">1 </w:t>
      </w:r>
      <w:r w:rsidRPr="00574009">
        <w:rPr>
          <w:rFonts w:ascii="Times New Roman" w:hAnsi="Times New Roman" w:cs="Times New Roman"/>
          <w:b/>
          <w:bCs/>
          <w:i w:val="0"/>
          <w:iCs w:val="0"/>
          <w:color w:val="000000" w:themeColor="text1"/>
          <w:sz w:val="22"/>
          <w:szCs w:val="22"/>
          <w:u w:val="single"/>
        </w:rPr>
        <w:fldChar w:fldCharType="end"/>
      </w:r>
      <w:r w:rsidRPr="00574009">
        <w:rPr>
          <w:rFonts w:ascii="Times New Roman" w:hAnsi="Times New Roman" w:cs="Times New Roman"/>
          <w:b/>
          <w:bCs/>
          <w:i w:val="0"/>
          <w:iCs w:val="0"/>
          <w:color w:val="000000" w:themeColor="text1"/>
          <w:sz w:val="22"/>
          <w:szCs w:val="22"/>
        </w:rPr>
        <w:t xml:space="preserve">: </w:t>
      </w:r>
      <w:r w:rsidRPr="00A7776A">
        <w:rPr>
          <w:rFonts w:ascii="Times New Roman" w:hAnsi="Times New Roman" w:cs="Times New Roman"/>
          <w:i w:val="0"/>
          <w:iCs w:val="0"/>
          <w:color w:val="000000" w:themeColor="text1"/>
          <w:sz w:val="22"/>
          <w:szCs w:val="22"/>
        </w:rPr>
        <w:t>Production capacity of the two cement plants.</w:t>
      </w:r>
      <w:bookmarkEnd w:id="6"/>
    </w:p>
    <w:tbl>
      <w:tblPr>
        <w:tblStyle w:val="TableauGrille1Clair-Accentuation1"/>
        <w:tblW w:w="9067" w:type="dxa"/>
        <w:tblLook w:val="04A0" w:firstRow="1" w:lastRow="0" w:firstColumn="1" w:lastColumn="0" w:noHBand="0" w:noVBand="1"/>
      </w:tblPr>
      <w:tblGrid>
        <w:gridCol w:w="513"/>
        <w:gridCol w:w="1642"/>
        <w:gridCol w:w="1530"/>
        <w:gridCol w:w="1088"/>
        <w:gridCol w:w="1516"/>
        <w:gridCol w:w="939"/>
        <w:gridCol w:w="1839"/>
      </w:tblGrid>
      <w:tr w:rsidR="005E5CE5" w14:paraId="0FD529FB" w14:textId="77777777" w:rsidTr="000C71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3" w:type="dxa"/>
          </w:tcPr>
          <w:p w14:paraId="79EAC3B9" w14:textId="77777777" w:rsidR="005E5CE5" w:rsidRPr="0061608F" w:rsidRDefault="005E5CE5" w:rsidP="00E20D63">
            <w:pPr>
              <w:jc w:val="both"/>
              <w:rPr>
                <w:rFonts w:ascii="Times New Roman" w:hAnsi="Times New Roman" w:cs="Times New Roman"/>
                <w:sz w:val="20"/>
                <w:szCs w:val="20"/>
              </w:rPr>
            </w:pPr>
            <w:r w:rsidRPr="0061608F">
              <w:rPr>
                <w:rFonts w:ascii="Times New Roman" w:hAnsi="Times New Roman" w:cs="Times New Roman"/>
                <w:sz w:val="20"/>
                <w:szCs w:val="20"/>
              </w:rPr>
              <w:t>No.</w:t>
            </w:r>
          </w:p>
        </w:tc>
        <w:tc>
          <w:tcPr>
            <w:tcW w:w="1642" w:type="dxa"/>
          </w:tcPr>
          <w:p w14:paraId="3E638ADD" w14:textId="77777777" w:rsidR="005E5CE5" w:rsidRPr="0061608F" w:rsidRDefault="005E5CE5" w:rsidP="00E20D6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08F">
              <w:rPr>
                <w:rFonts w:ascii="Times New Roman" w:hAnsi="Times New Roman" w:cs="Times New Roman"/>
                <w:sz w:val="20"/>
                <w:szCs w:val="20"/>
              </w:rPr>
              <w:t>Factories</w:t>
            </w:r>
          </w:p>
        </w:tc>
        <w:tc>
          <w:tcPr>
            <w:tcW w:w="1530" w:type="dxa"/>
          </w:tcPr>
          <w:p w14:paraId="0BD32777" w14:textId="77777777" w:rsidR="005E5CE5" w:rsidRPr="0061608F" w:rsidRDefault="005E5CE5" w:rsidP="00E20D6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08F">
              <w:rPr>
                <w:rFonts w:ascii="Times New Roman" w:hAnsi="Times New Roman" w:cs="Times New Roman"/>
                <w:sz w:val="20"/>
                <w:szCs w:val="20"/>
              </w:rPr>
              <w:t>Installed capacity t/year</w:t>
            </w:r>
          </w:p>
        </w:tc>
        <w:tc>
          <w:tcPr>
            <w:tcW w:w="1088" w:type="dxa"/>
          </w:tcPr>
          <w:p w14:paraId="3E9DB847" w14:textId="77777777" w:rsidR="005E5CE5" w:rsidRPr="0061608F" w:rsidRDefault="005E5CE5" w:rsidP="00E20D6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08F">
              <w:rPr>
                <w:rFonts w:ascii="Times New Roman" w:hAnsi="Times New Roman" w:cs="Times New Roman"/>
                <w:sz w:val="20"/>
                <w:szCs w:val="20"/>
              </w:rPr>
              <w:t>Type of factory</w:t>
            </w:r>
          </w:p>
        </w:tc>
        <w:tc>
          <w:tcPr>
            <w:tcW w:w="1516" w:type="dxa"/>
          </w:tcPr>
          <w:p w14:paraId="43B35089" w14:textId="77777777" w:rsidR="005E5CE5" w:rsidRPr="0061608F" w:rsidRDefault="005E5CE5" w:rsidP="00E20D6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08F">
              <w:rPr>
                <w:rFonts w:ascii="Times New Roman" w:hAnsi="Times New Roman" w:cs="Times New Roman"/>
                <w:sz w:val="20"/>
                <w:szCs w:val="20"/>
              </w:rPr>
              <w:t>Manufacturing process</w:t>
            </w:r>
          </w:p>
        </w:tc>
        <w:tc>
          <w:tcPr>
            <w:tcW w:w="939" w:type="dxa"/>
          </w:tcPr>
          <w:p w14:paraId="51258251" w14:textId="77777777" w:rsidR="005E5CE5" w:rsidRPr="0061608F" w:rsidRDefault="005E5CE5" w:rsidP="00E20D6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08F">
              <w:rPr>
                <w:rFonts w:ascii="Times New Roman" w:hAnsi="Times New Roman" w:cs="Times New Roman"/>
                <w:sz w:val="20"/>
                <w:szCs w:val="20"/>
              </w:rPr>
              <w:t>Cooking fuel</w:t>
            </w:r>
          </w:p>
        </w:tc>
        <w:tc>
          <w:tcPr>
            <w:tcW w:w="1839" w:type="dxa"/>
          </w:tcPr>
          <w:p w14:paraId="27054282" w14:textId="77777777" w:rsidR="005E5CE5" w:rsidRPr="0061608F" w:rsidRDefault="005E5CE5" w:rsidP="00E20D6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Benefits</w:t>
            </w:r>
          </w:p>
        </w:tc>
      </w:tr>
      <w:tr w:rsidR="005E5CE5" w14:paraId="5EFD0600" w14:textId="77777777" w:rsidTr="000C710D">
        <w:tc>
          <w:tcPr>
            <w:cnfStyle w:val="001000000000" w:firstRow="0" w:lastRow="0" w:firstColumn="1" w:lastColumn="0" w:oddVBand="0" w:evenVBand="0" w:oddHBand="0" w:evenHBand="0" w:firstRowFirstColumn="0" w:firstRowLastColumn="0" w:lastRowFirstColumn="0" w:lastRowLastColumn="0"/>
            <w:tcW w:w="513" w:type="dxa"/>
          </w:tcPr>
          <w:p w14:paraId="7FB830DC" w14:textId="77777777" w:rsidR="005E5CE5" w:rsidRPr="0061608F" w:rsidRDefault="005E5CE5" w:rsidP="00E20D63">
            <w:pPr>
              <w:jc w:val="both"/>
              <w:rPr>
                <w:rFonts w:ascii="Times New Roman" w:hAnsi="Times New Roman" w:cs="Times New Roman"/>
                <w:sz w:val="20"/>
                <w:szCs w:val="20"/>
              </w:rPr>
            </w:pPr>
            <w:r w:rsidRPr="0061608F">
              <w:rPr>
                <w:rFonts w:ascii="Times New Roman" w:hAnsi="Times New Roman" w:cs="Times New Roman"/>
                <w:sz w:val="20"/>
                <w:szCs w:val="20"/>
              </w:rPr>
              <w:t>1</w:t>
            </w:r>
          </w:p>
        </w:tc>
        <w:tc>
          <w:tcPr>
            <w:tcW w:w="1642" w:type="dxa"/>
          </w:tcPr>
          <w:p w14:paraId="58376E58" w14:textId="77777777" w:rsidR="005E5CE5" w:rsidRPr="00B805F5" w:rsidRDefault="005E5CE5" w:rsidP="00E20D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805F5">
              <w:rPr>
                <w:rFonts w:ascii="Times New Roman" w:hAnsi="Times New Roman" w:cs="Times New Roman"/>
                <w:sz w:val="20"/>
                <w:szCs w:val="20"/>
                <w:lang w:val="en-US"/>
              </w:rPr>
              <w:t>Malbaza Cement Company (MCC)</w:t>
            </w:r>
            <w:r w:rsidRPr="00B805F5">
              <w:rPr>
                <w:rStyle w:val="Appelnotedebasdep"/>
                <w:rFonts w:ascii="Times New Roman" w:hAnsi="Times New Roman" w:cs="Times New Roman"/>
                <w:sz w:val="20"/>
                <w:szCs w:val="20"/>
                <w:lang w:val="en-US"/>
              </w:rPr>
              <w:footnoteReference w:id="3"/>
            </w:r>
          </w:p>
        </w:tc>
        <w:tc>
          <w:tcPr>
            <w:tcW w:w="1530" w:type="dxa"/>
          </w:tcPr>
          <w:p w14:paraId="6190FAB6" w14:textId="77777777" w:rsidR="005E5CE5" w:rsidRPr="0061608F" w:rsidRDefault="005E5CE5" w:rsidP="00E20D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08F">
              <w:rPr>
                <w:rFonts w:ascii="Times New Roman" w:hAnsi="Times New Roman" w:cs="Times New Roman"/>
                <w:sz w:val="20"/>
                <w:szCs w:val="20"/>
              </w:rPr>
              <w:t>720,000</w:t>
            </w:r>
          </w:p>
        </w:tc>
        <w:tc>
          <w:tcPr>
            <w:tcW w:w="1088" w:type="dxa"/>
          </w:tcPr>
          <w:p w14:paraId="11EF02AB" w14:textId="77777777" w:rsidR="005E5CE5" w:rsidRPr="0061608F" w:rsidRDefault="005E5CE5" w:rsidP="00E20D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08F">
              <w:rPr>
                <w:rFonts w:ascii="Times New Roman" w:hAnsi="Times New Roman" w:cs="Times New Roman"/>
                <w:sz w:val="20"/>
                <w:szCs w:val="20"/>
              </w:rPr>
              <w:t>Integrated factory</w:t>
            </w:r>
          </w:p>
        </w:tc>
        <w:tc>
          <w:tcPr>
            <w:tcW w:w="1516" w:type="dxa"/>
          </w:tcPr>
          <w:p w14:paraId="194618D7" w14:textId="77777777" w:rsidR="005E5CE5" w:rsidRPr="0061608F" w:rsidRDefault="005E5CE5" w:rsidP="00E20D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08F">
              <w:rPr>
                <w:rFonts w:ascii="Times New Roman" w:hAnsi="Times New Roman" w:cs="Times New Roman"/>
                <w:sz w:val="20"/>
                <w:szCs w:val="20"/>
              </w:rPr>
              <w:t>Dry route</w:t>
            </w:r>
          </w:p>
        </w:tc>
        <w:tc>
          <w:tcPr>
            <w:tcW w:w="939" w:type="dxa"/>
          </w:tcPr>
          <w:p w14:paraId="3133A4DB" w14:textId="77777777" w:rsidR="005E5CE5" w:rsidRPr="0061608F" w:rsidRDefault="005E5CE5" w:rsidP="00E20D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08F">
              <w:rPr>
                <w:rFonts w:ascii="Times New Roman" w:hAnsi="Times New Roman" w:cs="Times New Roman"/>
                <w:sz w:val="20"/>
                <w:szCs w:val="20"/>
              </w:rPr>
              <w:t>Coal</w:t>
            </w:r>
          </w:p>
        </w:tc>
        <w:tc>
          <w:tcPr>
            <w:tcW w:w="1839" w:type="dxa"/>
          </w:tcPr>
          <w:p w14:paraId="25483A9B" w14:textId="77777777" w:rsidR="005E5CE5" w:rsidRPr="0061608F" w:rsidRDefault="005E5CE5" w:rsidP="00E20D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Tax exemptions and customs benefits (4.65 billion)</w:t>
            </w:r>
          </w:p>
        </w:tc>
      </w:tr>
      <w:tr w:rsidR="005E5CE5" w14:paraId="4CF8BB21" w14:textId="77777777" w:rsidTr="000C710D">
        <w:tc>
          <w:tcPr>
            <w:cnfStyle w:val="001000000000" w:firstRow="0" w:lastRow="0" w:firstColumn="1" w:lastColumn="0" w:oddVBand="0" w:evenVBand="0" w:oddHBand="0" w:evenHBand="0" w:firstRowFirstColumn="0" w:firstRowLastColumn="0" w:lastRowFirstColumn="0" w:lastRowLastColumn="0"/>
            <w:tcW w:w="513" w:type="dxa"/>
          </w:tcPr>
          <w:p w14:paraId="2BDC28F5" w14:textId="77777777" w:rsidR="005E5CE5" w:rsidRPr="0061608F" w:rsidRDefault="005E5CE5" w:rsidP="00E20D63">
            <w:pPr>
              <w:jc w:val="both"/>
              <w:rPr>
                <w:rFonts w:ascii="Times New Roman" w:hAnsi="Times New Roman" w:cs="Times New Roman"/>
                <w:sz w:val="20"/>
                <w:szCs w:val="20"/>
              </w:rPr>
            </w:pPr>
            <w:r w:rsidRPr="0061608F">
              <w:rPr>
                <w:rFonts w:ascii="Times New Roman" w:hAnsi="Times New Roman" w:cs="Times New Roman"/>
                <w:sz w:val="20"/>
                <w:szCs w:val="20"/>
              </w:rPr>
              <w:t>2</w:t>
            </w:r>
          </w:p>
        </w:tc>
        <w:tc>
          <w:tcPr>
            <w:tcW w:w="1642" w:type="dxa"/>
          </w:tcPr>
          <w:p w14:paraId="381C1B9E" w14:textId="77777777" w:rsidR="005E5CE5" w:rsidRPr="0061608F" w:rsidRDefault="005E5CE5" w:rsidP="00E20D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08F">
              <w:rPr>
                <w:rFonts w:ascii="Times New Roman" w:hAnsi="Times New Roman" w:cs="Times New Roman"/>
                <w:sz w:val="20"/>
                <w:szCs w:val="20"/>
              </w:rPr>
              <w:t>China Building Material (CBM)</w:t>
            </w:r>
          </w:p>
        </w:tc>
        <w:tc>
          <w:tcPr>
            <w:tcW w:w="1530" w:type="dxa"/>
          </w:tcPr>
          <w:p w14:paraId="295C435B" w14:textId="77777777" w:rsidR="005E5CE5" w:rsidRPr="0061608F" w:rsidRDefault="005E5CE5" w:rsidP="00E20D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08F">
              <w:rPr>
                <w:rFonts w:ascii="Times New Roman" w:hAnsi="Times New Roman" w:cs="Times New Roman"/>
                <w:sz w:val="20"/>
                <w:szCs w:val="20"/>
              </w:rPr>
              <w:t>1,000,000</w:t>
            </w:r>
          </w:p>
        </w:tc>
        <w:tc>
          <w:tcPr>
            <w:tcW w:w="1088" w:type="dxa"/>
          </w:tcPr>
          <w:p w14:paraId="5390D46C" w14:textId="77777777" w:rsidR="005E5CE5" w:rsidRPr="0061608F" w:rsidRDefault="005E5CE5" w:rsidP="00E20D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08F">
              <w:rPr>
                <w:rFonts w:ascii="Times New Roman" w:hAnsi="Times New Roman" w:cs="Times New Roman"/>
                <w:sz w:val="20"/>
                <w:szCs w:val="20"/>
              </w:rPr>
              <w:t>Integrated factory</w:t>
            </w:r>
          </w:p>
        </w:tc>
        <w:tc>
          <w:tcPr>
            <w:tcW w:w="1516" w:type="dxa"/>
          </w:tcPr>
          <w:p w14:paraId="76320F51" w14:textId="77777777" w:rsidR="005E5CE5" w:rsidRPr="0061608F" w:rsidRDefault="005E5CE5" w:rsidP="00E20D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08F">
              <w:rPr>
                <w:rFonts w:ascii="Times New Roman" w:hAnsi="Times New Roman" w:cs="Times New Roman"/>
                <w:sz w:val="20"/>
                <w:szCs w:val="20"/>
              </w:rPr>
              <w:t>Dry route</w:t>
            </w:r>
          </w:p>
        </w:tc>
        <w:tc>
          <w:tcPr>
            <w:tcW w:w="939" w:type="dxa"/>
          </w:tcPr>
          <w:p w14:paraId="79829FB1" w14:textId="77777777" w:rsidR="005E5CE5" w:rsidRPr="0061608F" w:rsidRDefault="005E5CE5" w:rsidP="00E20D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08F">
              <w:rPr>
                <w:rFonts w:ascii="Times New Roman" w:hAnsi="Times New Roman" w:cs="Times New Roman"/>
                <w:sz w:val="20"/>
                <w:szCs w:val="20"/>
              </w:rPr>
              <w:t>Coal</w:t>
            </w:r>
          </w:p>
        </w:tc>
        <w:tc>
          <w:tcPr>
            <w:tcW w:w="1839" w:type="dxa"/>
          </w:tcPr>
          <w:p w14:paraId="23354084" w14:textId="77777777" w:rsidR="005E5CE5" w:rsidRPr="0061608F" w:rsidRDefault="005E5CE5" w:rsidP="00E20D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C500B">
              <w:rPr>
                <w:rFonts w:ascii="Times New Roman" w:hAnsi="Times New Roman" w:cs="Times New Roman"/>
                <w:sz w:val="20"/>
                <w:szCs w:val="20"/>
              </w:rPr>
              <w:t>Tax exemption and customs benefits</w:t>
            </w:r>
          </w:p>
        </w:tc>
      </w:tr>
    </w:tbl>
    <w:p w14:paraId="5F292671" w14:textId="5426A1C0" w:rsidR="005E5CE5" w:rsidRPr="005E5CE5" w:rsidRDefault="005E5CE5" w:rsidP="005E5CE5">
      <w:pPr>
        <w:rPr>
          <w:i/>
          <w:iCs/>
          <w:sz w:val="18"/>
          <w:szCs w:val="18"/>
          <w:u w:val="single"/>
        </w:rPr>
      </w:pPr>
      <w:r w:rsidRPr="003469DB">
        <w:rPr>
          <w:i/>
          <w:iCs/>
          <w:sz w:val="18"/>
          <w:szCs w:val="18"/>
          <w:u w:val="single"/>
        </w:rPr>
        <w:t xml:space="preserve">Source </w:t>
      </w:r>
      <w:r w:rsidRPr="003469DB">
        <w:rPr>
          <w:sz w:val="18"/>
          <w:szCs w:val="18"/>
        </w:rPr>
        <w:t>: Final report of the UEMOA cement study, 2023.</w:t>
      </w:r>
    </w:p>
    <w:p w14:paraId="40F6485C" w14:textId="4342D05B" w:rsidR="005E5CE5" w:rsidRDefault="005E5CE5" w:rsidP="00484BCF">
      <w:pPr>
        <w:jc w:val="both"/>
        <w:rPr>
          <w:rFonts w:ascii="Times New Roman" w:hAnsi="Times New Roman" w:cs="Times New Roman"/>
          <w:sz w:val="24"/>
          <w:szCs w:val="24"/>
        </w:rPr>
      </w:pPr>
      <w:r w:rsidRPr="003469DB">
        <w:rPr>
          <w:sz w:val="18"/>
          <w:szCs w:val="18"/>
        </w:rPr>
        <w:t>Malbaza Company, 2023</w:t>
      </w:r>
    </w:p>
    <w:p w14:paraId="2B40F50F" w14:textId="365EB1E8" w:rsidR="00500DA3" w:rsidRDefault="00500DA3" w:rsidP="00500DA3">
      <w:pPr>
        <w:spacing w:before="120" w:after="120" w:line="300" w:lineRule="auto"/>
        <w:jc w:val="both"/>
        <w:rPr>
          <w:rFonts w:ascii="Times New Roman" w:hAnsi="Times New Roman" w:cs="Times New Roman"/>
          <w:sz w:val="24"/>
          <w:szCs w:val="24"/>
        </w:rPr>
      </w:pPr>
      <w:r w:rsidRPr="0069510B">
        <w:rPr>
          <w:rFonts w:ascii="Times New Roman" w:hAnsi="Times New Roman" w:cs="Times New Roman"/>
          <w:sz w:val="24"/>
          <w:szCs w:val="24"/>
        </w:rPr>
        <w:t>Cement pricing policy in Niger is liberal, with prices approved by the Ministry of Trade. It is determined by demand, fluctuations in raw material prices, and transportation costs. In terms of trends, cement prices declined between 2015 and 2019, linked to an increase in domestic supply, followed by a price increase in 2020, marked by disruptions in supply chains.</w:t>
      </w:r>
    </w:p>
    <w:p w14:paraId="4349EFF1" w14:textId="6AC9B751" w:rsidR="007E1968" w:rsidRPr="00484BCF" w:rsidRDefault="007E1968" w:rsidP="007E1968">
      <w:pPr>
        <w:spacing w:before="120" w:after="120" w:line="300" w:lineRule="auto"/>
        <w:jc w:val="both"/>
        <w:rPr>
          <w:rFonts w:ascii="Times New Roman" w:hAnsi="Times New Roman" w:cs="Times New Roman"/>
          <w:sz w:val="24"/>
          <w:szCs w:val="24"/>
        </w:rPr>
      </w:pPr>
      <w:r>
        <w:rPr>
          <w:rFonts w:ascii="Times New Roman" w:hAnsi="Times New Roman" w:cs="Times New Roman"/>
          <w:sz w:val="24"/>
          <w:szCs w:val="24"/>
        </w:rPr>
        <w:t xml:space="preserve">Joint decree 0105/MCI/ME/F of 16 October 2024 established a price ceiling varying between 51,000 and 59,000 CFA francs depending on the region, </w:t>
      </w:r>
      <w:r w:rsidR="008E1AE3">
        <w:rPr>
          <w:rStyle w:val="Appelnotedebasdep"/>
          <w:rFonts w:ascii="Times New Roman" w:hAnsi="Times New Roman" w:cs="Times New Roman"/>
          <w:sz w:val="24"/>
          <w:szCs w:val="24"/>
        </w:rPr>
        <w:footnoteReference w:id="4"/>
      </w:r>
      <w:r w:rsidR="008E1AE3">
        <w:rPr>
          <w:rFonts w:ascii="Times New Roman" w:hAnsi="Times New Roman" w:cs="Times New Roman"/>
          <w:sz w:val="24"/>
          <w:szCs w:val="24"/>
        </w:rPr>
        <w:t xml:space="preserve">a reduction of approximately 35%. In return, companies regularly established in Niger and carrying out the activities of importing, producing and marketing CEM II 32.5 grey cement benefit from several exemptions </w:t>
      </w:r>
      <w:r w:rsidR="00D74007">
        <w:rPr>
          <w:rStyle w:val="Appelnotedebasdep"/>
          <w:rFonts w:ascii="Times New Roman" w:hAnsi="Times New Roman" w:cs="Times New Roman"/>
          <w:sz w:val="24"/>
          <w:szCs w:val="24"/>
        </w:rPr>
        <w:footnoteReference w:id="5"/>
      </w:r>
      <w:r w:rsidR="00D74007">
        <w:rPr>
          <w:rFonts w:ascii="Times New Roman" w:hAnsi="Times New Roman" w:cs="Times New Roman"/>
          <w:sz w:val="24"/>
          <w:szCs w:val="24"/>
        </w:rPr>
        <w:t>for a renewable period of one year.</w:t>
      </w:r>
    </w:p>
    <w:p w14:paraId="0F511CDD" w14:textId="099D68E5" w:rsidR="00484BCF" w:rsidRDefault="005E2B32" w:rsidP="00484BCF">
      <w:pPr>
        <w:jc w:val="both"/>
        <w:rPr>
          <w:rFonts w:ascii="Times New Roman" w:hAnsi="Times New Roman" w:cs="Times New Roman"/>
          <w:sz w:val="24"/>
          <w:szCs w:val="24"/>
        </w:rPr>
      </w:pPr>
      <w:r w:rsidRPr="00484BCF">
        <w:rPr>
          <w:rFonts w:ascii="Times New Roman" w:hAnsi="Times New Roman" w:cs="Times New Roman"/>
          <w:sz w:val="24"/>
          <w:szCs w:val="24"/>
        </w:rPr>
        <w:t>Cement is an essential material for the construction of housing and infrastructure such as roads and buildings (Djinadou, 2024). A reduction in its price makes construction projects more viable, by encouraging investment and making housing more accessible in the face of growing demand. In addition, this reduction allows governments to launch more infrastructure projects, which stimulates growth and creates employment by increasing the demand for labor.</w:t>
      </w:r>
    </w:p>
    <w:p w14:paraId="382F8382" w14:textId="77777777" w:rsidR="00484BCF" w:rsidRPr="00996D8A" w:rsidRDefault="00484BCF" w:rsidP="00484BCF">
      <w:pPr>
        <w:pStyle w:val="Titre1"/>
        <w:numPr>
          <w:ilvl w:val="0"/>
          <w:numId w:val="1"/>
        </w:numPr>
        <w:tabs>
          <w:tab w:val="num" w:pos="360"/>
        </w:tabs>
        <w:spacing w:line="240" w:lineRule="auto"/>
        <w:ind w:left="0" w:firstLine="0"/>
        <w:rPr>
          <w:b/>
          <w:bCs/>
        </w:rPr>
      </w:pPr>
      <w:bookmarkStart w:id="7" w:name="_Toc87357292"/>
      <w:bookmarkStart w:id="8" w:name="_Toc200944547"/>
      <w:r w:rsidRPr="00996D8A">
        <w:rPr>
          <w:b/>
          <w:bCs/>
        </w:rPr>
        <w:t>Literature review</w:t>
      </w:r>
      <w:bookmarkEnd w:id="7"/>
      <w:bookmarkEnd w:id="8"/>
    </w:p>
    <w:p w14:paraId="66F1E635" w14:textId="3E1476B8" w:rsidR="00457FAA" w:rsidRPr="00484BCF" w:rsidRDefault="00457FAA" w:rsidP="00457FAA">
      <w:pPr>
        <w:jc w:val="both"/>
        <w:rPr>
          <w:rFonts w:ascii="Times New Roman" w:hAnsi="Times New Roman" w:cs="Times New Roman"/>
          <w:sz w:val="24"/>
          <w:szCs w:val="24"/>
        </w:rPr>
      </w:pPr>
      <w:r w:rsidRPr="00484BCF">
        <w:rPr>
          <w:rFonts w:ascii="Times New Roman" w:hAnsi="Times New Roman" w:cs="Times New Roman"/>
          <w:sz w:val="24"/>
          <w:szCs w:val="24"/>
        </w:rPr>
        <w:t xml:space="preserve">In the literature, very little research has looked at the impact of a change in the price of cement. Analyses are more oriented towards the impact of changes in the price of hydrocarbons on the construction sector or infrastructure. It is with this in mind that Refafa . B and Adouka Laktar (2017) showed that the decline in oil prices had recessive effects on the Algerian economy such </w:t>
      </w:r>
      <w:r w:rsidRPr="00484BCF">
        <w:rPr>
          <w:rFonts w:ascii="Times New Roman" w:hAnsi="Times New Roman" w:cs="Times New Roman"/>
          <w:sz w:val="24"/>
          <w:szCs w:val="24"/>
        </w:rPr>
        <w:lastRenderedPageBreak/>
        <w:t xml:space="preserve">as the fall in foreign exchange inflows, the fall in oil revenue, the decrease in public spending and the slowdown in investments. The results of Oussama (2023) show that the reduction in hydrocarbon prices can stimulate investment, promote innovation and strengthen the competitiveness of economies. The decline in hydrocarbon prices also has repercussions on the well-being of the populations (Clément </w:t>
      </w:r>
      <w:r w:rsidRPr="00167554">
        <w:rPr>
          <w:rFonts w:ascii="Times New Roman" w:hAnsi="Times New Roman" w:cs="Times New Roman"/>
          <w:sz w:val="24"/>
          <w:szCs w:val="24"/>
        </w:rPr>
        <w:t>Bortoli and Kevin Milin (2016), World Bank (2013)).</w:t>
      </w:r>
    </w:p>
    <w:p w14:paraId="2F2DF5F3" w14:textId="77777777" w:rsidR="00691852" w:rsidRPr="00484BCF" w:rsidRDefault="00691852" w:rsidP="00691852">
      <w:pPr>
        <w:jc w:val="both"/>
        <w:rPr>
          <w:rFonts w:ascii="Times New Roman" w:hAnsi="Times New Roman" w:cs="Times New Roman"/>
          <w:sz w:val="24"/>
          <w:szCs w:val="24"/>
        </w:rPr>
      </w:pPr>
      <w:r w:rsidRPr="00484BCF">
        <w:rPr>
          <w:rFonts w:ascii="Times New Roman" w:hAnsi="Times New Roman" w:cs="Times New Roman"/>
          <w:sz w:val="24"/>
          <w:szCs w:val="24"/>
        </w:rPr>
        <w:t>Using a computable general equilibrium model, André Lemelin and Véronique Robichaud (2016) showed that falling oil prices have a positive effect on the Quebec economy. Furthermore, Guy Kenkoua Albert (2014), analyzing the inflationary effects of fluctuations in international oil prices in the countries of the Economic and Monetary Community of Central Africa (CEMAC) between January 1994 and December 2013, showed that the establishment of hydrocarbon price stabilization funds helped stabilize oil prices at the pump in some CEMAC countries. The author shows that fluctuations in world oil prices would have no significant impact on inflation in CEMAC countries in the short term. However, in the long run, a 10% increase in global oil prices would cause a long-term increase in inflation of 1.5 to 4 percentage points, depending on the country.</w:t>
      </w:r>
    </w:p>
    <w:p w14:paraId="661E3C53" w14:textId="028B81A6" w:rsidR="00457FAA" w:rsidRDefault="00691852" w:rsidP="00691852">
      <w:pPr>
        <w:jc w:val="both"/>
        <w:rPr>
          <w:rFonts w:ascii="Times New Roman" w:hAnsi="Times New Roman" w:cs="Times New Roman"/>
          <w:sz w:val="24"/>
          <w:szCs w:val="24"/>
        </w:rPr>
      </w:pPr>
      <w:r w:rsidRPr="00484BCF">
        <w:rPr>
          <w:rFonts w:ascii="Times New Roman" w:hAnsi="Times New Roman" w:cs="Times New Roman"/>
          <w:sz w:val="24"/>
          <w:szCs w:val="24"/>
        </w:rPr>
        <w:t>Kangni Kpodar (2006), studying the effects of an increase in petroleum product prices on income distribution in Mali, found that among the petroleum products consumed by households, the increase in the price of kerosene negatively affects the income of poor households more than the increase in the price of gasoline and diesel. Overall, the impact of the increase in the price of petroleum products follows an inverted U-shaped relationship with the level of per capita expenditure, with middle-class households being less affected than poor and rich households.</w:t>
      </w:r>
    </w:p>
    <w:p w14:paraId="1141493E" w14:textId="3B026660" w:rsidR="00691852" w:rsidRPr="00484BCF" w:rsidRDefault="00691852" w:rsidP="00691852">
      <w:pPr>
        <w:jc w:val="both"/>
        <w:rPr>
          <w:rFonts w:ascii="Times New Roman" w:hAnsi="Times New Roman" w:cs="Times New Roman"/>
          <w:sz w:val="24"/>
          <w:szCs w:val="24"/>
        </w:rPr>
      </w:pPr>
      <w:r w:rsidRPr="00484BCF">
        <w:rPr>
          <w:rFonts w:ascii="Times New Roman" w:hAnsi="Times New Roman" w:cs="Times New Roman"/>
          <w:sz w:val="24"/>
          <w:szCs w:val="24"/>
        </w:rPr>
        <w:t>Furthermore, regardless of the petroleum product considered, subsidized pump prices benefit high-income households more than low-income households. This result demonstrates the limitations of implicit or explicit subsidies to domestic petroleum product prices, compared to targeted subsidies to protect poor households. The authors suggest reforming the domestic pricing system to redirect budgetary resource allocation toward poverty reduction objectives.</w:t>
      </w:r>
    </w:p>
    <w:p w14:paraId="1E518802" w14:textId="77777777" w:rsidR="00484BCF" w:rsidRPr="00996D8A" w:rsidRDefault="00484BCF" w:rsidP="00484BCF">
      <w:pPr>
        <w:pStyle w:val="Titre1"/>
        <w:numPr>
          <w:ilvl w:val="0"/>
          <w:numId w:val="1"/>
        </w:numPr>
        <w:tabs>
          <w:tab w:val="num" w:pos="360"/>
        </w:tabs>
        <w:spacing w:line="240" w:lineRule="auto"/>
        <w:ind w:left="0" w:firstLine="0"/>
        <w:rPr>
          <w:b/>
          <w:bCs/>
        </w:rPr>
      </w:pPr>
      <w:bookmarkStart w:id="9" w:name="_Toc87357293"/>
      <w:bookmarkStart w:id="10" w:name="_Toc200944548"/>
      <w:r w:rsidRPr="00996D8A">
        <w:rPr>
          <w:b/>
          <w:bCs/>
        </w:rPr>
        <w:t>Methodology</w:t>
      </w:r>
      <w:bookmarkEnd w:id="9"/>
      <w:bookmarkEnd w:id="10"/>
      <w:r w:rsidRPr="00996D8A">
        <w:rPr>
          <w:b/>
          <w:bCs/>
        </w:rPr>
        <w:t xml:space="preserve"> </w:t>
      </w:r>
    </w:p>
    <w:p w14:paraId="38DB6BA6" w14:textId="77777777" w:rsidR="00484BCF" w:rsidRPr="00996D8A" w:rsidRDefault="00484BCF" w:rsidP="00484BCF">
      <w:pPr>
        <w:pStyle w:val="Titre2"/>
        <w:numPr>
          <w:ilvl w:val="1"/>
          <w:numId w:val="1"/>
        </w:numPr>
        <w:tabs>
          <w:tab w:val="num" w:pos="360"/>
        </w:tabs>
        <w:spacing w:line="240" w:lineRule="auto"/>
        <w:ind w:left="0" w:firstLine="0"/>
        <w:rPr>
          <w:b/>
          <w:bCs/>
        </w:rPr>
      </w:pPr>
      <w:bookmarkStart w:id="11" w:name="_Toc87357294"/>
      <w:bookmarkStart w:id="12" w:name="_Toc200944549"/>
      <w:r w:rsidRPr="00996D8A">
        <w:rPr>
          <w:b/>
          <w:bCs/>
        </w:rPr>
        <w:t>The data</w:t>
      </w:r>
      <w:bookmarkEnd w:id="11"/>
      <w:bookmarkEnd w:id="12"/>
    </w:p>
    <w:p w14:paraId="54BD9E9D" w14:textId="77777777" w:rsidR="00484BCF" w:rsidRPr="00996D8A" w:rsidRDefault="00484BCF" w:rsidP="00484BCF">
      <w:pPr>
        <w:pStyle w:val="Titre3"/>
        <w:numPr>
          <w:ilvl w:val="2"/>
          <w:numId w:val="1"/>
        </w:numPr>
        <w:tabs>
          <w:tab w:val="num" w:pos="360"/>
        </w:tabs>
        <w:spacing w:line="240" w:lineRule="auto"/>
        <w:ind w:left="0" w:firstLine="0"/>
        <w:rPr>
          <w:b/>
          <w:bCs/>
        </w:rPr>
      </w:pPr>
      <w:bookmarkStart w:id="13" w:name="_Toc87357295"/>
      <w:bookmarkStart w:id="14" w:name="_Toc200944550"/>
      <w:r w:rsidRPr="00996D8A">
        <w:rPr>
          <w:b/>
          <w:bCs/>
        </w:rPr>
        <w:t>The social accounting matrix</w:t>
      </w:r>
      <w:bookmarkEnd w:id="13"/>
      <w:bookmarkEnd w:id="14"/>
    </w:p>
    <w:p w14:paraId="42AA7C4A" w14:textId="22F8DA87" w:rsidR="00484BCF" w:rsidRDefault="00484BCF" w:rsidP="00457FAA">
      <w:pPr>
        <w:jc w:val="both"/>
        <w:rPr>
          <w:rFonts w:ascii="Times New Roman" w:hAnsi="Times New Roman" w:cs="Times New Roman"/>
          <w:sz w:val="24"/>
          <w:szCs w:val="24"/>
        </w:rPr>
      </w:pPr>
      <w:r w:rsidRPr="008C7821">
        <w:rPr>
          <w:rFonts w:ascii="Times New Roman" w:hAnsi="Times New Roman" w:cs="Times New Roman"/>
          <w:sz w:val="24"/>
          <w:szCs w:val="24"/>
        </w:rPr>
        <w:t>The social accounting matrix (SAM) used in this article was constructed using data from the 2018 TCEI and TRE collected from the National Institute of Statistics. The 2018 Harmonized Survey on Household Living Conditions (EHCVM) database made it possible to disaggregate household accounts and take gender into account.</w:t>
      </w:r>
    </w:p>
    <w:p w14:paraId="29D27F71" w14:textId="69E34F78" w:rsidR="00484BCF" w:rsidRDefault="00484BCF" w:rsidP="00457FAA">
      <w:pPr>
        <w:jc w:val="both"/>
        <w:rPr>
          <w:rFonts w:ascii="Times New Roman" w:hAnsi="Times New Roman" w:cs="Times New Roman"/>
          <w:sz w:val="24"/>
          <w:szCs w:val="24"/>
        </w:rPr>
      </w:pPr>
      <w:r w:rsidRPr="008C7821">
        <w:rPr>
          <w:rFonts w:ascii="Times New Roman" w:hAnsi="Times New Roman" w:cs="Times New Roman"/>
          <w:sz w:val="24"/>
          <w:szCs w:val="24"/>
        </w:rPr>
        <w:t xml:space="preserve">The value added coefficients reflect the characteristics of the Nigerien economy, where the primary sector is dominant, while the secondary sector is the weak link. Agriculture constitutes a significant share (29.4%) of the gross domestic product and represents approximately two-thirds of total exports. The services sector generates approximately 42.6% of total value added. The wholesale trade sector constitutes the largest contributor to the total value added of the economy (11.8%). The extractive sector contributes 7% to the value added and also represents 21.3% of exports, while the industrial sector records a small weight of 11.4%. The largest share </w:t>
      </w:r>
      <w:r w:rsidRPr="008C7821">
        <w:rPr>
          <w:rFonts w:ascii="Times New Roman" w:hAnsi="Times New Roman" w:cs="Times New Roman"/>
          <w:sz w:val="24"/>
          <w:szCs w:val="24"/>
        </w:rPr>
        <w:lastRenderedPageBreak/>
        <w:t>of Nigerien imports concerns food and refinery products, whose import/production ratios are 53% and 71.2%, respectively.</w:t>
      </w:r>
    </w:p>
    <w:p w14:paraId="0B646D1A" w14:textId="64BB23FB" w:rsidR="00015D0D" w:rsidRPr="00996D8A" w:rsidRDefault="00015D0D" w:rsidP="00015D0D">
      <w:pPr>
        <w:pStyle w:val="Titre3"/>
        <w:numPr>
          <w:ilvl w:val="2"/>
          <w:numId w:val="1"/>
        </w:numPr>
        <w:tabs>
          <w:tab w:val="num" w:pos="360"/>
        </w:tabs>
        <w:spacing w:line="240" w:lineRule="auto"/>
        <w:ind w:left="0" w:firstLine="0"/>
        <w:rPr>
          <w:b/>
          <w:bCs/>
        </w:rPr>
      </w:pPr>
      <w:bookmarkStart w:id="15" w:name="_Toc200944551"/>
      <w:r w:rsidRPr="00996D8A">
        <w:rPr>
          <w:b/>
          <w:bCs/>
        </w:rPr>
        <w:t>Place and importance of oil and cement in the Nigerien economy</w:t>
      </w:r>
      <w:bookmarkEnd w:id="15"/>
    </w:p>
    <w:p w14:paraId="79753E6A" w14:textId="0192BE2B" w:rsidR="00015D0D" w:rsidRDefault="00015D0D" w:rsidP="003D2F9E">
      <w:pPr>
        <w:spacing w:after="0" w:line="240" w:lineRule="auto"/>
        <w:jc w:val="both"/>
        <w:rPr>
          <w:rFonts w:ascii="Times New Roman" w:hAnsi="Times New Roman" w:cs="Times New Roman"/>
          <w:sz w:val="24"/>
          <w:szCs w:val="24"/>
        </w:rPr>
      </w:pPr>
      <w:r w:rsidRPr="00015D0D">
        <w:rPr>
          <w:rFonts w:ascii="Times New Roman" w:hAnsi="Times New Roman" w:cs="Times New Roman"/>
          <w:sz w:val="24"/>
          <w:szCs w:val="24"/>
        </w:rPr>
        <w:t>The impact of oil and cement reforms on households depends on their propensity to consume these products. Indeed, the anticipated decline in consumer prices is beneficial for purchasing power and, consequently, household consumption.</w:t>
      </w:r>
    </w:p>
    <w:p w14:paraId="7C99DBE4" w14:textId="77777777" w:rsidR="00214589" w:rsidRDefault="00214589" w:rsidP="003D2F9E">
      <w:pPr>
        <w:spacing w:after="0" w:line="240" w:lineRule="auto"/>
        <w:jc w:val="both"/>
        <w:rPr>
          <w:rFonts w:ascii="Times New Roman" w:hAnsi="Times New Roman" w:cs="Times New Roman"/>
          <w:sz w:val="24"/>
          <w:szCs w:val="24"/>
        </w:rPr>
      </w:pPr>
    </w:p>
    <w:p w14:paraId="4DFC96DA" w14:textId="77777777" w:rsidR="00214589" w:rsidRDefault="00214589" w:rsidP="003D2F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1: </w:t>
      </w:r>
      <w:r w:rsidRPr="00214589">
        <w:rPr>
          <w:rFonts w:ascii="Times New Roman" w:hAnsi="Times New Roman" w:cs="Times New Roman"/>
          <w:sz w:val="24"/>
          <w:szCs w:val="24"/>
        </w:rPr>
        <w:t>Distribution of final consumption by sector in 2020</w:t>
      </w:r>
    </w:p>
    <w:p w14:paraId="4C7C50F3" w14:textId="0A893D2D" w:rsidR="00214589" w:rsidRDefault="00214589" w:rsidP="003D2F9E">
      <w:pPr>
        <w:spacing w:after="0" w:line="240" w:lineRule="auto"/>
        <w:jc w:val="both"/>
        <w:rPr>
          <w:rFonts w:ascii="Times New Roman" w:hAnsi="Times New Roman" w:cs="Times New Roman"/>
          <w:sz w:val="24"/>
          <w:szCs w:val="24"/>
        </w:rPr>
      </w:pPr>
      <w:r>
        <w:rPr>
          <w:noProof/>
        </w:rPr>
        <w:drawing>
          <wp:inline distT="0" distB="0" distL="0" distR="0" wp14:anchorId="09B86938" wp14:editId="616E91E2">
            <wp:extent cx="4572000" cy="2183980"/>
            <wp:effectExtent l="0" t="0" r="0" b="6985"/>
            <wp:docPr id="1422106979" name="Graphique 1">
              <a:extLst xmlns:a="http://schemas.openxmlformats.org/drawingml/2006/main">
                <a:ext uri="{FF2B5EF4-FFF2-40B4-BE49-F238E27FC236}">
                  <a16:creationId xmlns:a16="http://schemas.microsoft.com/office/drawing/2014/main" id="{99E763F8-4429-49A7-56D3-EDF26277ED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77DC737" w14:textId="7E8FC556" w:rsidR="00214589" w:rsidRDefault="00214589" w:rsidP="00214589">
      <w:pPr>
        <w:spacing w:after="0" w:line="240" w:lineRule="auto"/>
        <w:jc w:val="both"/>
        <w:rPr>
          <w:rFonts w:ascii="Times New Roman" w:hAnsi="Times New Roman" w:cs="Times New Roman"/>
          <w:sz w:val="20"/>
          <w:szCs w:val="20"/>
        </w:rPr>
      </w:pPr>
      <w:r w:rsidRPr="00E4625F">
        <w:rPr>
          <w:rFonts w:ascii="Times New Roman" w:hAnsi="Times New Roman" w:cs="Times New Roman"/>
          <w:sz w:val="20"/>
          <w:szCs w:val="20"/>
        </w:rPr>
        <w:t xml:space="preserve">Source: </w:t>
      </w:r>
      <w:r>
        <w:rPr>
          <w:rFonts w:ascii="Times New Roman" w:hAnsi="Times New Roman" w:cs="Times New Roman"/>
          <w:sz w:val="20"/>
          <w:szCs w:val="20"/>
        </w:rPr>
        <w:t>ITIE Rep</w:t>
      </w:r>
      <w:r w:rsidRPr="00214589">
        <w:rPr>
          <w:rFonts w:ascii="Times New Roman" w:hAnsi="Times New Roman" w:cs="Times New Roman"/>
          <w:sz w:val="20"/>
          <w:szCs w:val="20"/>
        </w:rPr>
        <w:t>o</w:t>
      </w:r>
      <w:r>
        <w:rPr>
          <w:rFonts w:ascii="Times New Roman" w:hAnsi="Times New Roman" w:cs="Times New Roman"/>
          <w:sz w:val="20"/>
          <w:szCs w:val="20"/>
        </w:rPr>
        <w:t>rt 2020</w:t>
      </w:r>
    </w:p>
    <w:p w14:paraId="3DFC7538" w14:textId="77777777" w:rsidR="00214589" w:rsidRDefault="00214589" w:rsidP="00484BCF">
      <w:pPr>
        <w:spacing w:after="0" w:line="240" w:lineRule="auto"/>
        <w:jc w:val="both"/>
        <w:rPr>
          <w:rFonts w:ascii="Times New Roman" w:hAnsi="Times New Roman" w:cs="Times New Roman"/>
          <w:sz w:val="24"/>
          <w:szCs w:val="24"/>
        </w:rPr>
      </w:pPr>
    </w:p>
    <w:p w14:paraId="1B571039" w14:textId="2F507DF2" w:rsidR="00EA0BCD" w:rsidRDefault="003D2F9E" w:rsidP="0048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 analysis of the structure of household consumption in Niger reveals that refined petroleum and cement are mainly consumed in rural areas (73% of refined products and 55% of cement). In urban areas, the demand for cement consumption comes mainly from Niamey, the capital, and in rural areas, mainly from Tahoua, followed by Dosso and Zinder.</w:t>
      </w:r>
    </w:p>
    <w:p w14:paraId="27645E30" w14:textId="77777777" w:rsidR="00833A32" w:rsidRDefault="00833A32" w:rsidP="00484BCF">
      <w:pPr>
        <w:spacing w:after="0" w:line="240" w:lineRule="auto"/>
        <w:jc w:val="both"/>
        <w:rPr>
          <w:rFonts w:ascii="Times New Roman" w:hAnsi="Times New Roman" w:cs="Times New Roman"/>
          <w:sz w:val="24"/>
          <w:szCs w:val="24"/>
        </w:rPr>
      </w:pPr>
    </w:p>
    <w:p w14:paraId="4BDB1921" w14:textId="44CCD6CB" w:rsidR="00833A32" w:rsidRPr="00833A32" w:rsidRDefault="0020660E" w:rsidP="0048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214589">
        <w:rPr>
          <w:rFonts w:ascii="Times New Roman" w:hAnsi="Times New Roman" w:cs="Times New Roman"/>
          <w:sz w:val="24"/>
          <w:szCs w:val="24"/>
        </w:rPr>
        <w:t>2</w:t>
      </w:r>
      <w:r>
        <w:rPr>
          <w:rFonts w:ascii="Times New Roman" w:hAnsi="Times New Roman" w:cs="Times New Roman"/>
          <w:sz w:val="24"/>
          <w:szCs w:val="24"/>
        </w:rPr>
        <w:t>: Structure of household demand for oil and cement consumption in %</w:t>
      </w:r>
    </w:p>
    <w:p w14:paraId="0D5AAA04" w14:textId="213AA8CE" w:rsidR="00833A32" w:rsidRDefault="00833A32" w:rsidP="00484BCF">
      <w:pPr>
        <w:spacing w:after="0" w:line="240" w:lineRule="auto"/>
        <w:jc w:val="both"/>
        <w:rPr>
          <w:rFonts w:ascii="Times New Roman" w:hAnsi="Times New Roman" w:cs="Times New Roman"/>
          <w:sz w:val="20"/>
          <w:szCs w:val="20"/>
        </w:rPr>
      </w:pPr>
      <w:r>
        <w:rPr>
          <w:noProof/>
        </w:rPr>
        <w:drawing>
          <wp:inline distT="0" distB="0" distL="0" distR="0" wp14:anchorId="626AA88C" wp14:editId="31F30554">
            <wp:extent cx="5674995" cy="2153752"/>
            <wp:effectExtent l="0" t="0" r="1905" b="18415"/>
            <wp:docPr id="1295177082" name="Graphique 1">
              <a:extLst xmlns:a="http://schemas.openxmlformats.org/drawingml/2006/main">
                <a:ext uri="{FF2B5EF4-FFF2-40B4-BE49-F238E27FC236}">
                  <a16:creationId xmlns:a16="http://schemas.microsoft.com/office/drawing/2014/main" id="{C5C315D6-D777-35EE-8653-27FA4B6498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3A9FA1C" w14:textId="2F5FE82C" w:rsidR="003D2F9E" w:rsidRDefault="0020660E" w:rsidP="00484BCF">
      <w:pPr>
        <w:spacing w:after="0" w:line="240" w:lineRule="auto"/>
        <w:jc w:val="both"/>
        <w:rPr>
          <w:rFonts w:ascii="Times New Roman" w:hAnsi="Times New Roman" w:cs="Times New Roman"/>
          <w:sz w:val="20"/>
          <w:szCs w:val="20"/>
        </w:rPr>
      </w:pPr>
      <w:r w:rsidRPr="00E4625F">
        <w:rPr>
          <w:rFonts w:ascii="Times New Roman" w:hAnsi="Times New Roman" w:cs="Times New Roman"/>
          <w:sz w:val="20"/>
          <w:szCs w:val="20"/>
        </w:rPr>
        <w:t>Source: Authors</w:t>
      </w:r>
    </w:p>
    <w:p w14:paraId="44DBA721" w14:textId="77777777" w:rsidR="00214589" w:rsidRPr="00D046A8" w:rsidRDefault="00214589" w:rsidP="00484BCF">
      <w:pPr>
        <w:spacing w:after="0" w:line="240" w:lineRule="auto"/>
        <w:jc w:val="both"/>
        <w:rPr>
          <w:rFonts w:ascii="Times New Roman" w:hAnsi="Times New Roman" w:cs="Times New Roman"/>
          <w:sz w:val="20"/>
          <w:szCs w:val="20"/>
        </w:rPr>
      </w:pPr>
    </w:p>
    <w:p w14:paraId="4F5F759D" w14:textId="1DBD08E3" w:rsidR="00740E42" w:rsidRDefault="003365DC" w:rsidP="00484BCF">
      <w:pPr>
        <w:spacing w:after="0" w:line="240" w:lineRule="auto"/>
        <w:jc w:val="both"/>
        <w:rPr>
          <w:rFonts w:ascii="Times New Roman" w:hAnsi="Times New Roman" w:cs="Times New Roman"/>
          <w:sz w:val="24"/>
          <w:szCs w:val="24"/>
        </w:rPr>
      </w:pPr>
      <w:r w:rsidRPr="003365DC">
        <w:rPr>
          <w:rFonts w:ascii="Times New Roman" w:hAnsi="Times New Roman" w:cs="Times New Roman"/>
          <w:sz w:val="24"/>
          <w:szCs w:val="24"/>
        </w:rPr>
        <w:t xml:space="preserve">Compared to total household expenditures, oil represents on average only 2.2% and 3.3% of the consumption budget in urban and rural areas, respectively. Cement weighs much less on household budgets, representing on average 0.1%. </w:t>
      </w:r>
      <w:r>
        <w:rPr>
          <w:rFonts w:ascii="Times New Roman" w:hAnsi="Times New Roman" w:cs="Times New Roman"/>
          <w:sz w:val="24"/>
          <w:szCs w:val="24"/>
        </w:rPr>
        <w:t>If the price of refined oil decreases, rural households would potentially benefit the most. They could have more flexibility to cover their agricultural needs.</w:t>
      </w:r>
    </w:p>
    <w:p w14:paraId="4C0774BE" w14:textId="77777777" w:rsidR="00E4299B" w:rsidRDefault="00E4299B" w:rsidP="00484BCF">
      <w:pPr>
        <w:spacing w:after="0" w:line="240" w:lineRule="auto"/>
        <w:jc w:val="both"/>
        <w:rPr>
          <w:rFonts w:ascii="Times New Roman" w:hAnsi="Times New Roman" w:cs="Times New Roman"/>
          <w:sz w:val="24"/>
          <w:szCs w:val="24"/>
        </w:rPr>
      </w:pPr>
    </w:p>
    <w:p w14:paraId="23A43EE1" w14:textId="77777777" w:rsidR="000C710D" w:rsidRDefault="000C710D" w:rsidP="00484BCF">
      <w:pPr>
        <w:spacing w:after="0" w:line="240" w:lineRule="auto"/>
        <w:jc w:val="both"/>
        <w:rPr>
          <w:rFonts w:ascii="Times New Roman" w:hAnsi="Times New Roman" w:cs="Times New Roman"/>
          <w:sz w:val="24"/>
          <w:szCs w:val="24"/>
        </w:rPr>
      </w:pPr>
    </w:p>
    <w:p w14:paraId="477D5E25" w14:textId="503DA978" w:rsidR="00EA0BCD" w:rsidRDefault="00E4299B" w:rsidP="0048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Figure </w:t>
      </w:r>
      <w:r w:rsidR="00E937BD">
        <w:rPr>
          <w:rFonts w:ascii="Times New Roman" w:hAnsi="Times New Roman" w:cs="Times New Roman"/>
          <w:sz w:val="24"/>
          <w:szCs w:val="24"/>
        </w:rPr>
        <w:t>3</w:t>
      </w:r>
      <w:r>
        <w:rPr>
          <w:rFonts w:ascii="Times New Roman" w:hAnsi="Times New Roman" w:cs="Times New Roman"/>
          <w:sz w:val="24"/>
          <w:szCs w:val="24"/>
        </w:rPr>
        <w:t>: Weight of intermediate consumption of oil and cement in %</w:t>
      </w:r>
    </w:p>
    <w:p w14:paraId="517BF65F" w14:textId="44338E2F" w:rsidR="00E4299B" w:rsidRDefault="00E4299B" w:rsidP="00484BCF">
      <w:pPr>
        <w:spacing w:after="0" w:line="240" w:lineRule="auto"/>
        <w:jc w:val="both"/>
        <w:rPr>
          <w:rFonts w:ascii="Times New Roman" w:hAnsi="Times New Roman" w:cs="Times New Roman"/>
          <w:sz w:val="24"/>
          <w:szCs w:val="24"/>
        </w:rPr>
      </w:pPr>
      <w:r>
        <w:rPr>
          <w:noProof/>
          <w:lang w:val="en-GB" w:eastAsia="en-GB"/>
        </w:rPr>
        <w:drawing>
          <wp:inline distT="0" distB="0" distL="0" distR="0" wp14:anchorId="08E26916" wp14:editId="5EFCD33C">
            <wp:extent cx="5760720" cy="2108409"/>
            <wp:effectExtent l="0" t="0" r="11430" b="6350"/>
            <wp:docPr id="1937946471" name="Graphique 1">
              <a:extLst xmlns:a="http://schemas.openxmlformats.org/drawingml/2006/main">
                <a:ext uri="{FF2B5EF4-FFF2-40B4-BE49-F238E27FC236}">
                  <a16:creationId xmlns:a16="http://schemas.microsoft.com/office/drawing/2014/main" id="{D982BF98-9A39-BC0B-2BDB-06A56736CB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F68DCEF" w14:textId="77777777" w:rsidR="00E4299B" w:rsidRPr="00D046A8" w:rsidRDefault="00E4299B" w:rsidP="00E4299B">
      <w:pPr>
        <w:spacing w:after="0" w:line="240" w:lineRule="auto"/>
        <w:jc w:val="both"/>
        <w:rPr>
          <w:rFonts w:ascii="Times New Roman" w:hAnsi="Times New Roman" w:cs="Times New Roman"/>
          <w:sz w:val="20"/>
          <w:szCs w:val="20"/>
        </w:rPr>
      </w:pPr>
      <w:r w:rsidRPr="00E4625F">
        <w:rPr>
          <w:rFonts w:ascii="Times New Roman" w:hAnsi="Times New Roman" w:cs="Times New Roman"/>
          <w:sz w:val="20"/>
          <w:szCs w:val="20"/>
        </w:rPr>
        <w:t>Source: Authors</w:t>
      </w:r>
    </w:p>
    <w:p w14:paraId="59C5CC7A" w14:textId="77777777" w:rsidR="00E4299B" w:rsidRDefault="00E4299B" w:rsidP="00484BCF">
      <w:pPr>
        <w:spacing w:after="0" w:line="240" w:lineRule="auto"/>
        <w:jc w:val="both"/>
        <w:rPr>
          <w:rFonts w:ascii="Times New Roman" w:hAnsi="Times New Roman" w:cs="Times New Roman"/>
          <w:sz w:val="24"/>
          <w:szCs w:val="24"/>
        </w:rPr>
      </w:pPr>
    </w:p>
    <w:p w14:paraId="45B96AF8" w14:textId="65D7C193" w:rsidR="00015D0D" w:rsidRPr="008C7821" w:rsidRDefault="00015D0D" w:rsidP="00484BCF">
      <w:pPr>
        <w:spacing w:after="0" w:line="240" w:lineRule="auto"/>
        <w:jc w:val="both"/>
        <w:rPr>
          <w:rFonts w:ascii="Times New Roman" w:hAnsi="Times New Roman" w:cs="Times New Roman"/>
          <w:sz w:val="24"/>
          <w:szCs w:val="24"/>
        </w:rPr>
      </w:pPr>
      <w:r w:rsidRPr="00015D0D">
        <w:rPr>
          <w:rFonts w:ascii="Times New Roman" w:hAnsi="Times New Roman" w:cs="Times New Roman"/>
          <w:sz w:val="24"/>
          <w:szCs w:val="24"/>
        </w:rPr>
        <w:t>In addition, petroleum products also occupy a strategic place in the production of sectors of activity. Indeed, they are used for the production of several sectors namely transport (</w:t>
      </w:r>
      <w:r w:rsidR="00E4299B" w:rsidRPr="00E4299B">
        <w:rPr>
          <w:rFonts w:ascii="Times New Roman" w:hAnsi="Times New Roman" w:cs="Times New Roman"/>
          <w:sz w:val="24"/>
          <w:szCs w:val="24"/>
          <w:lang w:val="en-US"/>
        </w:rPr>
        <w:t xml:space="preserve">35.1% of </w:t>
      </w:r>
      <w:r w:rsidR="008F36D9">
        <w:rPr>
          <w:rFonts w:ascii="Times New Roman" w:hAnsi="Times New Roman" w:cs="Times New Roman"/>
          <w:sz w:val="24"/>
          <w:szCs w:val="24"/>
          <w:lang w:val="en-US"/>
        </w:rPr>
        <w:t xml:space="preserve">total </w:t>
      </w:r>
      <w:r w:rsidR="008F36D9" w:rsidRPr="00015D0D">
        <w:rPr>
          <w:rFonts w:ascii="Times New Roman" w:hAnsi="Times New Roman" w:cs="Times New Roman"/>
          <w:sz w:val="24"/>
          <w:szCs w:val="24"/>
        </w:rPr>
        <w:t>intermediate consumption</w:t>
      </w:r>
      <w:r w:rsidR="00E4299B" w:rsidRPr="00CE2678">
        <w:rPr>
          <w:lang w:val="en-IE"/>
        </w:rPr>
        <w:t>)</w:t>
      </w:r>
      <w:r w:rsidR="00E4299B">
        <w:rPr>
          <w:rFonts w:ascii="Times New Roman" w:hAnsi="Times New Roman" w:cs="Times New Roman"/>
          <w:sz w:val="24"/>
          <w:szCs w:val="24"/>
        </w:rPr>
        <w:t>, forestry (</w:t>
      </w:r>
      <w:r w:rsidR="008F36D9" w:rsidRPr="00015D0D">
        <w:rPr>
          <w:rFonts w:ascii="Times New Roman" w:hAnsi="Times New Roman" w:cs="Times New Roman"/>
          <w:sz w:val="24"/>
          <w:szCs w:val="24"/>
        </w:rPr>
        <w:t>19.3</w:t>
      </w:r>
      <w:r w:rsidR="008F36D9">
        <w:rPr>
          <w:rFonts w:ascii="Times New Roman" w:hAnsi="Times New Roman" w:cs="Times New Roman"/>
          <w:sz w:val="24"/>
          <w:szCs w:val="24"/>
          <w:lang w:val="en-US"/>
        </w:rPr>
        <w:t>%)</w:t>
      </w:r>
      <w:r w:rsidR="008F36D9" w:rsidRPr="00CE2678">
        <w:rPr>
          <w:lang w:val="en-IE"/>
        </w:rPr>
        <w:t xml:space="preserve">, </w:t>
      </w:r>
      <w:r w:rsidR="008F36D9">
        <w:rPr>
          <w:rFonts w:ascii="Times New Roman" w:hAnsi="Times New Roman" w:cs="Times New Roman"/>
          <w:sz w:val="24"/>
          <w:szCs w:val="24"/>
          <w:lang w:val="en-US"/>
        </w:rPr>
        <w:t xml:space="preserve">real estate </w:t>
      </w:r>
      <w:r w:rsidR="008F36D9" w:rsidRPr="00015D0D">
        <w:rPr>
          <w:rFonts w:ascii="Times New Roman" w:hAnsi="Times New Roman" w:cs="Times New Roman"/>
          <w:sz w:val="24"/>
          <w:szCs w:val="24"/>
        </w:rPr>
        <w:t>(</w:t>
      </w:r>
      <w:r w:rsidR="008F36D9">
        <w:rPr>
          <w:rFonts w:ascii="Times New Roman" w:hAnsi="Times New Roman" w:cs="Times New Roman"/>
          <w:sz w:val="24"/>
          <w:szCs w:val="24"/>
          <w:lang w:val="en-US"/>
        </w:rPr>
        <w:t>12%</w:t>
      </w:r>
      <w:r w:rsidR="008F36D9" w:rsidRPr="00CE2678">
        <w:rPr>
          <w:lang w:val="en-IE"/>
        </w:rPr>
        <w:t xml:space="preserve">) and to </w:t>
      </w:r>
      <w:r w:rsidR="008F36D9">
        <w:rPr>
          <w:rFonts w:ascii="Times New Roman" w:hAnsi="Times New Roman" w:cs="Times New Roman"/>
          <w:sz w:val="24"/>
          <w:szCs w:val="24"/>
          <w:lang w:val="en-US"/>
        </w:rPr>
        <w:t xml:space="preserve">a </w:t>
      </w:r>
      <w:r w:rsidR="008F36D9" w:rsidRPr="00015D0D">
        <w:rPr>
          <w:rFonts w:ascii="Times New Roman" w:hAnsi="Times New Roman" w:cs="Times New Roman"/>
          <w:sz w:val="24"/>
          <w:szCs w:val="24"/>
        </w:rPr>
        <w:t xml:space="preserve">lesser extent construction, </w:t>
      </w:r>
      <w:r w:rsidR="008F36D9">
        <w:rPr>
          <w:rFonts w:ascii="Times New Roman" w:hAnsi="Times New Roman" w:cs="Times New Roman"/>
          <w:sz w:val="24"/>
          <w:szCs w:val="24"/>
        </w:rPr>
        <w:t xml:space="preserve">electricity and </w:t>
      </w:r>
      <w:r w:rsidR="008F36D9" w:rsidRPr="00015D0D">
        <w:rPr>
          <w:rFonts w:ascii="Times New Roman" w:hAnsi="Times New Roman" w:cs="Times New Roman"/>
          <w:sz w:val="24"/>
          <w:szCs w:val="24"/>
        </w:rPr>
        <w:t xml:space="preserve">the public sector. As a result, a fall </w:t>
      </w:r>
      <w:r w:rsidR="008F36D9">
        <w:rPr>
          <w:rFonts w:ascii="Times New Roman" w:hAnsi="Times New Roman" w:cs="Times New Roman"/>
          <w:sz w:val="24"/>
          <w:szCs w:val="24"/>
          <w:lang w:val="en-US"/>
        </w:rPr>
        <w:t xml:space="preserve">in </w:t>
      </w:r>
      <w:r w:rsidR="008F36D9" w:rsidRPr="008F36D9">
        <w:rPr>
          <w:rFonts w:ascii="Times New Roman" w:hAnsi="Times New Roman" w:cs="Times New Roman"/>
          <w:sz w:val="24"/>
          <w:szCs w:val="24"/>
        </w:rPr>
        <w:t>the prices of petroleum products could lead to a fall in the production costs of companies. This situation could prove harmful if the reduction in the State investment budget induced by the reform had negative effects on the productivity of the economy. As for cement, it interacts weakly with other sectors so that the expected effects will mainly result from a change in the structure of consumption in favor of this good.</w:t>
      </w:r>
    </w:p>
    <w:p w14:paraId="4ADF76D2" w14:textId="77777777" w:rsidR="00484BCF" w:rsidRPr="00996D8A" w:rsidRDefault="00484BCF" w:rsidP="00484BCF">
      <w:pPr>
        <w:pStyle w:val="Titre2"/>
        <w:numPr>
          <w:ilvl w:val="1"/>
          <w:numId w:val="1"/>
        </w:numPr>
        <w:tabs>
          <w:tab w:val="num" w:pos="360"/>
        </w:tabs>
        <w:spacing w:line="240" w:lineRule="auto"/>
        <w:ind w:left="0" w:firstLine="0"/>
        <w:rPr>
          <w:b/>
          <w:bCs/>
        </w:rPr>
      </w:pPr>
      <w:bookmarkStart w:id="16" w:name="_Toc87357298"/>
      <w:bookmarkStart w:id="17" w:name="_Toc200944552"/>
      <w:r w:rsidRPr="00996D8A">
        <w:rPr>
          <w:b/>
          <w:bCs/>
        </w:rPr>
        <w:t>The model</w:t>
      </w:r>
      <w:bookmarkEnd w:id="16"/>
      <w:bookmarkEnd w:id="17"/>
    </w:p>
    <w:p w14:paraId="79DE3C57" w14:textId="77777777" w:rsidR="00484BCF" w:rsidRPr="00996D8A" w:rsidRDefault="00484BCF" w:rsidP="00484BCF">
      <w:pPr>
        <w:pStyle w:val="Titre3"/>
        <w:numPr>
          <w:ilvl w:val="2"/>
          <w:numId w:val="1"/>
        </w:numPr>
        <w:tabs>
          <w:tab w:val="num" w:pos="360"/>
        </w:tabs>
        <w:spacing w:line="240" w:lineRule="auto"/>
        <w:ind w:left="0" w:firstLine="0"/>
        <w:rPr>
          <w:b/>
          <w:bCs/>
        </w:rPr>
      </w:pPr>
      <w:bookmarkStart w:id="18" w:name="_Toc87357299"/>
      <w:bookmarkStart w:id="19" w:name="_Toc200944553"/>
      <w:r w:rsidRPr="00996D8A">
        <w:rPr>
          <w:b/>
          <w:bCs/>
        </w:rPr>
        <w:t>Description of the EGC model</w:t>
      </w:r>
      <w:bookmarkEnd w:id="18"/>
      <w:bookmarkEnd w:id="19"/>
    </w:p>
    <w:p w14:paraId="3A6867F5" w14:textId="6AD9CC99" w:rsidR="001C7EE1" w:rsidRDefault="00484BCF" w:rsidP="00484BCF">
      <w:pPr>
        <w:spacing w:after="0" w:line="240" w:lineRule="auto"/>
        <w:jc w:val="both"/>
        <w:rPr>
          <w:rFonts w:ascii="Times New Roman" w:hAnsi="Times New Roman" w:cs="Times New Roman"/>
          <w:sz w:val="24"/>
          <w:szCs w:val="24"/>
        </w:rPr>
      </w:pPr>
      <w:r w:rsidRPr="008C7821">
        <w:rPr>
          <w:rFonts w:ascii="Times New Roman" w:hAnsi="Times New Roman" w:cs="Times New Roman"/>
          <w:sz w:val="24"/>
          <w:szCs w:val="24"/>
        </w:rPr>
        <w:t>The DEMETRA model used in this research is a recursive-dynamic general equilibrium (GCE) model with an open economy, applicable to a single country. It allows an advanced characterization of impacts at different levels: sectoral (production and production costs), household (income and consumer demand), regional (household membership and migration between different regions) and aggregate (GDP, employment, trade).</w:t>
      </w:r>
    </w:p>
    <w:p w14:paraId="6BB78B47" w14:textId="77777777" w:rsidR="001C7EE1" w:rsidRPr="001C7EE1" w:rsidRDefault="001C7EE1" w:rsidP="001C7EE1">
      <w:pPr>
        <w:spacing w:after="0" w:line="240" w:lineRule="auto"/>
        <w:jc w:val="both"/>
        <w:rPr>
          <w:rFonts w:ascii="Times New Roman" w:hAnsi="Times New Roman" w:cs="Times New Roman"/>
          <w:sz w:val="24"/>
          <w:szCs w:val="24"/>
        </w:rPr>
      </w:pPr>
      <w:r w:rsidRPr="001C7EE1">
        <w:rPr>
          <w:rFonts w:ascii="Times New Roman" w:hAnsi="Times New Roman" w:cs="Times New Roman"/>
          <w:sz w:val="24"/>
          <w:szCs w:val="24"/>
        </w:rPr>
        <w:t>Key features of the DEMETRA model include:</w:t>
      </w:r>
    </w:p>
    <w:p w14:paraId="7B670DCA" w14:textId="554FF9A9" w:rsidR="001C7EE1" w:rsidRPr="001C7EE1" w:rsidRDefault="001C7EE1" w:rsidP="001C7EE1">
      <w:pPr>
        <w:pStyle w:val="Paragraphedeliste"/>
        <w:numPr>
          <w:ilvl w:val="0"/>
          <w:numId w:val="3"/>
        </w:numPr>
        <w:spacing w:after="0" w:line="240" w:lineRule="auto"/>
        <w:jc w:val="both"/>
        <w:rPr>
          <w:rFonts w:ascii="Times New Roman" w:hAnsi="Times New Roman" w:cs="Times New Roman"/>
          <w:sz w:val="24"/>
          <w:szCs w:val="24"/>
        </w:rPr>
      </w:pPr>
      <w:r w:rsidRPr="001C7EE1">
        <w:rPr>
          <w:rFonts w:ascii="Times New Roman" w:hAnsi="Times New Roman" w:cs="Times New Roman"/>
          <w:sz w:val="24"/>
          <w:szCs w:val="24"/>
        </w:rPr>
        <w:t>A hypothesis of perfect competition, that is, prices and quantities are not subject to any market power, either on the supply side or the demand side.</w:t>
      </w:r>
    </w:p>
    <w:p w14:paraId="3B88E6E9" w14:textId="5D548191" w:rsidR="001C7EE1" w:rsidRPr="001C7EE1" w:rsidRDefault="001C7EE1" w:rsidP="001C7EE1">
      <w:pPr>
        <w:pStyle w:val="Paragraphedeliste"/>
        <w:numPr>
          <w:ilvl w:val="0"/>
          <w:numId w:val="3"/>
        </w:numPr>
        <w:spacing w:after="0" w:line="240" w:lineRule="auto"/>
        <w:jc w:val="both"/>
        <w:rPr>
          <w:rFonts w:ascii="Times New Roman" w:hAnsi="Times New Roman" w:cs="Times New Roman"/>
          <w:sz w:val="24"/>
          <w:szCs w:val="24"/>
        </w:rPr>
      </w:pPr>
      <w:r w:rsidRPr="001C7EE1">
        <w:rPr>
          <w:rFonts w:ascii="Times New Roman" w:hAnsi="Times New Roman" w:cs="Times New Roman"/>
          <w:sz w:val="24"/>
          <w:szCs w:val="24"/>
        </w:rPr>
        <w:t>A disaggregation of economic activities into individual processes, captured by nested constant elasticity of substitution functions, combining factors of production and intermediate goods.</w:t>
      </w:r>
    </w:p>
    <w:p w14:paraId="0E0F3B1C" w14:textId="1C05D8DD" w:rsidR="001C7EE1" w:rsidRPr="001C7EE1" w:rsidRDefault="001C7EE1" w:rsidP="001C7EE1">
      <w:pPr>
        <w:pStyle w:val="Paragraphedeliste"/>
        <w:numPr>
          <w:ilvl w:val="0"/>
          <w:numId w:val="3"/>
        </w:numPr>
        <w:spacing w:after="0" w:line="240" w:lineRule="auto"/>
        <w:jc w:val="both"/>
        <w:rPr>
          <w:rFonts w:ascii="Times New Roman" w:hAnsi="Times New Roman" w:cs="Times New Roman"/>
          <w:sz w:val="24"/>
          <w:szCs w:val="24"/>
        </w:rPr>
      </w:pPr>
      <w:r w:rsidRPr="001C7EE1">
        <w:rPr>
          <w:rFonts w:ascii="Times New Roman" w:hAnsi="Times New Roman" w:cs="Times New Roman"/>
          <w:sz w:val="24"/>
          <w:szCs w:val="24"/>
        </w:rPr>
        <w:t xml:space="preserve">A separation of commercial and subsistence goods, with consistent accounting of domestic production for domestic consumption, </w:t>
      </w:r>
      <w:r>
        <w:rPr>
          <w:rFonts w:ascii="Times New Roman" w:hAnsi="Times New Roman" w:cs="Times New Roman"/>
          <w:sz w:val="24"/>
          <w:szCs w:val="24"/>
        </w:rPr>
        <w:t>which allows the study of semi-subsistence production and consumption processes.</w:t>
      </w:r>
    </w:p>
    <w:p w14:paraId="795B5911" w14:textId="50D4011D" w:rsidR="001C7EE1" w:rsidRDefault="001C7EE1" w:rsidP="001C7EE1">
      <w:pPr>
        <w:pStyle w:val="Paragraphedeliste"/>
        <w:numPr>
          <w:ilvl w:val="0"/>
          <w:numId w:val="3"/>
        </w:numPr>
        <w:spacing w:after="0" w:line="240" w:lineRule="auto"/>
        <w:jc w:val="both"/>
        <w:rPr>
          <w:rFonts w:ascii="Times New Roman" w:hAnsi="Times New Roman" w:cs="Times New Roman"/>
          <w:sz w:val="24"/>
          <w:szCs w:val="24"/>
        </w:rPr>
      </w:pPr>
      <w:r w:rsidRPr="001C7EE1">
        <w:rPr>
          <w:rFonts w:ascii="Times New Roman" w:hAnsi="Times New Roman" w:cs="Times New Roman"/>
          <w:sz w:val="24"/>
          <w:szCs w:val="24"/>
        </w:rPr>
        <w:t>Trade specified under the Armington hypothesis , which treats imported and domestic varieties of the same good as imperfect substitutes.</w:t>
      </w:r>
    </w:p>
    <w:p w14:paraId="6FB1F8DE" w14:textId="0B8D9708" w:rsidR="00B80C89" w:rsidRDefault="00B80C89" w:rsidP="001C7EE1">
      <w:pPr>
        <w:pStyle w:val="Paragraphedeliste"/>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 disaggregation of the labor factor according to gender, residence, level of education and region.</w:t>
      </w:r>
    </w:p>
    <w:p w14:paraId="440F3178" w14:textId="1E76F748" w:rsidR="00A932BB" w:rsidRDefault="00A932BB" w:rsidP="001C7EE1">
      <w:pPr>
        <w:pStyle w:val="Paragraphedeliste"/>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small country hypothesis that cannot influence world prices. Export demand is therefore constrained by export supply with a finite elasticity </w:t>
      </w:r>
      <w:r w:rsidRPr="00A932BB">
        <w:rPr>
          <w:rFonts w:ascii="Times New Roman" w:hAnsi="Times New Roman" w:cs="Times New Roman"/>
          <w:sz w:val="24"/>
          <w:szCs w:val="24"/>
        </w:rPr>
        <w:t>that reflects the level of competitiveness of local producers on the international market.</w:t>
      </w:r>
    </w:p>
    <w:p w14:paraId="41866750" w14:textId="302F7B56" w:rsidR="00A932BB" w:rsidRPr="002511AF" w:rsidRDefault="00A932BB" w:rsidP="001C7EE1">
      <w:pPr>
        <w:pStyle w:val="Paragraphedeliste"/>
        <w:numPr>
          <w:ilvl w:val="0"/>
          <w:numId w:val="3"/>
        </w:numPr>
        <w:spacing w:after="0" w:line="240" w:lineRule="auto"/>
        <w:jc w:val="both"/>
        <w:rPr>
          <w:rFonts w:ascii="Times New Roman" w:hAnsi="Times New Roman" w:cs="Times New Roman"/>
          <w:sz w:val="24"/>
          <w:szCs w:val="24"/>
        </w:rPr>
      </w:pPr>
      <w:r w:rsidRPr="002511AF">
        <w:rPr>
          <w:rFonts w:ascii="Times New Roman" w:hAnsi="Times New Roman" w:cs="Times New Roman"/>
          <w:sz w:val="24"/>
          <w:szCs w:val="24"/>
        </w:rPr>
        <w:lastRenderedPageBreak/>
        <w:t>A fully mobile workforce between sectors, evolving at the rate of population growth and a sector-specific capital whose stock is dependent on the previous stock less the depreciation of the available capital stock and new investments made in the sector.</w:t>
      </w:r>
    </w:p>
    <w:p w14:paraId="7AEF912D" w14:textId="77777777" w:rsidR="00B80C89" w:rsidRDefault="00B80C89" w:rsidP="00B80C89">
      <w:pPr>
        <w:spacing w:after="0" w:line="240" w:lineRule="auto"/>
        <w:jc w:val="both"/>
        <w:rPr>
          <w:rFonts w:ascii="Times New Roman" w:hAnsi="Times New Roman" w:cs="Times New Roman"/>
          <w:sz w:val="24"/>
          <w:szCs w:val="24"/>
        </w:rPr>
      </w:pPr>
    </w:p>
    <w:p w14:paraId="0FD1B8F1" w14:textId="52F77CAC" w:rsidR="009D6E66" w:rsidRPr="009D6E66" w:rsidRDefault="009D6E66" w:rsidP="009D6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model simulations are carried out according to the following closing rules:</w:t>
      </w:r>
    </w:p>
    <w:p w14:paraId="7BB0A2F4" w14:textId="2E5C7196" w:rsidR="009D6E66" w:rsidRPr="009D6E66" w:rsidRDefault="009D6E66" w:rsidP="009D6E66">
      <w:pPr>
        <w:pStyle w:val="Paragraphedeliste"/>
        <w:numPr>
          <w:ilvl w:val="0"/>
          <w:numId w:val="5"/>
        </w:numPr>
        <w:spacing w:after="0" w:line="240" w:lineRule="auto"/>
        <w:jc w:val="both"/>
        <w:rPr>
          <w:rFonts w:ascii="Times New Roman" w:hAnsi="Times New Roman" w:cs="Times New Roman"/>
          <w:sz w:val="24"/>
          <w:szCs w:val="24"/>
        </w:rPr>
      </w:pPr>
      <w:r w:rsidRPr="009D6E66">
        <w:rPr>
          <w:rFonts w:ascii="Times New Roman" w:hAnsi="Times New Roman" w:cs="Times New Roman"/>
          <w:sz w:val="24"/>
          <w:szCs w:val="24"/>
        </w:rPr>
        <w:t>Savings-led investment, where investment adjusts according to the fixed saving propensities of households and firms</w:t>
      </w:r>
    </w:p>
    <w:p w14:paraId="42686DB1" w14:textId="08671AEC" w:rsidR="009D6E66" w:rsidRPr="009D6E66" w:rsidRDefault="009D6E66" w:rsidP="009D6E66">
      <w:pPr>
        <w:pStyle w:val="Paragraphedeliste"/>
        <w:numPr>
          <w:ilvl w:val="0"/>
          <w:numId w:val="5"/>
        </w:numPr>
        <w:spacing w:after="0" w:line="240" w:lineRule="auto"/>
        <w:jc w:val="both"/>
        <w:rPr>
          <w:rFonts w:ascii="Times New Roman" w:hAnsi="Times New Roman" w:cs="Times New Roman"/>
          <w:sz w:val="24"/>
          <w:szCs w:val="24"/>
        </w:rPr>
      </w:pPr>
      <w:r w:rsidRPr="009D6E66">
        <w:rPr>
          <w:rFonts w:ascii="Times New Roman" w:hAnsi="Times New Roman" w:cs="Times New Roman"/>
          <w:sz w:val="24"/>
          <w:szCs w:val="24"/>
        </w:rPr>
        <w:t>Semi-flexible public consumption, where education and health expenditures are fixed, while public administration expenditures vary according to changes in government revenues</w:t>
      </w:r>
    </w:p>
    <w:p w14:paraId="3B44ED4D" w14:textId="02DD0314" w:rsidR="009D6E66" w:rsidRPr="009D6E66" w:rsidRDefault="009D6E66" w:rsidP="009D6E66">
      <w:pPr>
        <w:pStyle w:val="Paragraphedeliste"/>
        <w:numPr>
          <w:ilvl w:val="0"/>
          <w:numId w:val="5"/>
        </w:numPr>
        <w:spacing w:after="0" w:line="240" w:lineRule="auto"/>
        <w:jc w:val="both"/>
        <w:rPr>
          <w:rFonts w:ascii="Times New Roman" w:hAnsi="Times New Roman" w:cs="Times New Roman"/>
          <w:sz w:val="24"/>
          <w:szCs w:val="24"/>
        </w:rPr>
      </w:pPr>
      <w:r w:rsidRPr="009D6E66">
        <w:rPr>
          <w:rFonts w:ascii="Times New Roman" w:hAnsi="Times New Roman" w:cs="Times New Roman"/>
          <w:sz w:val="24"/>
          <w:szCs w:val="24"/>
        </w:rPr>
        <w:t>Fixed foreign savings and variable exchange rate</w:t>
      </w:r>
    </w:p>
    <w:p w14:paraId="5E50802F" w14:textId="570D9124" w:rsidR="009D6E66" w:rsidRPr="009D6E66" w:rsidRDefault="009D6E66" w:rsidP="009D6E66">
      <w:pPr>
        <w:pStyle w:val="Paragraphedeliste"/>
        <w:numPr>
          <w:ilvl w:val="0"/>
          <w:numId w:val="5"/>
        </w:numPr>
        <w:spacing w:after="0" w:line="240" w:lineRule="auto"/>
        <w:jc w:val="both"/>
        <w:rPr>
          <w:rFonts w:ascii="Times New Roman" w:hAnsi="Times New Roman" w:cs="Times New Roman"/>
          <w:sz w:val="24"/>
          <w:szCs w:val="24"/>
        </w:rPr>
      </w:pPr>
      <w:r w:rsidRPr="009D6E66">
        <w:rPr>
          <w:rFonts w:ascii="Times New Roman" w:hAnsi="Times New Roman" w:cs="Times New Roman"/>
          <w:sz w:val="24"/>
          <w:szCs w:val="24"/>
        </w:rPr>
        <w:t>Producer Price Index (PPI) used as the numeraire of the model (reference price for all other price changes); the Consumer Price Index (CPI) therefore moves in relation to the PPI.</w:t>
      </w:r>
    </w:p>
    <w:p w14:paraId="3B60F82E" w14:textId="190568F7" w:rsidR="009D6E66" w:rsidRDefault="009D6E66" w:rsidP="009D6E66">
      <w:pPr>
        <w:pStyle w:val="Paragraphedeliste"/>
        <w:numPr>
          <w:ilvl w:val="0"/>
          <w:numId w:val="5"/>
        </w:numPr>
        <w:spacing w:after="0" w:line="240" w:lineRule="auto"/>
        <w:jc w:val="both"/>
        <w:rPr>
          <w:rFonts w:ascii="Times New Roman" w:hAnsi="Times New Roman" w:cs="Times New Roman"/>
          <w:sz w:val="24"/>
          <w:szCs w:val="24"/>
        </w:rPr>
      </w:pPr>
      <w:r w:rsidRPr="009D6E66">
        <w:rPr>
          <w:rFonts w:ascii="Times New Roman" w:hAnsi="Times New Roman" w:cs="Times New Roman"/>
          <w:sz w:val="24"/>
          <w:szCs w:val="24"/>
        </w:rPr>
        <w:t>Mobility of labor and land between regional and national activities; non-mobile capital, the allocation of investments of which is based on sectoral rates of return.</w:t>
      </w:r>
    </w:p>
    <w:p w14:paraId="4DD0C487" w14:textId="77777777" w:rsidR="00A932BB" w:rsidRDefault="00A932BB" w:rsidP="00A932BB">
      <w:pPr>
        <w:spacing w:after="0" w:line="240" w:lineRule="auto"/>
        <w:jc w:val="both"/>
        <w:rPr>
          <w:rFonts w:ascii="Times New Roman" w:hAnsi="Times New Roman" w:cs="Times New Roman"/>
          <w:sz w:val="24"/>
          <w:szCs w:val="24"/>
        </w:rPr>
      </w:pPr>
    </w:p>
    <w:p w14:paraId="70F277DB" w14:textId="06A72524" w:rsidR="00484BCF" w:rsidRPr="008C7821" w:rsidRDefault="00484BCF" w:rsidP="00484BCF">
      <w:pPr>
        <w:pStyle w:val="Titre3"/>
        <w:numPr>
          <w:ilvl w:val="2"/>
          <w:numId w:val="1"/>
        </w:numPr>
        <w:tabs>
          <w:tab w:val="num" w:pos="360"/>
        </w:tabs>
        <w:spacing w:line="240" w:lineRule="auto"/>
        <w:ind w:left="0" w:firstLine="0"/>
        <w:rPr>
          <w:rFonts w:ascii="Times New Roman" w:hAnsi="Times New Roman" w:cs="Times New Roman"/>
          <w:b/>
          <w:bCs/>
        </w:rPr>
      </w:pPr>
      <w:bookmarkStart w:id="20" w:name="_Toc195507395"/>
      <w:bookmarkStart w:id="21" w:name="_Toc87357300"/>
      <w:bookmarkStart w:id="22" w:name="_Toc200944554"/>
      <w:r>
        <w:rPr>
          <w:rFonts w:ascii="Times New Roman" w:hAnsi="Times New Roman" w:cs="Times New Roman"/>
          <w:b/>
          <w:bCs/>
        </w:rPr>
        <w:t xml:space="preserve">Labor market </w:t>
      </w:r>
      <w:bookmarkEnd w:id="20"/>
      <w:r w:rsidR="007D1D45">
        <w:rPr>
          <w:rFonts w:ascii="Times New Roman" w:hAnsi="Times New Roman" w:cs="Times New Roman"/>
          <w:b/>
          <w:bCs/>
        </w:rPr>
        <w:t>specifications</w:t>
      </w:r>
      <w:bookmarkEnd w:id="21"/>
      <w:bookmarkEnd w:id="22"/>
    </w:p>
    <w:p w14:paraId="40D8C8F8" w14:textId="2566B29F" w:rsidR="00484BCF" w:rsidRDefault="00484BCF" w:rsidP="00484BCF">
      <w:pPr>
        <w:spacing w:line="240" w:lineRule="auto"/>
        <w:jc w:val="both"/>
        <w:rPr>
          <w:rFonts w:ascii="Times New Roman" w:hAnsi="Times New Roman" w:cs="Times New Roman"/>
          <w:sz w:val="24"/>
          <w:szCs w:val="24"/>
        </w:rPr>
      </w:pPr>
      <w:r w:rsidRPr="008C7821">
        <w:rPr>
          <w:rFonts w:ascii="Times New Roman" w:hAnsi="Times New Roman" w:cs="Times New Roman"/>
          <w:sz w:val="24"/>
          <w:szCs w:val="24"/>
        </w:rPr>
        <w:t>To capture gender-differentiated impacts, the labor market is first disaggregated by residential area, region, gender, and education level. The latter determines the quality of employment in the labor market, with households with at most primary education being more prone to precarious employment in the informal sector. We assume perfect substitutability, meaning that firms make no distinction between male and female labor.</w:t>
      </w:r>
    </w:p>
    <w:p w14:paraId="02A73070" w14:textId="15C33544" w:rsidR="0024152B" w:rsidRDefault="0024152B" w:rsidP="00484BCF">
      <w:pPr>
        <w:spacing w:line="240" w:lineRule="auto"/>
        <w:jc w:val="both"/>
        <w:rPr>
          <w:rFonts w:ascii="Times New Roman" w:hAnsi="Times New Roman" w:cs="Times New Roman"/>
          <w:sz w:val="24"/>
          <w:szCs w:val="24"/>
        </w:rPr>
      </w:pPr>
      <w:r w:rsidRPr="0024152B">
        <w:rPr>
          <w:rFonts w:ascii="Times New Roman" w:hAnsi="Times New Roman" w:cs="Times New Roman"/>
          <w:sz w:val="24"/>
          <w:szCs w:val="24"/>
        </w:rPr>
        <w:t>The four segments of the labor market are represented in the graph below. There is imperfect competition in each submarket with the emergence of excess supply (unemployment). The relationship between wage and unemployment rates in each market is given by the wage curve . curve ”).</w:t>
      </w:r>
    </w:p>
    <w:p w14:paraId="1B29BC7B" w14:textId="32E3D6C6" w:rsidR="00BE02C6" w:rsidRDefault="00BE02C6" w:rsidP="00484BCF">
      <w:pPr>
        <w:spacing w:line="240" w:lineRule="auto"/>
        <w:jc w:val="both"/>
        <w:rPr>
          <w:rFonts w:ascii="Times New Roman" w:hAnsi="Times New Roman" w:cs="Times New Roman"/>
          <w:sz w:val="24"/>
          <w:szCs w:val="24"/>
        </w:rPr>
      </w:pPr>
      <w:r>
        <w:rPr>
          <w:rFonts w:ascii="Times New Roman" w:hAnsi="Times New Roman" w:cs="Times New Roman"/>
          <w:sz w:val="24"/>
          <w:szCs w:val="24"/>
        </w:rPr>
        <w:t>Figure</w:t>
      </w:r>
      <w:r w:rsidR="00E937BD">
        <w:rPr>
          <w:rFonts w:ascii="Times New Roman" w:hAnsi="Times New Roman" w:cs="Times New Roman"/>
          <w:sz w:val="24"/>
          <w:szCs w:val="24"/>
        </w:rPr>
        <w:t xml:space="preserve"> 4</w:t>
      </w:r>
      <w:r>
        <w:rPr>
          <w:rFonts w:ascii="Times New Roman" w:hAnsi="Times New Roman" w:cs="Times New Roman"/>
          <w:sz w:val="24"/>
          <w:szCs w:val="24"/>
        </w:rPr>
        <w:t>:</w:t>
      </w:r>
      <w:r w:rsidR="00E937BD">
        <w:rPr>
          <w:rFonts w:ascii="Times New Roman" w:hAnsi="Times New Roman" w:cs="Times New Roman"/>
          <w:sz w:val="24"/>
          <w:szCs w:val="24"/>
        </w:rPr>
        <w:t xml:space="preserve"> Structure </w:t>
      </w:r>
      <w:r w:rsidR="00E937BD" w:rsidRPr="0024152B">
        <w:rPr>
          <w:rFonts w:ascii="Times New Roman" w:hAnsi="Times New Roman" w:cs="Times New Roman"/>
          <w:sz w:val="24"/>
          <w:szCs w:val="24"/>
        </w:rPr>
        <w:t>o</w:t>
      </w:r>
      <w:r w:rsidR="00E937BD">
        <w:rPr>
          <w:rFonts w:ascii="Times New Roman" w:hAnsi="Times New Roman" w:cs="Times New Roman"/>
          <w:sz w:val="24"/>
          <w:szCs w:val="24"/>
        </w:rPr>
        <w:t xml:space="preserve">f </w:t>
      </w:r>
      <w:r w:rsidR="00E937BD" w:rsidRPr="0024152B">
        <w:rPr>
          <w:rFonts w:ascii="Times New Roman" w:hAnsi="Times New Roman" w:cs="Times New Roman"/>
          <w:sz w:val="24"/>
          <w:szCs w:val="24"/>
        </w:rPr>
        <w:t>labor</w:t>
      </w:r>
      <w:r w:rsidR="00E937BD">
        <w:rPr>
          <w:rFonts w:ascii="Times New Roman" w:hAnsi="Times New Roman" w:cs="Times New Roman"/>
          <w:sz w:val="24"/>
          <w:szCs w:val="24"/>
        </w:rPr>
        <w:t xml:space="preserve"> market specification</w:t>
      </w:r>
    </w:p>
    <w:p w14:paraId="38FD3819" w14:textId="01111E32" w:rsidR="00752406" w:rsidRDefault="00752406" w:rsidP="00752406">
      <w:pPr>
        <w:pStyle w:val="Paragraphedeliste"/>
        <w:spacing w:after="0" w:line="240" w:lineRule="auto"/>
        <w:ind w:left="0"/>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675648" behindDoc="0" locked="0" layoutInCell="1" allowOverlap="1" wp14:anchorId="685C04C4" wp14:editId="75D9250B">
                <wp:simplePos x="0" y="0"/>
                <wp:positionH relativeFrom="column">
                  <wp:posOffset>3600450</wp:posOffset>
                </wp:positionH>
                <wp:positionV relativeFrom="paragraph">
                  <wp:posOffset>-8608</wp:posOffset>
                </wp:positionV>
                <wp:extent cx="819462" cy="382270"/>
                <wp:effectExtent l="0" t="0" r="19050" b="17780"/>
                <wp:wrapNone/>
                <wp:docPr id="787782975" name="Rectangle : coins arrondi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462" cy="382270"/>
                        </a:xfrm>
                        <a:prstGeom prst="roundRect">
                          <a:avLst>
                            <a:gd name="adj" fmla="val 16667"/>
                          </a:avLst>
                        </a:prstGeom>
                        <a:solidFill>
                          <a:srgbClr val="FFFFFF"/>
                        </a:solidFill>
                        <a:ln w="9525">
                          <a:solidFill>
                            <a:srgbClr val="000000"/>
                          </a:solidFill>
                          <a:round/>
                          <a:headEnd/>
                          <a:tailEnd/>
                        </a:ln>
                      </wps:spPr>
                      <wps:txbx>
                        <w:txbxContent>
                          <w:p w14:paraId="35486B1C" w14:textId="6D9515AB" w:rsidR="006D7CA2" w:rsidRPr="00D33557" w:rsidRDefault="006D7CA2" w:rsidP="00752406">
                            <w:pPr>
                              <w:spacing w:line="240" w:lineRule="auto"/>
                              <w:jc w:val="center"/>
                              <w:rPr>
                                <w:sz w:val="16"/>
                                <w:szCs w:val="16"/>
                              </w:rPr>
                            </w:pPr>
                            <w:r>
                              <w:rPr>
                                <w:sz w:val="16"/>
                                <w:szCs w:val="16"/>
                              </w:rPr>
                              <w:t>Value Added</w:t>
                            </w:r>
                            <w:r w:rsidRPr="00D33557">
                              <w:rPr>
                                <w:sz w:val="16"/>
                                <w:szCs w:val="16"/>
                              </w:rPr>
                              <w:t xml:space="preserve"> </w:t>
                            </w:r>
                            <w:r>
                              <w:rPr>
                                <w:sz w:val="16"/>
                                <w:szCs w:val="16"/>
                              </w:rPr>
                              <w:t>FTOP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5C04C4" id="Rectangle : coins arrondis 29" o:spid="_x0000_s1026" style="position:absolute;left:0;text-align:left;margin-left:283.5pt;margin-top:-.7pt;width:64.5pt;height:30.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">
                <v:textbox>
                  <w:txbxContent>
                    <w:p w14:paraId="35486B1C" w14:textId="6D9515AB" w:rsidR="006D7CA2" w:rsidRPr="00D33557" w:rsidRDefault="006D7CA2" w:rsidP="00752406">
                      <w:pPr>
                        <w:spacing w:line="240" w:lineRule="auto"/>
                        <w:jc w:val="center"/>
                        <w:rPr>
                          <w:sz w:val="16"/>
                          <w:szCs w:val="16"/>
                        </w:rPr>
                      </w:pPr>
                      <w:r>
                        <w:rPr>
                          <w:sz w:val="16"/>
                          <w:szCs w:val="16"/>
                        </w:rPr>
                        <w:t>Value Added</w:t>
                      </w:r>
                      <w:r w:rsidRPr="00D33557">
                        <w:rPr>
                          <w:sz w:val="16"/>
                          <w:szCs w:val="16"/>
                        </w:rPr>
                        <w:t xml:space="preserve"> </w:t>
                      </w:r>
                      <w:r>
                        <w:rPr>
                          <w:sz w:val="16"/>
                          <w:szCs w:val="16"/>
                        </w:rPr>
                        <w:t>FTOP</w:t>
                      </w:r>
                    </w:p>
                  </w:txbxContent>
                </v:textbox>
              </v:roundrect>
            </w:pict>
          </mc:Fallback>
        </mc:AlternateContent>
      </w:r>
    </w:p>
    <w:p w14:paraId="655DF8B6" w14:textId="5768CCC9" w:rsidR="00752406" w:rsidRDefault="004C47D1" w:rsidP="00752406">
      <w:pPr>
        <w:spacing w:line="240" w:lineRule="auto"/>
      </w:pPr>
      <w:r>
        <w:rPr>
          <w:noProof/>
          <w:lang w:val="en-GB" w:eastAsia="en-GB"/>
        </w:rPr>
        <mc:AlternateContent>
          <mc:Choice Requires="wps">
            <w:drawing>
              <wp:anchor distT="0" distB="0" distL="114299" distR="114299" simplePos="0" relativeHeight="251692032" behindDoc="0" locked="0" layoutInCell="1" allowOverlap="1" wp14:anchorId="3B5F7927" wp14:editId="0F40D8D1">
                <wp:simplePos x="0" y="0"/>
                <wp:positionH relativeFrom="column">
                  <wp:posOffset>4031698</wp:posOffset>
                </wp:positionH>
                <wp:positionV relativeFrom="paragraph">
                  <wp:posOffset>205458</wp:posOffset>
                </wp:positionV>
                <wp:extent cx="0" cy="92710"/>
                <wp:effectExtent l="0" t="0" r="19050" b="2540"/>
                <wp:wrapNone/>
                <wp:docPr id="1312315821" name="Connecteur droit avec flèch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71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6F4E73C" id="_x0000_t32" coordsize="21600,21600" o:spt="32" o:oned="t" path="m,l21600,21600e" filled="f">
                <v:path arrowok="t" fillok="f" o:connecttype="none"/>
                <o:lock v:ext="edit" shapetype="t"/>
              </v:shapetype>
              <v:shape id="Connecteur droit avec flèche 15" o:spid="_x0000_s1026" type="#_x0000_t32" style="position:absolute;margin-left:317.45pt;margin-top:16.2pt;width:0;height:7.3pt;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"/>
            </w:pict>
          </mc:Fallback>
        </mc:AlternateContent>
      </w:r>
      <w:r w:rsidR="00752406">
        <w:t xml:space="preserve">                                                                                          </w:t>
      </w:r>
    </w:p>
    <w:p w14:paraId="611B51F4" w14:textId="6442695A" w:rsidR="00752406" w:rsidRPr="001D6149" w:rsidRDefault="00B30ACB" w:rsidP="00752406">
      <w:pPr>
        <w:spacing w:line="240" w:lineRule="auto"/>
        <w:rPr>
          <w:rFonts w:ascii="Century Gothic" w:hAnsi="Century Gothic"/>
          <w:sz w:val="12"/>
          <w:szCs w:val="12"/>
        </w:rPr>
      </w:pPr>
      <w:r>
        <w:rPr>
          <w:noProof/>
          <w:lang w:val="en-GB" w:eastAsia="en-GB"/>
        </w:rPr>
        <mc:AlternateContent>
          <mc:Choice Requires="wps">
            <w:drawing>
              <wp:anchor distT="0" distB="0" distL="114300" distR="114300" simplePos="0" relativeHeight="251677696" behindDoc="0" locked="0" layoutInCell="1" allowOverlap="1" wp14:anchorId="4CE02B92" wp14:editId="1DAD396E">
                <wp:simplePos x="0" y="0"/>
                <wp:positionH relativeFrom="column">
                  <wp:posOffset>2732821</wp:posOffset>
                </wp:positionH>
                <wp:positionV relativeFrom="paragraph">
                  <wp:posOffset>146550</wp:posOffset>
                </wp:positionV>
                <wp:extent cx="870585" cy="399737"/>
                <wp:effectExtent l="0" t="0" r="24765" b="19685"/>
                <wp:wrapNone/>
                <wp:docPr id="1293469125" name="Rectangle : coins arrondi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0585" cy="399737"/>
                        </a:xfrm>
                        <a:prstGeom prst="roundRect">
                          <a:avLst>
                            <a:gd name="adj" fmla="val 16667"/>
                          </a:avLst>
                        </a:prstGeom>
                        <a:solidFill>
                          <a:srgbClr val="FFFFFF"/>
                        </a:solidFill>
                        <a:ln w="9525">
                          <a:solidFill>
                            <a:srgbClr val="000000"/>
                          </a:solidFill>
                          <a:round/>
                          <a:headEnd/>
                          <a:tailEnd/>
                        </a:ln>
                      </wps:spPr>
                      <wps:txbx>
                        <w:txbxContent>
                          <w:p w14:paraId="11A2CD53" w14:textId="2CD40C34" w:rsidR="006D7CA2" w:rsidRDefault="006D7CA2" w:rsidP="00752406">
                            <w:pPr>
                              <w:spacing w:after="0" w:line="240" w:lineRule="auto"/>
                              <w:jc w:val="center"/>
                              <w:rPr>
                                <w:sz w:val="16"/>
                                <w:szCs w:val="16"/>
                              </w:rPr>
                            </w:pPr>
                            <w:r>
                              <w:rPr>
                                <w:sz w:val="16"/>
                                <w:szCs w:val="16"/>
                              </w:rPr>
                              <w:t>Value Added</w:t>
                            </w:r>
                          </w:p>
                          <w:p w14:paraId="2DABA266" w14:textId="137FB1F2" w:rsidR="006D7CA2" w:rsidRPr="00D33557" w:rsidRDefault="006D7CA2" w:rsidP="00752406">
                            <w:pPr>
                              <w:spacing w:after="0" w:line="240" w:lineRule="auto"/>
                              <w:jc w:val="center"/>
                              <w:rPr>
                                <w:sz w:val="16"/>
                                <w:szCs w:val="16"/>
                              </w:rPr>
                            </w:pPr>
                            <w:r>
                              <w:rPr>
                                <w:sz w:val="16"/>
                                <w:szCs w:val="16"/>
                              </w:rPr>
                              <w:t>PVA</w:t>
                            </w:r>
                            <w:r w:rsidRPr="002C2720">
                              <w:rPr>
                                <w:sz w:val="16"/>
                                <w:szCs w:val="16"/>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E02B92" id="Rectangle : coins arrondis 19" o:spid="_x0000_s1027" style="position:absolute;margin-left:215.2pt;margin-top:11.55pt;width:68.55pt;height:3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">
                <v:textbox>
                  <w:txbxContent>
                    <w:p w14:paraId="11A2CD53" w14:textId="2CD40C34" w:rsidR="006D7CA2" w:rsidRDefault="006D7CA2" w:rsidP="00752406">
                      <w:pPr>
                        <w:spacing w:after="0" w:line="240" w:lineRule="auto"/>
                        <w:jc w:val="center"/>
                        <w:rPr>
                          <w:sz w:val="16"/>
                          <w:szCs w:val="16"/>
                        </w:rPr>
                      </w:pPr>
                      <w:r>
                        <w:rPr>
                          <w:sz w:val="16"/>
                          <w:szCs w:val="16"/>
                        </w:rPr>
                        <w:t>Value Added</w:t>
                      </w:r>
                    </w:p>
                    <w:p w14:paraId="2DABA266" w14:textId="137FB1F2" w:rsidR="006D7CA2" w:rsidRPr="00D33557" w:rsidRDefault="006D7CA2" w:rsidP="00752406">
                      <w:pPr>
                        <w:spacing w:after="0" w:line="240" w:lineRule="auto"/>
                        <w:jc w:val="center"/>
                        <w:rPr>
                          <w:sz w:val="16"/>
                          <w:szCs w:val="16"/>
                        </w:rPr>
                      </w:pPr>
                      <w:r>
                        <w:rPr>
                          <w:sz w:val="16"/>
                          <w:szCs w:val="16"/>
                        </w:rPr>
                        <w:t>PVA</w:t>
                      </w:r>
                      <w:r w:rsidRPr="002C2720">
                        <w:rPr>
                          <w:sz w:val="16"/>
                          <w:szCs w:val="16"/>
                          <w:vertAlign w:val="subscript"/>
                        </w:rPr>
                        <w:t>1</w:t>
                      </w:r>
                    </w:p>
                  </w:txbxContent>
                </v:textbox>
              </v:roundrect>
            </w:pict>
          </mc:Fallback>
        </mc:AlternateContent>
      </w:r>
      <w:r>
        <w:rPr>
          <w:noProof/>
          <w:lang w:val="en-GB" w:eastAsia="en-GB"/>
        </w:rPr>
        <mc:AlternateContent>
          <mc:Choice Requires="wps">
            <w:drawing>
              <wp:anchor distT="0" distB="0" distL="114299" distR="114299" simplePos="0" relativeHeight="251687936" behindDoc="0" locked="0" layoutInCell="1" allowOverlap="1" wp14:anchorId="112E4722" wp14:editId="4D14AE7D">
                <wp:simplePos x="0" y="0"/>
                <wp:positionH relativeFrom="column">
                  <wp:posOffset>5180570</wp:posOffset>
                </wp:positionH>
                <wp:positionV relativeFrom="paragraph">
                  <wp:posOffset>52892</wp:posOffset>
                </wp:positionV>
                <wp:extent cx="0" cy="93345"/>
                <wp:effectExtent l="0" t="0" r="19050" b="1905"/>
                <wp:wrapNone/>
                <wp:docPr id="1417149397" name="Connecteur droit avec flèch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34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C886ADC" id="Connecteur droit avec flèche 17" o:spid="_x0000_s1026" type="#_x0000_t32" style="position:absolute;margin-left:407.9pt;margin-top:4.15pt;width:0;height:7.35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"/>
            </w:pict>
          </mc:Fallback>
        </mc:AlternateContent>
      </w:r>
      <w:r>
        <w:rPr>
          <w:noProof/>
          <w:lang w:val="en-GB" w:eastAsia="en-GB"/>
        </w:rPr>
        <mc:AlternateContent>
          <mc:Choice Requires="wps">
            <w:drawing>
              <wp:anchor distT="0" distB="0" distL="114300" distR="114300" simplePos="0" relativeHeight="251676672" behindDoc="0" locked="0" layoutInCell="1" allowOverlap="1" wp14:anchorId="177CAFC0" wp14:editId="25D32322">
                <wp:simplePos x="0" y="0"/>
                <wp:positionH relativeFrom="column">
                  <wp:posOffset>4842510</wp:posOffset>
                </wp:positionH>
                <wp:positionV relativeFrom="paragraph">
                  <wp:posOffset>149277</wp:posOffset>
                </wp:positionV>
                <wp:extent cx="850265" cy="554990"/>
                <wp:effectExtent l="0" t="0" r="6985" b="0"/>
                <wp:wrapNone/>
                <wp:docPr id="351291136" name="Rectangle : coins arrondi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0265" cy="554990"/>
                        </a:xfrm>
                        <a:prstGeom prst="roundRect">
                          <a:avLst>
                            <a:gd name="adj" fmla="val 16667"/>
                          </a:avLst>
                        </a:prstGeom>
                        <a:solidFill>
                          <a:srgbClr val="FFFFFF"/>
                        </a:solidFill>
                        <a:ln w="9525">
                          <a:solidFill>
                            <a:srgbClr val="000000"/>
                          </a:solidFill>
                          <a:round/>
                          <a:headEnd/>
                          <a:tailEnd/>
                        </a:ln>
                      </wps:spPr>
                      <wps:txbx>
                        <w:txbxContent>
                          <w:p w14:paraId="2C783DFB" w14:textId="4356AE93" w:rsidR="006D7CA2" w:rsidRDefault="006D7CA2" w:rsidP="00752406">
                            <w:pPr>
                              <w:spacing w:after="0" w:line="240" w:lineRule="auto"/>
                              <w:jc w:val="center"/>
                              <w:rPr>
                                <w:sz w:val="16"/>
                                <w:szCs w:val="16"/>
                              </w:rPr>
                            </w:pPr>
                            <w:r>
                              <w:rPr>
                                <w:sz w:val="16"/>
                                <w:szCs w:val="16"/>
                              </w:rPr>
                              <w:t xml:space="preserve">Intermediate consumption bien j </w:t>
                            </w:r>
                          </w:p>
                          <w:p w14:paraId="1BEE9AB5" w14:textId="36707145" w:rsidR="006D7CA2" w:rsidRPr="00D33557" w:rsidRDefault="006D7CA2" w:rsidP="00752406">
                            <w:pPr>
                              <w:spacing w:after="0" w:line="240" w:lineRule="auto"/>
                              <w:jc w:val="center"/>
                              <w:rPr>
                                <w:sz w:val="16"/>
                                <w:szCs w:val="16"/>
                              </w:rPr>
                            </w:pPr>
                            <w:r>
                              <w:rPr>
                                <w:sz w:val="16"/>
                                <w:szCs w:val="16"/>
                              </w:rPr>
                              <w:t>FQINT</w:t>
                            </w:r>
                            <w:r>
                              <w:rPr>
                                <w:sz w:val="16"/>
                                <w:szCs w:val="16"/>
                                <w:vertAlign w:val="subscript"/>
                              </w:rPr>
                              <w:t>j</w:t>
                            </w:r>
                          </w:p>
                          <w:p w14:paraId="2BB1C109" w14:textId="77777777" w:rsidR="006D7CA2" w:rsidRPr="00D33557" w:rsidRDefault="006D7CA2" w:rsidP="00752406">
                            <w:pPr>
                              <w:spacing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7CAFC0" id="Rectangle : coins arrondis 23" o:spid="_x0000_s1028" style="position:absolute;margin-left:381.3pt;margin-top:11.75pt;width:66.95pt;height:43.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">
                <v:textbox>
                  <w:txbxContent>
                    <w:p w14:paraId="2C783DFB" w14:textId="4356AE93" w:rsidR="006D7CA2" w:rsidRDefault="006D7CA2" w:rsidP="00752406">
                      <w:pPr>
                        <w:spacing w:after="0" w:line="240" w:lineRule="auto"/>
                        <w:jc w:val="center"/>
                        <w:rPr>
                          <w:sz w:val="16"/>
                          <w:szCs w:val="16"/>
                        </w:rPr>
                      </w:pPr>
                      <w:r>
                        <w:rPr>
                          <w:sz w:val="16"/>
                          <w:szCs w:val="16"/>
                        </w:rPr>
                        <w:t xml:space="preserve">Intermediate consumption bien j </w:t>
                      </w:r>
                    </w:p>
                    <w:p w14:paraId="1BEE9AB5" w14:textId="36707145" w:rsidR="006D7CA2" w:rsidRPr="00D33557" w:rsidRDefault="006D7CA2" w:rsidP="00752406">
                      <w:pPr>
                        <w:spacing w:after="0" w:line="240" w:lineRule="auto"/>
                        <w:jc w:val="center"/>
                        <w:rPr>
                          <w:sz w:val="16"/>
                          <w:szCs w:val="16"/>
                        </w:rPr>
                      </w:pPr>
                      <w:r>
                        <w:rPr>
                          <w:sz w:val="16"/>
                          <w:szCs w:val="16"/>
                        </w:rPr>
                        <w:t>FQINT</w:t>
                      </w:r>
                      <w:r>
                        <w:rPr>
                          <w:sz w:val="16"/>
                          <w:szCs w:val="16"/>
                          <w:vertAlign w:val="subscript"/>
                        </w:rPr>
                        <w:t>j</w:t>
                      </w:r>
                    </w:p>
                    <w:p w14:paraId="2BB1C109" w14:textId="77777777" w:rsidR="006D7CA2" w:rsidRPr="00D33557" w:rsidRDefault="006D7CA2" w:rsidP="00752406">
                      <w:pPr>
                        <w:spacing w:line="240" w:lineRule="auto"/>
                        <w:jc w:val="center"/>
                        <w:rPr>
                          <w:sz w:val="16"/>
                          <w:szCs w:val="16"/>
                        </w:rPr>
                      </w:pPr>
                    </w:p>
                  </w:txbxContent>
                </v:textbox>
              </v:roundrect>
            </w:pict>
          </mc:Fallback>
        </mc:AlternateContent>
      </w:r>
      <w:r>
        <w:rPr>
          <w:noProof/>
          <w:sz w:val="20"/>
          <w:szCs w:val="20"/>
          <w:lang w:val="en-GB" w:eastAsia="en-GB"/>
        </w:rPr>
        <mc:AlternateContent>
          <mc:Choice Requires="wps">
            <w:drawing>
              <wp:anchor distT="0" distB="0" distL="114300" distR="114300" simplePos="0" relativeHeight="251752448" behindDoc="0" locked="0" layoutInCell="1" allowOverlap="1" wp14:anchorId="2F9222D4" wp14:editId="755309A5">
                <wp:simplePos x="0" y="0"/>
                <wp:positionH relativeFrom="column">
                  <wp:posOffset>3212892</wp:posOffset>
                </wp:positionH>
                <wp:positionV relativeFrom="paragraph">
                  <wp:posOffset>51737</wp:posOffset>
                </wp:positionV>
                <wp:extent cx="1968500" cy="0"/>
                <wp:effectExtent l="0" t="0" r="0" b="0"/>
                <wp:wrapNone/>
                <wp:docPr id="830480148" name="Connecteur droit 34"/>
                <wp:cNvGraphicFramePr/>
                <a:graphic xmlns:a="http://schemas.openxmlformats.org/drawingml/2006/main">
                  <a:graphicData uri="http://schemas.microsoft.com/office/word/2010/wordprocessingShape">
                    <wps:wsp>
                      <wps:cNvCnPr/>
                      <wps:spPr>
                        <a:xfrm>
                          <a:off x="0" y="0"/>
                          <a:ext cx="19685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21C7562" id="Connecteur droit 34" o:spid="_x0000_s1026" style="position:absolute;z-index:251752448;visibility:visible;mso-wrap-style:square;mso-wrap-distance-left:9pt;mso-wrap-distance-top:0;mso-wrap-distance-right:9pt;mso-wrap-distance-bottom:0;mso-position-horizontal:absolute;mso-position-horizontal-relative:text;mso-position-vertical:absolute;mso-position-vertical-relative:text" from="253pt,4.05pt" to="408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" strokecolor="black [3200]" strokeweight="1pt">
                <v:stroke joinstyle="miter"/>
              </v:line>
            </w:pict>
          </mc:Fallback>
        </mc:AlternateContent>
      </w:r>
      <w:r w:rsidR="004C47D1">
        <w:rPr>
          <w:noProof/>
          <w:lang w:val="en-GB" w:eastAsia="en-GB"/>
        </w:rPr>
        <mc:AlternateContent>
          <mc:Choice Requires="wps">
            <w:drawing>
              <wp:anchor distT="0" distB="0" distL="114299" distR="114299" simplePos="0" relativeHeight="251686912" behindDoc="0" locked="0" layoutInCell="1" allowOverlap="1" wp14:anchorId="3946297E" wp14:editId="0FF8971F">
                <wp:simplePos x="0" y="0"/>
                <wp:positionH relativeFrom="column">
                  <wp:posOffset>3213194</wp:posOffset>
                </wp:positionH>
                <wp:positionV relativeFrom="paragraph">
                  <wp:posOffset>54111</wp:posOffset>
                </wp:positionV>
                <wp:extent cx="0" cy="92710"/>
                <wp:effectExtent l="0" t="0" r="19050" b="2540"/>
                <wp:wrapNone/>
                <wp:docPr id="2137957741" name="Connecteur droit avec flèch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71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11DEE45" id="Connecteur droit avec flèche 15" o:spid="_x0000_s1026" type="#_x0000_t32" style="position:absolute;margin-left:253pt;margin-top:4.25pt;width:0;height:7.3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"/>
            </w:pict>
          </mc:Fallback>
        </mc:AlternateContent>
      </w:r>
      <w:r w:rsidR="00752406">
        <w:rPr>
          <w:rFonts w:ascii="Century Gothic" w:hAnsi="Century Gothic"/>
        </w:rPr>
        <w:t xml:space="preserve">                                                               </w:t>
      </w:r>
    </w:p>
    <w:p w14:paraId="7023F6CC" w14:textId="47844A01" w:rsidR="00752406" w:rsidRDefault="00752406" w:rsidP="00752406">
      <w:pPr>
        <w:spacing w:line="240" w:lineRule="auto"/>
        <w:jc w:val="both"/>
        <w:rPr>
          <w:rFonts w:ascii="Century Gothic" w:hAnsi="Century Gothic"/>
        </w:rPr>
      </w:pPr>
    </w:p>
    <w:p w14:paraId="2EBFE54C" w14:textId="7856EC17" w:rsidR="00752406" w:rsidRPr="0077391D" w:rsidRDefault="00752406" w:rsidP="00752406">
      <w:pPr>
        <w:spacing w:line="240" w:lineRule="auto"/>
        <w:jc w:val="both"/>
        <w:rPr>
          <w:rFonts w:ascii="Century Gothic" w:hAnsi="Century Gothic"/>
          <w:sz w:val="12"/>
          <w:szCs w:val="12"/>
        </w:rPr>
      </w:pPr>
      <w:r>
        <w:rPr>
          <w:noProof/>
          <w:lang w:val="en-GB" w:eastAsia="en-GB"/>
        </w:rPr>
        <mc:AlternateContent>
          <mc:Choice Requires="wps">
            <w:drawing>
              <wp:anchor distT="0" distB="0" distL="114299" distR="114299" simplePos="0" relativeHeight="251680768" behindDoc="0" locked="0" layoutInCell="1" allowOverlap="1" wp14:anchorId="7C3D9205" wp14:editId="1A723914">
                <wp:simplePos x="0" y="0"/>
                <wp:positionH relativeFrom="column">
                  <wp:posOffset>3211830</wp:posOffset>
                </wp:positionH>
                <wp:positionV relativeFrom="paragraph">
                  <wp:posOffset>80353</wp:posOffset>
                </wp:positionV>
                <wp:extent cx="0" cy="144780"/>
                <wp:effectExtent l="0" t="0" r="19050" b="7620"/>
                <wp:wrapNone/>
                <wp:docPr id="1917885259" name="Connecteur droit avec flèch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9949C85" id="Connecteur droit avec flèche 11" o:spid="_x0000_s1026" type="#_x0000_t32" style="position:absolute;margin-left:252.9pt;margin-top:6.35pt;width:0;height:11.4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"/>
            </w:pict>
          </mc:Fallback>
        </mc:AlternateContent>
      </w:r>
      <w:r>
        <w:rPr>
          <w:rFonts w:ascii="Century Gothic" w:hAnsi="Century Gothic"/>
        </w:rPr>
        <w:t xml:space="preserve">                                                             </w:t>
      </w:r>
    </w:p>
    <w:p w14:paraId="12CC71C0" w14:textId="575487C1" w:rsidR="00752406" w:rsidRPr="000D094C" w:rsidRDefault="004C47D1" w:rsidP="00752406">
      <w:pPr>
        <w:pStyle w:val="Paragraphedeliste"/>
        <w:spacing w:line="240" w:lineRule="auto"/>
        <w:ind w:left="0"/>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682816" behindDoc="0" locked="0" layoutInCell="1" allowOverlap="1" wp14:anchorId="7B2D6E36" wp14:editId="29F8386A">
                <wp:simplePos x="0" y="0"/>
                <wp:positionH relativeFrom="column">
                  <wp:posOffset>2694940</wp:posOffset>
                </wp:positionH>
                <wp:positionV relativeFrom="paragraph">
                  <wp:posOffset>27086</wp:posOffset>
                </wp:positionV>
                <wp:extent cx="635" cy="107315"/>
                <wp:effectExtent l="0" t="0" r="18415" b="6985"/>
                <wp:wrapNone/>
                <wp:docPr id="1342247184" name="Connecteur droit avec flèch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731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594FEDB" id="Connecteur droit avec flèche 1" o:spid="_x0000_s1026" type="#_x0000_t32" style="position:absolute;margin-left:212.2pt;margin-top:2.15pt;width:.05pt;height:8.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"/>
            </w:pict>
          </mc:Fallback>
        </mc:AlternateContent>
      </w:r>
      <w:r>
        <w:rPr>
          <w:noProof/>
          <w:lang w:val="en-GB" w:eastAsia="en-GB"/>
        </w:rPr>
        <mc:AlternateContent>
          <mc:Choice Requires="wps">
            <w:drawing>
              <wp:anchor distT="0" distB="0" distL="114300" distR="114300" simplePos="0" relativeHeight="251678720" behindDoc="0" locked="0" layoutInCell="1" allowOverlap="1" wp14:anchorId="245C0ADF" wp14:editId="34446805">
                <wp:simplePos x="0" y="0"/>
                <wp:positionH relativeFrom="column">
                  <wp:posOffset>2378710</wp:posOffset>
                </wp:positionH>
                <wp:positionV relativeFrom="paragraph">
                  <wp:posOffset>156845</wp:posOffset>
                </wp:positionV>
                <wp:extent cx="822960" cy="400685"/>
                <wp:effectExtent l="0" t="0" r="0" b="0"/>
                <wp:wrapNone/>
                <wp:docPr id="1915142219" name="Rectangle : coins arrondi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400685"/>
                        </a:xfrm>
                        <a:prstGeom prst="roundRect">
                          <a:avLst>
                            <a:gd name="adj" fmla="val 16667"/>
                          </a:avLst>
                        </a:prstGeom>
                        <a:solidFill>
                          <a:srgbClr val="FFFFFF"/>
                        </a:solidFill>
                        <a:ln w="9525">
                          <a:solidFill>
                            <a:srgbClr val="000000"/>
                          </a:solidFill>
                          <a:round/>
                          <a:headEnd/>
                          <a:tailEnd/>
                        </a:ln>
                      </wps:spPr>
                      <wps:txbx>
                        <w:txbxContent>
                          <w:p w14:paraId="497251DA" w14:textId="4B2018A9" w:rsidR="006D7CA2" w:rsidRDefault="006D7CA2" w:rsidP="00752406">
                            <w:pPr>
                              <w:spacing w:after="0" w:line="240" w:lineRule="auto"/>
                              <w:jc w:val="center"/>
                              <w:rPr>
                                <w:sz w:val="16"/>
                                <w:szCs w:val="16"/>
                              </w:rPr>
                            </w:pPr>
                            <w:r>
                              <w:rPr>
                                <w:sz w:val="16"/>
                                <w:szCs w:val="16"/>
                              </w:rPr>
                              <w:t>Labour</w:t>
                            </w:r>
                          </w:p>
                          <w:p w14:paraId="41BAEFF0" w14:textId="2F6D0262" w:rsidR="006D7CA2" w:rsidRPr="00861510" w:rsidRDefault="006D7CA2" w:rsidP="00752406">
                            <w:pPr>
                              <w:spacing w:after="0" w:line="240" w:lineRule="auto"/>
                              <w:jc w:val="center"/>
                              <w:rPr>
                                <w:sz w:val="16"/>
                                <w:szCs w:val="16"/>
                                <w:vertAlign w:val="subscript"/>
                              </w:rPr>
                            </w:pPr>
                            <w:r>
                              <w:rPr>
                                <w:sz w:val="16"/>
                                <w:szCs w:val="16"/>
                              </w:rPr>
                              <w:t>FLAB</w:t>
                            </w:r>
                            <w:r w:rsidRPr="00861510">
                              <w:rPr>
                                <w:sz w:val="16"/>
                                <w:szCs w:val="16"/>
                                <w:vertAlign w:val="subscript"/>
                              </w:rPr>
                              <w:t>j,i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5C0ADF" id="Rectangle : coins arrondis 7" o:spid="_x0000_s1029" style="position:absolute;left:0;text-align:left;margin-left:187.3pt;margin-top:12.35pt;width:64.8pt;height:31.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">
                <v:textbox>
                  <w:txbxContent>
                    <w:p w14:paraId="497251DA" w14:textId="4B2018A9" w:rsidR="006D7CA2" w:rsidRDefault="006D7CA2" w:rsidP="00752406">
                      <w:pPr>
                        <w:spacing w:after="0" w:line="240" w:lineRule="auto"/>
                        <w:jc w:val="center"/>
                        <w:rPr>
                          <w:sz w:val="16"/>
                          <w:szCs w:val="16"/>
                        </w:rPr>
                      </w:pPr>
                      <w:r>
                        <w:rPr>
                          <w:sz w:val="16"/>
                          <w:szCs w:val="16"/>
                        </w:rPr>
                        <w:t>Labour</w:t>
                      </w:r>
                    </w:p>
                    <w:p w14:paraId="41BAEFF0" w14:textId="2F6D0262" w:rsidR="006D7CA2" w:rsidRPr="00861510" w:rsidRDefault="006D7CA2" w:rsidP="00752406">
                      <w:pPr>
                        <w:spacing w:after="0" w:line="240" w:lineRule="auto"/>
                        <w:jc w:val="center"/>
                        <w:rPr>
                          <w:sz w:val="16"/>
                          <w:szCs w:val="16"/>
                          <w:vertAlign w:val="subscript"/>
                        </w:rPr>
                      </w:pPr>
                      <w:r>
                        <w:rPr>
                          <w:sz w:val="16"/>
                          <w:szCs w:val="16"/>
                        </w:rPr>
                        <w:t>FLAB</w:t>
                      </w:r>
                      <w:r w:rsidRPr="00861510">
                        <w:rPr>
                          <w:sz w:val="16"/>
                          <w:szCs w:val="16"/>
                          <w:vertAlign w:val="subscript"/>
                        </w:rPr>
                        <w:t>j,i</w:t>
                      </w:r>
                    </w:p>
                  </w:txbxContent>
                </v:textbox>
              </v:roundrect>
            </w:pict>
          </mc:Fallback>
        </mc:AlternateContent>
      </w:r>
      <w:r>
        <w:rPr>
          <w:noProof/>
          <w:lang w:val="en-GB" w:eastAsia="en-GB"/>
        </w:rPr>
        <mc:AlternateContent>
          <mc:Choice Requires="wps">
            <w:drawing>
              <wp:anchor distT="0" distB="0" distL="114300" distR="114300" simplePos="0" relativeHeight="251683840" behindDoc="0" locked="0" layoutInCell="1" allowOverlap="1" wp14:anchorId="4BEB6B33" wp14:editId="24DF7B5A">
                <wp:simplePos x="0" y="0"/>
                <wp:positionH relativeFrom="column">
                  <wp:posOffset>3885065</wp:posOffset>
                </wp:positionH>
                <wp:positionV relativeFrom="paragraph">
                  <wp:posOffset>29720</wp:posOffset>
                </wp:positionV>
                <wp:extent cx="635" cy="107315"/>
                <wp:effectExtent l="0" t="0" r="18415" b="6985"/>
                <wp:wrapNone/>
                <wp:docPr id="1220122324" name="Connecteur droit avec flèch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731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7D2E1D5" id="Connecteur droit avec flèche 5" o:spid="_x0000_s1026" type="#_x0000_t32" style="position:absolute;margin-left:305.9pt;margin-top:2.35pt;width:.05pt;height:8.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"/>
            </w:pict>
          </mc:Fallback>
        </mc:AlternateContent>
      </w:r>
      <w:r>
        <w:rPr>
          <w:noProof/>
          <w:lang w:val="en-GB" w:eastAsia="en-GB"/>
        </w:rPr>
        <mc:AlternateContent>
          <mc:Choice Requires="wps">
            <w:drawing>
              <wp:anchor distT="0" distB="0" distL="114300" distR="114300" simplePos="0" relativeHeight="251679744" behindDoc="0" locked="0" layoutInCell="1" allowOverlap="1" wp14:anchorId="65C29530" wp14:editId="345E564D">
                <wp:simplePos x="0" y="0"/>
                <wp:positionH relativeFrom="column">
                  <wp:posOffset>3602917</wp:posOffset>
                </wp:positionH>
                <wp:positionV relativeFrom="paragraph">
                  <wp:posOffset>160020</wp:posOffset>
                </wp:positionV>
                <wp:extent cx="829310" cy="396240"/>
                <wp:effectExtent l="0" t="0" r="8890" b="3810"/>
                <wp:wrapNone/>
                <wp:docPr id="2119200060" name="Rectangle : coins arrondi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9310" cy="396240"/>
                        </a:xfrm>
                        <a:prstGeom prst="roundRect">
                          <a:avLst>
                            <a:gd name="adj" fmla="val 16667"/>
                          </a:avLst>
                        </a:prstGeom>
                        <a:solidFill>
                          <a:srgbClr val="FFFFFF"/>
                        </a:solidFill>
                        <a:ln w="9525">
                          <a:solidFill>
                            <a:srgbClr val="000000"/>
                          </a:solidFill>
                          <a:round/>
                          <a:headEnd/>
                          <a:tailEnd/>
                        </a:ln>
                      </wps:spPr>
                      <wps:txbx>
                        <w:txbxContent>
                          <w:p w14:paraId="10823DDE" w14:textId="57C0D63D" w:rsidR="006D7CA2" w:rsidRDefault="006D7CA2" w:rsidP="00752406">
                            <w:pPr>
                              <w:spacing w:after="0" w:line="240" w:lineRule="auto"/>
                              <w:jc w:val="center"/>
                              <w:rPr>
                                <w:sz w:val="16"/>
                                <w:szCs w:val="16"/>
                              </w:rPr>
                            </w:pPr>
                            <w:r>
                              <w:rPr>
                                <w:sz w:val="16"/>
                                <w:szCs w:val="16"/>
                              </w:rPr>
                              <w:t>Capital</w:t>
                            </w:r>
                          </w:p>
                          <w:p w14:paraId="6F8C325B" w14:textId="78769326" w:rsidR="006D7CA2" w:rsidRPr="00D33557" w:rsidRDefault="006D7CA2" w:rsidP="00752406">
                            <w:pPr>
                              <w:spacing w:after="0" w:line="240" w:lineRule="auto"/>
                              <w:jc w:val="center"/>
                              <w:rPr>
                                <w:sz w:val="16"/>
                                <w:szCs w:val="16"/>
                              </w:rPr>
                            </w:pPr>
                            <w:r>
                              <w:rPr>
                                <w:sz w:val="16"/>
                                <w:szCs w:val="16"/>
                              </w:rPr>
                              <w:t>FCAP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C29530" id="Rectangle : coins arrondis 9" o:spid="_x0000_s1030" style="position:absolute;left:0;text-align:left;margin-left:283.7pt;margin-top:12.6pt;width:65.3pt;height:3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">
                <v:textbox>
                  <w:txbxContent>
                    <w:p w14:paraId="10823DDE" w14:textId="57C0D63D" w:rsidR="006D7CA2" w:rsidRDefault="006D7CA2" w:rsidP="00752406">
                      <w:pPr>
                        <w:spacing w:after="0" w:line="240" w:lineRule="auto"/>
                        <w:jc w:val="center"/>
                        <w:rPr>
                          <w:sz w:val="16"/>
                          <w:szCs w:val="16"/>
                        </w:rPr>
                      </w:pPr>
                      <w:r>
                        <w:rPr>
                          <w:sz w:val="16"/>
                          <w:szCs w:val="16"/>
                        </w:rPr>
                        <w:t>Capital</w:t>
                      </w:r>
                    </w:p>
                    <w:p w14:paraId="6F8C325B" w14:textId="78769326" w:rsidR="006D7CA2" w:rsidRPr="00D33557" w:rsidRDefault="006D7CA2" w:rsidP="00752406">
                      <w:pPr>
                        <w:spacing w:after="0" w:line="240" w:lineRule="auto"/>
                        <w:jc w:val="center"/>
                        <w:rPr>
                          <w:sz w:val="16"/>
                          <w:szCs w:val="16"/>
                        </w:rPr>
                      </w:pPr>
                      <w:r>
                        <w:rPr>
                          <w:sz w:val="16"/>
                          <w:szCs w:val="16"/>
                        </w:rPr>
                        <w:t>FCAP</w:t>
                      </w:r>
                    </w:p>
                  </w:txbxContent>
                </v:textbox>
              </v:roundrect>
            </w:pict>
          </mc:Fallback>
        </mc:AlternateContent>
      </w:r>
      <w:r>
        <w:rPr>
          <w:noProof/>
          <w:lang w:val="en-GB" w:eastAsia="en-GB"/>
        </w:rPr>
        <mc:AlternateContent>
          <mc:Choice Requires="wps">
            <w:drawing>
              <wp:anchor distT="4294967295" distB="4294967295" distL="114300" distR="114300" simplePos="0" relativeHeight="251681792" behindDoc="0" locked="0" layoutInCell="1" allowOverlap="1" wp14:anchorId="3A30BB2B" wp14:editId="6FF1436A">
                <wp:simplePos x="0" y="0"/>
                <wp:positionH relativeFrom="column">
                  <wp:posOffset>2705267</wp:posOffset>
                </wp:positionH>
                <wp:positionV relativeFrom="paragraph">
                  <wp:posOffset>28450</wp:posOffset>
                </wp:positionV>
                <wp:extent cx="1181100" cy="0"/>
                <wp:effectExtent l="0" t="0" r="0" b="0"/>
                <wp:wrapNone/>
                <wp:docPr id="1866680664" name="Connecteur droit avec flèch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D20CB9C" id="Connecteur droit avec flèche 3" o:spid="_x0000_s1026" type="#_x0000_t32" style="position:absolute;margin-left:213pt;margin-top:2.25pt;width:93pt;height:0;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"/>
            </w:pict>
          </mc:Fallback>
        </mc:AlternateContent>
      </w:r>
      <w:r w:rsidR="00752406">
        <w:rPr>
          <w:rFonts w:ascii="Century Gothic" w:hAnsi="Century Gothic"/>
          <w:sz w:val="12"/>
          <w:szCs w:val="12"/>
        </w:rPr>
        <w:t xml:space="preserve">                                                                                                            </w:t>
      </w:r>
    </w:p>
    <w:p w14:paraId="48347DC2" w14:textId="1B67961E" w:rsidR="00752406" w:rsidRPr="00B956FB" w:rsidRDefault="00752406" w:rsidP="00752406">
      <w:pPr>
        <w:pStyle w:val="Paragraphedeliste"/>
        <w:spacing w:line="240" w:lineRule="auto"/>
        <w:ind w:left="0"/>
        <w:jc w:val="both"/>
        <w:rPr>
          <w:rFonts w:ascii="Times New Roman" w:hAnsi="Times New Roman"/>
          <w:sz w:val="12"/>
          <w:szCs w:val="12"/>
        </w:rPr>
      </w:pPr>
      <w:r>
        <w:rPr>
          <w:rFonts w:ascii="Times New Roman" w:hAnsi="Times New Roman"/>
          <w:sz w:val="24"/>
          <w:szCs w:val="24"/>
        </w:rPr>
        <w:t xml:space="preserve">                                                            </w:t>
      </w:r>
    </w:p>
    <w:p w14:paraId="7795944F" w14:textId="6F8BD1D7" w:rsidR="00752406" w:rsidRDefault="00752406" w:rsidP="00752406">
      <w:pPr>
        <w:spacing w:line="240" w:lineRule="auto"/>
        <w:rPr>
          <w:sz w:val="20"/>
          <w:szCs w:val="20"/>
        </w:rPr>
      </w:pPr>
      <w:r>
        <w:rPr>
          <w:noProof/>
          <w:lang w:val="en-GB" w:eastAsia="en-GB"/>
        </w:rPr>
        <mc:AlternateContent>
          <mc:Choice Requires="wps">
            <w:drawing>
              <wp:anchor distT="0" distB="0" distL="114299" distR="114299" simplePos="0" relativeHeight="251689984" behindDoc="0" locked="0" layoutInCell="1" allowOverlap="1" wp14:anchorId="305D1CEF" wp14:editId="2442A566">
                <wp:simplePos x="0" y="0"/>
                <wp:positionH relativeFrom="column">
                  <wp:posOffset>2729865</wp:posOffset>
                </wp:positionH>
                <wp:positionV relativeFrom="paragraph">
                  <wp:posOffset>190146</wp:posOffset>
                </wp:positionV>
                <wp:extent cx="0" cy="144780"/>
                <wp:effectExtent l="0" t="0" r="19050" b="7620"/>
                <wp:wrapNone/>
                <wp:docPr id="1840970185" name="Connecteur droit avec flèch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A96A78F" id="Connecteur droit avec flèche 21" o:spid="_x0000_s1026" type="#_x0000_t32" style="position:absolute;margin-left:214.95pt;margin-top:14.95pt;width:0;height:11.4pt;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"/>
            </w:pict>
          </mc:Fallback>
        </mc:AlternateContent>
      </w:r>
    </w:p>
    <w:p w14:paraId="621E7CB2" w14:textId="67746BE0" w:rsidR="00752406" w:rsidRDefault="00B30ACB" w:rsidP="00815542">
      <w:pPr>
        <w:tabs>
          <w:tab w:val="left" w:pos="1652"/>
        </w:tabs>
        <w:spacing w:line="240" w:lineRule="auto"/>
        <w:rPr>
          <w:sz w:val="20"/>
          <w:szCs w:val="20"/>
        </w:rPr>
      </w:pPr>
      <w:r>
        <w:rPr>
          <w:noProof/>
          <w:lang w:val="en-GB" w:eastAsia="en-GB"/>
        </w:rPr>
        <mc:AlternateContent>
          <mc:Choice Requires="wps">
            <w:drawing>
              <wp:anchor distT="0" distB="0" distL="114300" distR="114300" simplePos="0" relativeHeight="251706368" behindDoc="0" locked="0" layoutInCell="1" allowOverlap="1" wp14:anchorId="15A1786E" wp14:editId="48E289FD">
                <wp:simplePos x="0" y="0"/>
                <wp:positionH relativeFrom="column">
                  <wp:posOffset>2887460</wp:posOffset>
                </wp:positionH>
                <wp:positionV relativeFrom="paragraph">
                  <wp:posOffset>166557</wp:posOffset>
                </wp:positionV>
                <wp:extent cx="1394085" cy="399415"/>
                <wp:effectExtent l="0" t="0" r="15875" b="19685"/>
                <wp:wrapNone/>
                <wp:docPr id="1246606713" name="Rectangle : coins arrondi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4085" cy="399415"/>
                        </a:xfrm>
                        <a:prstGeom prst="roundRect">
                          <a:avLst>
                            <a:gd name="adj" fmla="val 16667"/>
                          </a:avLst>
                        </a:prstGeom>
                        <a:solidFill>
                          <a:srgbClr val="FFFFFF"/>
                        </a:solidFill>
                        <a:ln w="9525">
                          <a:solidFill>
                            <a:srgbClr val="000000"/>
                          </a:solidFill>
                          <a:round/>
                          <a:headEnd/>
                          <a:tailEnd/>
                        </a:ln>
                      </wps:spPr>
                      <wps:txbx>
                        <w:txbxContent>
                          <w:p w14:paraId="2CB4F413" w14:textId="77777777" w:rsidR="006D7CA2" w:rsidRDefault="006D7CA2" w:rsidP="00815542">
                            <w:pPr>
                              <w:spacing w:after="0" w:line="240" w:lineRule="auto"/>
                              <w:jc w:val="center"/>
                              <w:rPr>
                                <w:sz w:val="16"/>
                                <w:szCs w:val="16"/>
                              </w:rPr>
                            </w:pPr>
                            <w:r>
                              <w:rPr>
                                <w:sz w:val="16"/>
                                <w:szCs w:val="16"/>
                              </w:rPr>
                              <w:t>Production du bien 2</w:t>
                            </w:r>
                          </w:p>
                          <w:p w14:paraId="350450AC" w14:textId="7B51777E" w:rsidR="006D7CA2" w:rsidRPr="00D33557" w:rsidRDefault="006D7CA2" w:rsidP="00815542">
                            <w:pPr>
                              <w:spacing w:after="0" w:line="240" w:lineRule="auto"/>
                              <w:jc w:val="center"/>
                              <w:rPr>
                                <w:sz w:val="16"/>
                                <w:szCs w:val="16"/>
                              </w:rPr>
                            </w:pPr>
                            <w:r>
                              <w:rPr>
                                <w:sz w:val="16"/>
                                <w:szCs w:val="16"/>
                              </w:rPr>
                              <w:t>FMASC</w:t>
                            </w:r>
                            <w:r w:rsidRPr="002C2720">
                              <w:rPr>
                                <w:sz w:val="16"/>
                                <w:szCs w:val="16"/>
                                <w:vertAlign w:val="subscript"/>
                              </w:rPr>
                              <w:t>1</w:t>
                            </w:r>
                          </w:p>
                          <w:p w14:paraId="0197B32D" w14:textId="77777777" w:rsidR="006D7CA2" w:rsidRPr="00D33557" w:rsidRDefault="006D7CA2" w:rsidP="00815542">
                            <w:pPr>
                              <w:spacing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A1786E" id="Rectangle : coins arrondis 25" o:spid="_x0000_s1031" style="position:absolute;margin-left:227.35pt;margin-top:13.1pt;width:109.75pt;height:31.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">
                <v:textbox>
                  <w:txbxContent>
                    <w:p w14:paraId="2CB4F413" w14:textId="77777777" w:rsidR="006D7CA2" w:rsidRDefault="006D7CA2" w:rsidP="00815542">
                      <w:pPr>
                        <w:spacing w:after="0" w:line="240" w:lineRule="auto"/>
                        <w:jc w:val="center"/>
                        <w:rPr>
                          <w:sz w:val="16"/>
                          <w:szCs w:val="16"/>
                        </w:rPr>
                      </w:pPr>
                      <w:r>
                        <w:rPr>
                          <w:sz w:val="16"/>
                          <w:szCs w:val="16"/>
                        </w:rPr>
                        <w:t>Production du bien 2</w:t>
                      </w:r>
                    </w:p>
                    <w:p w14:paraId="350450AC" w14:textId="7B51777E" w:rsidR="006D7CA2" w:rsidRPr="00D33557" w:rsidRDefault="006D7CA2" w:rsidP="00815542">
                      <w:pPr>
                        <w:spacing w:after="0" w:line="240" w:lineRule="auto"/>
                        <w:jc w:val="center"/>
                        <w:rPr>
                          <w:sz w:val="16"/>
                          <w:szCs w:val="16"/>
                        </w:rPr>
                      </w:pPr>
                      <w:r>
                        <w:rPr>
                          <w:sz w:val="16"/>
                          <w:szCs w:val="16"/>
                        </w:rPr>
                        <w:t>FMASC</w:t>
                      </w:r>
                      <w:r w:rsidRPr="002C2720">
                        <w:rPr>
                          <w:sz w:val="16"/>
                          <w:szCs w:val="16"/>
                          <w:vertAlign w:val="subscript"/>
                        </w:rPr>
                        <w:t>1</w:t>
                      </w:r>
                    </w:p>
                    <w:p w14:paraId="0197B32D" w14:textId="77777777" w:rsidR="006D7CA2" w:rsidRPr="00D33557" w:rsidRDefault="006D7CA2" w:rsidP="00815542">
                      <w:pPr>
                        <w:spacing w:line="240" w:lineRule="auto"/>
                        <w:jc w:val="center"/>
                        <w:rPr>
                          <w:sz w:val="16"/>
                          <w:szCs w:val="16"/>
                        </w:rPr>
                      </w:pPr>
                    </w:p>
                  </w:txbxContent>
                </v:textbox>
              </v:roundrect>
            </w:pict>
          </mc:Fallback>
        </mc:AlternateContent>
      </w:r>
      <w:r>
        <w:rPr>
          <w:noProof/>
          <w:lang w:val="en-GB" w:eastAsia="en-GB"/>
        </w:rPr>
        <mc:AlternateContent>
          <mc:Choice Requires="wps">
            <w:drawing>
              <wp:anchor distT="0" distB="0" distL="114300" distR="114300" simplePos="0" relativeHeight="251688960" behindDoc="0" locked="0" layoutInCell="1" allowOverlap="1" wp14:anchorId="05FC7276" wp14:editId="014C148D">
                <wp:simplePos x="0" y="0"/>
                <wp:positionH relativeFrom="column">
                  <wp:posOffset>798830</wp:posOffset>
                </wp:positionH>
                <wp:positionV relativeFrom="paragraph">
                  <wp:posOffset>186544</wp:posOffset>
                </wp:positionV>
                <wp:extent cx="1156637" cy="399737"/>
                <wp:effectExtent l="0" t="0" r="24765" b="19685"/>
                <wp:wrapNone/>
                <wp:docPr id="676661040" name="Rectangle : coins arrondi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6637" cy="399737"/>
                        </a:xfrm>
                        <a:prstGeom prst="roundRect">
                          <a:avLst>
                            <a:gd name="adj" fmla="val 16667"/>
                          </a:avLst>
                        </a:prstGeom>
                        <a:solidFill>
                          <a:srgbClr val="FFFFFF"/>
                        </a:solidFill>
                        <a:ln w="9525">
                          <a:solidFill>
                            <a:srgbClr val="000000"/>
                          </a:solidFill>
                          <a:round/>
                          <a:headEnd/>
                          <a:tailEnd/>
                        </a:ln>
                      </wps:spPr>
                      <wps:txbx>
                        <w:txbxContent>
                          <w:p w14:paraId="18A851DC" w14:textId="11F24DB6" w:rsidR="006D7CA2" w:rsidRDefault="006D7CA2" w:rsidP="00752406">
                            <w:pPr>
                              <w:spacing w:after="0" w:line="240" w:lineRule="auto"/>
                              <w:jc w:val="center"/>
                              <w:rPr>
                                <w:sz w:val="16"/>
                                <w:szCs w:val="16"/>
                              </w:rPr>
                            </w:pPr>
                            <w:r>
                              <w:rPr>
                                <w:sz w:val="16"/>
                                <w:szCs w:val="16"/>
                              </w:rPr>
                              <w:t>Production du bien 2</w:t>
                            </w:r>
                          </w:p>
                          <w:p w14:paraId="0C593327" w14:textId="76EAF6FF" w:rsidR="006D7CA2" w:rsidRPr="00D33557" w:rsidRDefault="006D7CA2" w:rsidP="00752406">
                            <w:pPr>
                              <w:spacing w:after="0" w:line="240" w:lineRule="auto"/>
                              <w:jc w:val="center"/>
                              <w:rPr>
                                <w:sz w:val="16"/>
                                <w:szCs w:val="16"/>
                              </w:rPr>
                            </w:pPr>
                            <w:r>
                              <w:rPr>
                                <w:sz w:val="16"/>
                                <w:szCs w:val="16"/>
                              </w:rPr>
                              <w:t>FFEM</w:t>
                            </w:r>
                            <w:r w:rsidRPr="002C2720">
                              <w:rPr>
                                <w:sz w:val="16"/>
                                <w:szCs w:val="16"/>
                                <w:vertAlign w:val="subscript"/>
                              </w:rPr>
                              <w:t>1</w:t>
                            </w:r>
                          </w:p>
                          <w:p w14:paraId="550C048E" w14:textId="77777777" w:rsidR="006D7CA2" w:rsidRPr="00D33557" w:rsidRDefault="006D7CA2" w:rsidP="00752406">
                            <w:pPr>
                              <w:spacing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FC7276" id="_x0000_s1032" style="position:absolute;margin-left:62.9pt;margin-top:14.7pt;width:91.05pt;height:3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">
                <v:textbox>
                  <w:txbxContent>
                    <w:p w14:paraId="18A851DC" w14:textId="11F24DB6" w:rsidR="006D7CA2" w:rsidRDefault="006D7CA2" w:rsidP="00752406">
                      <w:pPr>
                        <w:spacing w:after="0" w:line="240" w:lineRule="auto"/>
                        <w:jc w:val="center"/>
                        <w:rPr>
                          <w:sz w:val="16"/>
                          <w:szCs w:val="16"/>
                        </w:rPr>
                      </w:pPr>
                      <w:r>
                        <w:rPr>
                          <w:sz w:val="16"/>
                          <w:szCs w:val="16"/>
                        </w:rPr>
                        <w:t>Production du bien 2</w:t>
                      </w:r>
                    </w:p>
                    <w:p w14:paraId="0C593327" w14:textId="76EAF6FF" w:rsidR="006D7CA2" w:rsidRPr="00D33557" w:rsidRDefault="006D7CA2" w:rsidP="00752406">
                      <w:pPr>
                        <w:spacing w:after="0" w:line="240" w:lineRule="auto"/>
                        <w:jc w:val="center"/>
                        <w:rPr>
                          <w:sz w:val="16"/>
                          <w:szCs w:val="16"/>
                        </w:rPr>
                      </w:pPr>
                      <w:r>
                        <w:rPr>
                          <w:sz w:val="16"/>
                          <w:szCs w:val="16"/>
                        </w:rPr>
                        <w:t>FFEM</w:t>
                      </w:r>
                      <w:r w:rsidRPr="002C2720">
                        <w:rPr>
                          <w:sz w:val="16"/>
                          <w:szCs w:val="16"/>
                          <w:vertAlign w:val="subscript"/>
                        </w:rPr>
                        <w:t>1</w:t>
                      </w:r>
                    </w:p>
                    <w:p w14:paraId="550C048E" w14:textId="77777777" w:rsidR="006D7CA2" w:rsidRPr="00D33557" w:rsidRDefault="006D7CA2" w:rsidP="00752406">
                      <w:pPr>
                        <w:spacing w:line="240" w:lineRule="auto"/>
                        <w:jc w:val="center"/>
                        <w:rPr>
                          <w:sz w:val="16"/>
                          <w:szCs w:val="16"/>
                        </w:rPr>
                      </w:pPr>
                    </w:p>
                  </w:txbxContent>
                </v:textbox>
              </v:roundrect>
            </w:pict>
          </mc:Fallback>
        </mc:AlternateContent>
      </w:r>
      <w:r>
        <w:rPr>
          <w:noProof/>
          <w:lang w:val="en-GB" w:eastAsia="en-GB"/>
        </w:rPr>
        <mc:AlternateContent>
          <mc:Choice Requires="wps">
            <w:drawing>
              <wp:anchor distT="0" distB="0" distL="114299" distR="114299" simplePos="0" relativeHeight="251696128" behindDoc="0" locked="0" layoutInCell="1" allowOverlap="1" wp14:anchorId="17C33A7D" wp14:editId="0A8ED0B7">
                <wp:simplePos x="0" y="0"/>
                <wp:positionH relativeFrom="column">
                  <wp:posOffset>1399623</wp:posOffset>
                </wp:positionH>
                <wp:positionV relativeFrom="paragraph">
                  <wp:posOffset>44263</wp:posOffset>
                </wp:positionV>
                <wp:extent cx="0" cy="144780"/>
                <wp:effectExtent l="0" t="0" r="19050" b="7620"/>
                <wp:wrapNone/>
                <wp:docPr id="29774659" name="Connecteur droit avec flèch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447EDEE" id="Connecteur droit avec flèche 21" o:spid="_x0000_s1026" type="#_x0000_t32" style="position:absolute;margin-left:110.2pt;margin-top:3.5pt;width:0;height:11.4p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"/>
            </w:pict>
          </mc:Fallback>
        </mc:AlternateContent>
      </w:r>
      <w:r>
        <w:rPr>
          <w:noProof/>
          <w:lang w:val="en-GB" w:eastAsia="en-GB"/>
        </w:rPr>
        <mc:AlternateContent>
          <mc:Choice Requires="wps">
            <w:drawing>
              <wp:anchor distT="0" distB="0" distL="114299" distR="114299" simplePos="0" relativeHeight="251694080" behindDoc="0" locked="0" layoutInCell="1" allowOverlap="1" wp14:anchorId="080A59E9" wp14:editId="68735B7F">
                <wp:simplePos x="0" y="0"/>
                <wp:positionH relativeFrom="column">
                  <wp:posOffset>3372277</wp:posOffset>
                </wp:positionH>
                <wp:positionV relativeFrom="paragraph">
                  <wp:posOffset>39818</wp:posOffset>
                </wp:positionV>
                <wp:extent cx="0" cy="144780"/>
                <wp:effectExtent l="0" t="0" r="19050" b="7620"/>
                <wp:wrapNone/>
                <wp:docPr id="959353800" name="Connecteur droit avec flèch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0A8EB4F" id="Connecteur droit avec flèche 21" o:spid="_x0000_s1026" type="#_x0000_t32" style="position:absolute;margin-left:265.55pt;margin-top:3.15pt;width:0;height:11.4pt;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"/>
            </w:pict>
          </mc:Fallback>
        </mc:AlternateContent>
      </w:r>
      <w:r>
        <w:rPr>
          <w:noProof/>
          <w:sz w:val="20"/>
          <w:szCs w:val="20"/>
          <w:lang w:val="en-GB" w:eastAsia="en-GB"/>
        </w:rPr>
        <mc:AlternateContent>
          <mc:Choice Requires="wps">
            <w:drawing>
              <wp:anchor distT="0" distB="0" distL="114300" distR="114300" simplePos="0" relativeHeight="251746304" behindDoc="0" locked="0" layoutInCell="1" allowOverlap="1" wp14:anchorId="6C062B16" wp14:editId="7651D6B7">
                <wp:simplePos x="0" y="0"/>
                <wp:positionH relativeFrom="column">
                  <wp:posOffset>1405463</wp:posOffset>
                </wp:positionH>
                <wp:positionV relativeFrom="paragraph">
                  <wp:posOffset>44429</wp:posOffset>
                </wp:positionV>
                <wp:extent cx="1968500" cy="0"/>
                <wp:effectExtent l="0" t="0" r="0" b="0"/>
                <wp:wrapNone/>
                <wp:docPr id="1189469468" name="Connecteur droit 34"/>
                <wp:cNvGraphicFramePr/>
                <a:graphic xmlns:a="http://schemas.openxmlformats.org/drawingml/2006/main">
                  <a:graphicData uri="http://schemas.microsoft.com/office/word/2010/wordprocessingShape">
                    <wps:wsp>
                      <wps:cNvCnPr/>
                      <wps:spPr>
                        <a:xfrm>
                          <a:off x="0" y="0"/>
                          <a:ext cx="19685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4CFA6DB" id="Connecteur droit 34"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110.65pt,3.5pt" to="265.6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" strokecolor="black [3200]" strokeweight="1pt">
                <v:stroke joinstyle="miter"/>
              </v:line>
            </w:pict>
          </mc:Fallback>
        </mc:AlternateContent>
      </w:r>
      <w:r w:rsidR="00815542">
        <w:rPr>
          <w:sz w:val="20"/>
          <w:szCs w:val="20"/>
        </w:rPr>
        <w:t xml:space="preserve">             </w:t>
      </w:r>
      <w:r w:rsidR="00815542">
        <w:rPr>
          <w:sz w:val="20"/>
          <w:szCs w:val="20"/>
        </w:rPr>
        <w:tab/>
      </w:r>
    </w:p>
    <w:p w14:paraId="66C9C5CD" w14:textId="1B4955FC" w:rsidR="00752406" w:rsidRDefault="00752406" w:rsidP="00752406">
      <w:pPr>
        <w:spacing w:line="240" w:lineRule="auto"/>
        <w:rPr>
          <w:sz w:val="20"/>
          <w:szCs w:val="20"/>
        </w:rPr>
      </w:pPr>
    </w:p>
    <w:p w14:paraId="17DFE0F4" w14:textId="56005E11" w:rsidR="00752406" w:rsidRDefault="002D7B86" w:rsidP="00752406">
      <w:pPr>
        <w:spacing w:line="240" w:lineRule="auto"/>
        <w:rPr>
          <w:sz w:val="20"/>
          <w:szCs w:val="20"/>
        </w:rPr>
      </w:pPr>
      <w:r>
        <w:rPr>
          <w:noProof/>
          <w:lang w:val="en-GB" w:eastAsia="en-GB"/>
        </w:rPr>
        <mc:AlternateContent>
          <mc:Choice Requires="wps">
            <w:drawing>
              <wp:anchor distT="0" distB="0" distL="114299" distR="114299" simplePos="0" relativeHeight="251739136" behindDoc="0" locked="0" layoutInCell="1" allowOverlap="1" wp14:anchorId="260F562D" wp14:editId="6C8445F5">
                <wp:simplePos x="0" y="0"/>
                <wp:positionH relativeFrom="column">
                  <wp:posOffset>4223604</wp:posOffset>
                </wp:positionH>
                <wp:positionV relativeFrom="paragraph">
                  <wp:posOffset>199734</wp:posOffset>
                </wp:positionV>
                <wp:extent cx="0" cy="144780"/>
                <wp:effectExtent l="0" t="0" r="19050" b="7620"/>
                <wp:wrapNone/>
                <wp:docPr id="501937652" name="Connecteur droit avec flèch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20D5525" id="Connecteur droit avec flèche 11" o:spid="_x0000_s1026" type="#_x0000_t32" style="position:absolute;margin-left:332.55pt;margin-top:15.75pt;width:0;height:11.4pt;z-index:251739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"/>
            </w:pict>
          </mc:Fallback>
        </mc:AlternateContent>
      </w:r>
      <w:r>
        <w:rPr>
          <w:noProof/>
          <w:lang w:val="en-GB" w:eastAsia="en-GB"/>
        </w:rPr>
        <mc:AlternateContent>
          <mc:Choice Requires="wps">
            <w:drawing>
              <wp:anchor distT="0" distB="0" distL="114299" distR="114299" simplePos="0" relativeHeight="251737088" behindDoc="0" locked="0" layoutInCell="1" allowOverlap="1" wp14:anchorId="5E377314" wp14:editId="385A4D83">
                <wp:simplePos x="0" y="0"/>
                <wp:positionH relativeFrom="column">
                  <wp:posOffset>3444365</wp:posOffset>
                </wp:positionH>
                <wp:positionV relativeFrom="paragraph">
                  <wp:posOffset>200411</wp:posOffset>
                </wp:positionV>
                <wp:extent cx="0" cy="144780"/>
                <wp:effectExtent l="0" t="0" r="19050" b="7620"/>
                <wp:wrapNone/>
                <wp:docPr id="1106802020" name="Connecteur droit avec flèch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C28BBC1" id="Connecteur droit avec flèche 11" o:spid="_x0000_s1026" type="#_x0000_t32" style="position:absolute;margin-left:271.2pt;margin-top:15.8pt;width:0;height:11.4pt;z-index:251737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"/>
            </w:pict>
          </mc:Fallback>
        </mc:AlternateContent>
      </w:r>
      <w:r>
        <w:rPr>
          <w:noProof/>
          <w:lang w:val="en-GB" w:eastAsia="en-GB"/>
        </w:rPr>
        <mc:AlternateContent>
          <mc:Choice Requires="wps">
            <w:drawing>
              <wp:anchor distT="0" distB="0" distL="114299" distR="114299" simplePos="0" relativeHeight="251741184" behindDoc="0" locked="0" layoutInCell="1" allowOverlap="1" wp14:anchorId="73EFA4B3" wp14:editId="234C6FDA">
                <wp:simplePos x="0" y="0"/>
                <wp:positionH relativeFrom="column">
                  <wp:posOffset>4772847</wp:posOffset>
                </wp:positionH>
                <wp:positionV relativeFrom="paragraph">
                  <wp:posOffset>199734</wp:posOffset>
                </wp:positionV>
                <wp:extent cx="0" cy="144780"/>
                <wp:effectExtent l="0" t="0" r="19050" b="7620"/>
                <wp:wrapNone/>
                <wp:docPr id="360453276" name="Connecteur droit avec flèch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6DED6D7" id="Connecteur droit avec flèche 11" o:spid="_x0000_s1026" type="#_x0000_t32" style="position:absolute;margin-left:375.8pt;margin-top:15.75pt;width:0;height:11.4pt;z-index:251741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"/>
            </w:pict>
          </mc:Fallback>
        </mc:AlternateContent>
      </w:r>
      <w:r>
        <w:rPr>
          <w:noProof/>
          <w:lang w:val="en-GB" w:eastAsia="en-GB"/>
        </w:rPr>
        <mc:AlternateContent>
          <mc:Choice Requires="wps">
            <w:drawing>
              <wp:anchor distT="0" distB="0" distL="114299" distR="114299" simplePos="0" relativeHeight="251735040" behindDoc="0" locked="0" layoutInCell="1" allowOverlap="1" wp14:anchorId="7ABBA8E3" wp14:editId="19F80465">
                <wp:simplePos x="0" y="0"/>
                <wp:positionH relativeFrom="column">
                  <wp:posOffset>2802671</wp:posOffset>
                </wp:positionH>
                <wp:positionV relativeFrom="paragraph">
                  <wp:posOffset>210820</wp:posOffset>
                </wp:positionV>
                <wp:extent cx="0" cy="144780"/>
                <wp:effectExtent l="0" t="0" r="19050" b="7620"/>
                <wp:wrapNone/>
                <wp:docPr id="770330773" name="Connecteur droit avec flèch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428F458" id="Connecteur droit avec flèche 11" o:spid="_x0000_s1026" type="#_x0000_t32" style="position:absolute;margin-left:220.7pt;margin-top:16.6pt;width:0;height:11.4pt;z-index:251735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"/>
            </w:pict>
          </mc:Fallback>
        </mc:AlternateContent>
      </w:r>
      <w:r>
        <w:rPr>
          <w:noProof/>
          <w:sz w:val="20"/>
          <w:szCs w:val="20"/>
          <w:lang w:val="en-GB" w:eastAsia="en-GB"/>
        </w:rPr>
        <mc:AlternateContent>
          <mc:Choice Requires="wps">
            <w:drawing>
              <wp:anchor distT="0" distB="0" distL="114300" distR="114300" simplePos="0" relativeHeight="251742208" behindDoc="0" locked="0" layoutInCell="1" allowOverlap="1" wp14:anchorId="0DF5E420" wp14:editId="2ECAE99D">
                <wp:simplePos x="0" y="0"/>
                <wp:positionH relativeFrom="column">
                  <wp:posOffset>2803556</wp:posOffset>
                </wp:positionH>
                <wp:positionV relativeFrom="paragraph">
                  <wp:posOffset>207312</wp:posOffset>
                </wp:positionV>
                <wp:extent cx="1968500" cy="0"/>
                <wp:effectExtent l="0" t="0" r="0" b="0"/>
                <wp:wrapNone/>
                <wp:docPr id="1766535000" name="Connecteur droit 34"/>
                <wp:cNvGraphicFramePr/>
                <a:graphic xmlns:a="http://schemas.openxmlformats.org/drawingml/2006/main">
                  <a:graphicData uri="http://schemas.microsoft.com/office/word/2010/wordprocessingShape">
                    <wps:wsp>
                      <wps:cNvCnPr/>
                      <wps:spPr>
                        <a:xfrm>
                          <a:off x="0" y="0"/>
                          <a:ext cx="19685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017CC67" id="Connecteur droit 34" o:spid="_x0000_s1026" style="position:absolute;z-index:251742208;visibility:visible;mso-wrap-style:square;mso-wrap-distance-left:9pt;mso-wrap-distance-top:0;mso-wrap-distance-right:9pt;mso-wrap-distance-bottom:0;mso-position-horizontal:absolute;mso-position-horizontal-relative:text;mso-position-vertical:absolute;mso-position-vertical-relative:text" from="220.75pt,16.3pt" to="375.7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" strokecolor="black [3200]" strokeweight="1pt">
                <v:stroke joinstyle="miter"/>
              </v:line>
            </w:pict>
          </mc:Fallback>
        </mc:AlternateContent>
      </w:r>
      <w:r>
        <w:rPr>
          <w:noProof/>
          <w:lang w:val="en-GB" w:eastAsia="en-GB"/>
        </w:rPr>
        <mc:AlternateContent>
          <mc:Choice Requires="wps">
            <w:drawing>
              <wp:anchor distT="0" distB="0" distL="114299" distR="114299" simplePos="0" relativeHeight="251748352" behindDoc="0" locked="0" layoutInCell="1" allowOverlap="1" wp14:anchorId="492CED5D" wp14:editId="6C2B97CB">
                <wp:simplePos x="0" y="0"/>
                <wp:positionH relativeFrom="column">
                  <wp:posOffset>3602542</wp:posOffset>
                </wp:positionH>
                <wp:positionV relativeFrom="paragraph">
                  <wp:posOffset>54006</wp:posOffset>
                </wp:positionV>
                <wp:extent cx="0" cy="144780"/>
                <wp:effectExtent l="0" t="0" r="19050" b="7620"/>
                <wp:wrapNone/>
                <wp:docPr id="726439108" name="Connecteur droit avec flèch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20B87EB" id="Connecteur droit avec flèche 21" o:spid="_x0000_s1026" type="#_x0000_t32" style="position:absolute;margin-left:283.65pt;margin-top:4.25pt;width:0;height:11.4pt;z-index:2517483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"/>
            </w:pict>
          </mc:Fallback>
        </mc:AlternateContent>
      </w:r>
      <w:r>
        <w:rPr>
          <w:noProof/>
          <w:lang w:val="en-GB" w:eastAsia="en-GB"/>
        </w:rPr>
        <mc:AlternateContent>
          <mc:Choice Requires="wps">
            <w:drawing>
              <wp:anchor distT="0" distB="0" distL="114299" distR="114299" simplePos="0" relativeHeight="251728896" behindDoc="0" locked="0" layoutInCell="1" allowOverlap="1" wp14:anchorId="63182F4A" wp14:editId="24AC150B">
                <wp:simplePos x="0" y="0"/>
                <wp:positionH relativeFrom="column">
                  <wp:posOffset>1685342</wp:posOffset>
                </wp:positionH>
                <wp:positionV relativeFrom="paragraph">
                  <wp:posOffset>209738</wp:posOffset>
                </wp:positionV>
                <wp:extent cx="0" cy="144780"/>
                <wp:effectExtent l="0" t="0" r="19050" b="7620"/>
                <wp:wrapNone/>
                <wp:docPr id="1025056563" name="Connecteur droit avec flèch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504D4F3" id="Connecteur droit avec flèche 11" o:spid="_x0000_s1026" type="#_x0000_t32" style="position:absolute;margin-left:132.7pt;margin-top:16.5pt;width:0;height:11.4pt;z-index:251728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"/>
            </w:pict>
          </mc:Fallback>
        </mc:AlternateContent>
      </w:r>
      <w:r>
        <w:rPr>
          <w:noProof/>
          <w:lang w:val="en-GB" w:eastAsia="en-GB"/>
        </w:rPr>
        <mc:AlternateContent>
          <mc:Choice Requires="wps">
            <w:drawing>
              <wp:anchor distT="0" distB="0" distL="114299" distR="114299" simplePos="0" relativeHeight="251730944" behindDoc="0" locked="0" layoutInCell="1" allowOverlap="1" wp14:anchorId="44D3C812" wp14:editId="3ECFD1EC">
                <wp:simplePos x="0" y="0"/>
                <wp:positionH relativeFrom="column">
                  <wp:posOffset>1070662</wp:posOffset>
                </wp:positionH>
                <wp:positionV relativeFrom="paragraph">
                  <wp:posOffset>214120</wp:posOffset>
                </wp:positionV>
                <wp:extent cx="0" cy="144780"/>
                <wp:effectExtent l="0" t="0" r="19050" b="7620"/>
                <wp:wrapNone/>
                <wp:docPr id="264271410" name="Connecteur droit avec flèch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4F33813" id="Connecteur droit avec flèche 11" o:spid="_x0000_s1026" type="#_x0000_t32" style="position:absolute;margin-left:84.3pt;margin-top:16.85pt;width:0;height:11.4pt;z-index:251730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"/>
            </w:pict>
          </mc:Fallback>
        </mc:AlternateContent>
      </w:r>
      <w:r w:rsidR="00B30ACB">
        <w:rPr>
          <w:noProof/>
          <w:lang w:val="en-GB" w:eastAsia="en-GB"/>
        </w:rPr>
        <mc:AlternateContent>
          <mc:Choice Requires="wps">
            <w:drawing>
              <wp:anchor distT="0" distB="0" distL="114299" distR="114299" simplePos="0" relativeHeight="251726848" behindDoc="0" locked="0" layoutInCell="1" allowOverlap="1" wp14:anchorId="0DA5EA8E" wp14:editId="5F63BCEF">
                <wp:simplePos x="0" y="0"/>
                <wp:positionH relativeFrom="column">
                  <wp:posOffset>2227247</wp:posOffset>
                </wp:positionH>
                <wp:positionV relativeFrom="paragraph">
                  <wp:posOffset>213464</wp:posOffset>
                </wp:positionV>
                <wp:extent cx="0" cy="144780"/>
                <wp:effectExtent l="0" t="0" r="19050" b="7620"/>
                <wp:wrapNone/>
                <wp:docPr id="905440865" name="Connecteur droit avec flèch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B02FE19" id="Connecteur droit avec flèche 11" o:spid="_x0000_s1026" type="#_x0000_t32" style="position:absolute;margin-left:175.35pt;margin-top:16.8pt;width:0;height:11.4pt;z-index:251726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"/>
            </w:pict>
          </mc:Fallback>
        </mc:AlternateContent>
      </w:r>
      <w:r w:rsidR="00B30ACB">
        <w:rPr>
          <w:noProof/>
          <w:lang w:val="en-GB" w:eastAsia="en-GB"/>
        </w:rPr>
        <mc:AlternateContent>
          <mc:Choice Requires="wps">
            <w:drawing>
              <wp:anchor distT="0" distB="0" distL="114299" distR="114299" simplePos="0" relativeHeight="251732992" behindDoc="0" locked="0" layoutInCell="1" allowOverlap="1" wp14:anchorId="6BF84225" wp14:editId="295C56B0">
                <wp:simplePos x="0" y="0"/>
                <wp:positionH relativeFrom="column">
                  <wp:posOffset>446489</wp:posOffset>
                </wp:positionH>
                <wp:positionV relativeFrom="paragraph">
                  <wp:posOffset>215369</wp:posOffset>
                </wp:positionV>
                <wp:extent cx="0" cy="144780"/>
                <wp:effectExtent l="0" t="0" r="19050" b="7620"/>
                <wp:wrapNone/>
                <wp:docPr id="280027168" name="Connecteur droit avec flèch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916ABA7" id="Connecteur droit avec flèche 11" o:spid="_x0000_s1026" type="#_x0000_t32" style="position:absolute;margin-left:35.15pt;margin-top:16.95pt;width:0;height:11.4pt;z-index:251732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"/>
            </w:pict>
          </mc:Fallback>
        </mc:AlternateContent>
      </w:r>
      <w:r w:rsidR="00B30ACB">
        <w:rPr>
          <w:noProof/>
          <w:sz w:val="20"/>
          <w:szCs w:val="20"/>
          <w:lang w:val="en-GB" w:eastAsia="en-GB"/>
        </w:rPr>
        <mc:AlternateContent>
          <mc:Choice Requires="wps">
            <w:drawing>
              <wp:anchor distT="0" distB="0" distL="114300" distR="114300" simplePos="0" relativeHeight="251744256" behindDoc="0" locked="0" layoutInCell="1" allowOverlap="1" wp14:anchorId="2D4DCE00" wp14:editId="6A0D0BAB">
                <wp:simplePos x="0" y="0"/>
                <wp:positionH relativeFrom="column">
                  <wp:posOffset>448945</wp:posOffset>
                </wp:positionH>
                <wp:positionV relativeFrom="paragraph">
                  <wp:posOffset>212704</wp:posOffset>
                </wp:positionV>
                <wp:extent cx="1793823" cy="0"/>
                <wp:effectExtent l="0" t="0" r="0" b="0"/>
                <wp:wrapNone/>
                <wp:docPr id="171276903" name="Connecteur droit 34"/>
                <wp:cNvGraphicFramePr/>
                <a:graphic xmlns:a="http://schemas.openxmlformats.org/drawingml/2006/main">
                  <a:graphicData uri="http://schemas.microsoft.com/office/word/2010/wordprocessingShape">
                    <wps:wsp>
                      <wps:cNvCnPr/>
                      <wps:spPr>
                        <a:xfrm>
                          <a:off x="0" y="0"/>
                          <a:ext cx="1793823"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DEB0D4E" id="Connecteur droit 34" o:spid="_x0000_s1026" style="position:absolute;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35pt,16.75pt" to="176.6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" strokecolor="black [3200]" strokeweight="1pt">
                <v:stroke joinstyle="miter"/>
              </v:line>
            </w:pict>
          </mc:Fallback>
        </mc:AlternateContent>
      </w:r>
      <w:r w:rsidR="00B30ACB">
        <w:rPr>
          <w:noProof/>
          <w:lang w:val="en-GB" w:eastAsia="en-GB"/>
        </w:rPr>
        <mc:AlternateContent>
          <mc:Choice Requires="wps">
            <w:drawing>
              <wp:anchor distT="0" distB="0" distL="114299" distR="114299" simplePos="0" relativeHeight="251750400" behindDoc="0" locked="0" layoutInCell="1" allowOverlap="1" wp14:anchorId="577CC130" wp14:editId="49F17ADA">
                <wp:simplePos x="0" y="0"/>
                <wp:positionH relativeFrom="column">
                  <wp:posOffset>1405318</wp:posOffset>
                </wp:positionH>
                <wp:positionV relativeFrom="paragraph">
                  <wp:posOffset>71037</wp:posOffset>
                </wp:positionV>
                <wp:extent cx="0" cy="144780"/>
                <wp:effectExtent l="0" t="0" r="19050" b="7620"/>
                <wp:wrapNone/>
                <wp:docPr id="314753670" name="Connecteur droit avec flèch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037056E" id="Connecteur droit avec flèche 21" o:spid="_x0000_s1026" type="#_x0000_t32" style="position:absolute;margin-left:110.65pt;margin-top:5.6pt;width:0;height:11.4pt;z-index:251750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"/>
            </w:pict>
          </mc:Fallback>
        </mc:AlternateContent>
      </w:r>
    </w:p>
    <w:p w14:paraId="0FA7B08F" w14:textId="4E26145B" w:rsidR="00815542" w:rsidRDefault="002D7B86" w:rsidP="00752406">
      <w:pPr>
        <w:spacing w:line="240" w:lineRule="auto"/>
        <w:rPr>
          <w:sz w:val="20"/>
          <w:szCs w:val="20"/>
        </w:rPr>
      </w:pPr>
      <w:r>
        <w:rPr>
          <w:noProof/>
          <w:lang w:val="en-GB" w:eastAsia="en-GB"/>
        </w:rPr>
        <mc:AlternateContent>
          <mc:Choice Requires="wps">
            <w:drawing>
              <wp:anchor distT="0" distB="0" distL="114300" distR="114300" simplePos="0" relativeHeight="251724800" behindDoc="0" locked="0" layoutInCell="1" allowOverlap="1" wp14:anchorId="7D3F352A" wp14:editId="33899163">
                <wp:simplePos x="0" y="0"/>
                <wp:positionH relativeFrom="column">
                  <wp:posOffset>4530954</wp:posOffset>
                </wp:positionH>
                <wp:positionV relativeFrom="paragraph">
                  <wp:posOffset>95812</wp:posOffset>
                </wp:positionV>
                <wp:extent cx="537043" cy="525780"/>
                <wp:effectExtent l="0" t="0" r="15875" b="26670"/>
                <wp:wrapNone/>
                <wp:docPr id="851001396" name="Rectangle : coins arrondi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043" cy="525780"/>
                        </a:xfrm>
                        <a:prstGeom prst="roundRect">
                          <a:avLst>
                            <a:gd name="adj" fmla="val 16667"/>
                          </a:avLst>
                        </a:prstGeom>
                        <a:solidFill>
                          <a:srgbClr val="FFFFFF"/>
                        </a:solidFill>
                        <a:ln w="9525">
                          <a:solidFill>
                            <a:srgbClr val="000000"/>
                          </a:solidFill>
                          <a:round/>
                          <a:headEnd/>
                          <a:tailEnd/>
                        </a:ln>
                      </wps:spPr>
                      <wps:txbx>
                        <w:txbxContent>
                          <w:p w14:paraId="3278CB72" w14:textId="3E278850" w:rsidR="006D7CA2" w:rsidRDefault="006D7CA2" w:rsidP="004C47D1">
                            <w:pPr>
                              <w:spacing w:after="0" w:line="240" w:lineRule="auto"/>
                              <w:jc w:val="center"/>
                              <w:rPr>
                                <w:sz w:val="16"/>
                                <w:szCs w:val="16"/>
                              </w:rPr>
                            </w:pPr>
                            <w:r>
                              <w:rPr>
                                <w:sz w:val="16"/>
                                <w:szCs w:val="16"/>
                              </w:rPr>
                              <w:t>bien 2</w:t>
                            </w:r>
                          </w:p>
                          <w:p w14:paraId="5F219048" w14:textId="5B2A0100" w:rsidR="006D7CA2" w:rsidRPr="00D33557" w:rsidRDefault="006D7CA2" w:rsidP="004C47D1">
                            <w:pPr>
                              <w:spacing w:after="0" w:line="240" w:lineRule="auto"/>
                              <w:jc w:val="center"/>
                              <w:rPr>
                                <w:sz w:val="16"/>
                                <w:szCs w:val="16"/>
                              </w:rPr>
                            </w:pPr>
                            <w:r>
                              <w:rPr>
                                <w:sz w:val="16"/>
                                <w:szCs w:val="16"/>
                              </w:rPr>
                              <w:t>TER</w:t>
                            </w:r>
                            <w:r w:rsidRPr="002C2720">
                              <w:rPr>
                                <w:sz w:val="16"/>
                                <w:szCs w:val="16"/>
                                <w:vertAlign w:val="subscript"/>
                              </w:rPr>
                              <w:t>1</w:t>
                            </w:r>
                          </w:p>
                          <w:p w14:paraId="25A8F904" w14:textId="77777777" w:rsidR="006D7CA2" w:rsidRPr="00D33557" w:rsidRDefault="006D7CA2" w:rsidP="004C47D1">
                            <w:pPr>
                              <w:spacing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3F352A" id="_x0000_s1033" style="position:absolute;margin-left:356.75pt;margin-top:7.55pt;width:42.3pt;height:41.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">
                <v:textbox>
                  <w:txbxContent>
                    <w:p w14:paraId="3278CB72" w14:textId="3E278850" w:rsidR="006D7CA2" w:rsidRDefault="006D7CA2" w:rsidP="004C47D1">
                      <w:pPr>
                        <w:spacing w:after="0" w:line="240" w:lineRule="auto"/>
                        <w:jc w:val="center"/>
                        <w:rPr>
                          <w:sz w:val="16"/>
                          <w:szCs w:val="16"/>
                        </w:rPr>
                      </w:pPr>
                      <w:r>
                        <w:rPr>
                          <w:sz w:val="16"/>
                          <w:szCs w:val="16"/>
                        </w:rPr>
                        <w:t>bien 2</w:t>
                      </w:r>
                    </w:p>
                    <w:p w14:paraId="5F219048" w14:textId="5B2A0100" w:rsidR="006D7CA2" w:rsidRPr="00D33557" w:rsidRDefault="006D7CA2" w:rsidP="004C47D1">
                      <w:pPr>
                        <w:spacing w:after="0" w:line="240" w:lineRule="auto"/>
                        <w:jc w:val="center"/>
                        <w:rPr>
                          <w:sz w:val="16"/>
                          <w:szCs w:val="16"/>
                        </w:rPr>
                      </w:pPr>
                      <w:r>
                        <w:rPr>
                          <w:sz w:val="16"/>
                          <w:szCs w:val="16"/>
                        </w:rPr>
                        <w:t>TER</w:t>
                      </w:r>
                      <w:r w:rsidRPr="002C2720">
                        <w:rPr>
                          <w:sz w:val="16"/>
                          <w:szCs w:val="16"/>
                          <w:vertAlign w:val="subscript"/>
                        </w:rPr>
                        <w:t>1</w:t>
                      </w:r>
                    </w:p>
                    <w:p w14:paraId="25A8F904" w14:textId="77777777" w:rsidR="006D7CA2" w:rsidRPr="00D33557" w:rsidRDefault="006D7CA2" w:rsidP="004C47D1">
                      <w:pPr>
                        <w:spacing w:line="240" w:lineRule="auto"/>
                        <w:jc w:val="center"/>
                        <w:rPr>
                          <w:sz w:val="16"/>
                          <w:szCs w:val="16"/>
                        </w:rPr>
                      </w:pPr>
                    </w:p>
                  </w:txbxContent>
                </v:textbox>
              </v:roundrect>
            </w:pict>
          </mc:Fallback>
        </mc:AlternateContent>
      </w:r>
      <w:r>
        <w:rPr>
          <w:noProof/>
          <w:lang w:val="en-GB" w:eastAsia="en-GB"/>
        </w:rPr>
        <mc:AlternateContent>
          <mc:Choice Requires="wps">
            <w:drawing>
              <wp:anchor distT="0" distB="0" distL="114300" distR="114300" simplePos="0" relativeHeight="251722752" behindDoc="0" locked="0" layoutInCell="1" allowOverlap="1" wp14:anchorId="3EF2C7C1" wp14:editId="7800715F">
                <wp:simplePos x="0" y="0"/>
                <wp:positionH relativeFrom="column">
                  <wp:posOffset>3955405</wp:posOffset>
                </wp:positionH>
                <wp:positionV relativeFrom="paragraph">
                  <wp:posOffset>101569</wp:posOffset>
                </wp:positionV>
                <wp:extent cx="527050" cy="525780"/>
                <wp:effectExtent l="0" t="0" r="25400" b="26670"/>
                <wp:wrapNone/>
                <wp:docPr id="173964746" name="Rectangle : coins arrondi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050" cy="525780"/>
                        </a:xfrm>
                        <a:prstGeom prst="roundRect">
                          <a:avLst>
                            <a:gd name="adj" fmla="val 16667"/>
                          </a:avLst>
                        </a:prstGeom>
                        <a:solidFill>
                          <a:srgbClr val="FFFFFF"/>
                        </a:solidFill>
                        <a:ln w="9525">
                          <a:solidFill>
                            <a:srgbClr val="000000"/>
                          </a:solidFill>
                          <a:round/>
                          <a:headEnd/>
                          <a:tailEnd/>
                        </a:ln>
                      </wps:spPr>
                      <wps:txbx>
                        <w:txbxContent>
                          <w:p w14:paraId="60E96FD2" w14:textId="630E7EE8" w:rsidR="006D7CA2" w:rsidRDefault="006D7CA2" w:rsidP="004C47D1">
                            <w:pPr>
                              <w:spacing w:after="0" w:line="240" w:lineRule="auto"/>
                              <w:jc w:val="center"/>
                              <w:rPr>
                                <w:sz w:val="16"/>
                                <w:szCs w:val="16"/>
                              </w:rPr>
                            </w:pPr>
                            <w:r>
                              <w:rPr>
                                <w:sz w:val="16"/>
                                <w:szCs w:val="16"/>
                              </w:rPr>
                              <w:t>bien 2</w:t>
                            </w:r>
                          </w:p>
                          <w:p w14:paraId="7673A739" w14:textId="4B98B8DE" w:rsidR="006D7CA2" w:rsidRPr="00D33557" w:rsidRDefault="006D7CA2" w:rsidP="004C47D1">
                            <w:pPr>
                              <w:spacing w:after="0" w:line="240" w:lineRule="auto"/>
                              <w:jc w:val="center"/>
                              <w:rPr>
                                <w:sz w:val="16"/>
                                <w:szCs w:val="16"/>
                              </w:rPr>
                            </w:pPr>
                            <w:r>
                              <w:rPr>
                                <w:sz w:val="16"/>
                                <w:szCs w:val="16"/>
                              </w:rPr>
                              <w:t>SEC</w:t>
                            </w:r>
                            <w:r w:rsidRPr="002C2720">
                              <w:rPr>
                                <w:sz w:val="16"/>
                                <w:szCs w:val="16"/>
                                <w:vertAlign w:val="subscript"/>
                              </w:rPr>
                              <w:t>1</w:t>
                            </w:r>
                          </w:p>
                          <w:p w14:paraId="4DE3310A" w14:textId="77777777" w:rsidR="006D7CA2" w:rsidRPr="00D33557" w:rsidRDefault="006D7CA2" w:rsidP="004C47D1">
                            <w:pPr>
                              <w:spacing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F2C7C1" id="_x0000_s1034" style="position:absolute;margin-left:311.45pt;margin-top:8pt;width:41.5pt;height:41.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">
                <v:textbox>
                  <w:txbxContent>
                    <w:p w14:paraId="60E96FD2" w14:textId="630E7EE8" w:rsidR="006D7CA2" w:rsidRDefault="006D7CA2" w:rsidP="004C47D1">
                      <w:pPr>
                        <w:spacing w:after="0" w:line="240" w:lineRule="auto"/>
                        <w:jc w:val="center"/>
                        <w:rPr>
                          <w:sz w:val="16"/>
                          <w:szCs w:val="16"/>
                        </w:rPr>
                      </w:pPr>
                      <w:r>
                        <w:rPr>
                          <w:sz w:val="16"/>
                          <w:szCs w:val="16"/>
                        </w:rPr>
                        <w:t>bien 2</w:t>
                      </w:r>
                    </w:p>
                    <w:p w14:paraId="7673A739" w14:textId="4B98B8DE" w:rsidR="006D7CA2" w:rsidRPr="00D33557" w:rsidRDefault="006D7CA2" w:rsidP="004C47D1">
                      <w:pPr>
                        <w:spacing w:after="0" w:line="240" w:lineRule="auto"/>
                        <w:jc w:val="center"/>
                        <w:rPr>
                          <w:sz w:val="16"/>
                          <w:szCs w:val="16"/>
                        </w:rPr>
                      </w:pPr>
                      <w:r>
                        <w:rPr>
                          <w:sz w:val="16"/>
                          <w:szCs w:val="16"/>
                        </w:rPr>
                        <w:t>SEC</w:t>
                      </w:r>
                      <w:r w:rsidRPr="002C2720">
                        <w:rPr>
                          <w:sz w:val="16"/>
                          <w:szCs w:val="16"/>
                          <w:vertAlign w:val="subscript"/>
                        </w:rPr>
                        <w:t>1</w:t>
                      </w:r>
                    </w:p>
                    <w:p w14:paraId="4DE3310A" w14:textId="77777777" w:rsidR="006D7CA2" w:rsidRPr="00D33557" w:rsidRDefault="006D7CA2" w:rsidP="004C47D1">
                      <w:pPr>
                        <w:spacing w:line="240" w:lineRule="auto"/>
                        <w:jc w:val="center"/>
                        <w:rPr>
                          <w:sz w:val="16"/>
                          <w:szCs w:val="16"/>
                        </w:rPr>
                      </w:pPr>
                    </w:p>
                  </w:txbxContent>
                </v:textbox>
              </v:roundrect>
            </w:pict>
          </mc:Fallback>
        </mc:AlternateContent>
      </w:r>
      <w:r>
        <w:rPr>
          <w:noProof/>
          <w:lang w:val="en-GB" w:eastAsia="en-GB"/>
        </w:rPr>
        <mc:AlternateContent>
          <mc:Choice Requires="wps">
            <w:drawing>
              <wp:anchor distT="0" distB="0" distL="114300" distR="114300" simplePos="0" relativeHeight="251720704" behindDoc="0" locked="0" layoutInCell="1" allowOverlap="1" wp14:anchorId="4ED822AF" wp14:editId="78B6DBDD">
                <wp:simplePos x="0" y="0"/>
                <wp:positionH relativeFrom="column">
                  <wp:posOffset>3251346</wp:posOffset>
                </wp:positionH>
                <wp:positionV relativeFrom="paragraph">
                  <wp:posOffset>95937</wp:posOffset>
                </wp:positionV>
                <wp:extent cx="512060" cy="525780"/>
                <wp:effectExtent l="0" t="0" r="21590" b="26670"/>
                <wp:wrapNone/>
                <wp:docPr id="1415675047" name="Rectangle : coins arrondi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060" cy="525780"/>
                        </a:xfrm>
                        <a:prstGeom prst="roundRect">
                          <a:avLst>
                            <a:gd name="adj" fmla="val 16667"/>
                          </a:avLst>
                        </a:prstGeom>
                        <a:solidFill>
                          <a:srgbClr val="FFFFFF"/>
                        </a:solidFill>
                        <a:ln w="9525">
                          <a:solidFill>
                            <a:srgbClr val="000000"/>
                          </a:solidFill>
                          <a:round/>
                          <a:headEnd/>
                          <a:tailEnd/>
                        </a:ln>
                      </wps:spPr>
                      <wps:txbx>
                        <w:txbxContent>
                          <w:p w14:paraId="7FCDED77" w14:textId="3D00CEE8" w:rsidR="006D7CA2" w:rsidRDefault="006D7CA2" w:rsidP="004C47D1">
                            <w:pPr>
                              <w:spacing w:after="0" w:line="240" w:lineRule="auto"/>
                              <w:jc w:val="center"/>
                              <w:rPr>
                                <w:sz w:val="16"/>
                                <w:szCs w:val="16"/>
                              </w:rPr>
                            </w:pPr>
                            <w:r>
                              <w:rPr>
                                <w:sz w:val="16"/>
                                <w:szCs w:val="16"/>
                              </w:rPr>
                              <w:t>bien 2</w:t>
                            </w:r>
                          </w:p>
                          <w:p w14:paraId="1A1BF4CE" w14:textId="466B8A01" w:rsidR="006D7CA2" w:rsidRPr="00D33557" w:rsidRDefault="006D7CA2" w:rsidP="004C47D1">
                            <w:pPr>
                              <w:spacing w:after="0" w:line="240" w:lineRule="auto"/>
                              <w:jc w:val="center"/>
                              <w:rPr>
                                <w:sz w:val="16"/>
                                <w:szCs w:val="16"/>
                              </w:rPr>
                            </w:pPr>
                            <w:r>
                              <w:rPr>
                                <w:sz w:val="16"/>
                                <w:szCs w:val="16"/>
                              </w:rPr>
                              <w:t>PRI</w:t>
                            </w:r>
                            <w:r w:rsidRPr="002C2720">
                              <w:rPr>
                                <w:sz w:val="16"/>
                                <w:szCs w:val="16"/>
                                <w:vertAlign w:val="subscript"/>
                              </w:rPr>
                              <w:t>1</w:t>
                            </w:r>
                          </w:p>
                          <w:p w14:paraId="3D8B3F01" w14:textId="77777777" w:rsidR="006D7CA2" w:rsidRPr="00D33557" w:rsidRDefault="006D7CA2" w:rsidP="004C47D1">
                            <w:pPr>
                              <w:spacing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D822AF" id="_x0000_s1035" style="position:absolute;margin-left:256pt;margin-top:7.55pt;width:40.3pt;height:41.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">
                <v:textbox>
                  <w:txbxContent>
                    <w:p w14:paraId="7FCDED77" w14:textId="3D00CEE8" w:rsidR="006D7CA2" w:rsidRDefault="006D7CA2" w:rsidP="004C47D1">
                      <w:pPr>
                        <w:spacing w:after="0" w:line="240" w:lineRule="auto"/>
                        <w:jc w:val="center"/>
                        <w:rPr>
                          <w:sz w:val="16"/>
                          <w:szCs w:val="16"/>
                        </w:rPr>
                      </w:pPr>
                      <w:r>
                        <w:rPr>
                          <w:sz w:val="16"/>
                          <w:szCs w:val="16"/>
                        </w:rPr>
                        <w:t>bien 2</w:t>
                      </w:r>
                    </w:p>
                    <w:p w14:paraId="1A1BF4CE" w14:textId="466B8A01" w:rsidR="006D7CA2" w:rsidRPr="00D33557" w:rsidRDefault="006D7CA2" w:rsidP="004C47D1">
                      <w:pPr>
                        <w:spacing w:after="0" w:line="240" w:lineRule="auto"/>
                        <w:jc w:val="center"/>
                        <w:rPr>
                          <w:sz w:val="16"/>
                          <w:szCs w:val="16"/>
                        </w:rPr>
                      </w:pPr>
                      <w:r>
                        <w:rPr>
                          <w:sz w:val="16"/>
                          <w:szCs w:val="16"/>
                        </w:rPr>
                        <w:t>PRI</w:t>
                      </w:r>
                      <w:r w:rsidRPr="002C2720">
                        <w:rPr>
                          <w:sz w:val="16"/>
                          <w:szCs w:val="16"/>
                          <w:vertAlign w:val="subscript"/>
                        </w:rPr>
                        <w:t>1</w:t>
                      </w:r>
                    </w:p>
                    <w:p w14:paraId="3D8B3F01" w14:textId="77777777" w:rsidR="006D7CA2" w:rsidRPr="00D33557" w:rsidRDefault="006D7CA2" w:rsidP="004C47D1">
                      <w:pPr>
                        <w:spacing w:line="240" w:lineRule="auto"/>
                        <w:jc w:val="center"/>
                        <w:rPr>
                          <w:sz w:val="16"/>
                          <w:szCs w:val="16"/>
                        </w:rPr>
                      </w:pPr>
                    </w:p>
                  </w:txbxContent>
                </v:textbox>
              </v:roundrect>
            </w:pict>
          </mc:Fallback>
        </mc:AlternateContent>
      </w:r>
      <w:r>
        <w:rPr>
          <w:noProof/>
          <w:lang w:val="en-GB" w:eastAsia="en-GB"/>
        </w:rPr>
        <mc:AlternateContent>
          <mc:Choice Requires="wps">
            <w:drawing>
              <wp:anchor distT="0" distB="0" distL="114300" distR="114300" simplePos="0" relativeHeight="251718656" behindDoc="0" locked="0" layoutInCell="1" allowOverlap="1" wp14:anchorId="395CA620" wp14:editId="2107EA75">
                <wp:simplePos x="0" y="0"/>
                <wp:positionH relativeFrom="column">
                  <wp:posOffset>2607310</wp:posOffset>
                </wp:positionH>
                <wp:positionV relativeFrom="paragraph">
                  <wp:posOffset>100934</wp:posOffset>
                </wp:positionV>
                <wp:extent cx="562027" cy="525780"/>
                <wp:effectExtent l="0" t="0" r="28575" b="26670"/>
                <wp:wrapNone/>
                <wp:docPr id="695702153" name="Rectangle : coins arrondi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027" cy="525780"/>
                        </a:xfrm>
                        <a:prstGeom prst="roundRect">
                          <a:avLst>
                            <a:gd name="adj" fmla="val 16667"/>
                          </a:avLst>
                        </a:prstGeom>
                        <a:solidFill>
                          <a:srgbClr val="FFFFFF"/>
                        </a:solidFill>
                        <a:ln w="9525">
                          <a:solidFill>
                            <a:srgbClr val="000000"/>
                          </a:solidFill>
                          <a:round/>
                          <a:headEnd/>
                          <a:tailEnd/>
                        </a:ln>
                      </wps:spPr>
                      <wps:txbx>
                        <w:txbxContent>
                          <w:p w14:paraId="34E45CFD" w14:textId="7A197094" w:rsidR="006D7CA2" w:rsidRDefault="006D7CA2" w:rsidP="004C47D1">
                            <w:pPr>
                              <w:spacing w:after="0" w:line="240" w:lineRule="auto"/>
                              <w:jc w:val="center"/>
                              <w:rPr>
                                <w:sz w:val="16"/>
                                <w:szCs w:val="16"/>
                              </w:rPr>
                            </w:pPr>
                            <w:r>
                              <w:rPr>
                                <w:sz w:val="16"/>
                                <w:szCs w:val="16"/>
                              </w:rPr>
                              <w:t>bien 2</w:t>
                            </w:r>
                          </w:p>
                          <w:p w14:paraId="469143C5" w14:textId="322B500A" w:rsidR="006D7CA2" w:rsidRPr="00D33557" w:rsidRDefault="006D7CA2" w:rsidP="004C47D1">
                            <w:pPr>
                              <w:spacing w:line="240" w:lineRule="auto"/>
                              <w:jc w:val="center"/>
                              <w:rPr>
                                <w:sz w:val="16"/>
                                <w:szCs w:val="16"/>
                              </w:rPr>
                            </w:pPr>
                            <w:r>
                              <w:rPr>
                                <w:sz w:val="16"/>
                                <w:szCs w:val="16"/>
                              </w:rPr>
                              <w:t>UN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5CA620" id="_x0000_s1036" style="position:absolute;margin-left:205.3pt;margin-top:7.95pt;width:44.25pt;height:41.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">
                <v:textbox>
                  <w:txbxContent>
                    <w:p w14:paraId="34E45CFD" w14:textId="7A197094" w:rsidR="006D7CA2" w:rsidRDefault="006D7CA2" w:rsidP="004C47D1">
                      <w:pPr>
                        <w:spacing w:after="0" w:line="240" w:lineRule="auto"/>
                        <w:jc w:val="center"/>
                        <w:rPr>
                          <w:sz w:val="16"/>
                          <w:szCs w:val="16"/>
                        </w:rPr>
                      </w:pPr>
                      <w:r>
                        <w:rPr>
                          <w:sz w:val="16"/>
                          <w:szCs w:val="16"/>
                        </w:rPr>
                        <w:t>bien 2</w:t>
                      </w:r>
                    </w:p>
                    <w:p w14:paraId="469143C5" w14:textId="322B500A" w:rsidR="006D7CA2" w:rsidRPr="00D33557" w:rsidRDefault="006D7CA2" w:rsidP="004C47D1">
                      <w:pPr>
                        <w:spacing w:line="240" w:lineRule="auto"/>
                        <w:jc w:val="center"/>
                        <w:rPr>
                          <w:sz w:val="16"/>
                          <w:szCs w:val="16"/>
                        </w:rPr>
                      </w:pPr>
                      <w:r>
                        <w:rPr>
                          <w:sz w:val="16"/>
                          <w:szCs w:val="16"/>
                        </w:rPr>
                        <w:t>UN</w:t>
                      </w:r>
                    </w:p>
                  </w:txbxContent>
                </v:textbox>
              </v:roundrect>
            </w:pict>
          </mc:Fallback>
        </mc:AlternateContent>
      </w:r>
      <w:r>
        <w:rPr>
          <w:noProof/>
          <w:lang w:val="en-GB" w:eastAsia="en-GB"/>
        </w:rPr>
        <mc:AlternateContent>
          <mc:Choice Requires="wps">
            <w:drawing>
              <wp:anchor distT="0" distB="0" distL="114300" distR="114300" simplePos="0" relativeHeight="251716608" behindDoc="0" locked="0" layoutInCell="1" allowOverlap="1" wp14:anchorId="2BFB2212" wp14:editId="32D8A5CA">
                <wp:simplePos x="0" y="0"/>
                <wp:positionH relativeFrom="column">
                  <wp:posOffset>1955165</wp:posOffset>
                </wp:positionH>
                <wp:positionV relativeFrom="paragraph">
                  <wp:posOffset>95541</wp:posOffset>
                </wp:positionV>
                <wp:extent cx="504190" cy="525780"/>
                <wp:effectExtent l="0" t="0" r="10160" b="26670"/>
                <wp:wrapNone/>
                <wp:docPr id="822977988" name="Rectangle : coins arrondi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190" cy="525780"/>
                        </a:xfrm>
                        <a:prstGeom prst="roundRect">
                          <a:avLst>
                            <a:gd name="adj" fmla="val 16667"/>
                          </a:avLst>
                        </a:prstGeom>
                        <a:solidFill>
                          <a:srgbClr val="FFFFFF"/>
                        </a:solidFill>
                        <a:ln w="9525">
                          <a:solidFill>
                            <a:srgbClr val="000000"/>
                          </a:solidFill>
                          <a:round/>
                          <a:headEnd/>
                          <a:tailEnd/>
                        </a:ln>
                      </wps:spPr>
                      <wps:txbx>
                        <w:txbxContent>
                          <w:p w14:paraId="26BD0130" w14:textId="78E21A6F" w:rsidR="006D7CA2" w:rsidRDefault="006D7CA2" w:rsidP="004C47D1">
                            <w:pPr>
                              <w:spacing w:after="0" w:line="240" w:lineRule="auto"/>
                              <w:jc w:val="center"/>
                              <w:rPr>
                                <w:sz w:val="16"/>
                                <w:szCs w:val="16"/>
                              </w:rPr>
                            </w:pPr>
                            <w:r>
                              <w:rPr>
                                <w:sz w:val="16"/>
                                <w:szCs w:val="16"/>
                              </w:rPr>
                              <w:t>bien 2</w:t>
                            </w:r>
                          </w:p>
                          <w:p w14:paraId="3BE36654" w14:textId="1EE9FE25" w:rsidR="006D7CA2" w:rsidRPr="00D33557" w:rsidRDefault="006D7CA2" w:rsidP="004C47D1">
                            <w:pPr>
                              <w:spacing w:after="0" w:line="240" w:lineRule="auto"/>
                              <w:jc w:val="center"/>
                              <w:rPr>
                                <w:sz w:val="16"/>
                                <w:szCs w:val="16"/>
                              </w:rPr>
                            </w:pPr>
                            <w:r>
                              <w:rPr>
                                <w:sz w:val="16"/>
                                <w:szCs w:val="16"/>
                              </w:rPr>
                              <w:t>TER</w:t>
                            </w:r>
                            <w:r w:rsidRPr="002C2720">
                              <w:rPr>
                                <w:sz w:val="16"/>
                                <w:szCs w:val="16"/>
                                <w:vertAlign w:val="subscript"/>
                              </w:rPr>
                              <w:t>1</w:t>
                            </w:r>
                          </w:p>
                          <w:p w14:paraId="1DD980D4" w14:textId="77777777" w:rsidR="006D7CA2" w:rsidRPr="00D33557" w:rsidRDefault="006D7CA2" w:rsidP="004C47D1">
                            <w:pPr>
                              <w:spacing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FB2212" id="_x0000_s1037" style="position:absolute;margin-left:153.95pt;margin-top:7.5pt;width:39.7pt;height:41.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">
                <v:textbox>
                  <w:txbxContent>
                    <w:p w14:paraId="26BD0130" w14:textId="78E21A6F" w:rsidR="006D7CA2" w:rsidRDefault="006D7CA2" w:rsidP="004C47D1">
                      <w:pPr>
                        <w:spacing w:after="0" w:line="240" w:lineRule="auto"/>
                        <w:jc w:val="center"/>
                        <w:rPr>
                          <w:sz w:val="16"/>
                          <w:szCs w:val="16"/>
                        </w:rPr>
                      </w:pPr>
                      <w:r>
                        <w:rPr>
                          <w:sz w:val="16"/>
                          <w:szCs w:val="16"/>
                        </w:rPr>
                        <w:t>bien 2</w:t>
                      </w:r>
                    </w:p>
                    <w:p w14:paraId="3BE36654" w14:textId="1EE9FE25" w:rsidR="006D7CA2" w:rsidRPr="00D33557" w:rsidRDefault="006D7CA2" w:rsidP="004C47D1">
                      <w:pPr>
                        <w:spacing w:after="0" w:line="240" w:lineRule="auto"/>
                        <w:jc w:val="center"/>
                        <w:rPr>
                          <w:sz w:val="16"/>
                          <w:szCs w:val="16"/>
                        </w:rPr>
                      </w:pPr>
                      <w:r>
                        <w:rPr>
                          <w:sz w:val="16"/>
                          <w:szCs w:val="16"/>
                        </w:rPr>
                        <w:t>TER</w:t>
                      </w:r>
                      <w:r w:rsidRPr="002C2720">
                        <w:rPr>
                          <w:sz w:val="16"/>
                          <w:szCs w:val="16"/>
                          <w:vertAlign w:val="subscript"/>
                        </w:rPr>
                        <w:t>1</w:t>
                      </w:r>
                    </w:p>
                    <w:p w14:paraId="1DD980D4" w14:textId="77777777" w:rsidR="006D7CA2" w:rsidRPr="00D33557" w:rsidRDefault="006D7CA2" w:rsidP="004C47D1">
                      <w:pPr>
                        <w:spacing w:line="240" w:lineRule="auto"/>
                        <w:jc w:val="center"/>
                        <w:rPr>
                          <w:sz w:val="16"/>
                          <w:szCs w:val="16"/>
                        </w:rPr>
                      </w:pPr>
                    </w:p>
                  </w:txbxContent>
                </v:textbox>
              </v:roundrect>
            </w:pict>
          </mc:Fallback>
        </mc:AlternateContent>
      </w:r>
      <w:r>
        <w:rPr>
          <w:noProof/>
          <w:lang w:val="en-GB" w:eastAsia="en-GB"/>
        </w:rPr>
        <mc:AlternateContent>
          <mc:Choice Requires="wps">
            <w:drawing>
              <wp:anchor distT="0" distB="0" distL="114300" distR="114300" simplePos="0" relativeHeight="251712512" behindDoc="0" locked="0" layoutInCell="1" allowOverlap="1" wp14:anchorId="7850105D" wp14:editId="3743B007">
                <wp:simplePos x="0" y="0"/>
                <wp:positionH relativeFrom="column">
                  <wp:posOffset>798195</wp:posOffset>
                </wp:positionH>
                <wp:positionV relativeFrom="paragraph">
                  <wp:posOffset>99060</wp:posOffset>
                </wp:positionV>
                <wp:extent cx="506730" cy="525780"/>
                <wp:effectExtent l="0" t="0" r="26670" b="26670"/>
                <wp:wrapNone/>
                <wp:docPr id="271070841" name="Rectangle : coins arrondi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 cy="525780"/>
                        </a:xfrm>
                        <a:prstGeom prst="roundRect">
                          <a:avLst>
                            <a:gd name="adj" fmla="val 16667"/>
                          </a:avLst>
                        </a:prstGeom>
                        <a:solidFill>
                          <a:srgbClr val="FFFFFF"/>
                        </a:solidFill>
                        <a:ln w="9525">
                          <a:solidFill>
                            <a:srgbClr val="000000"/>
                          </a:solidFill>
                          <a:round/>
                          <a:headEnd/>
                          <a:tailEnd/>
                        </a:ln>
                      </wps:spPr>
                      <wps:txbx>
                        <w:txbxContent>
                          <w:p w14:paraId="0AAE3BF3" w14:textId="3C0AE95A" w:rsidR="006D7CA2" w:rsidRDefault="006D7CA2" w:rsidP="004C47D1">
                            <w:pPr>
                              <w:spacing w:after="0" w:line="240" w:lineRule="auto"/>
                              <w:jc w:val="center"/>
                              <w:rPr>
                                <w:sz w:val="16"/>
                                <w:szCs w:val="16"/>
                              </w:rPr>
                            </w:pPr>
                            <w:r>
                              <w:rPr>
                                <w:sz w:val="16"/>
                                <w:szCs w:val="16"/>
                              </w:rPr>
                              <w:t>bien 2</w:t>
                            </w:r>
                          </w:p>
                          <w:p w14:paraId="593E9345" w14:textId="115C32C0" w:rsidR="006D7CA2" w:rsidRPr="00D33557" w:rsidRDefault="006D7CA2" w:rsidP="004C47D1">
                            <w:pPr>
                              <w:spacing w:after="0" w:line="240" w:lineRule="auto"/>
                              <w:jc w:val="center"/>
                              <w:rPr>
                                <w:sz w:val="16"/>
                                <w:szCs w:val="16"/>
                              </w:rPr>
                            </w:pPr>
                            <w:r>
                              <w:rPr>
                                <w:sz w:val="16"/>
                                <w:szCs w:val="16"/>
                              </w:rPr>
                              <w:t>PRI</w:t>
                            </w:r>
                            <w:r w:rsidRPr="002C2720">
                              <w:rPr>
                                <w:sz w:val="16"/>
                                <w:szCs w:val="16"/>
                                <w:vertAlign w:val="subscript"/>
                              </w:rPr>
                              <w:t>1</w:t>
                            </w:r>
                          </w:p>
                          <w:p w14:paraId="50A4AE88" w14:textId="77777777" w:rsidR="006D7CA2" w:rsidRPr="00D33557" w:rsidRDefault="006D7CA2" w:rsidP="004C47D1">
                            <w:pPr>
                              <w:spacing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50105D" id="_x0000_s1038" style="position:absolute;margin-left:62.85pt;margin-top:7.8pt;width:39.9pt;height:41.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">
                <v:textbox>
                  <w:txbxContent>
                    <w:p w14:paraId="0AAE3BF3" w14:textId="3C0AE95A" w:rsidR="006D7CA2" w:rsidRDefault="006D7CA2" w:rsidP="004C47D1">
                      <w:pPr>
                        <w:spacing w:after="0" w:line="240" w:lineRule="auto"/>
                        <w:jc w:val="center"/>
                        <w:rPr>
                          <w:sz w:val="16"/>
                          <w:szCs w:val="16"/>
                        </w:rPr>
                      </w:pPr>
                      <w:r>
                        <w:rPr>
                          <w:sz w:val="16"/>
                          <w:szCs w:val="16"/>
                        </w:rPr>
                        <w:t>bien 2</w:t>
                      </w:r>
                    </w:p>
                    <w:p w14:paraId="593E9345" w14:textId="115C32C0" w:rsidR="006D7CA2" w:rsidRPr="00D33557" w:rsidRDefault="006D7CA2" w:rsidP="004C47D1">
                      <w:pPr>
                        <w:spacing w:after="0" w:line="240" w:lineRule="auto"/>
                        <w:jc w:val="center"/>
                        <w:rPr>
                          <w:sz w:val="16"/>
                          <w:szCs w:val="16"/>
                        </w:rPr>
                      </w:pPr>
                      <w:r>
                        <w:rPr>
                          <w:sz w:val="16"/>
                          <w:szCs w:val="16"/>
                        </w:rPr>
                        <w:t>PRI</w:t>
                      </w:r>
                      <w:r w:rsidRPr="002C2720">
                        <w:rPr>
                          <w:sz w:val="16"/>
                          <w:szCs w:val="16"/>
                          <w:vertAlign w:val="subscript"/>
                        </w:rPr>
                        <w:t>1</w:t>
                      </w:r>
                    </w:p>
                    <w:p w14:paraId="50A4AE88" w14:textId="77777777" w:rsidR="006D7CA2" w:rsidRPr="00D33557" w:rsidRDefault="006D7CA2" w:rsidP="004C47D1">
                      <w:pPr>
                        <w:spacing w:line="240" w:lineRule="auto"/>
                        <w:jc w:val="center"/>
                        <w:rPr>
                          <w:sz w:val="16"/>
                          <w:szCs w:val="16"/>
                        </w:rPr>
                      </w:pPr>
                    </w:p>
                  </w:txbxContent>
                </v:textbox>
              </v:roundrect>
            </w:pict>
          </mc:Fallback>
        </mc:AlternateContent>
      </w:r>
      <w:r>
        <w:rPr>
          <w:noProof/>
          <w:lang w:val="en-GB" w:eastAsia="en-GB"/>
        </w:rPr>
        <mc:AlternateContent>
          <mc:Choice Requires="wps">
            <w:drawing>
              <wp:anchor distT="0" distB="0" distL="114300" distR="114300" simplePos="0" relativeHeight="251714560" behindDoc="0" locked="0" layoutInCell="1" allowOverlap="1" wp14:anchorId="29E8994F" wp14:editId="3942DF50">
                <wp:simplePos x="0" y="0"/>
                <wp:positionH relativeFrom="column">
                  <wp:posOffset>1373286</wp:posOffset>
                </wp:positionH>
                <wp:positionV relativeFrom="paragraph">
                  <wp:posOffset>100476</wp:posOffset>
                </wp:positionV>
                <wp:extent cx="511862" cy="525780"/>
                <wp:effectExtent l="0" t="0" r="21590" b="26670"/>
                <wp:wrapNone/>
                <wp:docPr id="1730492381" name="Rectangle : coins arrondi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862" cy="525780"/>
                        </a:xfrm>
                        <a:prstGeom prst="roundRect">
                          <a:avLst>
                            <a:gd name="adj" fmla="val 16667"/>
                          </a:avLst>
                        </a:prstGeom>
                        <a:solidFill>
                          <a:srgbClr val="FFFFFF"/>
                        </a:solidFill>
                        <a:ln w="9525">
                          <a:solidFill>
                            <a:srgbClr val="000000"/>
                          </a:solidFill>
                          <a:round/>
                          <a:headEnd/>
                          <a:tailEnd/>
                        </a:ln>
                      </wps:spPr>
                      <wps:txbx>
                        <w:txbxContent>
                          <w:p w14:paraId="0F7961A1" w14:textId="1F1AABFB" w:rsidR="006D7CA2" w:rsidRDefault="006D7CA2" w:rsidP="004C47D1">
                            <w:pPr>
                              <w:spacing w:after="0" w:line="240" w:lineRule="auto"/>
                              <w:jc w:val="center"/>
                              <w:rPr>
                                <w:sz w:val="16"/>
                                <w:szCs w:val="16"/>
                              </w:rPr>
                            </w:pPr>
                            <w:r>
                              <w:rPr>
                                <w:sz w:val="16"/>
                                <w:szCs w:val="16"/>
                              </w:rPr>
                              <w:t>bien 2</w:t>
                            </w:r>
                          </w:p>
                          <w:p w14:paraId="3EA30B45" w14:textId="25094656" w:rsidR="006D7CA2" w:rsidRPr="00D33557" w:rsidRDefault="006D7CA2" w:rsidP="004C47D1">
                            <w:pPr>
                              <w:spacing w:after="0" w:line="240" w:lineRule="auto"/>
                              <w:jc w:val="center"/>
                              <w:rPr>
                                <w:sz w:val="16"/>
                                <w:szCs w:val="16"/>
                              </w:rPr>
                            </w:pPr>
                            <w:r>
                              <w:rPr>
                                <w:sz w:val="16"/>
                                <w:szCs w:val="16"/>
                              </w:rPr>
                              <w:t>SEC</w:t>
                            </w:r>
                            <w:r w:rsidRPr="002C2720">
                              <w:rPr>
                                <w:sz w:val="16"/>
                                <w:szCs w:val="16"/>
                                <w:vertAlign w:val="subscript"/>
                              </w:rPr>
                              <w:t>1</w:t>
                            </w:r>
                          </w:p>
                          <w:p w14:paraId="0FF42F3C" w14:textId="77777777" w:rsidR="006D7CA2" w:rsidRPr="00D33557" w:rsidRDefault="006D7CA2" w:rsidP="004C47D1">
                            <w:pPr>
                              <w:spacing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E8994F" id="_x0000_s1039" style="position:absolute;margin-left:108.15pt;margin-top:7.9pt;width:40.3pt;height:41.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">
                <v:textbox>
                  <w:txbxContent>
                    <w:p w14:paraId="0F7961A1" w14:textId="1F1AABFB" w:rsidR="006D7CA2" w:rsidRDefault="006D7CA2" w:rsidP="004C47D1">
                      <w:pPr>
                        <w:spacing w:after="0" w:line="240" w:lineRule="auto"/>
                        <w:jc w:val="center"/>
                        <w:rPr>
                          <w:sz w:val="16"/>
                          <w:szCs w:val="16"/>
                        </w:rPr>
                      </w:pPr>
                      <w:r>
                        <w:rPr>
                          <w:sz w:val="16"/>
                          <w:szCs w:val="16"/>
                        </w:rPr>
                        <w:t>bien 2</w:t>
                      </w:r>
                    </w:p>
                    <w:p w14:paraId="3EA30B45" w14:textId="25094656" w:rsidR="006D7CA2" w:rsidRPr="00D33557" w:rsidRDefault="006D7CA2" w:rsidP="004C47D1">
                      <w:pPr>
                        <w:spacing w:after="0" w:line="240" w:lineRule="auto"/>
                        <w:jc w:val="center"/>
                        <w:rPr>
                          <w:sz w:val="16"/>
                          <w:szCs w:val="16"/>
                        </w:rPr>
                      </w:pPr>
                      <w:r>
                        <w:rPr>
                          <w:sz w:val="16"/>
                          <w:szCs w:val="16"/>
                        </w:rPr>
                        <w:t>SEC</w:t>
                      </w:r>
                      <w:r w:rsidRPr="002C2720">
                        <w:rPr>
                          <w:sz w:val="16"/>
                          <w:szCs w:val="16"/>
                          <w:vertAlign w:val="subscript"/>
                        </w:rPr>
                        <w:t>1</w:t>
                      </w:r>
                    </w:p>
                    <w:p w14:paraId="0FF42F3C" w14:textId="77777777" w:rsidR="006D7CA2" w:rsidRPr="00D33557" w:rsidRDefault="006D7CA2" w:rsidP="004C47D1">
                      <w:pPr>
                        <w:spacing w:line="240" w:lineRule="auto"/>
                        <w:jc w:val="center"/>
                        <w:rPr>
                          <w:sz w:val="16"/>
                          <w:szCs w:val="16"/>
                        </w:rPr>
                      </w:pPr>
                    </w:p>
                  </w:txbxContent>
                </v:textbox>
              </v:roundrect>
            </w:pict>
          </mc:Fallback>
        </mc:AlternateContent>
      </w:r>
      <w:r>
        <w:rPr>
          <w:noProof/>
          <w:lang w:val="en-GB" w:eastAsia="en-GB"/>
        </w:rPr>
        <mc:AlternateContent>
          <mc:Choice Requires="wps">
            <w:drawing>
              <wp:anchor distT="0" distB="0" distL="114300" distR="114300" simplePos="0" relativeHeight="251710464" behindDoc="0" locked="0" layoutInCell="1" allowOverlap="1" wp14:anchorId="59682859" wp14:editId="34DED4CC">
                <wp:simplePos x="0" y="0"/>
                <wp:positionH relativeFrom="column">
                  <wp:posOffset>193894</wp:posOffset>
                </wp:positionH>
                <wp:positionV relativeFrom="paragraph">
                  <wp:posOffset>95864</wp:posOffset>
                </wp:positionV>
                <wp:extent cx="536846" cy="525780"/>
                <wp:effectExtent l="0" t="0" r="15875" b="26670"/>
                <wp:wrapNone/>
                <wp:docPr id="1533918689" name="Rectangle : coins arrondi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846" cy="525780"/>
                        </a:xfrm>
                        <a:prstGeom prst="roundRect">
                          <a:avLst>
                            <a:gd name="adj" fmla="val 16667"/>
                          </a:avLst>
                        </a:prstGeom>
                        <a:solidFill>
                          <a:srgbClr val="FFFFFF"/>
                        </a:solidFill>
                        <a:ln w="9525">
                          <a:solidFill>
                            <a:srgbClr val="000000"/>
                          </a:solidFill>
                          <a:round/>
                          <a:headEnd/>
                          <a:tailEnd/>
                        </a:ln>
                      </wps:spPr>
                      <wps:txbx>
                        <w:txbxContent>
                          <w:p w14:paraId="75E4374B" w14:textId="34594F6C" w:rsidR="006D7CA2" w:rsidRDefault="006D7CA2" w:rsidP="004C47D1">
                            <w:pPr>
                              <w:spacing w:after="0" w:line="240" w:lineRule="auto"/>
                              <w:jc w:val="center"/>
                              <w:rPr>
                                <w:sz w:val="16"/>
                                <w:szCs w:val="16"/>
                              </w:rPr>
                            </w:pPr>
                            <w:r>
                              <w:rPr>
                                <w:sz w:val="16"/>
                                <w:szCs w:val="16"/>
                              </w:rPr>
                              <w:t>bien 2</w:t>
                            </w:r>
                          </w:p>
                          <w:p w14:paraId="4F2A22CB" w14:textId="3FBE8476" w:rsidR="006D7CA2" w:rsidRPr="00D33557" w:rsidRDefault="006D7CA2" w:rsidP="004C47D1">
                            <w:pPr>
                              <w:spacing w:after="0" w:line="240" w:lineRule="auto"/>
                              <w:jc w:val="center"/>
                              <w:rPr>
                                <w:sz w:val="16"/>
                                <w:szCs w:val="16"/>
                              </w:rPr>
                            </w:pPr>
                            <w:r>
                              <w:rPr>
                                <w:sz w:val="16"/>
                                <w:szCs w:val="16"/>
                              </w:rPr>
                              <w:t>UN</w:t>
                            </w:r>
                            <w:r w:rsidRPr="002C2720">
                              <w:rPr>
                                <w:sz w:val="16"/>
                                <w:szCs w:val="16"/>
                                <w:vertAlign w:val="subscript"/>
                              </w:rPr>
                              <w:t>1</w:t>
                            </w:r>
                          </w:p>
                          <w:p w14:paraId="1E85AAFA" w14:textId="77777777" w:rsidR="006D7CA2" w:rsidRPr="00D33557" w:rsidRDefault="006D7CA2" w:rsidP="004C47D1">
                            <w:pPr>
                              <w:spacing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682859" id="_x0000_s1040" style="position:absolute;margin-left:15.25pt;margin-top:7.55pt;width:42.25pt;height:41.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">
                <v:textbox>
                  <w:txbxContent>
                    <w:p w14:paraId="75E4374B" w14:textId="34594F6C" w:rsidR="006D7CA2" w:rsidRDefault="006D7CA2" w:rsidP="004C47D1">
                      <w:pPr>
                        <w:spacing w:after="0" w:line="240" w:lineRule="auto"/>
                        <w:jc w:val="center"/>
                        <w:rPr>
                          <w:sz w:val="16"/>
                          <w:szCs w:val="16"/>
                        </w:rPr>
                      </w:pPr>
                      <w:r>
                        <w:rPr>
                          <w:sz w:val="16"/>
                          <w:szCs w:val="16"/>
                        </w:rPr>
                        <w:t>bien 2</w:t>
                      </w:r>
                    </w:p>
                    <w:p w14:paraId="4F2A22CB" w14:textId="3FBE8476" w:rsidR="006D7CA2" w:rsidRPr="00D33557" w:rsidRDefault="006D7CA2" w:rsidP="004C47D1">
                      <w:pPr>
                        <w:spacing w:after="0" w:line="240" w:lineRule="auto"/>
                        <w:jc w:val="center"/>
                        <w:rPr>
                          <w:sz w:val="16"/>
                          <w:szCs w:val="16"/>
                        </w:rPr>
                      </w:pPr>
                      <w:r>
                        <w:rPr>
                          <w:sz w:val="16"/>
                          <w:szCs w:val="16"/>
                        </w:rPr>
                        <w:t>UN</w:t>
                      </w:r>
                      <w:r w:rsidRPr="002C2720">
                        <w:rPr>
                          <w:sz w:val="16"/>
                          <w:szCs w:val="16"/>
                          <w:vertAlign w:val="subscript"/>
                        </w:rPr>
                        <w:t>1</w:t>
                      </w:r>
                    </w:p>
                    <w:p w14:paraId="1E85AAFA" w14:textId="77777777" w:rsidR="006D7CA2" w:rsidRPr="00D33557" w:rsidRDefault="006D7CA2" w:rsidP="004C47D1">
                      <w:pPr>
                        <w:spacing w:line="240" w:lineRule="auto"/>
                        <w:jc w:val="center"/>
                        <w:rPr>
                          <w:sz w:val="16"/>
                          <w:szCs w:val="16"/>
                        </w:rPr>
                      </w:pPr>
                    </w:p>
                  </w:txbxContent>
                </v:textbox>
              </v:roundrect>
            </w:pict>
          </mc:Fallback>
        </mc:AlternateContent>
      </w:r>
    </w:p>
    <w:p w14:paraId="6F21F2D8" w14:textId="08C379D8" w:rsidR="00815542" w:rsidRDefault="00815542" w:rsidP="00752406">
      <w:pPr>
        <w:spacing w:line="240" w:lineRule="auto"/>
        <w:rPr>
          <w:sz w:val="20"/>
          <w:szCs w:val="20"/>
        </w:rPr>
      </w:pPr>
    </w:p>
    <w:p w14:paraId="2708C0AF" w14:textId="42113EE4" w:rsidR="004C47D1" w:rsidRDefault="004C47D1" w:rsidP="00752406">
      <w:pPr>
        <w:spacing w:line="240" w:lineRule="auto"/>
        <w:rPr>
          <w:sz w:val="20"/>
          <w:szCs w:val="20"/>
        </w:rPr>
      </w:pPr>
    </w:p>
    <w:p w14:paraId="20C95F5C" w14:textId="0749C546" w:rsidR="00752406" w:rsidRDefault="00752406" w:rsidP="00752406">
      <w:pPr>
        <w:spacing w:line="240" w:lineRule="auto"/>
        <w:rPr>
          <w:sz w:val="20"/>
          <w:szCs w:val="20"/>
        </w:rPr>
      </w:pPr>
      <w:r w:rsidRPr="00CE208D">
        <w:rPr>
          <w:sz w:val="20"/>
          <w:szCs w:val="20"/>
        </w:rPr>
        <w:t>Source: Author</w:t>
      </w:r>
    </w:p>
    <w:p w14:paraId="140F980A" w14:textId="2CA5C334" w:rsidR="00752406" w:rsidRDefault="00000000" w:rsidP="00484BCF">
      <w:pPr>
        <w:spacing w:line="24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LD</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r>
            <w:rPr>
              <w:rFonts w:ascii="Cambria Math" w:hAnsi="Cambria Math" w:cs="Times New Roman"/>
              <w:sz w:val="24"/>
              <w:szCs w:val="24"/>
            </w:rPr>
            <m:t>*</m:t>
          </m:r>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LD</m:t>
                      </m:r>
                    </m:e>
                    <m:sub>
                      <m:r>
                        <w:rPr>
                          <w:rFonts w:ascii="Cambria Math" w:hAnsi="Cambria Math" w:cs="Times New Roman"/>
                          <w:sz w:val="24"/>
                          <w:szCs w:val="24"/>
                        </w:rPr>
                        <m:t>i</m:t>
                      </m:r>
                    </m:sub>
                    <m:sup>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i</m:t>
                              </m:r>
                            </m:sub>
                          </m:sSub>
                        </m:e>
                      </m:d>
                    </m:sup>
                  </m:sSubSup>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e>
                  </m:d>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LD</m:t>
                      </m:r>
                    </m:e>
                    <m:sub>
                      <m:r>
                        <w:rPr>
                          <w:rFonts w:ascii="Cambria Math" w:hAnsi="Cambria Math" w:cs="Times New Roman"/>
                          <w:sz w:val="24"/>
                          <w:szCs w:val="24"/>
                        </w:rPr>
                        <m:t>i</m:t>
                      </m:r>
                    </m:sub>
                    <m:sup>
                      <m:r>
                        <w:rPr>
                          <w:rFonts w:ascii="Cambria Math" w:hAnsi="Cambria Math" w:cs="Times New Roman"/>
                          <w:sz w:val="24"/>
                          <w:szCs w:val="24"/>
                        </w:rPr>
                        <m:t>m</m:t>
                      </m:r>
                      <m:d>
                        <m:dPr>
                          <m:ctrlPr>
                            <w:rPr>
                              <w:rFonts w:ascii="Cambria Math" w:hAnsi="Cambria Math" w:cs="Times New Roman"/>
                              <w:i/>
                              <w:sz w:val="24"/>
                              <w:szCs w:val="24"/>
                            </w:rPr>
                          </m:ctrlPr>
                        </m:d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i</m:t>
                              </m:r>
                            </m:sub>
                          </m:sSub>
                        </m:e>
                      </m:d>
                    </m:sup>
                  </m:sSubSup>
                </m:e>
              </m:d>
            </m:e>
            <m:sup>
              <m:r>
                <w:rPr>
                  <w:rFonts w:ascii="Cambria Math" w:hAnsi="Cambria Math"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i</m:t>
                          </m:r>
                        </m:sub>
                      </m:sSub>
                    </m:den>
                  </m:f>
                </m:e>
              </m:d>
            </m:sup>
          </m:sSup>
        </m:oMath>
      </m:oMathPara>
    </w:p>
    <w:p w14:paraId="34E0F350" w14:textId="4D86A8E5" w:rsidR="00FB31CF" w:rsidRDefault="006A1000" w:rsidP="006A1000">
      <w:pPr>
        <w:spacing w:line="240" w:lineRule="auto"/>
        <w:jc w:val="both"/>
        <w:rPr>
          <w:rFonts w:ascii="Times New Roman" w:hAnsi="Times New Roman" w:cs="Times New Roman"/>
          <w:sz w:val="24"/>
          <w:szCs w:val="24"/>
        </w:rPr>
      </w:pPr>
      <w:r w:rsidRPr="006A1000">
        <w:rPr>
          <w:rFonts w:ascii="Times New Roman" w:hAnsi="Times New Roman" w:cs="Times New Roman"/>
          <w:sz w:val="24"/>
          <w:szCs w:val="24"/>
        </w:rPr>
        <w:t xml:space="preserve">Where </w:t>
      </w:r>
      <w:r w:rsidRPr="006A1000">
        <w:rPr>
          <w:rFonts w:ascii="Times New Roman" w:hAnsi="Times New Roman" w:cs="Times New Roman"/>
          <w:i/>
          <w:iCs/>
          <w:sz w:val="24"/>
          <w:szCs w:val="24"/>
        </w:rPr>
        <w:t xml:space="preserve">A </w:t>
      </w:r>
      <w:r w:rsidRPr="006A1000">
        <w:rPr>
          <w:rFonts w:ascii="Times New Roman" w:hAnsi="Times New Roman" w:cs="Times New Roman"/>
          <w:sz w:val="24"/>
          <w:szCs w:val="24"/>
        </w:rPr>
        <w:t xml:space="preserve">is the scale parameter, ρ the elasticity parameter, α the distributive share of female labor, and the subscripts </w:t>
      </w:r>
      <w:r w:rsidRPr="006A1000">
        <w:rPr>
          <w:rFonts w:ascii="Times New Roman" w:hAnsi="Times New Roman" w:cs="Times New Roman"/>
          <w:i/>
          <w:iCs/>
          <w:sz w:val="24"/>
          <w:szCs w:val="24"/>
        </w:rPr>
        <w:t xml:space="preserve">m </w:t>
      </w:r>
      <w:r w:rsidRPr="006A1000">
        <w:rPr>
          <w:rFonts w:ascii="Times New Roman" w:hAnsi="Times New Roman" w:cs="Times New Roman"/>
          <w:sz w:val="24"/>
          <w:szCs w:val="24"/>
        </w:rPr>
        <w:t xml:space="preserve">and </w:t>
      </w:r>
      <w:r w:rsidRPr="006A1000">
        <w:rPr>
          <w:rFonts w:ascii="Times New Roman" w:hAnsi="Times New Roman" w:cs="Times New Roman"/>
          <w:i/>
          <w:iCs/>
          <w:sz w:val="24"/>
          <w:szCs w:val="24"/>
        </w:rPr>
        <w:t xml:space="preserve">f </w:t>
      </w:r>
      <w:r w:rsidRPr="006A1000">
        <w:rPr>
          <w:rFonts w:ascii="Times New Roman" w:hAnsi="Times New Roman" w:cs="Times New Roman"/>
          <w:sz w:val="24"/>
          <w:szCs w:val="24"/>
        </w:rPr>
        <w:t>represent men and women respectively. From this specification, the relative demands for market labor of men and women are deduced, which depend on the distributive share of male and female labor, the relative wage rate of men and women and the elasticity of substitution between male and female labor (σ).</w:t>
      </w:r>
    </w:p>
    <w:p w14:paraId="090DBD61" w14:textId="3D9799F7" w:rsidR="007D1D45" w:rsidRDefault="00597C5D" w:rsidP="007D1D45">
      <w:pPr>
        <w:spacing w:line="240" w:lineRule="auto"/>
        <w:jc w:val="both"/>
        <w:rPr>
          <w:rFonts w:ascii="Times New Roman" w:hAnsi="Times New Roman" w:cs="Times New Roman"/>
          <w:sz w:val="24"/>
          <w:szCs w:val="24"/>
        </w:rPr>
      </w:pPr>
      <w:r w:rsidRPr="00597C5D">
        <w:rPr>
          <w:rFonts w:ascii="Times New Roman" w:hAnsi="Times New Roman" w:cs="Times New Roman"/>
          <w:sz w:val="24"/>
          <w:szCs w:val="24"/>
        </w:rPr>
        <w:t>Women receive only 32% of wages paid by the sectors (40% and 26% respectively in urban and rural areas). Unskilled women (with at most a primary level of education) capture nearly 60% of total income, compared to 82% for men. In terms of skilled work, their representation is lower but higher than that of men.</w:t>
      </w:r>
    </w:p>
    <w:p w14:paraId="122F0B6B" w14:textId="57BCA18E" w:rsidR="00A0397F" w:rsidRDefault="00A0397F" w:rsidP="00A0397F">
      <w:pPr>
        <w:pStyle w:val="Titre1"/>
        <w:numPr>
          <w:ilvl w:val="0"/>
          <w:numId w:val="1"/>
        </w:numPr>
        <w:tabs>
          <w:tab w:val="num" w:pos="360"/>
        </w:tabs>
        <w:spacing w:line="240" w:lineRule="auto"/>
        <w:ind w:left="0" w:firstLine="0"/>
        <w:rPr>
          <w:b/>
          <w:bCs/>
        </w:rPr>
      </w:pPr>
      <w:bookmarkStart w:id="23" w:name="_Toc195507396"/>
      <w:bookmarkStart w:id="24" w:name="_Toc200944555"/>
      <w:r>
        <w:rPr>
          <w:b/>
          <w:bCs/>
        </w:rPr>
        <w:t>Scenarios</w:t>
      </w:r>
      <w:bookmarkEnd w:id="23"/>
      <w:bookmarkEnd w:id="24"/>
      <w:r w:rsidRPr="00996D8A">
        <w:rPr>
          <w:b/>
          <w:bCs/>
        </w:rPr>
        <w:t xml:space="preserve"> </w:t>
      </w:r>
    </w:p>
    <w:p w14:paraId="04003556" w14:textId="28A609C6" w:rsidR="008E1980" w:rsidRPr="008E1980" w:rsidRDefault="008E1980" w:rsidP="00187EAA">
      <w:pPr>
        <w:jc w:val="both"/>
        <w:rPr>
          <w:rFonts w:ascii="Times New Roman" w:hAnsi="Times New Roman" w:cs="Times New Roman"/>
          <w:sz w:val="24"/>
          <w:szCs w:val="24"/>
        </w:rPr>
      </w:pPr>
      <w:r w:rsidRPr="008E1980">
        <w:rPr>
          <w:rFonts w:ascii="Times New Roman" w:hAnsi="Times New Roman" w:cs="Times New Roman"/>
          <w:sz w:val="24"/>
          <w:szCs w:val="24"/>
        </w:rPr>
        <w:t>The analysis of recent reforms on petroleum products and cement leads to considering two scenarios:</w:t>
      </w:r>
    </w:p>
    <w:p w14:paraId="170AD326" w14:textId="6EBC1AD5" w:rsidR="008E1980" w:rsidRPr="008E1980" w:rsidRDefault="008E1980" w:rsidP="008E1980">
      <w:pPr>
        <w:numPr>
          <w:ilvl w:val="0"/>
          <w:numId w:val="8"/>
        </w:numPr>
        <w:jc w:val="both"/>
        <w:rPr>
          <w:rFonts w:ascii="Times New Roman" w:hAnsi="Times New Roman" w:cs="Times New Roman"/>
          <w:sz w:val="24"/>
          <w:szCs w:val="24"/>
        </w:rPr>
      </w:pPr>
      <w:bookmarkStart w:id="25" w:name="_Hlk187166981"/>
      <w:r w:rsidRPr="008E1980">
        <w:rPr>
          <w:rFonts w:ascii="Times New Roman" w:hAnsi="Times New Roman" w:cs="Times New Roman"/>
          <w:sz w:val="24"/>
          <w:szCs w:val="24"/>
        </w:rPr>
        <w:t xml:space="preserve">A 7.56% reduction in hydrocarbon prices. This rate reflects the provisions of the new 2024 hydrocarbon price reform, which lowered the cost of diesel and gasoline. It is expected to have an impact on the cost of transportation and energy, resulting in a drop in the price of basic necessities </w:t>
      </w:r>
      <w:r w:rsidR="00341405">
        <w:rPr>
          <w:rFonts w:ascii="Times New Roman" w:hAnsi="Times New Roman" w:cs="Times New Roman"/>
          <w:sz w:val="24"/>
          <w:szCs w:val="24"/>
        </w:rPr>
        <w:t>(a drop in inflation that would be beneficial for the economy). The beneficial effects on businesses will help generate more jobs.</w:t>
      </w:r>
    </w:p>
    <w:p w14:paraId="15532768" w14:textId="77777777" w:rsidR="008E1980" w:rsidRPr="008E1980" w:rsidRDefault="008E1980" w:rsidP="008E1980">
      <w:pPr>
        <w:numPr>
          <w:ilvl w:val="0"/>
          <w:numId w:val="8"/>
        </w:numPr>
        <w:jc w:val="both"/>
        <w:rPr>
          <w:rFonts w:ascii="Times New Roman" w:hAnsi="Times New Roman" w:cs="Times New Roman"/>
          <w:sz w:val="24"/>
          <w:szCs w:val="24"/>
        </w:rPr>
      </w:pPr>
      <w:r w:rsidRPr="008E1980">
        <w:rPr>
          <w:rFonts w:ascii="Times New Roman" w:hAnsi="Times New Roman" w:cs="Times New Roman"/>
          <w:sz w:val="24"/>
          <w:szCs w:val="24"/>
        </w:rPr>
        <w:t>A 35% reduction in the price of cement in accordance with Joint Decree 0105/MCI/ME/F of October 16, 2024, to promote access to construction materials. The development of the construction sector and all related activities is expected to raise the standard of living of Nigeriens and boost the sector by generating more jobs.</w:t>
      </w:r>
    </w:p>
    <w:bookmarkEnd w:id="25"/>
    <w:p w14:paraId="12D607FC" w14:textId="2BC32B91" w:rsidR="00A0397F" w:rsidRDefault="00EF748E" w:rsidP="009B0FA2">
      <w:pPr>
        <w:jc w:val="both"/>
        <w:rPr>
          <w:rFonts w:ascii="Times New Roman" w:hAnsi="Times New Roman" w:cs="Times New Roman"/>
          <w:sz w:val="24"/>
          <w:szCs w:val="24"/>
        </w:rPr>
      </w:pPr>
      <w:r>
        <w:rPr>
          <w:rFonts w:ascii="Times New Roman" w:hAnsi="Times New Roman" w:cs="Times New Roman"/>
          <w:sz w:val="24"/>
          <w:szCs w:val="24"/>
        </w:rPr>
        <w:t>The analysis is carried out by considering three budgetary policy hypotheses: internal financing of the budgetary balance via domestic private savings, financing via the State budget and external financing through external support allowing the initial budgetary balance to be maintained.</w:t>
      </w:r>
    </w:p>
    <w:p w14:paraId="22B3FA4F" w14:textId="77777777" w:rsidR="00A0397F" w:rsidRPr="0053520D" w:rsidRDefault="00A0397F" w:rsidP="00A0397F">
      <w:pPr>
        <w:pStyle w:val="Titre1"/>
        <w:numPr>
          <w:ilvl w:val="0"/>
          <w:numId w:val="1"/>
        </w:numPr>
        <w:tabs>
          <w:tab w:val="num" w:pos="360"/>
        </w:tabs>
        <w:spacing w:line="240" w:lineRule="auto"/>
        <w:ind w:left="0" w:firstLine="0"/>
        <w:rPr>
          <w:b/>
          <w:bCs/>
        </w:rPr>
      </w:pPr>
      <w:bookmarkStart w:id="26" w:name="_Toc87357304"/>
      <w:bookmarkStart w:id="27" w:name="_Toc195507397"/>
      <w:bookmarkStart w:id="28" w:name="_Toc200944556"/>
      <w:r w:rsidRPr="0053520D">
        <w:rPr>
          <w:b/>
          <w:bCs/>
        </w:rPr>
        <w:t>Results and Discussion</w:t>
      </w:r>
      <w:bookmarkEnd w:id="26"/>
      <w:bookmarkEnd w:id="27"/>
      <w:bookmarkEnd w:id="28"/>
      <w:r w:rsidRPr="0053520D">
        <w:rPr>
          <w:b/>
          <w:bCs/>
        </w:rPr>
        <w:t xml:space="preserve"> </w:t>
      </w:r>
    </w:p>
    <w:p w14:paraId="1689AA30" w14:textId="493CC754" w:rsidR="00247662" w:rsidRPr="00247662" w:rsidRDefault="00247662" w:rsidP="00247662">
      <w:pPr>
        <w:pStyle w:val="Titre2"/>
        <w:numPr>
          <w:ilvl w:val="1"/>
          <w:numId w:val="1"/>
        </w:numPr>
        <w:spacing w:line="240" w:lineRule="auto"/>
        <w:rPr>
          <w:b/>
          <w:bCs/>
        </w:rPr>
      </w:pPr>
      <w:bookmarkStart w:id="29" w:name="_Toc195507398"/>
      <w:bookmarkStart w:id="30" w:name="_Toc87357305"/>
      <w:bookmarkStart w:id="31" w:name="_Toc200944557"/>
      <w:r>
        <w:rPr>
          <w:b/>
          <w:bCs/>
        </w:rPr>
        <w:t>Results of the reform on petroleum products</w:t>
      </w:r>
      <w:bookmarkEnd w:id="29"/>
      <w:bookmarkEnd w:id="31"/>
      <w:r w:rsidRPr="00247662">
        <w:rPr>
          <w:b/>
          <w:bCs/>
        </w:rPr>
        <w:t xml:space="preserve"> </w:t>
      </w:r>
    </w:p>
    <w:p w14:paraId="423B1148" w14:textId="63D83DB9" w:rsidR="00A0397F" w:rsidRPr="00941140" w:rsidRDefault="00A0397F" w:rsidP="00A0397F">
      <w:pPr>
        <w:pStyle w:val="Titre3"/>
        <w:numPr>
          <w:ilvl w:val="2"/>
          <w:numId w:val="1"/>
        </w:numPr>
        <w:tabs>
          <w:tab w:val="num" w:pos="360"/>
        </w:tabs>
        <w:spacing w:line="240" w:lineRule="auto"/>
        <w:ind w:left="0" w:firstLine="0"/>
        <w:rPr>
          <w:b/>
          <w:bCs/>
        </w:rPr>
      </w:pPr>
      <w:bookmarkStart w:id="32" w:name="_Toc87357306"/>
      <w:bookmarkStart w:id="33" w:name="_Toc195507399"/>
      <w:bookmarkStart w:id="34" w:name="_Toc200944558"/>
      <w:bookmarkEnd w:id="30"/>
      <w:r w:rsidRPr="00941140">
        <w:rPr>
          <w:b/>
          <w:bCs/>
        </w:rPr>
        <w:t>Effects on macroeconomic variables</w:t>
      </w:r>
      <w:bookmarkEnd w:id="32"/>
      <w:bookmarkEnd w:id="33"/>
      <w:bookmarkEnd w:id="34"/>
    </w:p>
    <w:p w14:paraId="4FE92F41" w14:textId="1515EDE2" w:rsidR="00C94F04" w:rsidRPr="00EA0BCD" w:rsidRDefault="00801D2A" w:rsidP="00C94F04">
      <w:pPr>
        <w:jc w:val="both"/>
        <w:rPr>
          <w:rFonts w:ascii="Times New Roman" w:hAnsi="Times New Roman" w:cs="Times New Roman"/>
          <w:sz w:val="24"/>
          <w:szCs w:val="24"/>
        </w:rPr>
      </w:pPr>
      <w:r w:rsidRPr="00EA0BCD">
        <w:rPr>
          <w:rFonts w:ascii="Times New Roman" w:hAnsi="Times New Roman" w:cs="Times New Roman"/>
          <w:sz w:val="24"/>
          <w:szCs w:val="24"/>
        </w:rPr>
        <w:t>The impact on government revenue of a reduction in petroleum product prices appears relatively significant. Government revenue will decrease by approximately 1%, driven primarily by the reduction in the trade tax, which is offset by the increase in other taxes.</w:t>
      </w:r>
    </w:p>
    <w:p w14:paraId="50CDC2FC" w14:textId="69BC4DB7" w:rsidR="00B25B08" w:rsidRPr="00EA0BCD" w:rsidRDefault="005D5625" w:rsidP="00EB2232">
      <w:pPr>
        <w:jc w:val="both"/>
        <w:rPr>
          <w:rFonts w:ascii="Times New Roman" w:hAnsi="Times New Roman" w:cs="Times New Roman"/>
          <w:sz w:val="24"/>
          <w:szCs w:val="24"/>
        </w:rPr>
      </w:pPr>
      <w:r w:rsidRPr="00EA0BCD">
        <w:rPr>
          <w:rFonts w:ascii="Times New Roman" w:hAnsi="Times New Roman" w:cs="Times New Roman"/>
          <w:sz w:val="24"/>
          <w:szCs w:val="24"/>
        </w:rPr>
        <w:t xml:space="preserve">The results show a decline in investment that can contribute to slowing the country's economic activity, especially when the reform is financed internally. However, when financing is supported by the state budget or external borrowing, investment increases, as does private consumption. Regardless of the source of financing, </w:t>
      </w:r>
      <w:bookmarkStart w:id="35" w:name="_Hlk200461692"/>
      <w:r w:rsidR="00966BE4" w:rsidRPr="00EA0BCD">
        <w:rPr>
          <w:rFonts w:ascii="Times New Roman" w:hAnsi="Times New Roman" w:cs="Times New Roman"/>
          <w:sz w:val="24"/>
          <w:szCs w:val="24"/>
        </w:rPr>
        <w:t xml:space="preserve">the final effect on GDP is a slight increase of approximately 0.06%. </w:t>
      </w:r>
      <w:bookmarkEnd w:id="35"/>
      <w:r w:rsidR="00B25B08" w:rsidRPr="00EA0BCD">
        <w:rPr>
          <w:rFonts w:ascii="Times New Roman" w:hAnsi="Times New Roman" w:cs="Times New Roman"/>
          <w:sz w:val="24"/>
          <w:szCs w:val="24"/>
        </w:rPr>
        <w:t xml:space="preserve">The increase in exports is mainly explained by the increase in </w:t>
      </w:r>
      <w:r w:rsidR="00B25B08" w:rsidRPr="00EA0BCD">
        <w:rPr>
          <w:rFonts w:ascii="Times New Roman" w:hAnsi="Times New Roman" w:cs="Times New Roman"/>
          <w:sz w:val="24"/>
          <w:szCs w:val="24"/>
        </w:rPr>
        <w:lastRenderedPageBreak/>
        <w:t>production in most sectors of activity, while imports increase driven by the expansion of domestic demand. The variation in exports appears more significant in the internal and public financing scheme, which helps improve the trade balance.</w:t>
      </w:r>
    </w:p>
    <w:p w14:paraId="5A25B7E4" w14:textId="77FE5EA3" w:rsidR="00A91295" w:rsidRPr="00EA0BCD" w:rsidRDefault="008A0654" w:rsidP="00A91295">
      <w:pPr>
        <w:jc w:val="both"/>
        <w:rPr>
          <w:rFonts w:ascii="Times New Roman" w:hAnsi="Times New Roman" w:cs="Times New Roman"/>
          <w:sz w:val="24"/>
          <w:szCs w:val="24"/>
        </w:rPr>
      </w:pPr>
      <w:r w:rsidRPr="00EA0BCD">
        <w:rPr>
          <w:rFonts w:ascii="Times New Roman" w:hAnsi="Times New Roman" w:cs="Times New Roman"/>
          <w:sz w:val="24"/>
          <w:szCs w:val="24"/>
        </w:rPr>
        <w:t xml:space="preserve">However, the results show that debt financing results in an increase in exports of less than 0.1% and an increase in imports of 0.72%. </w:t>
      </w:r>
      <w:bookmarkStart w:id="36" w:name="_Hlk200461982"/>
      <w:r w:rsidR="00D0068B" w:rsidRPr="00EA0BCD">
        <w:rPr>
          <w:rFonts w:ascii="Times New Roman" w:hAnsi="Times New Roman" w:cs="Times New Roman"/>
          <w:sz w:val="24"/>
          <w:szCs w:val="24"/>
        </w:rPr>
        <w:t>Companies also benefit from the reform, as their revenues increase in all schemes.</w:t>
      </w:r>
    </w:p>
    <w:bookmarkEnd w:id="36"/>
    <w:p w14:paraId="182DAD2C" w14:textId="1AB20B78" w:rsidR="00480D24" w:rsidRDefault="00480D24" w:rsidP="00480D24">
      <w:pPr>
        <w:jc w:val="both"/>
      </w:pPr>
      <w:r>
        <w:t>Figure</w:t>
      </w:r>
      <w:r w:rsidR="00E937BD">
        <w:t xml:space="preserve"> 5</w:t>
      </w:r>
      <w:r>
        <w:t>: Impact on macroeconomic variables</w:t>
      </w:r>
    </w:p>
    <w:p w14:paraId="60257BC5" w14:textId="656EA351" w:rsidR="00DF426B" w:rsidRDefault="00DF426B" w:rsidP="00480D24">
      <w:pPr>
        <w:jc w:val="both"/>
      </w:pPr>
      <w:r>
        <w:rPr>
          <w:noProof/>
          <w:lang w:val="en-GB" w:eastAsia="en-GB"/>
        </w:rPr>
        <w:drawing>
          <wp:inline distT="0" distB="0" distL="0" distR="0" wp14:anchorId="607C3503" wp14:editId="7C1696A0">
            <wp:extent cx="5773420" cy="2471147"/>
            <wp:effectExtent l="0" t="0" r="17780" b="5715"/>
            <wp:docPr id="1828983243" name="Graphique 1">
              <a:extLst xmlns:a="http://schemas.openxmlformats.org/drawingml/2006/main">
                <a:ext uri="{FF2B5EF4-FFF2-40B4-BE49-F238E27FC236}">
                  <a16:creationId xmlns:a16="http://schemas.microsoft.com/office/drawing/2014/main" id="{D87578CC-2134-AF89-0B7F-4CF5ABE7B0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7641424" w14:textId="3B7EFA42" w:rsidR="00E54986" w:rsidRDefault="00E54986" w:rsidP="003E1615">
      <w:pPr>
        <w:jc w:val="both"/>
        <w:rPr>
          <w:sz w:val="18"/>
          <w:szCs w:val="18"/>
        </w:rPr>
      </w:pPr>
      <w:r w:rsidRPr="009F3C25">
        <w:rPr>
          <w:sz w:val="18"/>
          <w:szCs w:val="18"/>
        </w:rPr>
        <w:t>Source: Authors</w:t>
      </w:r>
    </w:p>
    <w:p w14:paraId="1D438AF8" w14:textId="53DE6DB3" w:rsidR="00DF426B" w:rsidRDefault="002669D1" w:rsidP="003E1615">
      <w:pPr>
        <w:jc w:val="both"/>
        <w:rPr>
          <w:rFonts w:ascii="Times New Roman" w:hAnsi="Times New Roman" w:cs="Times New Roman"/>
          <w:sz w:val="24"/>
          <w:szCs w:val="24"/>
        </w:rPr>
      </w:pPr>
      <w:r w:rsidRPr="00EA0BCD">
        <w:rPr>
          <w:rFonts w:ascii="Times New Roman" w:hAnsi="Times New Roman" w:cs="Times New Roman"/>
          <w:sz w:val="24"/>
          <w:szCs w:val="24"/>
        </w:rPr>
        <w:t>The decline in government revenue is the result of the reform's effect on taxes as shown in the figure</w:t>
      </w:r>
      <w:r w:rsidR="00CE7954">
        <w:rPr>
          <w:rFonts w:ascii="Times New Roman" w:hAnsi="Times New Roman" w:cs="Times New Roman"/>
          <w:sz w:val="24"/>
          <w:szCs w:val="24"/>
        </w:rPr>
        <w:t xml:space="preserve"> 6</w:t>
      </w:r>
      <w:r w:rsidRPr="00EA0BCD">
        <w:rPr>
          <w:rFonts w:ascii="Times New Roman" w:hAnsi="Times New Roman" w:cs="Times New Roman"/>
          <w:sz w:val="24"/>
          <w:szCs w:val="24"/>
        </w:rPr>
        <w:t xml:space="preserve"> below.</w:t>
      </w:r>
    </w:p>
    <w:p w14:paraId="5DF5CC3B" w14:textId="67F6966A" w:rsidR="00A92D30" w:rsidRDefault="002669D1" w:rsidP="003E1615">
      <w:pPr>
        <w:jc w:val="both"/>
      </w:pPr>
      <w:r>
        <w:t>Figure</w:t>
      </w:r>
      <w:r w:rsidR="00E937BD">
        <w:t xml:space="preserve"> 6</w:t>
      </w:r>
      <w:r>
        <w:t xml:space="preserve">: Impact on tax </w:t>
      </w:r>
      <w:r w:rsidRPr="00EA0BCD">
        <w:rPr>
          <w:rFonts w:ascii="Times New Roman" w:hAnsi="Times New Roman" w:cs="Times New Roman"/>
          <w:sz w:val="24"/>
          <w:szCs w:val="24"/>
        </w:rPr>
        <w:t>rates</w:t>
      </w:r>
      <w:r w:rsidR="00072ACE">
        <w:rPr>
          <w:rFonts w:ascii="Times New Roman" w:hAnsi="Times New Roman" w:cs="Times New Roman"/>
          <w:sz w:val="24"/>
          <w:szCs w:val="24"/>
        </w:rPr>
        <w:t xml:space="preserve"> in %</w:t>
      </w:r>
    </w:p>
    <w:p w14:paraId="0908ED3D" w14:textId="3B1D54B3" w:rsidR="00ED325A" w:rsidRDefault="00A92D30" w:rsidP="00A92D30">
      <w:pPr>
        <w:jc w:val="both"/>
      </w:pPr>
      <w:r>
        <w:rPr>
          <w:noProof/>
          <w:lang w:val="en-GB" w:eastAsia="en-GB"/>
        </w:rPr>
        <w:drawing>
          <wp:inline distT="0" distB="0" distL="0" distR="0" wp14:anchorId="437FFA99" wp14:editId="53EEA188">
            <wp:extent cx="5643245" cy="1715445"/>
            <wp:effectExtent l="0" t="0" r="14605" b="18415"/>
            <wp:docPr id="224644079" name="Graphique 1">
              <a:extLst xmlns:a="http://schemas.openxmlformats.org/drawingml/2006/main">
                <a:ext uri="{FF2B5EF4-FFF2-40B4-BE49-F238E27FC236}">
                  <a16:creationId xmlns:a16="http://schemas.microsoft.com/office/drawing/2014/main" id="{6D207726-B981-28D3-B588-4DF2137156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DB1E1CB" w14:textId="726A3315" w:rsidR="00605E05" w:rsidRPr="00A92D30" w:rsidRDefault="00605E05" w:rsidP="00A92D30">
      <w:pPr>
        <w:jc w:val="both"/>
        <w:rPr>
          <w:sz w:val="18"/>
          <w:szCs w:val="18"/>
        </w:rPr>
      </w:pPr>
      <w:r w:rsidRPr="009F3C25">
        <w:rPr>
          <w:sz w:val="18"/>
          <w:szCs w:val="18"/>
        </w:rPr>
        <w:t>Source: Authors</w:t>
      </w:r>
    </w:p>
    <w:p w14:paraId="15957E3A" w14:textId="0A58B26A" w:rsidR="00A0397F" w:rsidRPr="009B1F19" w:rsidRDefault="00A0397F" w:rsidP="00A0397F">
      <w:pPr>
        <w:pStyle w:val="Titre3"/>
        <w:numPr>
          <w:ilvl w:val="2"/>
          <w:numId w:val="1"/>
        </w:numPr>
        <w:tabs>
          <w:tab w:val="num" w:pos="360"/>
        </w:tabs>
        <w:spacing w:line="240" w:lineRule="auto"/>
        <w:ind w:left="0" w:firstLine="0"/>
        <w:rPr>
          <w:b/>
          <w:bCs/>
        </w:rPr>
      </w:pPr>
      <w:bookmarkStart w:id="37" w:name="_Toc87357307"/>
      <w:bookmarkStart w:id="38" w:name="_Toc195507400"/>
      <w:bookmarkStart w:id="39" w:name="_Toc200944559"/>
      <w:r w:rsidRPr="009B1F19">
        <w:rPr>
          <w:b/>
          <w:bCs/>
        </w:rPr>
        <w:t>Effects on sectoral variables</w:t>
      </w:r>
      <w:bookmarkEnd w:id="37"/>
      <w:bookmarkEnd w:id="38"/>
      <w:bookmarkEnd w:id="39"/>
    </w:p>
    <w:p w14:paraId="0A8C02A8" w14:textId="1175FD0A" w:rsidR="0068138E" w:rsidRDefault="003E1615" w:rsidP="00A0397F">
      <w:pPr>
        <w:jc w:val="both"/>
        <w:rPr>
          <w:rFonts w:ascii="Times New Roman" w:hAnsi="Times New Roman" w:cs="Times New Roman"/>
          <w:sz w:val="24"/>
          <w:szCs w:val="24"/>
        </w:rPr>
      </w:pPr>
      <w:r>
        <w:rPr>
          <w:rFonts w:ascii="Times New Roman" w:hAnsi="Times New Roman" w:cs="Times New Roman"/>
          <w:sz w:val="24"/>
          <w:szCs w:val="24"/>
        </w:rPr>
        <w:t xml:space="preserve">The fall in petroleum product prices has the effect of stimulating domestic demand in this sector but also in all sectors that use petroleum products in terms of intermediate consumption in their production cycle. We observe, in fact, an increase in domestic production in </w:t>
      </w:r>
      <w:bookmarkStart w:id="40" w:name="_Hlk200462270"/>
      <w:r>
        <w:rPr>
          <w:rFonts w:ascii="Times New Roman" w:hAnsi="Times New Roman" w:cs="Times New Roman"/>
          <w:sz w:val="24"/>
          <w:szCs w:val="24"/>
        </w:rPr>
        <w:t xml:space="preserve">the transport sector and to a lesser extent in the trade, electricity, and real estate sectors </w:t>
      </w:r>
      <w:bookmarkEnd w:id="40"/>
      <w:r w:rsidR="0073480C">
        <w:rPr>
          <w:rFonts w:ascii="Times New Roman" w:hAnsi="Times New Roman" w:cs="Times New Roman"/>
          <w:sz w:val="24"/>
          <w:szCs w:val="24"/>
        </w:rPr>
        <w:t xml:space="preserve">. The most significant increase comes from the transport sector with a 1.21% increase in production. This result is logical since this sector uses more than 81% of petroleum products to carry out these activities. </w:t>
      </w:r>
      <w:r w:rsidR="0073480C">
        <w:rPr>
          <w:rFonts w:ascii="Times New Roman" w:hAnsi="Times New Roman" w:cs="Times New Roman"/>
          <w:sz w:val="24"/>
          <w:szCs w:val="24"/>
        </w:rPr>
        <w:lastRenderedPageBreak/>
        <w:t>However, the expected positive effects of the reform on the agricultural sector are not confirmed regardless of the financing scheme. This could be explained by the low mechanization of the sector and the existence of an informal supply network.</w:t>
      </w:r>
    </w:p>
    <w:p w14:paraId="1457A868" w14:textId="08B54D88" w:rsidR="004D17B5" w:rsidRDefault="00BD7645" w:rsidP="00A0397F">
      <w:pPr>
        <w:jc w:val="both"/>
        <w:rPr>
          <w:rFonts w:ascii="Times New Roman" w:hAnsi="Times New Roman" w:cs="Times New Roman"/>
          <w:sz w:val="24"/>
          <w:szCs w:val="24"/>
        </w:rPr>
      </w:pPr>
      <w:r>
        <w:rPr>
          <w:rFonts w:ascii="Times New Roman" w:hAnsi="Times New Roman" w:cs="Times New Roman"/>
          <w:sz w:val="24"/>
          <w:szCs w:val="24"/>
        </w:rPr>
        <w:t>Figure</w:t>
      </w:r>
      <w:r w:rsidR="00E937BD">
        <w:rPr>
          <w:rFonts w:ascii="Times New Roman" w:hAnsi="Times New Roman" w:cs="Times New Roman"/>
          <w:sz w:val="24"/>
          <w:szCs w:val="24"/>
        </w:rPr>
        <w:t xml:space="preserve"> 7</w:t>
      </w:r>
      <w:r>
        <w:rPr>
          <w:rFonts w:ascii="Times New Roman" w:hAnsi="Times New Roman" w:cs="Times New Roman"/>
          <w:sz w:val="24"/>
          <w:szCs w:val="24"/>
        </w:rPr>
        <w:t>: Sectoral effect on domestic production</w:t>
      </w:r>
    </w:p>
    <w:p w14:paraId="34EBD814" w14:textId="41F47649" w:rsidR="004D17B5" w:rsidRDefault="003B327D" w:rsidP="00A0397F">
      <w:pPr>
        <w:jc w:val="both"/>
        <w:rPr>
          <w:rFonts w:ascii="Times New Roman" w:hAnsi="Times New Roman" w:cs="Times New Roman"/>
          <w:sz w:val="24"/>
          <w:szCs w:val="24"/>
        </w:rPr>
      </w:pPr>
      <w:r>
        <w:rPr>
          <w:noProof/>
          <w:lang w:val="en-GB" w:eastAsia="en-GB"/>
        </w:rPr>
        <w:drawing>
          <wp:inline distT="0" distB="0" distL="0" distR="0" wp14:anchorId="5A6AA6C9" wp14:editId="067B9B82">
            <wp:extent cx="5957570" cy="3060700"/>
            <wp:effectExtent l="0" t="0" r="5080" b="6350"/>
            <wp:docPr id="237912097" name="Graphique 1">
              <a:extLst xmlns:a="http://schemas.openxmlformats.org/drawingml/2006/main">
                <a:ext uri="{FF2B5EF4-FFF2-40B4-BE49-F238E27FC236}">
                  <a16:creationId xmlns:a16="http://schemas.microsoft.com/office/drawing/2014/main" id="{14326461-DAAB-567D-3CF3-BFEE2F0917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02EB0F9" w14:textId="0ADCA187" w:rsidR="00264FF3" w:rsidRPr="00864A68" w:rsidRDefault="00264FF3" w:rsidP="00A0397F">
      <w:pPr>
        <w:jc w:val="both"/>
        <w:rPr>
          <w:rFonts w:ascii="Times New Roman" w:hAnsi="Times New Roman" w:cs="Times New Roman"/>
          <w:sz w:val="20"/>
          <w:szCs w:val="20"/>
        </w:rPr>
      </w:pPr>
      <w:r w:rsidRPr="00864A68">
        <w:rPr>
          <w:rFonts w:ascii="Times New Roman" w:hAnsi="Times New Roman" w:cs="Times New Roman"/>
          <w:sz w:val="20"/>
          <w:szCs w:val="20"/>
        </w:rPr>
        <w:t>Source: Authors</w:t>
      </w:r>
    </w:p>
    <w:p w14:paraId="5267C639" w14:textId="35F1ECF1" w:rsidR="00A92D30" w:rsidRDefault="00A92D30" w:rsidP="00A92D30">
      <w:pPr>
        <w:jc w:val="both"/>
        <w:rPr>
          <w:rFonts w:ascii="Times New Roman" w:hAnsi="Times New Roman" w:cs="Times New Roman"/>
          <w:sz w:val="24"/>
          <w:szCs w:val="24"/>
        </w:rPr>
      </w:pPr>
      <w:r w:rsidRPr="0073480C">
        <w:rPr>
          <w:rFonts w:ascii="Times New Roman" w:hAnsi="Times New Roman" w:cs="Times New Roman"/>
          <w:sz w:val="24"/>
          <w:szCs w:val="24"/>
        </w:rPr>
        <w:t>Furthermore, the mining, manufacturing and livestock sectors are those that are negatively impacted by the reform since their production is decreasing.</w:t>
      </w:r>
    </w:p>
    <w:p w14:paraId="138D08AE" w14:textId="4EBAA0A8" w:rsidR="00E17EC4" w:rsidRDefault="00FA78D2" w:rsidP="00A0397F">
      <w:pPr>
        <w:jc w:val="both"/>
        <w:rPr>
          <w:rFonts w:ascii="Times New Roman" w:hAnsi="Times New Roman" w:cs="Times New Roman"/>
          <w:sz w:val="24"/>
          <w:szCs w:val="24"/>
        </w:rPr>
      </w:pPr>
      <w:r>
        <w:rPr>
          <w:rFonts w:ascii="Times New Roman" w:hAnsi="Times New Roman" w:cs="Times New Roman"/>
          <w:sz w:val="24"/>
          <w:szCs w:val="24"/>
        </w:rPr>
        <w:t xml:space="preserve">The increase in branch production has repercussions on trade. The figure above shows an increase in exports in the transport and livestock sectors. For all other goods, exports decline. The increase in exports seems more pronounced in the case of public financing from the state budget, while the decline in exports is more significant in all sectors outside professional activities when the reform is supported by </w:t>
      </w:r>
      <w:r w:rsidR="00214D1A">
        <w:rPr>
          <w:rFonts w:ascii="Times New Roman" w:hAnsi="Times New Roman" w:cs="Times New Roman"/>
          <w:sz w:val="24"/>
          <w:szCs w:val="24"/>
        </w:rPr>
        <w:t xml:space="preserve">external borrowing </w:t>
      </w:r>
      <w:r w:rsidR="00EF06F7" w:rsidRPr="0068138E">
        <w:rPr>
          <w:rFonts w:ascii="Times New Roman" w:hAnsi="Times New Roman" w:cs="Times New Roman"/>
          <w:sz w:val="24"/>
          <w:szCs w:val="24"/>
        </w:rPr>
        <w:t>. This situation can be explained by the decline in investments induced by the costs of borrowing.</w:t>
      </w:r>
    </w:p>
    <w:p w14:paraId="3B4AA5CA" w14:textId="0337DEF3" w:rsidR="00513979" w:rsidRDefault="002B4AAD" w:rsidP="00A0397F">
      <w:pPr>
        <w:jc w:val="both"/>
        <w:rPr>
          <w:rFonts w:ascii="Times New Roman" w:hAnsi="Times New Roman" w:cs="Times New Roman"/>
          <w:sz w:val="24"/>
          <w:szCs w:val="24"/>
        </w:rPr>
      </w:pPr>
      <w:r>
        <w:rPr>
          <w:rFonts w:ascii="Times New Roman" w:hAnsi="Times New Roman" w:cs="Times New Roman"/>
          <w:sz w:val="24"/>
          <w:szCs w:val="24"/>
        </w:rPr>
        <w:t>Figure</w:t>
      </w:r>
      <w:r w:rsidR="00E937BD">
        <w:rPr>
          <w:rFonts w:ascii="Times New Roman" w:hAnsi="Times New Roman" w:cs="Times New Roman"/>
          <w:sz w:val="24"/>
          <w:szCs w:val="24"/>
        </w:rPr>
        <w:t xml:space="preserve"> 8</w:t>
      </w:r>
      <w:r>
        <w:rPr>
          <w:rFonts w:ascii="Times New Roman" w:hAnsi="Times New Roman" w:cs="Times New Roman"/>
          <w:sz w:val="24"/>
          <w:szCs w:val="24"/>
        </w:rPr>
        <w:t>: Sectoral effect on exports</w:t>
      </w:r>
    </w:p>
    <w:p w14:paraId="63611D20" w14:textId="03893CDF" w:rsidR="00BD0187" w:rsidRDefault="00BD0187" w:rsidP="00A0397F">
      <w:pPr>
        <w:jc w:val="both"/>
        <w:rPr>
          <w:rFonts w:ascii="Times New Roman" w:hAnsi="Times New Roman" w:cs="Times New Roman"/>
          <w:sz w:val="24"/>
          <w:szCs w:val="24"/>
        </w:rPr>
      </w:pPr>
      <w:r>
        <w:rPr>
          <w:noProof/>
          <w:lang w:val="en-GB" w:eastAsia="en-GB"/>
        </w:rPr>
        <w:drawing>
          <wp:inline distT="0" distB="0" distL="0" distR="0" wp14:anchorId="42F0DF2C" wp14:editId="27801547">
            <wp:extent cx="6057265" cy="2032840"/>
            <wp:effectExtent l="0" t="0" r="635" b="5715"/>
            <wp:docPr id="127748041" name="Graphique 1">
              <a:extLst xmlns:a="http://schemas.openxmlformats.org/drawingml/2006/main">
                <a:ext uri="{FF2B5EF4-FFF2-40B4-BE49-F238E27FC236}">
                  <a16:creationId xmlns:a16="http://schemas.microsoft.com/office/drawing/2014/main" id="{37315A75-8376-2642-FFFD-16D38F2C1A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B4159E2" w14:textId="77777777" w:rsidR="00605E05" w:rsidRPr="009F3C25" w:rsidRDefault="00605E05" w:rsidP="00605E05">
      <w:pPr>
        <w:jc w:val="both"/>
        <w:rPr>
          <w:sz w:val="18"/>
          <w:szCs w:val="18"/>
        </w:rPr>
      </w:pPr>
      <w:r w:rsidRPr="009F3C25">
        <w:rPr>
          <w:sz w:val="18"/>
          <w:szCs w:val="18"/>
        </w:rPr>
        <w:t>Source: Authors</w:t>
      </w:r>
    </w:p>
    <w:p w14:paraId="784C2B13" w14:textId="7A775EC6" w:rsidR="00513979" w:rsidRDefault="000256A7" w:rsidP="00A0397F">
      <w:pPr>
        <w:jc w:val="both"/>
        <w:rPr>
          <w:rFonts w:ascii="Times New Roman" w:hAnsi="Times New Roman" w:cs="Times New Roman"/>
          <w:sz w:val="24"/>
          <w:szCs w:val="24"/>
        </w:rPr>
      </w:pPr>
      <w:r>
        <w:rPr>
          <w:rFonts w:ascii="Times New Roman" w:hAnsi="Times New Roman" w:cs="Times New Roman"/>
          <w:sz w:val="24"/>
          <w:szCs w:val="24"/>
        </w:rPr>
        <w:lastRenderedPageBreak/>
        <w:t xml:space="preserve">Furthermore, the increase in </w:t>
      </w:r>
      <w:r w:rsidR="00C37B86">
        <w:rPr>
          <w:rFonts w:ascii="Times New Roman" w:hAnsi="Times New Roman" w:cs="Times New Roman"/>
          <w:sz w:val="24"/>
          <w:szCs w:val="24"/>
        </w:rPr>
        <w:t>overall imports observed above actually presents disparities between sectors. Thus, we note an increase in imports in all sectors except transport and mining. This increase is all the more significant when the reform is financed by external borrowing. However, while the decline in imports in the transport sector can be explained by the increase in domestic production, that of the mining sector is rather the result of a decrease in domestic demand.</w:t>
      </w:r>
    </w:p>
    <w:p w14:paraId="13055915" w14:textId="11E4FEFF" w:rsidR="00513979" w:rsidRDefault="00605E05" w:rsidP="00A0397F">
      <w:pPr>
        <w:jc w:val="both"/>
        <w:rPr>
          <w:rFonts w:ascii="Times New Roman" w:hAnsi="Times New Roman" w:cs="Times New Roman"/>
          <w:sz w:val="24"/>
          <w:szCs w:val="24"/>
        </w:rPr>
      </w:pPr>
      <w:r>
        <w:rPr>
          <w:rFonts w:ascii="Times New Roman" w:hAnsi="Times New Roman" w:cs="Times New Roman"/>
          <w:sz w:val="24"/>
          <w:szCs w:val="24"/>
        </w:rPr>
        <w:t>Figure</w:t>
      </w:r>
      <w:r w:rsidR="00E937BD">
        <w:rPr>
          <w:rFonts w:ascii="Times New Roman" w:hAnsi="Times New Roman" w:cs="Times New Roman"/>
          <w:sz w:val="24"/>
          <w:szCs w:val="24"/>
        </w:rPr>
        <w:t xml:space="preserve"> </w:t>
      </w:r>
      <w:r w:rsidR="00E937BD" w:rsidRPr="00E937BD">
        <w:rPr>
          <w:rFonts w:ascii="Times New Roman" w:hAnsi="Times New Roman" w:cs="Times New Roman"/>
          <w:sz w:val="24"/>
          <w:szCs w:val="24"/>
        </w:rPr>
        <w:t>9</w:t>
      </w:r>
      <w:r>
        <w:rPr>
          <w:rFonts w:ascii="Times New Roman" w:hAnsi="Times New Roman" w:cs="Times New Roman"/>
          <w:sz w:val="24"/>
          <w:szCs w:val="24"/>
        </w:rPr>
        <w:t>: Sectoral effect on imports</w:t>
      </w:r>
    </w:p>
    <w:p w14:paraId="6BE19464" w14:textId="7363BAF7" w:rsidR="00513979" w:rsidRDefault="00C37B86" w:rsidP="00A0397F">
      <w:pPr>
        <w:jc w:val="both"/>
        <w:rPr>
          <w:rFonts w:ascii="Times New Roman" w:hAnsi="Times New Roman" w:cs="Times New Roman"/>
          <w:sz w:val="24"/>
          <w:szCs w:val="24"/>
        </w:rPr>
      </w:pPr>
      <w:r>
        <w:rPr>
          <w:noProof/>
          <w:lang w:val="en-GB" w:eastAsia="en-GB"/>
        </w:rPr>
        <w:drawing>
          <wp:inline distT="0" distB="0" distL="0" distR="0" wp14:anchorId="54089BED" wp14:editId="320D53A9">
            <wp:extent cx="6060440" cy="3672714"/>
            <wp:effectExtent l="0" t="0" r="16510" b="4445"/>
            <wp:docPr id="599891752" name="Graphique 1">
              <a:extLst xmlns:a="http://schemas.openxmlformats.org/drawingml/2006/main">
                <a:ext uri="{FF2B5EF4-FFF2-40B4-BE49-F238E27FC236}">
                  <a16:creationId xmlns:a16="http://schemas.microsoft.com/office/drawing/2014/main" id="{2CE11D1F-3818-F289-30E2-9D94E46D9B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521FD0E" w14:textId="77777777" w:rsidR="00605E05" w:rsidRPr="009F3C25" w:rsidRDefault="00605E05" w:rsidP="00605E05">
      <w:pPr>
        <w:jc w:val="both"/>
        <w:rPr>
          <w:sz w:val="18"/>
          <w:szCs w:val="18"/>
        </w:rPr>
      </w:pPr>
      <w:r w:rsidRPr="009F3C25">
        <w:rPr>
          <w:sz w:val="18"/>
          <w:szCs w:val="18"/>
        </w:rPr>
        <w:t>Source: Authors</w:t>
      </w:r>
    </w:p>
    <w:p w14:paraId="76D83094" w14:textId="77777777" w:rsidR="00513979" w:rsidRPr="0073480C" w:rsidRDefault="00513979" w:rsidP="00A0397F">
      <w:pPr>
        <w:jc w:val="both"/>
        <w:rPr>
          <w:rFonts w:ascii="Times New Roman" w:hAnsi="Times New Roman" w:cs="Times New Roman"/>
          <w:sz w:val="24"/>
          <w:szCs w:val="24"/>
        </w:rPr>
      </w:pPr>
    </w:p>
    <w:p w14:paraId="5A181704" w14:textId="14445474" w:rsidR="00A71DEE" w:rsidRPr="009B1F19" w:rsidRDefault="00A71DEE" w:rsidP="00A71DEE">
      <w:pPr>
        <w:pStyle w:val="Titre3"/>
        <w:numPr>
          <w:ilvl w:val="2"/>
          <w:numId w:val="1"/>
        </w:numPr>
        <w:tabs>
          <w:tab w:val="num" w:pos="360"/>
        </w:tabs>
        <w:spacing w:line="240" w:lineRule="auto"/>
        <w:ind w:left="0" w:firstLine="0"/>
        <w:rPr>
          <w:b/>
          <w:bCs/>
        </w:rPr>
      </w:pPr>
      <w:bookmarkStart w:id="41" w:name="_Toc195507401"/>
      <w:bookmarkStart w:id="42" w:name="_Toc200944560"/>
      <w:r w:rsidRPr="009B1F19">
        <w:rPr>
          <w:b/>
          <w:bCs/>
        </w:rPr>
        <w:t>The effects on households</w:t>
      </w:r>
      <w:bookmarkEnd w:id="41"/>
      <w:bookmarkEnd w:id="42"/>
    </w:p>
    <w:p w14:paraId="235FC49C" w14:textId="19075414" w:rsidR="00F975AA" w:rsidRDefault="00671324" w:rsidP="0073480C">
      <w:pPr>
        <w:jc w:val="both"/>
        <w:rPr>
          <w:rFonts w:ascii="Times New Roman" w:hAnsi="Times New Roman" w:cs="Times New Roman"/>
          <w:sz w:val="24"/>
          <w:szCs w:val="24"/>
        </w:rPr>
      </w:pPr>
      <w:r w:rsidRPr="0068138E">
        <w:rPr>
          <w:rFonts w:ascii="Times New Roman" w:hAnsi="Times New Roman" w:cs="Times New Roman"/>
          <w:sz w:val="24"/>
          <w:szCs w:val="24"/>
        </w:rPr>
        <w:t xml:space="preserve">The effect of the reform on households is understood through its effect on the prices of goods and on household income. The figure above shows that the fall in the prices of petroleum products leads to a fall in consumer prices in the forestry, construction and transport sectors. In the latter sector, the amplitude of the variation is 1.07% in the case of financing via domestic debt and reaches 1.12% when financing comes from abroad. For all other sectors, consumer prices increase but have low amplitudes of less than 0.02%. </w:t>
      </w:r>
      <w:bookmarkStart w:id="43" w:name="_Hlk200464578"/>
      <w:r w:rsidR="00F93AB6">
        <w:rPr>
          <w:rFonts w:ascii="Times New Roman" w:hAnsi="Times New Roman" w:cs="Times New Roman"/>
          <w:sz w:val="24"/>
          <w:szCs w:val="24"/>
        </w:rPr>
        <w:t>However, it is important to note the increase in consumer prices of food products which risks being detrimental to household income. Rural households appear to be the most disadvantaged regardless of the financing scheme</w:t>
      </w:r>
      <w:bookmarkEnd w:id="43"/>
      <w:r w:rsidR="00F975AA" w:rsidRPr="0073480C">
        <w:rPr>
          <w:rFonts w:ascii="Times New Roman" w:hAnsi="Times New Roman" w:cs="Times New Roman"/>
          <w:sz w:val="24"/>
          <w:szCs w:val="24"/>
        </w:rPr>
        <w:t>.</w:t>
      </w:r>
    </w:p>
    <w:p w14:paraId="2F06BA02" w14:textId="77777777" w:rsidR="0062027A" w:rsidRDefault="0062027A" w:rsidP="0073480C">
      <w:pPr>
        <w:jc w:val="both"/>
        <w:rPr>
          <w:rFonts w:ascii="Times New Roman" w:hAnsi="Times New Roman" w:cs="Times New Roman"/>
          <w:sz w:val="24"/>
          <w:szCs w:val="24"/>
        </w:rPr>
      </w:pPr>
    </w:p>
    <w:p w14:paraId="0C27645A" w14:textId="77777777" w:rsidR="0062027A" w:rsidRDefault="0062027A" w:rsidP="0073480C">
      <w:pPr>
        <w:jc w:val="both"/>
        <w:rPr>
          <w:rFonts w:ascii="Times New Roman" w:hAnsi="Times New Roman" w:cs="Times New Roman"/>
          <w:sz w:val="24"/>
          <w:szCs w:val="24"/>
        </w:rPr>
      </w:pPr>
    </w:p>
    <w:p w14:paraId="12671E6F" w14:textId="77777777" w:rsidR="0062027A" w:rsidRDefault="0062027A" w:rsidP="0073480C">
      <w:pPr>
        <w:jc w:val="both"/>
        <w:rPr>
          <w:rFonts w:ascii="Times New Roman" w:hAnsi="Times New Roman" w:cs="Times New Roman"/>
          <w:sz w:val="24"/>
          <w:szCs w:val="24"/>
        </w:rPr>
      </w:pPr>
    </w:p>
    <w:p w14:paraId="74E714E3" w14:textId="19173B21" w:rsidR="00F975AA" w:rsidRDefault="00F975AA" w:rsidP="00F975A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E937BD">
        <w:rPr>
          <w:rFonts w:ascii="Times New Roman" w:hAnsi="Times New Roman" w:cs="Times New Roman"/>
          <w:sz w:val="24"/>
          <w:szCs w:val="24"/>
        </w:rPr>
        <w:t>2</w:t>
      </w:r>
      <w:r>
        <w:rPr>
          <w:rFonts w:ascii="Times New Roman" w:hAnsi="Times New Roman" w:cs="Times New Roman"/>
          <w:sz w:val="24"/>
          <w:szCs w:val="24"/>
        </w:rPr>
        <w:t>: Effect on the food price index</w:t>
      </w:r>
    </w:p>
    <w:tbl>
      <w:tblPr>
        <w:tblStyle w:val="Tableausimple3"/>
        <w:tblW w:w="7533" w:type="dxa"/>
        <w:tblLook w:val="04A0" w:firstRow="1" w:lastRow="0" w:firstColumn="1" w:lastColumn="0" w:noHBand="0" w:noVBand="1"/>
      </w:tblPr>
      <w:tblGrid>
        <w:gridCol w:w="1080"/>
        <w:gridCol w:w="1382"/>
        <w:gridCol w:w="1827"/>
        <w:gridCol w:w="1350"/>
        <w:gridCol w:w="1894"/>
      </w:tblGrid>
      <w:tr w:rsidR="00F975AA" w:rsidRPr="00C240ED" w14:paraId="6848727A" w14:textId="77777777" w:rsidTr="00F975AA">
        <w:trPr>
          <w:cnfStyle w:val="100000000000" w:firstRow="1" w:lastRow="0" w:firstColumn="0" w:lastColumn="0" w:oddVBand="0" w:evenVBand="0" w:oddHBand="0" w:evenHBand="0" w:firstRowFirstColumn="0" w:firstRowLastColumn="0" w:lastRowFirstColumn="0" w:lastRowLastColumn="0"/>
          <w:trHeight w:val="250"/>
        </w:trPr>
        <w:tc>
          <w:tcPr>
            <w:cnfStyle w:val="001000000100" w:firstRow="0" w:lastRow="0" w:firstColumn="1" w:lastColumn="0" w:oddVBand="0" w:evenVBand="0" w:oddHBand="0" w:evenHBand="0" w:firstRowFirstColumn="1" w:firstRowLastColumn="0" w:lastRowFirstColumn="0" w:lastRowLastColumn="0"/>
            <w:tcW w:w="2462" w:type="dxa"/>
            <w:gridSpan w:val="2"/>
            <w:noWrap/>
            <w:hideMark/>
          </w:tcPr>
          <w:p w14:paraId="60194C1D" w14:textId="77777777" w:rsidR="00F975AA" w:rsidRPr="00C240ED" w:rsidRDefault="00F975AA" w:rsidP="00E20D63">
            <w:pPr>
              <w:rPr>
                <w:rFonts w:ascii="Arial" w:eastAsia="Times New Roman" w:hAnsi="Arial" w:cs="Arial"/>
                <w:color w:val="000000"/>
                <w:sz w:val="20"/>
                <w:szCs w:val="20"/>
                <w:lang w:eastAsia="fr-FR"/>
                <w14:ligatures w14:val="none"/>
              </w:rPr>
            </w:pPr>
            <w:r w:rsidRPr="009D164E">
              <w:rPr>
                <w:rFonts w:ascii="Arial" w:eastAsia="Times New Roman" w:hAnsi="Arial" w:cs="Arial"/>
                <w:color w:val="000000"/>
                <w:sz w:val="20"/>
                <w:szCs w:val="20"/>
                <w:lang w:eastAsia="fr-FR"/>
                <w14:ligatures w14:val="none"/>
              </w:rPr>
              <w:t>Food price index</w:t>
            </w:r>
          </w:p>
        </w:tc>
        <w:tc>
          <w:tcPr>
            <w:tcW w:w="1827" w:type="dxa"/>
            <w:noWrap/>
            <w:hideMark/>
          </w:tcPr>
          <w:p w14:paraId="4589D3EB" w14:textId="77777777" w:rsidR="00F975AA" w:rsidRPr="00C240ED" w:rsidRDefault="00F975AA" w:rsidP="00E20D63">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IntBorrowing</w:t>
            </w:r>
          </w:p>
        </w:tc>
        <w:tc>
          <w:tcPr>
            <w:tcW w:w="1350" w:type="dxa"/>
            <w:noWrap/>
            <w:hideMark/>
          </w:tcPr>
          <w:p w14:paraId="5393C0FA" w14:textId="77777777" w:rsidR="00F975AA" w:rsidRPr="00C240ED" w:rsidRDefault="00F975AA" w:rsidP="00E20D63">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GovSpend</w:t>
            </w:r>
          </w:p>
        </w:tc>
        <w:tc>
          <w:tcPr>
            <w:tcW w:w="1894" w:type="dxa"/>
            <w:noWrap/>
            <w:hideMark/>
          </w:tcPr>
          <w:p w14:paraId="665F1228" w14:textId="77777777" w:rsidR="00F975AA" w:rsidRPr="00C240ED" w:rsidRDefault="00F975AA" w:rsidP="00E20D63">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ExtBorrowing</w:t>
            </w:r>
          </w:p>
        </w:tc>
      </w:tr>
      <w:tr w:rsidR="00F975AA" w:rsidRPr="00C240ED" w14:paraId="589A34BB" w14:textId="77777777" w:rsidTr="0062027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080" w:type="dxa"/>
            <w:vMerge w:val="restart"/>
            <w:noWrap/>
            <w:hideMark/>
          </w:tcPr>
          <w:p w14:paraId="3E5CAC61" w14:textId="77777777" w:rsidR="00F975AA" w:rsidRPr="00C240ED" w:rsidRDefault="00F975AA" w:rsidP="00E20D63">
            <w:pPr>
              <w:jc w:val="center"/>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Urban</w:t>
            </w:r>
          </w:p>
        </w:tc>
        <w:tc>
          <w:tcPr>
            <w:tcW w:w="1382" w:type="dxa"/>
            <w:noWrap/>
            <w:hideMark/>
          </w:tcPr>
          <w:p w14:paraId="044DDAF6" w14:textId="77777777" w:rsidR="00F975AA" w:rsidRPr="00C240ED" w:rsidRDefault="00F975AA" w:rsidP="00E20D6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_Agadez</w:t>
            </w:r>
          </w:p>
        </w:tc>
        <w:tc>
          <w:tcPr>
            <w:tcW w:w="1827" w:type="dxa"/>
            <w:noWrap/>
            <w:hideMark/>
          </w:tcPr>
          <w:p w14:paraId="39D5BB0D"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0.08</w:t>
            </w:r>
          </w:p>
        </w:tc>
        <w:tc>
          <w:tcPr>
            <w:tcW w:w="1350" w:type="dxa"/>
            <w:noWrap/>
            <w:hideMark/>
          </w:tcPr>
          <w:p w14:paraId="5775B797"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0.09</w:t>
            </w:r>
          </w:p>
        </w:tc>
        <w:tc>
          <w:tcPr>
            <w:tcW w:w="1894" w:type="dxa"/>
            <w:noWrap/>
            <w:hideMark/>
          </w:tcPr>
          <w:p w14:paraId="5A10FBD6"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0.05</w:t>
            </w:r>
          </w:p>
        </w:tc>
      </w:tr>
      <w:tr w:rsidR="00F975AA" w:rsidRPr="00C240ED" w14:paraId="5F2BA6B3" w14:textId="77777777" w:rsidTr="0062027A">
        <w:trPr>
          <w:trHeight w:val="250"/>
        </w:trPr>
        <w:tc>
          <w:tcPr>
            <w:cnfStyle w:val="001000000000" w:firstRow="0" w:lastRow="0" w:firstColumn="1" w:lastColumn="0" w:oddVBand="0" w:evenVBand="0" w:oddHBand="0" w:evenHBand="0" w:firstRowFirstColumn="0" w:firstRowLastColumn="0" w:lastRowFirstColumn="0" w:lastRowLastColumn="0"/>
            <w:tcW w:w="1080" w:type="dxa"/>
            <w:vMerge/>
            <w:hideMark/>
          </w:tcPr>
          <w:p w14:paraId="2EE5CAAB" w14:textId="77777777" w:rsidR="00F975AA" w:rsidRPr="00C240ED" w:rsidRDefault="00F975AA" w:rsidP="00E20D63">
            <w:pPr>
              <w:rPr>
                <w:rFonts w:ascii="Arial" w:eastAsia="Times New Roman" w:hAnsi="Arial" w:cs="Arial"/>
                <w:color w:val="000000"/>
                <w:sz w:val="20"/>
                <w:szCs w:val="20"/>
                <w:lang w:eastAsia="fr-FR"/>
                <w14:ligatures w14:val="none"/>
              </w:rPr>
            </w:pPr>
          </w:p>
        </w:tc>
        <w:tc>
          <w:tcPr>
            <w:tcW w:w="1382" w:type="dxa"/>
            <w:noWrap/>
            <w:hideMark/>
          </w:tcPr>
          <w:p w14:paraId="409CC8B4" w14:textId="77777777" w:rsidR="00F975AA" w:rsidRPr="00C240ED" w:rsidRDefault="00F975AA" w:rsidP="00E20D6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_Diffa</w:t>
            </w:r>
          </w:p>
        </w:tc>
        <w:tc>
          <w:tcPr>
            <w:tcW w:w="1827" w:type="dxa"/>
            <w:noWrap/>
            <w:hideMark/>
          </w:tcPr>
          <w:p w14:paraId="59CC7F46"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0.07</w:t>
            </w:r>
          </w:p>
        </w:tc>
        <w:tc>
          <w:tcPr>
            <w:tcW w:w="1350" w:type="dxa"/>
            <w:noWrap/>
            <w:hideMark/>
          </w:tcPr>
          <w:p w14:paraId="153B9120"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0.09</w:t>
            </w:r>
          </w:p>
        </w:tc>
        <w:tc>
          <w:tcPr>
            <w:tcW w:w="1894" w:type="dxa"/>
            <w:noWrap/>
            <w:hideMark/>
          </w:tcPr>
          <w:p w14:paraId="293B334C"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0.03</w:t>
            </w:r>
          </w:p>
        </w:tc>
      </w:tr>
      <w:tr w:rsidR="00F975AA" w:rsidRPr="00C240ED" w14:paraId="5B47AA28" w14:textId="77777777" w:rsidTr="0062027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080" w:type="dxa"/>
            <w:vMerge/>
            <w:hideMark/>
          </w:tcPr>
          <w:p w14:paraId="28A714CB" w14:textId="77777777" w:rsidR="00F975AA" w:rsidRPr="00C240ED" w:rsidRDefault="00F975AA" w:rsidP="00E20D63">
            <w:pPr>
              <w:rPr>
                <w:rFonts w:ascii="Arial" w:eastAsia="Times New Roman" w:hAnsi="Arial" w:cs="Arial"/>
                <w:color w:val="000000"/>
                <w:sz w:val="20"/>
                <w:szCs w:val="20"/>
                <w:lang w:eastAsia="fr-FR"/>
                <w14:ligatures w14:val="none"/>
              </w:rPr>
            </w:pPr>
          </w:p>
        </w:tc>
        <w:tc>
          <w:tcPr>
            <w:tcW w:w="1382" w:type="dxa"/>
            <w:noWrap/>
            <w:hideMark/>
          </w:tcPr>
          <w:p w14:paraId="2CD57B93" w14:textId="77777777" w:rsidR="00F975AA" w:rsidRPr="00C240ED" w:rsidRDefault="00F975AA" w:rsidP="00E20D6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_Doss</w:t>
            </w:r>
          </w:p>
        </w:tc>
        <w:tc>
          <w:tcPr>
            <w:tcW w:w="1827" w:type="dxa"/>
            <w:noWrap/>
            <w:hideMark/>
          </w:tcPr>
          <w:p w14:paraId="14F2895A"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0.08</w:t>
            </w:r>
          </w:p>
        </w:tc>
        <w:tc>
          <w:tcPr>
            <w:tcW w:w="1350" w:type="dxa"/>
            <w:noWrap/>
            <w:hideMark/>
          </w:tcPr>
          <w:p w14:paraId="378BF818"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0.08</w:t>
            </w:r>
          </w:p>
        </w:tc>
        <w:tc>
          <w:tcPr>
            <w:tcW w:w="1894" w:type="dxa"/>
            <w:noWrap/>
            <w:hideMark/>
          </w:tcPr>
          <w:p w14:paraId="0FB9859E"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0.04</w:t>
            </w:r>
          </w:p>
        </w:tc>
      </w:tr>
      <w:tr w:rsidR="00F975AA" w:rsidRPr="00C240ED" w14:paraId="3A601749" w14:textId="77777777" w:rsidTr="0062027A">
        <w:trPr>
          <w:trHeight w:val="250"/>
        </w:trPr>
        <w:tc>
          <w:tcPr>
            <w:cnfStyle w:val="001000000000" w:firstRow="0" w:lastRow="0" w:firstColumn="1" w:lastColumn="0" w:oddVBand="0" w:evenVBand="0" w:oddHBand="0" w:evenHBand="0" w:firstRowFirstColumn="0" w:firstRowLastColumn="0" w:lastRowFirstColumn="0" w:lastRowLastColumn="0"/>
            <w:tcW w:w="1080" w:type="dxa"/>
            <w:vMerge/>
            <w:hideMark/>
          </w:tcPr>
          <w:p w14:paraId="67579D5E" w14:textId="77777777" w:rsidR="00F975AA" w:rsidRPr="00C240ED" w:rsidRDefault="00F975AA" w:rsidP="00E20D63">
            <w:pPr>
              <w:rPr>
                <w:rFonts w:ascii="Arial" w:eastAsia="Times New Roman" w:hAnsi="Arial" w:cs="Arial"/>
                <w:color w:val="000000"/>
                <w:sz w:val="20"/>
                <w:szCs w:val="20"/>
                <w:lang w:eastAsia="fr-FR"/>
                <w14:ligatures w14:val="none"/>
              </w:rPr>
            </w:pPr>
          </w:p>
        </w:tc>
        <w:tc>
          <w:tcPr>
            <w:tcW w:w="1382" w:type="dxa"/>
            <w:noWrap/>
            <w:hideMark/>
          </w:tcPr>
          <w:p w14:paraId="273CFB03" w14:textId="77777777" w:rsidR="00F975AA" w:rsidRPr="00C240ED" w:rsidRDefault="00F975AA" w:rsidP="00E20D6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_Maradi</w:t>
            </w:r>
          </w:p>
        </w:tc>
        <w:tc>
          <w:tcPr>
            <w:tcW w:w="1827" w:type="dxa"/>
            <w:noWrap/>
            <w:hideMark/>
          </w:tcPr>
          <w:p w14:paraId="69767017"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0.08</w:t>
            </w:r>
          </w:p>
        </w:tc>
        <w:tc>
          <w:tcPr>
            <w:tcW w:w="1350" w:type="dxa"/>
            <w:noWrap/>
            <w:hideMark/>
          </w:tcPr>
          <w:p w14:paraId="7FB6FF90"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0.09</w:t>
            </w:r>
          </w:p>
        </w:tc>
        <w:tc>
          <w:tcPr>
            <w:tcW w:w="1894" w:type="dxa"/>
            <w:noWrap/>
            <w:hideMark/>
          </w:tcPr>
          <w:p w14:paraId="2A773605"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0.04</w:t>
            </w:r>
          </w:p>
        </w:tc>
      </w:tr>
      <w:tr w:rsidR="00F975AA" w:rsidRPr="00C240ED" w14:paraId="23B4B4EE" w14:textId="77777777" w:rsidTr="0062027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080" w:type="dxa"/>
            <w:vMerge/>
            <w:hideMark/>
          </w:tcPr>
          <w:p w14:paraId="136A3193" w14:textId="77777777" w:rsidR="00F975AA" w:rsidRPr="00C240ED" w:rsidRDefault="00F975AA" w:rsidP="00E20D63">
            <w:pPr>
              <w:rPr>
                <w:rFonts w:ascii="Arial" w:eastAsia="Times New Roman" w:hAnsi="Arial" w:cs="Arial"/>
                <w:color w:val="000000"/>
                <w:sz w:val="20"/>
                <w:szCs w:val="20"/>
                <w:lang w:eastAsia="fr-FR"/>
                <w14:ligatures w14:val="none"/>
              </w:rPr>
            </w:pPr>
          </w:p>
        </w:tc>
        <w:tc>
          <w:tcPr>
            <w:tcW w:w="1382" w:type="dxa"/>
            <w:noWrap/>
            <w:hideMark/>
          </w:tcPr>
          <w:p w14:paraId="6BFC9703" w14:textId="77777777" w:rsidR="00F975AA" w:rsidRPr="00C240ED" w:rsidRDefault="00F975AA" w:rsidP="00E20D6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_Tahua</w:t>
            </w:r>
          </w:p>
        </w:tc>
        <w:tc>
          <w:tcPr>
            <w:tcW w:w="1827" w:type="dxa"/>
            <w:noWrap/>
            <w:hideMark/>
          </w:tcPr>
          <w:p w14:paraId="543A3A49"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0.07</w:t>
            </w:r>
          </w:p>
        </w:tc>
        <w:tc>
          <w:tcPr>
            <w:tcW w:w="1350" w:type="dxa"/>
            <w:noWrap/>
            <w:hideMark/>
          </w:tcPr>
          <w:p w14:paraId="58DAE772"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0.09</w:t>
            </w:r>
          </w:p>
        </w:tc>
        <w:tc>
          <w:tcPr>
            <w:tcW w:w="1894" w:type="dxa"/>
            <w:noWrap/>
            <w:hideMark/>
          </w:tcPr>
          <w:p w14:paraId="60EDF3F4"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0.03</w:t>
            </w:r>
          </w:p>
        </w:tc>
      </w:tr>
      <w:tr w:rsidR="00F975AA" w:rsidRPr="00C240ED" w14:paraId="4F4DD45D" w14:textId="77777777" w:rsidTr="0062027A">
        <w:trPr>
          <w:trHeight w:val="250"/>
        </w:trPr>
        <w:tc>
          <w:tcPr>
            <w:cnfStyle w:val="001000000000" w:firstRow="0" w:lastRow="0" w:firstColumn="1" w:lastColumn="0" w:oddVBand="0" w:evenVBand="0" w:oddHBand="0" w:evenHBand="0" w:firstRowFirstColumn="0" w:firstRowLastColumn="0" w:lastRowFirstColumn="0" w:lastRowLastColumn="0"/>
            <w:tcW w:w="1080" w:type="dxa"/>
            <w:vMerge/>
            <w:hideMark/>
          </w:tcPr>
          <w:p w14:paraId="668DC768" w14:textId="77777777" w:rsidR="00F975AA" w:rsidRPr="00C240ED" w:rsidRDefault="00F975AA" w:rsidP="00E20D63">
            <w:pPr>
              <w:rPr>
                <w:rFonts w:ascii="Arial" w:eastAsia="Times New Roman" w:hAnsi="Arial" w:cs="Arial"/>
                <w:color w:val="000000"/>
                <w:sz w:val="20"/>
                <w:szCs w:val="20"/>
                <w:lang w:eastAsia="fr-FR"/>
                <w14:ligatures w14:val="none"/>
              </w:rPr>
            </w:pPr>
          </w:p>
        </w:tc>
        <w:tc>
          <w:tcPr>
            <w:tcW w:w="1382" w:type="dxa"/>
            <w:noWrap/>
            <w:hideMark/>
          </w:tcPr>
          <w:p w14:paraId="6827BC6B" w14:textId="77777777" w:rsidR="00F975AA" w:rsidRPr="00C240ED" w:rsidRDefault="00F975AA" w:rsidP="00E20D6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_Tilabery</w:t>
            </w:r>
          </w:p>
        </w:tc>
        <w:tc>
          <w:tcPr>
            <w:tcW w:w="1827" w:type="dxa"/>
            <w:noWrap/>
            <w:hideMark/>
          </w:tcPr>
          <w:p w14:paraId="57743454"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0.08</w:t>
            </w:r>
          </w:p>
        </w:tc>
        <w:tc>
          <w:tcPr>
            <w:tcW w:w="1350" w:type="dxa"/>
            <w:noWrap/>
            <w:hideMark/>
          </w:tcPr>
          <w:p w14:paraId="20086418"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0.09</w:t>
            </w:r>
          </w:p>
        </w:tc>
        <w:tc>
          <w:tcPr>
            <w:tcW w:w="1894" w:type="dxa"/>
            <w:noWrap/>
            <w:hideMark/>
          </w:tcPr>
          <w:p w14:paraId="7CF49D92"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0.05</w:t>
            </w:r>
          </w:p>
        </w:tc>
      </w:tr>
      <w:tr w:rsidR="00F975AA" w:rsidRPr="00C240ED" w14:paraId="3E4AFE83" w14:textId="77777777" w:rsidTr="0062027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080" w:type="dxa"/>
            <w:vMerge/>
            <w:hideMark/>
          </w:tcPr>
          <w:p w14:paraId="77D8C408" w14:textId="77777777" w:rsidR="00F975AA" w:rsidRPr="00C240ED" w:rsidRDefault="00F975AA" w:rsidP="00E20D63">
            <w:pPr>
              <w:rPr>
                <w:rFonts w:ascii="Arial" w:eastAsia="Times New Roman" w:hAnsi="Arial" w:cs="Arial"/>
                <w:color w:val="000000"/>
                <w:sz w:val="20"/>
                <w:szCs w:val="20"/>
                <w:lang w:eastAsia="fr-FR"/>
                <w14:ligatures w14:val="none"/>
              </w:rPr>
            </w:pPr>
          </w:p>
        </w:tc>
        <w:tc>
          <w:tcPr>
            <w:tcW w:w="1382" w:type="dxa"/>
            <w:noWrap/>
            <w:hideMark/>
          </w:tcPr>
          <w:p w14:paraId="51E5555A" w14:textId="77777777" w:rsidR="00F975AA" w:rsidRPr="00C240ED" w:rsidRDefault="00F975AA" w:rsidP="00E20D6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_Zinder</w:t>
            </w:r>
          </w:p>
        </w:tc>
        <w:tc>
          <w:tcPr>
            <w:tcW w:w="1827" w:type="dxa"/>
            <w:noWrap/>
            <w:hideMark/>
          </w:tcPr>
          <w:p w14:paraId="66082DA4"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0.07</w:t>
            </w:r>
          </w:p>
        </w:tc>
        <w:tc>
          <w:tcPr>
            <w:tcW w:w="1350" w:type="dxa"/>
            <w:noWrap/>
            <w:hideMark/>
          </w:tcPr>
          <w:p w14:paraId="62CBE583"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0.08</w:t>
            </w:r>
          </w:p>
        </w:tc>
        <w:tc>
          <w:tcPr>
            <w:tcW w:w="1894" w:type="dxa"/>
            <w:noWrap/>
            <w:hideMark/>
          </w:tcPr>
          <w:p w14:paraId="4330B2DF"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0.04</w:t>
            </w:r>
          </w:p>
        </w:tc>
      </w:tr>
      <w:tr w:rsidR="00F975AA" w:rsidRPr="00C240ED" w14:paraId="6E685BD0" w14:textId="77777777" w:rsidTr="0062027A">
        <w:trPr>
          <w:trHeight w:val="250"/>
        </w:trPr>
        <w:tc>
          <w:tcPr>
            <w:cnfStyle w:val="001000000000" w:firstRow="0" w:lastRow="0" w:firstColumn="1" w:lastColumn="0" w:oddVBand="0" w:evenVBand="0" w:oddHBand="0" w:evenHBand="0" w:firstRowFirstColumn="0" w:firstRowLastColumn="0" w:lastRowFirstColumn="0" w:lastRowLastColumn="0"/>
            <w:tcW w:w="1080" w:type="dxa"/>
            <w:vMerge/>
            <w:hideMark/>
          </w:tcPr>
          <w:p w14:paraId="5E12B7D6" w14:textId="77777777" w:rsidR="00F975AA" w:rsidRPr="00C240ED" w:rsidRDefault="00F975AA" w:rsidP="00E20D63">
            <w:pPr>
              <w:rPr>
                <w:rFonts w:ascii="Arial" w:eastAsia="Times New Roman" w:hAnsi="Arial" w:cs="Arial"/>
                <w:color w:val="000000"/>
                <w:sz w:val="20"/>
                <w:szCs w:val="20"/>
                <w:lang w:eastAsia="fr-FR"/>
                <w14:ligatures w14:val="none"/>
              </w:rPr>
            </w:pPr>
          </w:p>
        </w:tc>
        <w:tc>
          <w:tcPr>
            <w:tcW w:w="1382" w:type="dxa"/>
            <w:noWrap/>
            <w:hideMark/>
          </w:tcPr>
          <w:p w14:paraId="0F237B31" w14:textId="77777777" w:rsidR="00F975AA" w:rsidRPr="00C240ED" w:rsidRDefault="00F975AA" w:rsidP="00E20D6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_Niamey</w:t>
            </w:r>
          </w:p>
        </w:tc>
        <w:tc>
          <w:tcPr>
            <w:tcW w:w="1827" w:type="dxa"/>
            <w:noWrap/>
            <w:hideMark/>
          </w:tcPr>
          <w:p w14:paraId="5F39B03C"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0.07</w:t>
            </w:r>
          </w:p>
        </w:tc>
        <w:tc>
          <w:tcPr>
            <w:tcW w:w="1350" w:type="dxa"/>
            <w:noWrap/>
            <w:hideMark/>
          </w:tcPr>
          <w:p w14:paraId="432AD8CB"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0.08</w:t>
            </w:r>
          </w:p>
        </w:tc>
        <w:tc>
          <w:tcPr>
            <w:tcW w:w="1894" w:type="dxa"/>
            <w:noWrap/>
            <w:hideMark/>
          </w:tcPr>
          <w:p w14:paraId="5DCBCC45"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0.04</w:t>
            </w:r>
          </w:p>
        </w:tc>
      </w:tr>
      <w:tr w:rsidR="00F975AA" w:rsidRPr="00C240ED" w14:paraId="3AC94102" w14:textId="77777777" w:rsidTr="0062027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080" w:type="dxa"/>
            <w:vMerge w:val="restart"/>
            <w:noWrap/>
            <w:hideMark/>
          </w:tcPr>
          <w:p w14:paraId="34973838" w14:textId="77777777" w:rsidR="00F975AA" w:rsidRPr="00C240ED" w:rsidRDefault="00F975AA" w:rsidP="00E20D63">
            <w:pPr>
              <w:jc w:val="center"/>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Rural</w:t>
            </w:r>
          </w:p>
        </w:tc>
        <w:tc>
          <w:tcPr>
            <w:tcW w:w="1382" w:type="dxa"/>
            <w:noWrap/>
            <w:hideMark/>
          </w:tcPr>
          <w:p w14:paraId="28548759" w14:textId="77777777" w:rsidR="00F975AA" w:rsidRPr="00C240ED" w:rsidRDefault="00F975AA" w:rsidP="00E20D6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_Agadez</w:t>
            </w:r>
          </w:p>
        </w:tc>
        <w:tc>
          <w:tcPr>
            <w:tcW w:w="1827" w:type="dxa"/>
            <w:noWrap/>
            <w:hideMark/>
          </w:tcPr>
          <w:p w14:paraId="4DD9345A"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0.09</w:t>
            </w:r>
          </w:p>
        </w:tc>
        <w:tc>
          <w:tcPr>
            <w:tcW w:w="1350" w:type="dxa"/>
            <w:noWrap/>
            <w:hideMark/>
          </w:tcPr>
          <w:p w14:paraId="20BA446D"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0.11</w:t>
            </w:r>
          </w:p>
        </w:tc>
        <w:tc>
          <w:tcPr>
            <w:tcW w:w="1894" w:type="dxa"/>
            <w:noWrap/>
            <w:hideMark/>
          </w:tcPr>
          <w:p w14:paraId="24DFDA5F"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0.05</w:t>
            </w:r>
          </w:p>
        </w:tc>
      </w:tr>
      <w:tr w:rsidR="00F975AA" w:rsidRPr="00C240ED" w14:paraId="2514A9E6" w14:textId="77777777" w:rsidTr="0062027A">
        <w:trPr>
          <w:trHeight w:val="250"/>
        </w:trPr>
        <w:tc>
          <w:tcPr>
            <w:cnfStyle w:val="001000000000" w:firstRow="0" w:lastRow="0" w:firstColumn="1" w:lastColumn="0" w:oddVBand="0" w:evenVBand="0" w:oddHBand="0" w:evenHBand="0" w:firstRowFirstColumn="0" w:firstRowLastColumn="0" w:lastRowFirstColumn="0" w:lastRowLastColumn="0"/>
            <w:tcW w:w="1080" w:type="dxa"/>
            <w:vMerge/>
            <w:hideMark/>
          </w:tcPr>
          <w:p w14:paraId="55CFC30A" w14:textId="77777777" w:rsidR="00F975AA" w:rsidRPr="00C240ED" w:rsidRDefault="00F975AA" w:rsidP="00E20D63">
            <w:pPr>
              <w:rPr>
                <w:rFonts w:ascii="Arial" w:eastAsia="Times New Roman" w:hAnsi="Arial" w:cs="Arial"/>
                <w:color w:val="000000"/>
                <w:sz w:val="20"/>
                <w:szCs w:val="20"/>
                <w:lang w:eastAsia="fr-FR"/>
                <w14:ligatures w14:val="none"/>
              </w:rPr>
            </w:pPr>
          </w:p>
        </w:tc>
        <w:tc>
          <w:tcPr>
            <w:tcW w:w="1382" w:type="dxa"/>
            <w:noWrap/>
            <w:hideMark/>
          </w:tcPr>
          <w:p w14:paraId="1E7A4441" w14:textId="77777777" w:rsidR="00F975AA" w:rsidRPr="00C240ED" w:rsidRDefault="00F975AA" w:rsidP="00E20D6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_Diffa</w:t>
            </w:r>
          </w:p>
        </w:tc>
        <w:tc>
          <w:tcPr>
            <w:tcW w:w="1827" w:type="dxa"/>
            <w:noWrap/>
            <w:hideMark/>
          </w:tcPr>
          <w:p w14:paraId="5399417C"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0.07</w:t>
            </w:r>
          </w:p>
        </w:tc>
        <w:tc>
          <w:tcPr>
            <w:tcW w:w="1350" w:type="dxa"/>
            <w:noWrap/>
            <w:hideMark/>
          </w:tcPr>
          <w:p w14:paraId="39722403"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0.09</w:t>
            </w:r>
          </w:p>
        </w:tc>
        <w:tc>
          <w:tcPr>
            <w:tcW w:w="1894" w:type="dxa"/>
            <w:noWrap/>
            <w:hideMark/>
          </w:tcPr>
          <w:p w14:paraId="6ADC6B7E"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0.03</w:t>
            </w:r>
          </w:p>
        </w:tc>
      </w:tr>
      <w:tr w:rsidR="00F975AA" w:rsidRPr="00C240ED" w14:paraId="433C94E3" w14:textId="77777777" w:rsidTr="0062027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080" w:type="dxa"/>
            <w:vMerge/>
            <w:hideMark/>
          </w:tcPr>
          <w:p w14:paraId="24C6B067" w14:textId="77777777" w:rsidR="00F975AA" w:rsidRPr="00C240ED" w:rsidRDefault="00F975AA" w:rsidP="00E20D63">
            <w:pPr>
              <w:rPr>
                <w:rFonts w:ascii="Arial" w:eastAsia="Times New Roman" w:hAnsi="Arial" w:cs="Arial"/>
                <w:color w:val="000000"/>
                <w:sz w:val="20"/>
                <w:szCs w:val="20"/>
                <w:lang w:eastAsia="fr-FR"/>
                <w14:ligatures w14:val="none"/>
              </w:rPr>
            </w:pPr>
          </w:p>
        </w:tc>
        <w:tc>
          <w:tcPr>
            <w:tcW w:w="1382" w:type="dxa"/>
            <w:noWrap/>
            <w:hideMark/>
          </w:tcPr>
          <w:p w14:paraId="756A1CB5" w14:textId="77777777" w:rsidR="00F975AA" w:rsidRPr="00C240ED" w:rsidRDefault="00F975AA" w:rsidP="00E20D6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_Doss</w:t>
            </w:r>
          </w:p>
        </w:tc>
        <w:tc>
          <w:tcPr>
            <w:tcW w:w="1827" w:type="dxa"/>
            <w:noWrap/>
            <w:hideMark/>
          </w:tcPr>
          <w:p w14:paraId="02DC3BED"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0.09</w:t>
            </w:r>
          </w:p>
        </w:tc>
        <w:tc>
          <w:tcPr>
            <w:tcW w:w="1350" w:type="dxa"/>
            <w:noWrap/>
            <w:hideMark/>
          </w:tcPr>
          <w:p w14:paraId="55F3A36D"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0.11</w:t>
            </w:r>
          </w:p>
        </w:tc>
        <w:tc>
          <w:tcPr>
            <w:tcW w:w="1894" w:type="dxa"/>
            <w:noWrap/>
            <w:hideMark/>
          </w:tcPr>
          <w:p w14:paraId="7ED16C81"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0.06</w:t>
            </w:r>
          </w:p>
        </w:tc>
      </w:tr>
      <w:tr w:rsidR="00F975AA" w:rsidRPr="00C240ED" w14:paraId="725ED0AB" w14:textId="77777777" w:rsidTr="0062027A">
        <w:trPr>
          <w:trHeight w:val="250"/>
        </w:trPr>
        <w:tc>
          <w:tcPr>
            <w:cnfStyle w:val="001000000000" w:firstRow="0" w:lastRow="0" w:firstColumn="1" w:lastColumn="0" w:oddVBand="0" w:evenVBand="0" w:oddHBand="0" w:evenHBand="0" w:firstRowFirstColumn="0" w:firstRowLastColumn="0" w:lastRowFirstColumn="0" w:lastRowLastColumn="0"/>
            <w:tcW w:w="1080" w:type="dxa"/>
            <w:vMerge/>
            <w:hideMark/>
          </w:tcPr>
          <w:p w14:paraId="0628A468" w14:textId="77777777" w:rsidR="00F975AA" w:rsidRPr="00C240ED" w:rsidRDefault="00F975AA" w:rsidP="00E20D63">
            <w:pPr>
              <w:rPr>
                <w:rFonts w:ascii="Arial" w:eastAsia="Times New Roman" w:hAnsi="Arial" w:cs="Arial"/>
                <w:color w:val="000000"/>
                <w:sz w:val="20"/>
                <w:szCs w:val="20"/>
                <w:lang w:eastAsia="fr-FR"/>
                <w14:ligatures w14:val="none"/>
              </w:rPr>
            </w:pPr>
          </w:p>
        </w:tc>
        <w:tc>
          <w:tcPr>
            <w:tcW w:w="1382" w:type="dxa"/>
            <w:noWrap/>
            <w:hideMark/>
          </w:tcPr>
          <w:p w14:paraId="6037D863" w14:textId="77777777" w:rsidR="00F975AA" w:rsidRPr="00C240ED" w:rsidRDefault="00F975AA" w:rsidP="00E20D6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_Maradi</w:t>
            </w:r>
          </w:p>
        </w:tc>
        <w:tc>
          <w:tcPr>
            <w:tcW w:w="1827" w:type="dxa"/>
            <w:noWrap/>
            <w:hideMark/>
          </w:tcPr>
          <w:p w14:paraId="5975270E"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0.08</w:t>
            </w:r>
          </w:p>
        </w:tc>
        <w:tc>
          <w:tcPr>
            <w:tcW w:w="1350" w:type="dxa"/>
            <w:noWrap/>
            <w:hideMark/>
          </w:tcPr>
          <w:p w14:paraId="7E681CCC"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0.10</w:t>
            </w:r>
          </w:p>
        </w:tc>
        <w:tc>
          <w:tcPr>
            <w:tcW w:w="1894" w:type="dxa"/>
            <w:noWrap/>
            <w:hideMark/>
          </w:tcPr>
          <w:p w14:paraId="7B25C0B5"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0.05</w:t>
            </w:r>
          </w:p>
        </w:tc>
      </w:tr>
      <w:tr w:rsidR="00F975AA" w:rsidRPr="00C240ED" w14:paraId="3DD4F1F0" w14:textId="77777777" w:rsidTr="0062027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080" w:type="dxa"/>
            <w:vMerge/>
            <w:hideMark/>
          </w:tcPr>
          <w:p w14:paraId="3A782622" w14:textId="77777777" w:rsidR="00F975AA" w:rsidRPr="00C240ED" w:rsidRDefault="00F975AA" w:rsidP="00E20D63">
            <w:pPr>
              <w:rPr>
                <w:rFonts w:ascii="Arial" w:eastAsia="Times New Roman" w:hAnsi="Arial" w:cs="Arial"/>
                <w:color w:val="000000"/>
                <w:sz w:val="20"/>
                <w:szCs w:val="20"/>
                <w:lang w:eastAsia="fr-FR"/>
                <w14:ligatures w14:val="none"/>
              </w:rPr>
            </w:pPr>
          </w:p>
        </w:tc>
        <w:tc>
          <w:tcPr>
            <w:tcW w:w="1382" w:type="dxa"/>
            <w:noWrap/>
            <w:hideMark/>
          </w:tcPr>
          <w:p w14:paraId="2E5BC37D" w14:textId="77777777" w:rsidR="00F975AA" w:rsidRPr="00C240ED" w:rsidRDefault="00F975AA" w:rsidP="00E20D6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_Tahua</w:t>
            </w:r>
          </w:p>
        </w:tc>
        <w:tc>
          <w:tcPr>
            <w:tcW w:w="1827" w:type="dxa"/>
            <w:noWrap/>
            <w:hideMark/>
          </w:tcPr>
          <w:p w14:paraId="116763C9"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0.09</w:t>
            </w:r>
          </w:p>
        </w:tc>
        <w:tc>
          <w:tcPr>
            <w:tcW w:w="1350" w:type="dxa"/>
            <w:noWrap/>
            <w:hideMark/>
          </w:tcPr>
          <w:p w14:paraId="466BD389"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0.10</w:t>
            </w:r>
          </w:p>
        </w:tc>
        <w:tc>
          <w:tcPr>
            <w:tcW w:w="1894" w:type="dxa"/>
            <w:noWrap/>
            <w:hideMark/>
          </w:tcPr>
          <w:p w14:paraId="319F0D7B"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0.05</w:t>
            </w:r>
          </w:p>
        </w:tc>
      </w:tr>
      <w:tr w:rsidR="00F975AA" w:rsidRPr="00C240ED" w14:paraId="589EEE5A" w14:textId="77777777" w:rsidTr="0062027A">
        <w:trPr>
          <w:trHeight w:val="250"/>
        </w:trPr>
        <w:tc>
          <w:tcPr>
            <w:cnfStyle w:val="001000000000" w:firstRow="0" w:lastRow="0" w:firstColumn="1" w:lastColumn="0" w:oddVBand="0" w:evenVBand="0" w:oddHBand="0" w:evenHBand="0" w:firstRowFirstColumn="0" w:firstRowLastColumn="0" w:lastRowFirstColumn="0" w:lastRowLastColumn="0"/>
            <w:tcW w:w="1080" w:type="dxa"/>
            <w:vMerge/>
            <w:hideMark/>
          </w:tcPr>
          <w:p w14:paraId="2D525E41" w14:textId="77777777" w:rsidR="00F975AA" w:rsidRPr="00C240ED" w:rsidRDefault="00F975AA" w:rsidP="00E20D63">
            <w:pPr>
              <w:rPr>
                <w:rFonts w:ascii="Arial" w:eastAsia="Times New Roman" w:hAnsi="Arial" w:cs="Arial"/>
                <w:color w:val="000000"/>
                <w:sz w:val="20"/>
                <w:szCs w:val="20"/>
                <w:lang w:eastAsia="fr-FR"/>
                <w14:ligatures w14:val="none"/>
              </w:rPr>
            </w:pPr>
          </w:p>
        </w:tc>
        <w:tc>
          <w:tcPr>
            <w:tcW w:w="1382" w:type="dxa"/>
            <w:noWrap/>
            <w:hideMark/>
          </w:tcPr>
          <w:p w14:paraId="4BF6A3D4" w14:textId="77777777" w:rsidR="00F975AA" w:rsidRPr="00C240ED" w:rsidRDefault="00F975AA" w:rsidP="00E20D6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_Tilabery</w:t>
            </w:r>
          </w:p>
        </w:tc>
        <w:tc>
          <w:tcPr>
            <w:tcW w:w="1827" w:type="dxa"/>
            <w:noWrap/>
            <w:hideMark/>
          </w:tcPr>
          <w:p w14:paraId="4FF7C90B"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0.08</w:t>
            </w:r>
          </w:p>
        </w:tc>
        <w:tc>
          <w:tcPr>
            <w:tcW w:w="1350" w:type="dxa"/>
            <w:noWrap/>
            <w:hideMark/>
          </w:tcPr>
          <w:p w14:paraId="6FE87A58"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0.10</w:t>
            </w:r>
          </w:p>
        </w:tc>
        <w:tc>
          <w:tcPr>
            <w:tcW w:w="1894" w:type="dxa"/>
            <w:noWrap/>
            <w:hideMark/>
          </w:tcPr>
          <w:p w14:paraId="44AA6985"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0.05</w:t>
            </w:r>
          </w:p>
        </w:tc>
      </w:tr>
      <w:tr w:rsidR="00F975AA" w:rsidRPr="00C240ED" w14:paraId="3B1CB3A0" w14:textId="77777777" w:rsidTr="0062027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080" w:type="dxa"/>
            <w:vMerge/>
            <w:hideMark/>
          </w:tcPr>
          <w:p w14:paraId="642AE722" w14:textId="77777777" w:rsidR="00F975AA" w:rsidRPr="00C240ED" w:rsidRDefault="00F975AA" w:rsidP="00E20D63">
            <w:pPr>
              <w:rPr>
                <w:rFonts w:ascii="Arial" w:eastAsia="Times New Roman" w:hAnsi="Arial" w:cs="Arial"/>
                <w:color w:val="000000"/>
                <w:sz w:val="20"/>
                <w:szCs w:val="20"/>
                <w:lang w:eastAsia="fr-FR"/>
                <w14:ligatures w14:val="none"/>
              </w:rPr>
            </w:pPr>
          </w:p>
        </w:tc>
        <w:tc>
          <w:tcPr>
            <w:tcW w:w="1382" w:type="dxa"/>
            <w:noWrap/>
            <w:hideMark/>
          </w:tcPr>
          <w:p w14:paraId="5CF1E787" w14:textId="77777777" w:rsidR="00F975AA" w:rsidRPr="00C240ED" w:rsidRDefault="00F975AA" w:rsidP="00E20D6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_Zinder</w:t>
            </w:r>
          </w:p>
        </w:tc>
        <w:tc>
          <w:tcPr>
            <w:tcW w:w="1827" w:type="dxa"/>
            <w:noWrap/>
            <w:hideMark/>
          </w:tcPr>
          <w:p w14:paraId="474C20A0"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0.09</w:t>
            </w:r>
          </w:p>
        </w:tc>
        <w:tc>
          <w:tcPr>
            <w:tcW w:w="1350" w:type="dxa"/>
            <w:noWrap/>
            <w:hideMark/>
          </w:tcPr>
          <w:p w14:paraId="4E8C7A42"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0.10</w:t>
            </w:r>
          </w:p>
        </w:tc>
        <w:tc>
          <w:tcPr>
            <w:tcW w:w="1894" w:type="dxa"/>
            <w:noWrap/>
            <w:hideMark/>
          </w:tcPr>
          <w:p w14:paraId="7E3B1189"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0.05</w:t>
            </w:r>
          </w:p>
        </w:tc>
      </w:tr>
      <w:tr w:rsidR="00F975AA" w:rsidRPr="00C240ED" w14:paraId="56FE8481" w14:textId="77777777" w:rsidTr="0062027A">
        <w:trPr>
          <w:trHeight w:val="250"/>
        </w:trPr>
        <w:tc>
          <w:tcPr>
            <w:cnfStyle w:val="001000000000" w:firstRow="0" w:lastRow="0" w:firstColumn="1" w:lastColumn="0" w:oddVBand="0" w:evenVBand="0" w:oddHBand="0" w:evenHBand="0" w:firstRowFirstColumn="0" w:firstRowLastColumn="0" w:lastRowFirstColumn="0" w:lastRowLastColumn="0"/>
            <w:tcW w:w="1080" w:type="dxa"/>
            <w:vMerge/>
            <w:hideMark/>
          </w:tcPr>
          <w:p w14:paraId="5723C888" w14:textId="77777777" w:rsidR="00F975AA" w:rsidRPr="00C240ED" w:rsidRDefault="00F975AA" w:rsidP="00E20D63">
            <w:pPr>
              <w:rPr>
                <w:rFonts w:ascii="Arial" w:eastAsia="Times New Roman" w:hAnsi="Arial" w:cs="Arial"/>
                <w:color w:val="000000"/>
                <w:sz w:val="20"/>
                <w:szCs w:val="20"/>
                <w:lang w:eastAsia="fr-FR"/>
                <w14:ligatures w14:val="none"/>
              </w:rPr>
            </w:pPr>
          </w:p>
        </w:tc>
        <w:tc>
          <w:tcPr>
            <w:tcW w:w="1382" w:type="dxa"/>
            <w:noWrap/>
            <w:hideMark/>
          </w:tcPr>
          <w:p w14:paraId="12D0E738" w14:textId="77777777" w:rsidR="00F975AA" w:rsidRPr="00C240ED" w:rsidRDefault="00F975AA" w:rsidP="00E20D6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hh _Niamey</w:t>
            </w:r>
          </w:p>
        </w:tc>
        <w:tc>
          <w:tcPr>
            <w:tcW w:w="1827" w:type="dxa"/>
            <w:noWrap/>
            <w:hideMark/>
          </w:tcPr>
          <w:p w14:paraId="734312B4"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0.08</w:t>
            </w:r>
          </w:p>
        </w:tc>
        <w:tc>
          <w:tcPr>
            <w:tcW w:w="1350" w:type="dxa"/>
            <w:noWrap/>
            <w:hideMark/>
          </w:tcPr>
          <w:p w14:paraId="6F31688B"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0.09</w:t>
            </w:r>
          </w:p>
        </w:tc>
        <w:tc>
          <w:tcPr>
            <w:tcW w:w="1894" w:type="dxa"/>
            <w:noWrap/>
            <w:hideMark/>
          </w:tcPr>
          <w:p w14:paraId="55847EBA"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0.04</w:t>
            </w:r>
          </w:p>
        </w:tc>
      </w:tr>
      <w:tr w:rsidR="00F975AA" w:rsidRPr="00C240ED" w14:paraId="385A149D" w14:textId="77777777" w:rsidTr="00F975A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462" w:type="dxa"/>
            <w:gridSpan w:val="2"/>
            <w:noWrap/>
            <w:hideMark/>
          </w:tcPr>
          <w:p w14:paraId="7D2E2805" w14:textId="77777777" w:rsidR="00F975AA" w:rsidRPr="00C240ED" w:rsidRDefault="00F975AA" w:rsidP="00E20D63">
            <w:pPr>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Urban average</w:t>
            </w:r>
          </w:p>
        </w:tc>
        <w:tc>
          <w:tcPr>
            <w:tcW w:w="1827" w:type="dxa"/>
            <w:noWrap/>
            <w:hideMark/>
          </w:tcPr>
          <w:p w14:paraId="6EC23BE1"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0.08</w:t>
            </w:r>
          </w:p>
        </w:tc>
        <w:tc>
          <w:tcPr>
            <w:tcW w:w="1350" w:type="dxa"/>
            <w:noWrap/>
            <w:hideMark/>
          </w:tcPr>
          <w:p w14:paraId="2C800E84"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0.09</w:t>
            </w:r>
          </w:p>
        </w:tc>
        <w:tc>
          <w:tcPr>
            <w:tcW w:w="1894" w:type="dxa"/>
            <w:noWrap/>
            <w:hideMark/>
          </w:tcPr>
          <w:p w14:paraId="47B9A775" w14:textId="77777777" w:rsidR="00F975AA" w:rsidRPr="00C240ED" w:rsidRDefault="00F975AA" w:rsidP="00E20D6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0.04</w:t>
            </w:r>
          </w:p>
        </w:tc>
      </w:tr>
      <w:tr w:rsidR="00F975AA" w:rsidRPr="00C240ED" w14:paraId="5FA31D2E" w14:textId="77777777" w:rsidTr="00F975AA">
        <w:trPr>
          <w:trHeight w:val="250"/>
        </w:trPr>
        <w:tc>
          <w:tcPr>
            <w:cnfStyle w:val="001000000000" w:firstRow="0" w:lastRow="0" w:firstColumn="1" w:lastColumn="0" w:oddVBand="0" w:evenVBand="0" w:oddHBand="0" w:evenHBand="0" w:firstRowFirstColumn="0" w:firstRowLastColumn="0" w:lastRowFirstColumn="0" w:lastRowLastColumn="0"/>
            <w:tcW w:w="2462" w:type="dxa"/>
            <w:gridSpan w:val="2"/>
            <w:noWrap/>
            <w:hideMark/>
          </w:tcPr>
          <w:p w14:paraId="72D58E18" w14:textId="77777777" w:rsidR="00F975AA" w:rsidRPr="00C240ED" w:rsidRDefault="00F975AA" w:rsidP="00E20D63">
            <w:pPr>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Rural average</w:t>
            </w:r>
          </w:p>
        </w:tc>
        <w:tc>
          <w:tcPr>
            <w:tcW w:w="1827" w:type="dxa"/>
            <w:noWrap/>
            <w:hideMark/>
          </w:tcPr>
          <w:p w14:paraId="05B91E5E"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0.09</w:t>
            </w:r>
          </w:p>
        </w:tc>
        <w:tc>
          <w:tcPr>
            <w:tcW w:w="1350" w:type="dxa"/>
            <w:noWrap/>
            <w:hideMark/>
          </w:tcPr>
          <w:p w14:paraId="29CEA224"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0.10</w:t>
            </w:r>
          </w:p>
        </w:tc>
        <w:tc>
          <w:tcPr>
            <w:tcW w:w="1894" w:type="dxa"/>
            <w:noWrap/>
            <w:hideMark/>
          </w:tcPr>
          <w:p w14:paraId="772EF613" w14:textId="77777777" w:rsidR="00F975AA" w:rsidRPr="00C240ED" w:rsidRDefault="00F975AA" w:rsidP="00E20D6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C240ED">
              <w:rPr>
                <w:rFonts w:ascii="Arial" w:eastAsia="Times New Roman" w:hAnsi="Arial" w:cs="Arial"/>
                <w:color w:val="000000"/>
                <w:sz w:val="20"/>
                <w:szCs w:val="20"/>
                <w:lang w:eastAsia="fr-FR"/>
                <w14:ligatures w14:val="none"/>
              </w:rPr>
              <w:t>0.05</w:t>
            </w:r>
          </w:p>
        </w:tc>
      </w:tr>
    </w:tbl>
    <w:p w14:paraId="4AA69D23" w14:textId="02CCBB2F" w:rsidR="00F975AA" w:rsidRPr="00F975AA" w:rsidRDefault="00F975AA" w:rsidP="0073480C">
      <w:pPr>
        <w:jc w:val="both"/>
        <w:rPr>
          <w:sz w:val="18"/>
          <w:szCs w:val="18"/>
        </w:rPr>
      </w:pPr>
      <w:r w:rsidRPr="009F3C25">
        <w:rPr>
          <w:sz w:val="18"/>
          <w:szCs w:val="18"/>
        </w:rPr>
        <w:t>Source: Authors</w:t>
      </w:r>
    </w:p>
    <w:p w14:paraId="469D7390" w14:textId="51E6EEB0" w:rsidR="009F30D3" w:rsidRDefault="00B23FF6" w:rsidP="0073480C">
      <w:pPr>
        <w:jc w:val="both"/>
        <w:rPr>
          <w:rFonts w:ascii="Times New Roman" w:hAnsi="Times New Roman" w:cs="Times New Roman"/>
          <w:sz w:val="24"/>
          <w:szCs w:val="24"/>
        </w:rPr>
      </w:pPr>
      <w:r>
        <w:rPr>
          <w:rFonts w:ascii="Times New Roman" w:hAnsi="Times New Roman" w:cs="Times New Roman"/>
          <w:sz w:val="24"/>
          <w:szCs w:val="24"/>
        </w:rPr>
        <w:t xml:space="preserve">Given that consumption expenditure on transport services represents 4.5% and 3.6% of the consumption expenditure of urban and rural households respectively, it is undeniable that </w:t>
      </w:r>
      <w:bookmarkStart w:id="44" w:name="_Hlk200464613"/>
      <w:r w:rsidR="002B548F" w:rsidRPr="0068138E">
        <w:rPr>
          <w:rFonts w:ascii="Times New Roman" w:hAnsi="Times New Roman" w:cs="Times New Roman"/>
          <w:sz w:val="24"/>
          <w:szCs w:val="24"/>
        </w:rPr>
        <w:t xml:space="preserve">the reform will be more beneficial to urban populations. </w:t>
      </w:r>
      <w:bookmarkEnd w:id="44"/>
      <w:r w:rsidR="00277CD4" w:rsidRPr="006F4F4E">
        <w:rPr>
          <w:rFonts w:ascii="Times New Roman" w:hAnsi="Times New Roman" w:cs="Times New Roman"/>
          <w:sz w:val="24"/>
          <w:szCs w:val="24"/>
        </w:rPr>
        <w:t>The beneficial gain on household purchasing power is also confirmed in the recent 2023 World Bank report, which highlights the resulting increase in consumption, which will have a positive impact on economic growth.</w:t>
      </w:r>
    </w:p>
    <w:p w14:paraId="7F87913C" w14:textId="59F0E1F9" w:rsidR="00605E05" w:rsidRDefault="00605E05" w:rsidP="0073480C">
      <w:pPr>
        <w:jc w:val="both"/>
        <w:rPr>
          <w:rFonts w:ascii="Times New Roman" w:hAnsi="Times New Roman" w:cs="Times New Roman"/>
          <w:sz w:val="24"/>
          <w:szCs w:val="24"/>
        </w:rPr>
      </w:pPr>
      <w:r>
        <w:rPr>
          <w:rFonts w:ascii="Times New Roman" w:hAnsi="Times New Roman" w:cs="Times New Roman"/>
          <w:sz w:val="24"/>
          <w:szCs w:val="24"/>
        </w:rPr>
        <w:t>Figure</w:t>
      </w:r>
      <w:r w:rsidR="00E937BD">
        <w:rPr>
          <w:rFonts w:ascii="Times New Roman" w:hAnsi="Times New Roman" w:cs="Times New Roman"/>
          <w:sz w:val="24"/>
          <w:szCs w:val="24"/>
        </w:rPr>
        <w:t xml:space="preserve"> 10</w:t>
      </w:r>
      <w:r>
        <w:rPr>
          <w:rFonts w:ascii="Times New Roman" w:hAnsi="Times New Roman" w:cs="Times New Roman"/>
          <w:sz w:val="24"/>
          <w:szCs w:val="24"/>
        </w:rPr>
        <w:t>: Effect on consumer price</w:t>
      </w:r>
    </w:p>
    <w:p w14:paraId="352289D0" w14:textId="1BD9B450" w:rsidR="009F30D3" w:rsidRDefault="009F30D3" w:rsidP="0073480C">
      <w:pPr>
        <w:jc w:val="both"/>
        <w:rPr>
          <w:rFonts w:ascii="Times New Roman" w:hAnsi="Times New Roman" w:cs="Times New Roman"/>
          <w:sz w:val="24"/>
          <w:szCs w:val="24"/>
        </w:rPr>
      </w:pPr>
      <w:r>
        <w:rPr>
          <w:noProof/>
          <w:lang w:val="en-GB" w:eastAsia="en-GB"/>
        </w:rPr>
        <w:drawing>
          <wp:inline distT="0" distB="0" distL="0" distR="0" wp14:anchorId="09E71F1B" wp14:editId="34EEB8EC">
            <wp:extent cx="6187858" cy="2743200"/>
            <wp:effectExtent l="0" t="0" r="3810" b="0"/>
            <wp:docPr id="1764835881" name="Graphique 1">
              <a:extLst xmlns:a="http://schemas.openxmlformats.org/drawingml/2006/main">
                <a:ext uri="{FF2B5EF4-FFF2-40B4-BE49-F238E27FC236}">
                  <a16:creationId xmlns:a16="http://schemas.microsoft.com/office/drawing/2014/main" id="{9302872E-D373-F0FF-8E31-C3292F3CD0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02D7D58" w14:textId="64E0F735" w:rsidR="008C01DD" w:rsidRPr="00277CD4" w:rsidRDefault="00605E05" w:rsidP="00277CD4">
      <w:pPr>
        <w:jc w:val="both"/>
        <w:rPr>
          <w:sz w:val="18"/>
          <w:szCs w:val="18"/>
        </w:rPr>
      </w:pPr>
      <w:r w:rsidRPr="009F3C25">
        <w:rPr>
          <w:sz w:val="18"/>
          <w:szCs w:val="18"/>
        </w:rPr>
        <w:t>Source: Authors</w:t>
      </w:r>
    </w:p>
    <w:p w14:paraId="2312F6A2" w14:textId="3A9051DC" w:rsidR="009D164E" w:rsidRDefault="002B548F" w:rsidP="0073480C">
      <w:pPr>
        <w:jc w:val="both"/>
        <w:rPr>
          <w:rFonts w:ascii="Times New Roman" w:hAnsi="Times New Roman" w:cs="Times New Roman"/>
          <w:sz w:val="24"/>
          <w:szCs w:val="24"/>
        </w:rPr>
      </w:pPr>
      <w:bookmarkStart w:id="45" w:name="_Hlk200464699"/>
      <w:r>
        <w:rPr>
          <w:rFonts w:ascii="Times New Roman" w:hAnsi="Times New Roman" w:cs="Times New Roman"/>
          <w:sz w:val="24"/>
          <w:szCs w:val="24"/>
        </w:rPr>
        <w:t>Looking at household income, we see that it is increasing for all households. However, the range of income variation is above 0.33%.</w:t>
      </w:r>
    </w:p>
    <w:p w14:paraId="03B9DE69" w14:textId="77777777" w:rsidR="0062027A" w:rsidRDefault="0062027A" w:rsidP="0073480C">
      <w:pPr>
        <w:jc w:val="both"/>
        <w:rPr>
          <w:rFonts w:ascii="Times New Roman" w:hAnsi="Times New Roman" w:cs="Times New Roman"/>
          <w:sz w:val="24"/>
          <w:szCs w:val="24"/>
        </w:rPr>
      </w:pPr>
    </w:p>
    <w:bookmarkEnd w:id="45"/>
    <w:p w14:paraId="3EC1492A" w14:textId="2C700BAD" w:rsidR="00605E05" w:rsidRDefault="00605E05" w:rsidP="0073480C">
      <w:pPr>
        <w:jc w:val="both"/>
        <w:rPr>
          <w:rFonts w:ascii="Times New Roman" w:hAnsi="Times New Roman" w:cs="Times New Roman"/>
          <w:sz w:val="24"/>
          <w:szCs w:val="24"/>
        </w:rPr>
      </w:pPr>
      <w:r>
        <w:rPr>
          <w:rFonts w:ascii="Times New Roman" w:hAnsi="Times New Roman" w:cs="Times New Roman"/>
          <w:sz w:val="24"/>
          <w:szCs w:val="24"/>
        </w:rPr>
        <w:lastRenderedPageBreak/>
        <w:t>Figure</w:t>
      </w:r>
      <w:r w:rsidR="00E937BD">
        <w:rPr>
          <w:rFonts w:ascii="Times New Roman" w:hAnsi="Times New Roman" w:cs="Times New Roman"/>
          <w:sz w:val="24"/>
          <w:szCs w:val="24"/>
        </w:rPr>
        <w:t xml:space="preserve"> 11</w:t>
      </w:r>
      <w:r>
        <w:rPr>
          <w:rFonts w:ascii="Times New Roman" w:hAnsi="Times New Roman" w:cs="Times New Roman"/>
          <w:sz w:val="24"/>
          <w:szCs w:val="24"/>
        </w:rPr>
        <w:t>: Effect on household income</w:t>
      </w:r>
    </w:p>
    <w:p w14:paraId="5049A9C3" w14:textId="199F85BC" w:rsidR="00BA6F6A" w:rsidRDefault="00BA6F6A" w:rsidP="00605E05">
      <w:pPr>
        <w:jc w:val="both"/>
        <w:rPr>
          <w:sz w:val="18"/>
          <w:szCs w:val="18"/>
        </w:rPr>
      </w:pPr>
      <w:r>
        <w:rPr>
          <w:noProof/>
          <w:lang w:val="en-GB" w:eastAsia="en-GB"/>
        </w:rPr>
        <w:drawing>
          <wp:inline distT="0" distB="0" distL="0" distR="0" wp14:anchorId="17DA314D" wp14:editId="4DA95FEC">
            <wp:extent cx="5786755" cy="2690301"/>
            <wp:effectExtent l="0" t="0" r="4445" b="15240"/>
            <wp:docPr id="687973234" name="Graphique 1">
              <a:extLst xmlns:a="http://schemas.openxmlformats.org/drawingml/2006/main">
                <a:ext uri="{FF2B5EF4-FFF2-40B4-BE49-F238E27FC236}">
                  <a16:creationId xmlns:a16="http://schemas.microsoft.com/office/drawing/2014/main" id="{F961FBB8-1529-3BEA-8720-5B0F2FD8F5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03E687A" w14:textId="4B712FF5" w:rsidR="00605E05" w:rsidRPr="009F3C25" w:rsidRDefault="00605E05" w:rsidP="00605E05">
      <w:pPr>
        <w:jc w:val="both"/>
        <w:rPr>
          <w:sz w:val="18"/>
          <w:szCs w:val="18"/>
        </w:rPr>
      </w:pPr>
      <w:r w:rsidRPr="009F3C25">
        <w:rPr>
          <w:sz w:val="18"/>
          <w:szCs w:val="18"/>
        </w:rPr>
        <w:t>Source: Authors</w:t>
      </w:r>
    </w:p>
    <w:p w14:paraId="458C967D" w14:textId="71EA5C8F" w:rsidR="000130EC" w:rsidRDefault="000F4257" w:rsidP="00A0397F">
      <w:pPr>
        <w:jc w:val="both"/>
        <w:rPr>
          <w:rFonts w:ascii="Times New Roman" w:hAnsi="Times New Roman" w:cs="Times New Roman"/>
          <w:sz w:val="24"/>
          <w:szCs w:val="24"/>
        </w:rPr>
      </w:pPr>
      <w:r>
        <w:rPr>
          <w:rFonts w:ascii="Times New Roman" w:hAnsi="Times New Roman" w:cs="Times New Roman"/>
          <w:sz w:val="24"/>
          <w:szCs w:val="24"/>
        </w:rPr>
        <w:t xml:space="preserve">Following the reform, the increase in branch production is supported by an increase in production factors. The figure confirms the beneficial effect of the fall in petroleum product prices on labor income, which is a component of household income. </w:t>
      </w:r>
      <w:bookmarkStart w:id="46" w:name="_Hlk200464774"/>
      <w:r w:rsidR="009147C7">
        <w:rPr>
          <w:rFonts w:ascii="Times New Roman" w:hAnsi="Times New Roman" w:cs="Times New Roman"/>
          <w:sz w:val="24"/>
          <w:szCs w:val="24"/>
        </w:rPr>
        <w:t xml:space="preserve">This increase seems to be more to the advantage of rural men, which risks widening gender inequalities. </w:t>
      </w:r>
      <w:bookmarkStart w:id="47" w:name="_Hlk200464983"/>
      <w:r w:rsidR="009147C7">
        <w:rPr>
          <w:rFonts w:ascii="Times New Roman" w:hAnsi="Times New Roman" w:cs="Times New Roman"/>
          <w:sz w:val="24"/>
          <w:szCs w:val="24"/>
        </w:rPr>
        <w:t xml:space="preserve">However, in urban areas, it is women who record the greatest variations in their labor income. </w:t>
      </w:r>
      <w:bookmarkEnd w:id="46"/>
      <w:bookmarkEnd w:id="47"/>
      <w:r w:rsidR="00CD5D13">
        <w:rPr>
          <w:rFonts w:ascii="Times New Roman" w:hAnsi="Times New Roman" w:cs="Times New Roman"/>
          <w:sz w:val="24"/>
          <w:szCs w:val="24"/>
        </w:rPr>
        <w:t>Within expanding sectors, increases in labor demand are more likely to affect women, mainly in the electricity sector. Conversely, in contracting sectors, decreases in labor demand mainly affect women, with the exception of forestry.</w:t>
      </w:r>
    </w:p>
    <w:p w14:paraId="24B39F29" w14:textId="739A69C9" w:rsidR="00B27435" w:rsidRDefault="000F4257" w:rsidP="00A0397F">
      <w:pPr>
        <w:jc w:val="both"/>
        <w:rPr>
          <w:rFonts w:ascii="Times New Roman" w:hAnsi="Times New Roman" w:cs="Times New Roman"/>
          <w:sz w:val="24"/>
          <w:szCs w:val="24"/>
        </w:rPr>
      </w:pPr>
      <w:r>
        <w:rPr>
          <w:rFonts w:ascii="Times New Roman" w:hAnsi="Times New Roman" w:cs="Times New Roman"/>
          <w:sz w:val="24"/>
          <w:szCs w:val="24"/>
        </w:rPr>
        <w:t>Figure</w:t>
      </w:r>
      <w:r w:rsidR="00E937BD">
        <w:rPr>
          <w:rFonts w:ascii="Times New Roman" w:hAnsi="Times New Roman" w:cs="Times New Roman"/>
          <w:sz w:val="24"/>
          <w:szCs w:val="24"/>
        </w:rPr>
        <w:t xml:space="preserve"> 12</w:t>
      </w:r>
      <w:r>
        <w:rPr>
          <w:rFonts w:ascii="Times New Roman" w:hAnsi="Times New Roman" w:cs="Times New Roman"/>
          <w:sz w:val="24"/>
          <w:szCs w:val="24"/>
        </w:rPr>
        <w:t>: Effect of labor on income by gender and place of residence</w:t>
      </w:r>
    </w:p>
    <w:p w14:paraId="5E5417B6" w14:textId="3F881D12" w:rsidR="00B27435" w:rsidRDefault="00B27435" w:rsidP="00A0397F">
      <w:pPr>
        <w:jc w:val="both"/>
        <w:rPr>
          <w:rFonts w:ascii="Times New Roman" w:hAnsi="Times New Roman" w:cs="Times New Roman"/>
          <w:sz w:val="24"/>
          <w:szCs w:val="24"/>
        </w:rPr>
      </w:pPr>
      <w:r>
        <w:rPr>
          <w:noProof/>
          <w:lang w:val="en-GB" w:eastAsia="en-GB"/>
        </w:rPr>
        <w:drawing>
          <wp:inline distT="0" distB="0" distL="0" distR="0" wp14:anchorId="63D00ABD" wp14:editId="2D55B7A7">
            <wp:extent cx="5900420" cy="1957892"/>
            <wp:effectExtent l="0" t="0" r="5080" b="4445"/>
            <wp:docPr id="2111740637" name="Graphique 1">
              <a:extLst xmlns:a="http://schemas.openxmlformats.org/drawingml/2006/main">
                <a:ext uri="{FF2B5EF4-FFF2-40B4-BE49-F238E27FC236}">
                  <a16:creationId xmlns:a16="http://schemas.microsoft.com/office/drawing/2014/main" id="{192BAA21-100E-2128-D145-847E9D2D15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60E4819" w14:textId="77777777" w:rsidR="00C446F7" w:rsidRPr="009F3C25" w:rsidRDefault="00C446F7" w:rsidP="00C446F7">
      <w:pPr>
        <w:jc w:val="both"/>
        <w:rPr>
          <w:sz w:val="18"/>
          <w:szCs w:val="18"/>
        </w:rPr>
      </w:pPr>
      <w:r w:rsidRPr="009F3C25">
        <w:rPr>
          <w:sz w:val="18"/>
          <w:szCs w:val="18"/>
        </w:rPr>
        <w:t>Source: Authors</w:t>
      </w:r>
    </w:p>
    <w:p w14:paraId="569C557F" w14:textId="77777777" w:rsidR="00B27435" w:rsidRDefault="00B27435" w:rsidP="00A0397F">
      <w:pPr>
        <w:jc w:val="both"/>
        <w:rPr>
          <w:rFonts w:ascii="Times New Roman" w:hAnsi="Times New Roman" w:cs="Times New Roman"/>
          <w:sz w:val="24"/>
          <w:szCs w:val="24"/>
        </w:rPr>
      </w:pPr>
    </w:p>
    <w:p w14:paraId="3D440280" w14:textId="55D8A645" w:rsidR="00B27435" w:rsidRDefault="00541B44" w:rsidP="00A0397F">
      <w:pPr>
        <w:jc w:val="both"/>
        <w:rPr>
          <w:rFonts w:ascii="Times New Roman" w:hAnsi="Times New Roman" w:cs="Times New Roman"/>
          <w:sz w:val="24"/>
          <w:szCs w:val="24"/>
        </w:rPr>
      </w:pPr>
      <w:r>
        <w:rPr>
          <w:noProof/>
          <w:lang w:val="en-GB" w:eastAsia="en-GB"/>
        </w:rPr>
        <w:lastRenderedPageBreak/>
        <w:drawing>
          <wp:inline distT="0" distB="0" distL="0" distR="0" wp14:anchorId="736F81D3" wp14:editId="5FC250A0">
            <wp:extent cx="5855918" cy="2743200"/>
            <wp:effectExtent l="0" t="0" r="12065" b="0"/>
            <wp:docPr id="393516711" name="Graphique 1">
              <a:extLst xmlns:a="http://schemas.openxmlformats.org/drawingml/2006/main">
                <a:ext uri="{FF2B5EF4-FFF2-40B4-BE49-F238E27FC236}">
                  <a16:creationId xmlns:a16="http://schemas.microsoft.com/office/drawing/2014/main" id="{277106AD-FEE7-4CBA-75B4-E76BA3E1DC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362A1BD" w14:textId="77777777" w:rsidR="00C446F7" w:rsidRPr="009F3C25" w:rsidRDefault="00C446F7" w:rsidP="00C446F7">
      <w:pPr>
        <w:jc w:val="both"/>
        <w:rPr>
          <w:sz w:val="18"/>
          <w:szCs w:val="18"/>
        </w:rPr>
      </w:pPr>
      <w:r w:rsidRPr="009F3C25">
        <w:rPr>
          <w:sz w:val="18"/>
          <w:szCs w:val="18"/>
        </w:rPr>
        <w:t>Source: Authors</w:t>
      </w:r>
    </w:p>
    <w:p w14:paraId="64357F54" w14:textId="77777777" w:rsidR="00C446F7" w:rsidRDefault="00C446F7" w:rsidP="00A0397F">
      <w:pPr>
        <w:jc w:val="both"/>
        <w:rPr>
          <w:rFonts w:ascii="Times New Roman" w:hAnsi="Times New Roman" w:cs="Times New Roman"/>
          <w:sz w:val="24"/>
          <w:szCs w:val="24"/>
        </w:rPr>
      </w:pPr>
    </w:p>
    <w:p w14:paraId="7733315B" w14:textId="48FF12FE" w:rsidR="00A71DEE" w:rsidRPr="00A71DEE" w:rsidRDefault="00A71DEE" w:rsidP="002735B7">
      <w:pPr>
        <w:pStyle w:val="Titre2"/>
        <w:numPr>
          <w:ilvl w:val="1"/>
          <w:numId w:val="1"/>
        </w:numPr>
        <w:spacing w:line="240" w:lineRule="auto"/>
        <w:rPr>
          <w:b/>
          <w:bCs/>
        </w:rPr>
      </w:pPr>
      <w:bookmarkStart w:id="48" w:name="_Toc195507402"/>
      <w:bookmarkStart w:id="49" w:name="_Toc87357308"/>
      <w:bookmarkStart w:id="50" w:name="_Toc200944561"/>
      <w:r w:rsidRPr="00A71DEE">
        <w:rPr>
          <w:b/>
          <w:bCs/>
        </w:rPr>
        <w:t>Results of the cement reform</w:t>
      </w:r>
      <w:bookmarkEnd w:id="48"/>
      <w:bookmarkEnd w:id="50"/>
      <w:r w:rsidRPr="00A71DEE">
        <w:rPr>
          <w:b/>
          <w:bCs/>
        </w:rPr>
        <w:t xml:space="preserve"> </w:t>
      </w:r>
    </w:p>
    <w:p w14:paraId="4C77E49E" w14:textId="158F01E9" w:rsidR="00BD00EF" w:rsidRDefault="00BD00EF" w:rsidP="00BD00EF">
      <w:pPr>
        <w:pStyle w:val="Titre3"/>
        <w:numPr>
          <w:ilvl w:val="2"/>
          <w:numId w:val="1"/>
        </w:numPr>
        <w:tabs>
          <w:tab w:val="num" w:pos="360"/>
        </w:tabs>
        <w:spacing w:line="240" w:lineRule="auto"/>
        <w:ind w:left="0" w:firstLine="0"/>
        <w:rPr>
          <w:b/>
          <w:bCs/>
        </w:rPr>
      </w:pPr>
      <w:bookmarkStart w:id="51" w:name="_Toc195507403"/>
      <w:bookmarkStart w:id="52" w:name="_Toc87357309"/>
      <w:bookmarkStart w:id="53" w:name="_Toc200944562"/>
      <w:bookmarkEnd w:id="49"/>
      <w:r w:rsidRPr="009B1F19">
        <w:rPr>
          <w:b/>
          <w:bCs/>
        </w:rPr>
        <w:t>Effects on macroeconomic variables</w:t>
      </w:r>
      <w:bookmarkEnd w:id="51"/>
      <w:bookmarkEnd w:id="53"/>
    </w:p>
    <w:p w14:paraId="7C84F741" w14:textId="104BB5AB" w:rsidR="00932808" w:rsidRDefault="00932808" w:rsidP="00932808">
      <w:pPr>
        <w:jc w:val="both"/>
        <w:rPr>
          <w:rFonts w:ascii="Times New Roman" w:hAnsi="Times New Roman" w:cs="Times New Roman"/>
          <w:sz w:val="24"/>
          <w:szCs w:val="24"/>
        </w:rPr>
      </w:pPr>
      <w:r w:rsidRPr="00932808">
        <w:rPr>
          <w:rFonts w:ascii="Times New Roman" w:hAnsi="Times New Roman" w:cs="Times New Roman"/>
          <w:sz w:val="24"/>
          <w:szCs w:val="24"/>
        </w:rPr>
        <w:t>The cement reform will unexpectedly have a negative impact on economic growth, driven by a decline in public consumption (-1.77%) and government revenue (-1.9%). This decline in government revenue results from the elimination of cement taxes, the effect of which is mitigated by the significant increase in import taxes (2.5%) and value-added taxes.</w:t>
      </w:r>
    </w:p>
    <w:p w14:paraId="5CBD9FCF" w14:textId="09332333" w:rsidR="007F4DA4" w:rsidRPr="00932808" w:rsidRDefault="00A2757C" w:rsidP="00932808">
      <w:pPr>
        <w:jc w:val="both"/>
        <w:rPr>
          <w:rFonts w:ascii="Times New Roman" w:hAnsi="Times New Roman" w:cs="Times New Roman"/>
          <w:sz w:val="24"/>
          <w:szCs w:val="24"/>
        </w:rPr>
      </w:pPr>
      <w:bookmarkStart w:id="54" w:name="_Hlk200465088"/>
      <w:r>
        <w:rPr>
          <w:rFonts w:ascii="Times New Roman" w:hAnsi="Times New Roman" w:cs="Times New Roman"/>
          <w:sz w:val="24"/>
          <w:szCs w:val="24"/>
        </w:rPr>
        <w:t xml:space="preserve">In addition, the reform also contributes to disrupting trade </w:t>
      </w:r>
      <w:bookmarkEnd w:id="54"/>
      <w:r w:rsidR="00480D24" w:rsidRPr="00264FF3">
        <w:rPr>
          <w:rFonts w:ascii="Times New Roman" w:hAnsi="Times New Roman" w:cs="Times New Roman"/>
          <w:sz w:val="24"/>
          <w:szCs w:val="24"/>
        </w:rPr>
        <w:t xml:space="preserve">. Exports vary by 1.6% and imports by 2% (respectively 1.9% and 2.4% in the case of external financing). This results in </w:t>
      </w:r>
      <w:bookmarkStart w:id="55" w:name="_Hlk200465198"/>
      <w:r w:rsidR="00480D24" w:rsidRPr="00264FF3">
        <w:rPr>
          <w:rFonts w:ascii="Times New Roman" w:hAnsi="Times New Roman" w:cs="Times New Roman"/>
          <w:sz w:val="24"/>
          <w:szCs w:val="24"/>
        </w:rPr>
        <w:t>a slight decrease in GDP of around 0.07% under the assumption of public financing.</w:t>
      </w:r>
    </w:p>
    <w:bookmarkEnd w:id="55"/>
    <w:p w14:paraId="70ABD7FF" w14:textId="6C2EE703" w:rsidR="00A71DEE" w:rsidRDefault="00051850" w:rsidP="00A71DEE">
      <w:r>
        <w:t>Figure</w:t>
      </w:r>
      <w:r w:rsidR="00E937BD">
        <w:t xml:space="preserve"> 13</w:t>
      </w:r>
      <w:r>
        <w:t>: Impact of the cement reform on macroeconomic variables</w:t>
      </w:r>
    </w:p>
    <w:p w14:paraId="0177659E" w14:textId="542FA7FD" w:rsidR="00051850" w:rsidRPr="00A71DEE" w:rsidRDefault="00651E7A" w:rsidP="00A71DEE">
      <w:r>
        <w:rPr>
          <w:noProof/>
          <w:lang w:val="en-GB" w:eastAsia="en-GB"/>
        </w:rPr>
        <w:drawing>
          <wp:inline distT="0" distB="0" distL="0" distR="0" wp14:anchorId="16A6FCCA" wp14:editId="16A34B8A">
            <wp:extent cx="6329680" cy="2682744"/>
            <wp:effectExtent l="0" t="0" r="13970" b="3810"/>
            <wp:docPr id="1161735" name="Graphique 1">
              <a:extLst xmlns:a="http://schemas.openxmlformats.org/drawingml/2006/main">
                <a:ext uri="{FF2B5EF4-FFF2-40B4-BE49-F238E27FC236}">
                  <a16:creationId xmlns:a16="http://schemas.microsoft.com/office/drawing/2014/main" id="{FE4E4FFE-5D12-EF46-0CE4-6F98B9E204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C59F05B" w14:textId="08051DE2" w:rsidR="00BD00EF" w:rsidRPr="005309F1" w:rsidRDefault="00051850" w:rsidP="00BD00EF">
      <w:pPr>
        <w:rPr>
          <w:sz w:val="18"/>
          <w:szCs w:val="18"/>
        </w:rPr>
      </w:pPr>
      <w:r w:rsidRPr="005309F1">
        <w:rPr>
          <w:sz w:val="18"/>
          <w:szCs w:val="18"/>
        </w:rPr>
        <w:t>Source: Authors</w:t>
      </w:r>
    </w:p>
    <w:p w14:paraId="4CFEB943" w14:textId="0D41A68F" w:rsidR="00A0397F" w:rsidRDefault="00A0397F" w:rsidP="00A0397F">
      <w:pPr>
        <w:pStyle w:val="Titre3"/>
        <w:numPr>
          <w:ilvl w:val="2"/>
          <w:numId w:val="1"/>
        </w:numPr>
        <w:tabs>
          <w:tab w:val="num" w:pos="360"/>
        </w:tabs>
        <w:spacing w:line="240" w:lineRule="auto"/>
        <w:ind w:left="0" w:firstLine="0"/>
        <w:rPr>
          <w:b/>
          <w:bCs/>
        </w:rPr>
      </w:pPr>
      <w:bookmarkStart w:id="56" w:name="_Toc195507404"/>
      <w:bookmarkStart w:id="57" w:name="_Toc200944563"/>
      <w:r w:rsidRPr="009B1F19">
        <w:rPr>
          <w:b/>
          <w:bCs/>
        </w:rPr>
        <w:lastRenderedPageBreak/>
        <w:t xml:space="preserve">Effects on sectoral variables </w:t>
      </w:r>
      <w:bookmarkEnd w:id="52"/>
      <w:bookmarkEnd w:id="56"/>
      <w:r w:rsidR="002A256D">
        <w:rPr>
          <w:b/>
          <w:bCs/>
        </w:rPr>
        <w:t>and employment</w:t>
      </w:r>
      <w:bookmarkEnd w:id="57"/>
    </w:p>
    <w:p w14:paraId="0F8D3774" w14:textId="79A1B1BE" w:rsidR="005340D5" w:rsidRDefault="0099528D" w:rsidP="00D81F73">
      <w:pPr>
        <w:jc w:val="both"/>
        <w:rPr>
          <w:rFonts w:ascii="Times New Roman" w:hAnsi="Times New Roman" w:cs="Times New Roman"/>
          <w:sz w:val="24"/>
          <w:szCs w:val="24"/>
        </w:rPr>
      </w:pPr>
      <w:r w:rsidRPr="00A2757C">
        <w:rPr>
          <w:rFonts w:ascii="Times New Roman" w:hAnsi="Times New Roman" w:cs="Times New Roman"/>
          <w:sz w:val="24"/>
          <w:szCs w:val="24"/>
        </w:rPr>
        <w:t>The sectoral effects of the cement reform are analyzed from two perspectives: the effects on production and the effects on trade. The effects on production derive from the increase in domestic demand for cement at the expense of imported cement. The sector that benefits most from the reform is construction, with a greater effect when the reform is financed by state funds. The other sectors see their production increase only in the case of public financing and concern mining, electricity, professional activities, and the manufacturing sector.</w:t>
      </w:r>
    </w:p>
    <w:p w14:paraId="0D7D48BF" w14:textId="540D3054" w:rsidR="00B95B78" w:rsidRDefault="00B95B78" w:rsidP="00A0397F">
      <w:pPr>
        <w:jc w:val="both"/>
        <w:rPr>
          <w:rFonts w:ascii="Times New Roman" w:hAnsi="Times New Roman" w:cs="Times New Roman"/>
          <w:sz w:val="24"/>
          <w:szCs w:val="24"/>
        </w:rPr>
      </w:pPr>
      <w:r>
        <w:rPr>
          <w:rFonts w:ascii="Times New Roman" w:hAnsi="Times New Roman" w:cs="Times New Roman"/>
          <w:sz w:val="24"/>
          <w:szCs w:val="24"/>
        </w:rPr>
        <w:t>Figure</w:t>
      </w:r>
      <w:r w:rsidR="00E937BD">
        <w:rPr>
          <w:rFonts w:ascii="Times New Roman" w:hAnsi="Times New Roman" w:cs="Times New Roman"/>
          <w:sz w:val="24"/>
          <w:szCs w:val="24"/>
        </w:rPr>
        <w:t xml:space="preserve"> 14</w:t>
      </w:r>
      <w:r>
        <w:rPr>
          <w:rFonts w:ascii="Times New Roman" w:hAnsi="Times New Roman" w:cs="Times New Roman"/>
          <w:sz w:val="24"/>
          <w:szCs w:val="24"/>
        </w:rPr>
        <w:t>: Impact on domestic production</w:t>
      </w:r>
    </w:p>
    <w:p w14:paraId="263DCB50" w14:textId="1FB401AE" w:rsidR="005F4EBC" w:rsidRDefault="005F4EBC" w:rsidP="00A0397F">
      <w:pPr>
        <w:jc w:val="both"/>
        <w:rPr>
          <w:rFonts w:ascii="Times New Roman" w:hAnsi="Times New Roman" w:cs="Times New Roman"/>
          <w:sz w:val="24"/>
          <w:szCs w:val="24"/>
        </w:rPr>
      </w:pPr>
      <w:r>
        <w:rPr>
          <w:noProof/>
          <w:lang w:val="en-GB" w:eastAsia="en-GB"/>
        </w:rPr>
        <w:drawing>
          <wp:inline distT="0" distB="0" distL="0" distR="0" wp14:anchorId="57B14089" wp14:editId="1195A867">
            <wp:extent cx="5943600" cy="2743200"/>
            <wp:effectExtent l="0" t="0" r="0" b="0"/>
            <wp:docPr id="405732867" name="Graphique 1">
              <a:extLst xmlns:a="http://schemas.openxmlformats.org/drawingml/2006/main">
                <a:ext uri="{FF2B5EF4-FFF2-40B4-BE49-F238E27FC236}">
                  <a16:creationId xmlns:a16="http://schemas.microsoft.com/office/drawing/2014/main" id="{B936AD70-748A-809B-D49C-5CFEA4ABED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BF53D23" w14:textId="3E1DDA53" w:rsidR="005F4EBC" w:rsidRPr="008D7F63" w:rsidRDefault="00C446F7" w:rsidP="00A0397F">
      <w:pPr>
        <w:jc w:val="both"/>
        <w:rPr>
          <w:sz w:val="18"/>
          <w:szCs w:val="18"/>
        </w:rPr>
      </w:pPr>
      <w:r w:rsidRPr="009F3C25">
        <w:rPr>
          <w:sz w:val="18"/>
          <w:szCs w:val="18"/>
        </w:rPr>
        <w:t>Source: Authors</w:t>
      </w:r>
    </w:p>
    <w:p w14:paraId="28D719BE" w14:textId="77777777" w:rsidR="008D7F63" w:rsidRDefault="008D7F63" w:rsidP="00A0397F">
      <w:pPr>
        <w:jc w:val="both"/>
        <w:rPr>
          <w:rFonts w:ascii="Times New Roman" w:hAnsi="Times New Roman" w:cs="Times New Roman"/>
          <w:sz w:val="24"/>
          <w:szCs w:val="24"/>
        </w:rPr>
      </w:pPr>
    </w:p>
    <w:p w14:paraId="528085F9" w14:textId="2D5204D2" w:rsidR="008D7F63" w:rsidRDefault="008D7F63" w:rsidP="00A0397F">
      <w:pPr>
        <w:jc w:val="both"/>
        <w:rPr>
          <w:rFonts w:ascii="Times New Roman" w:hAnsi="Times New Roman" w:cs="Times New Roman"/>
          <w:sz w:val="24"/>
          <w:szCs w:val="24"/>
        </w:rPr>
      </w:pPr>
      <w:r w:rsidRPr="00A2757C">
        <w:rPr>
          <w:rFonts w:ascii="Times New Roman" w:hAnsi="Times New Roman" w:cs="Times New Roman"/>
          <w:sz w:val="24"/>
          <w:szCs w:val="24"/>
        </w:rPr>
        <w:t xml:space="preserve">The </w:t>
      </w:r>
      <w:r>
        <w:rPr>
          <w:rFonts w:ascii="Times New Roman" w:hAnsi="Times New Roman" w:cs="Times New Roman"/>
          <w:sz w:val="24"/>
          <w:szCs w:val="24"/>
        </w:rPr>
        <w:t>effects of the cement reform on trade are presented in the table above and highlight a significant effect on imports in the construction sector.</w:t>
      </w:r>
    </w:p>
    <w:p w14:paraId="33B4D662" w14:textId="448073A2" w:rsidR="00B95B78" w:rsidRPr="00374949" w:rsidRDefault="00374949" w:rsidP="00A0397F">
      <w:pPr>
        <w:jc w:val="both"/>
        <w:rPr>
          <w:rFonts w:ascii="Times New Roman" w:hAnsi="Times New Roman" w:cs="Times New Roman"/>
          <w:sz w:val="24"/>
          <w:szCs w:val="24"/>
        </w:rPr>
      </w:pPr>
      <w:r>
        <w:rPr>
          <w:rFonts w:ascii="Times New Roman" w:hAnsi="Times New Roman" w:cs="Times New Roman"/>
          <w:sz w:val="24"/>
          <w:szCs w:val="24"/>
        </w:rPr>
        <w:t>Figure</w:t>
      </w:r>
      <w:r w:rsidR="00E937BD">
        <w:rPr>
          <w:rFonts w:ascii="Times New Roman" w:hAnsi="Times New Roman" w:cs="Times New Roman"/>
          <w:sz w:val="24"/>
          <w:szCs w:val="24"/>
        </w:rPr>
        <w:t xml:space="preserve"> 15</w:t>
      </w:r>
      <w:r>
        <w:rPr>
          <w:rFonts w:ascii="Times New Roman" w:hAnsi="Times New Roman" w:cs="Times New Roman"/>
          <w:sz w:val="24"/>
          <w:szCs w:val="24"/>
        </w:rPr>
        <w:t>: Impact on imports</w:t>
      </w:r>
    </w:p>
    <w:p w14:paraId="242E45D7" w14:textId="7EA0D4B7" w:rsidR="00374949" w:rsidRDefault="00374949" w:rsidP="00A0397F">
      <w:pPr>
        <w:jc w:val="both"/>
        <w:rPr>
          <w:rFonts w:ascii="Times New Roman" w:hAnsi="Times New Roman" w:cs="Times New Roman"/>
          <w:sz w:val="24"/>
          <w:szCs w:val="24"/>
        </w:rPr>
      </w:pPr>
      <w:r>
        <w:rPr>
          <w:noProof/>
          <w:lang w:val="en-GB" w:eastAsia="en-GB"/>
        </w:rPr>
        <w:drawing>
          <wp:inline distT="0" distB="0" distL="0" distR="0" wp14:anchorId="7B0D5C99" wp14:editId="67F26775">
            <wp:extent cx="5749925" cy="2607173"/>
            <wp:effectExtent l="0" t="0" r="3175" b="3175"/>
            <wp:docPr id="1541163274" name="Graphique 1">
              <a:extLst xmlns:a="http://schemas.openxmlformats.org/drawingml/2006/main">
                <a:ext uri="{FF2B5EF4-FFF2-40B4-BE49-F238E27FC236}">
                  <a16:creationId xmlns:a16="http://schemas.microsoft.com/office/drawing/2014/main" id="{F246718E-E60A-9500-CF37-B3D3F3015B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585324F" w14:textId="142535B0" w:rsidR="004E5A8C" w:rsidRDefault="004E5A8C" w:rsidP="00A0397F">
      <w:pPr>
        <w:jc w:val="both"/>
        <w:rPr>
          <w:rFonts w:ascii="Times New Roman" w:hAnsi="Times New Roman" w:cs="Times New Roman"/>
          <w:sz w:val="18"/>
          <w:szCs w:val="18"/>
        </w:rPr>
      </w:pPr>
      <w:r w:rsidRPr="004E5A8C">
        <w:rPr>
          <w:rFonts w:ascii="Times New Roman" w:hAnsi="Times New Roman" w:cs="Times New Roman"/>
          <w:sz w:val="18"/>
          <w:szCs w:val="18"/>
        </w:rPr>
        <w:t>Source: Authors</w:t>
      </w:r>
    </w:p>
    <w:p w14:paraId="003BF54F" w14:textId="49A73372" w:rsidR="00374949" w:rsidRDefault="000B6AFB" w:rsidP="00A0397F">
      <w:pPr>
        <w:jc w:val="both"/>
        <w:rPr>
          <w:rFonts w:ascii="Times New Roman" w:hAnsi="Times New Roman" w:cs="Times New Roman"/>
          <w:sz w:val="18"/>
          <w:szCs w:val="18"/>
        </w:rPr>
      </w:pPr>
      <w:r w:rsidRPr="00A2757C">
        <w:rPr>
          <w:rFonts w:ascii="Times New Roman" w:hAnsi="Times New Roman" w:cs="Times New Roman"/>
          <w:sz w:val="24"/>
          <w:szCs w:val="24"/>
        </w:rPr>
        <w:lastRenderedPageBreak/>
        <w:t>Exports increase in the mining, manufacturing, transportation, professional activities, and public services sectors primarily when the reform is financed from the state budget. In this case, the reform appears as a subsidy granted by the state.</w:t>
      </w:r>
    </w:p>
    <w:p w14:paraId="4896446F" w14:textId="7933A05C" w:rsidR="00B81E2A" w:rsidRPr="00B81E2A" w:rsidRDefault="00B81E2A" w:rsidP="00A0397F">
      <w:pPr>
        <w:jc w:val="both"/>
        <w:rPr>
          <w:rFonts w:ascii="Times New Roman" w:hAnsi="Times New Roman" w:cs="Times New Roman"/>
          <w:sz w:val="24"/>
          <w:szCs w:val="24"/>
        </w:rPr>
      </w:pPr>
      <w:r>
        <w:rPr>
          <w:rFonts w:ascii="Times New Roman" w:hAnsi="Times New Roman" w:cs="Times New Roman"/>
          <w:sz w:val="24"/>
          <w:szCs w:val="24"/>
        </w:rPr>
        <w:t>Figure</w:t>
      </w:r>
      <w:r w:rsidR="00E937BD">
        <w:rPr>
          <w:rFonts w:ascii="Times New Roman" w:hAnsi="Times New Roman" w:cs="Times New Roman"/>
          <w:sz w:val="24"/>
          <w:szCs w:val="24"/>
        </w:rPr>
        <w:t xml:space="preserve"> 16</w:t>
      </w:r>
      <w:r>
        <w:rPr>
          <w:rFonts w:ascii="Times New Roman" w:hAnsi="Times New Roman" w:cs="Times New Roman"/>
          <w:sz w:val="24"/>
          <w:szCs w:val="24"/>
        </w:rPr>
        <w:t>: Impact on exports</w:t>
      </w:r>
    </w:p>
    <w:p w14:paraId="554B9092" w14:textId="6EC40A1E" w:rsidR="00374949" w:rsidRDefault="00B81E2A" w:rsidP="00A0397F">
      <w:pPr>
        <w:jc w:val="both"/>
        <w:rPr>
          <w:rFonts w:ascii="Times New Roman" w:hAnsi="Times New Roman" w:cs="Times New Roman"/>
          <w:sz w:val="18"/>
          <w:szCs w:val="18"/>
        </w:rPr>
      </w:pPr>
      <w:r>
        <w:rPr>
          <w:noProof/>
          <w:lang w:val="en-GB" w:eastAsia="en-GB"/>
        </w:rPr>
        <w:drawing>
          <wp:inline distT="0" distB="0" distL="0" distR="0" wp14:anchorId="71C50A3F" wp14:editId="052A4E58">
            <wp:extent cx="5432425" cy="2743200"/>
            <wp:effectExtent l="0" t="0" r="15875" b="0"/>
            <wp:docPr id="1864401402" name="Graphique 1">
              <a:extLst xmlns:a="http://schemas.openxmlformats.org/drawingml/2006/main">
                <a:ext uri="{FF2B5EF4-FFF2-40B4-BE49-F238E27FC236}">
                  <a16:creationId xmlns:a16="http://schemas.microsoft.com/office/drawing/2014/main" id="{15AC725C-7933-4BF2-BFD3-7707E07A75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6D7124C" w14:textId="2E6D6C5D" w:rsidR="00C446F7" w:rsidRPr="007E591D" w:rsidRDefault="00C446F7" w:rsidP="00A0397F">
      <w:pPr>
        <w:jc w:val="both"/>
        <w:rPr>
          <w:sz w:val="18"/>
          <w:szCs w:val="18"/>
        </w:rPr>
      </w:pPr>
      <w:r w:rsidRPr="009F3C25">
        <w:rPr>
          <w:sz w:val="18"/>
          <w:szCs w:val="18"/>
        </w:rPr>
        <w:t>Source: Authors</w:t>
      </w:r>
    </w:p>
    <w:p w14:paraId="64DEBA91" w14:textId="027AD2AE" w:rsidR="00A0397F" w:rsidRDefault="00A0397F" w:rsidP="00A0397F">
      <w:pPr>
        <w:pStyle w:val="Titre3"/>
        <w:numPr>
          <w:ilvl w:val="2"/>
          <w:numId w:val="1"/>
        </w:numPr>
        <w:tabs>
          <w:tab w:val="num" w:pos="360"/>
        </w:tabs>
        <w:spacing w:line="240" w:lineRule="auto"/>
        <w:ind w:left="0" w:firstLine="0"/>
        <w:rPr>
          <w:b/>
          <w:bCs/>
        </w:rPr>
      </w:pPr>
      <w:bookmarkStart w:id="58" w:name="_Toc87357311"/>
      <w:bookmarkStart w:id="59" w:name="_Toc195507405"/>
      <w:bookmarkStart w:id="60" w:name="_Toc200944564"/>
      <w:r w:rsidRPr="009B1F19">
        <w:rPr>
          <w:b/>
          <w:bCs/>
        </w:rPr>
        <w:t xml:space="preserve">The effects on </w:t>
      </w:r>
      <w:r w:rsidR="005340D5">
        <w:rPr>
          <w:b/>
          <w:bCs/>
        </w:rPr>
        <w:t>households</w:t>
      </w:r>
      <w:bookmarkEnd w:id="58"/>
      <w:bookmarkEnd w:id="59"/>
      <w:bookmarkEnd w:id="60"/>
      <w:r w:rsidR="004E5A8C">
        <w:rPr>
          <w:b/>
          <w:bCs/>
        </w:rPr>
        <w:t xml:space="preserve">  </w:t>
      </w:r>
    </w:p>
    <w:p w14:paraId="48FD3974" w14:textId="1D07F9CF" w:rsidR="00104C53" w:rsidRDefault="00104C53" w:rsidP="00104C53">
      <w:pPr>
        <w:jc w:val="both"/>
        <w:rPr>
          <w:rFonts w:ascii="Times New Roman" w:hAnsi="Times New Roman" w:cs="Times New Roman"/>
          <w:sz w:val="24"/>
          <w:szCs w:val="24"/>
        </w:rPr>
      </w:pPr>
      <w:r w:rsidRPr="00104C53">
        <w:rPr>
          <w:rFonts w:ascii="Times New Roman" w:hAnsi="Times New Roman" w:cs="Times New Roman"/>
          <w:sz w:val="24"/>
          <w:szCs w:val="24"/>
        </w:rPr>
        <w:t xml:space="preserve">In addition to its effects on productive factors, the reduction in the price of cement also has effects on consumer prices, the analysis of which is very important. The results show that the fall in the price of cement contributes to lowering the price of goods and services related to the </w:t>
      </w:r>
      <w:bookmarkStart w:id="61" w:name="_Hlk200510108"/>
      <w:r w:rsidR="0092094B">
        <w:rPr>
          <w:rFonts w:ascii="Times New Roman" w:hAnsi="Times New Roman" w:cs="Times New Roman"/>
          <w:sz w:val="24"/>
          <w:szCs w:val="24"/>
        </w:rPr>
        <w:t xml:space="preserve">construction sector but generates inflation in all other </w:t>
      </w:r>
      <w:bookmarkEnd w:id="61"/>
      <w:r w:rsidR="0092094B">
        <w:rPr>
          <w:rFonts w:ascii="Times New Roman" w:hAnsi="Times New Roman" w:cs="Times New Roman"/>
          <w:sz w:val="24"/>
          <w:szCs w:val="24"/>
        </w:rPr>
        <w:t>sectoral goods and services.</w:t>
      </w:r>
    </w:p>
    <w:p w14:paraId="26679EDF" w14:textId="5977E6E4" w:rsidR="00E937BD" w:rsidRDefault="00E937BD" w:rsidP="00104C53">
      <w:pPr>
        <w:jc w:val="both"/>
        <w:rPr>
          <w:rFonts w:ascii="Times New Roman" w:hAnsi="Times New Roman" w:cs="Times New Roman"/>
          <w:sz w:val="24"/>
          <w:szCs w:val="24"/>
        </w:rPr>
      </w:pPr>
      <w:r>
        <w:rPr>
          <w:rFonts w:ascii="Times New Roman" w:hAnsi="Times New Roman" w:cs="Times New Roman"/>
          <w:sz w:val="24"/>
          <w:szCs w:val="24"/>
        </w:rPr>
        <w:t>Figure 1</w:t>
      </w:r>
      <w:r>
        <w:rPr>
          <w:rFonts w:ascii="Times New Roman" w:hAnsi="Times New Roman" w:cs="Times New Roman"/>
          <w:sz w:val="24"/>
          <w:szCs w:val="24"/>
        </w:rPr>
        <w:t>7</w:t>
      </w:r>
      <w:r>
        <w:rPr>
          <w:rFonts w:ascii="Times New Roman" w:hAnsi="Times New Roman" w:cs="Times New Roman"/>
          <w:sz w:val="24"/>
          <w:szCs w:val="24"/>
        </w:rPr>
        <w:t xml:space="preserve">: Impact on </w:t>
      </w:r>
      <w:r w:rsidR="002D5318" w:rsidRPr="00104C53">
        <w:rPr>
          <w:rFonts w:ascii="Times New Roman" w:hAnsi="Times New Roman" w:cs="Times New Roman"/>
          <w:sz w:val="24"/>
          <w:szCs w:val="24"/>
        </w:rPr>
        <w:t>goods and services</w:t>
      </w:r>
      <w:r w:rsidR="002D5318">
        <w:rPr>
          <w:rFonts w:ascii="Times New Roman" w:hAnsi="Times New Roman" w:cs="Times New Roman"/>
          <w:sz w:val="24"/>
          <w:szCs w:val="24"/>
        </w:rPr>
        <w:t xml:space="preserve"> prices</w:t>
      </w:r>
    </w:p>
    <w:p w14:paraId="2FD04A3A" w14:textId="36439AEF" w:rsidR="00981C93" w:rsidRDefault="00981C93" w:rsidP="00104C53">
      <w:pPr>
        <w:jc w:val="both"/>
        <w:rPr>
          <w:rFonts w:ascii="Times New Roman" w:hAnsi="Times New Roman" w:cs="Times New Roman"/>
          <w:sz w:val="24"/>
          <w:szCs w:val="24"/>
        </w:rPr>
      </w:pPr>
      <w:r>
        <w:rPr>
          <w:noProof/>
          <w:lang w:val="en-GB" w:eastAsia="en-GB"/>
        </w:rPr>
        <w:drawing>
          <wp:inline distT="0" distB="0" distL="0" distR="0" wp14:anchorId="5A9B824A" wp14:editId="3E1032D6">
            <wp:extent cx="5760720" cy="2559050"/>
            <wp:effectExtent l="0" t="0" r="11430" b="12700"/>
            <wp:docPr id="1593970148" name="Graphique 1">
              <a:extLst xmlns:a="http://schemas.openxmlformats.org/drawingml/2006/main">
                <a:ext uri="{FF2B5EF4-FFF2-40B4-BE49-F238E27FC236}">
                  <a16:creationId xmlns:a16="http://schemas.microsoft.com/office/drawing/2014/main" id="{C5732279-CC71-5C06-F9AE-A171B5ECBB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1CE8C10" w14:textId="3D7B335A" w:rsidR="004D2EA0" w:rsidRPr="008D7B6E" w:rsidRDefault="008D7B6E" w:rsidP="00104C53">
      <w:pPr>
        <w:jc w:val="both"/>
        <w:rPr>
          <w:sz w:val="18"/>
          <w:szCs w:val="18"/>
        </w:rPr>
      </w:pPr>
      <w:r w:rsidRPr="009F3C25">
        <w:rPr>
          <w:sz w:val="18"/>
          <w:szCs w:val="18"/>
        </w:rPr>
        <w:t>Source: Authors</w:t>
      </w:r>
    </w:p>
    <w:p w14:paraId="5F0D6D4A" w14:textId="40677E2A" w:rsidR="004D2EA0" w:rsidRDefault="004D2EA0" w:rsidP="00104C53">
      <w:pPr>
        <w:jc w:val="both"/>
        <w:rPr>
          <w:rFonts w:ascii="Times New Roman" w:hAnsi="Times New Roman" w:cs="Times New Roman"/>
          <w:sz w:val="24"/>
          <w:szCs w:val="24"/>
        </w:rPr>
      </w:pPr>
      <w:r>
        <w:rPr>
          <w:rFonts w:ascii="Times New Roman" w:hAnsi="Times New Roman" w:cs="Times New Roman"/>
          <w:sz w:val="24"/>
          <w:szCs w:val="24"/>
        </w:rPr>
        <w:t xml:space="preserve">However, to support the increase in production in the construction, mining, electricity, professional activities and manufacturing sectors, the demand for labor increases and results in </w:t>
      </w:r>
      <w:r>
        <w:rPr>
          <w:rFonts w:ascii="Times New Roman" w:hAnsi="Times New Roman" w:cs="Times New Roman"/>
          <w:sz w:val="24"/>
          <w:szCs w:val="24"/>
        </w:rPr>
        <w:lastRenderedPageBreak/>
        <w:t xml:space="preserve">an increase in the income of the labor factor from these sectors. </w:t>
      </w:r>
      <w:bookmarkStart w:id="62" w:name="_Hlk200510173"/>
      <w:r w:rsidR="00CB4249">
        <w:rPr>
          <w:rFonts w:ascii="Times New Roman" w:hAnsi="Times New Roman" w:cs="Times New Roman"/>
          <w:sz w:val="24"/>
          <w:szCs w:val="24"/>
        </w:rPr>
        <w:t>In rural areas as well as in urban areas, Nigerien men are the first winners</w:t>
      </w:r>
      <w:bookmarkEnd w:id="62"/>
      <w:r w:rsidR="00CB4249">
        <w:rPr>
          <w:rFonts w:ascii="Times New Roman" w:hAnsi="Times New Roman" w:cs="Times New Roman"/>
          <w:sz w:val="24"/>
          <w:szCs w:val="24"/>
        </w:rPr>
        <w:t>, which contributes to increasing gender disparities.</w:t>
      </w:r>
    </w:p>
    <w:p w14:paraId="661437DD" w14:textId="1A9B4B5C" w:rsidR="002D5318" w:rsidRPr="00104C53" w:rsidRDefault="002D5318" w:rsidP="00104C53">
      <w:pPr>
        <w:jc w:val="both"/>
        <w:rPr>
          <w:rFonts w:ascii="Times New Roman" w:hAnsi="Times New Roman" w:cs="Times New Roman"/>
          <w:sz w:val="24"/>
          <w:szCs w:val="24"/>
        </w:rPr>
      </w:pPr>
      <w:r>
        <w:rPr>
          <w:rFonts w:ascii="Times New Roman" w:hAnsi="Times New Roman" w:cs="Times New Roman"/>
          <w:sz w:val="24"/>
          <w:szCs w:val="24"/>
        </w:rPr>
        <w:t>Figure 1</w:t>
      </w:r>
      <w:r>
        <w:rPr>
          <w:rFonts w:ascii="Times New Roman" w:hAnsi="Times New Roman" w:cs="Times New Roman"/>
          <w:sz w:val="24"/>
          <w:szCs w:val="24"/>
        </w:rPr>
        <w:t>8</w:t>
      </w:r>
      <w:r>
        <w:rPr>
          <w:rFonts w:ascii="Times New Roman" w:hAnsi="Times New Roman" w:cs="Times New Roman"/>
          <w:sz w:val="24"/>
          <w:szCs w:val="24"/>
        </w:rPr>
        <w:t xml:space="preserve">: Impact on </w:t>
      </w:r>
      <w:r>
        <w:rPr>
          <w:rFonts w:ascii="Times New Roman" w:hAnsi="Times New Roman" w:cs="Times New Roman"/>
          <w:sz w:val="24"/>
          <w:szCs w:val="24"/>
        </w:rPr>
        <w:t>urban and rura</w:t>
      </w:r>
      <w:r>
        <w:rPr>
          <w:rFonts w:ascii="Times New Roman" w:hAnsi="Times New Roman" w:cs="Times New Roman"/>
          <w:sz w:val="24"/>
          <w:szCs w:val="24"/>
        </w:rPr>
        <w:t>l</w:t>
      </w:r>
      <w:r>
        <w:rPr>
          <w:rFonts w:ascii="Times New Roman" w:hAnsi="Times New Roman" w:cs="Times New Roman"/>
          <w:sz w:val="24"/>
          <w:szCs w:val="24"/>
        </w:rPr>
        <w:t xml:space="preserve"> </w:t>
      </w:r>
      <w:r>
        <w:rPr>
          <w:rFonts w:ascii="Times New Roman" w:hAnsi="Times New Roman" w:cs="Times New Roman"/>
          <w:sz w:val="24"/>
          <w:szCs w:val="24"/>
        </w:rPr>
        <w:t>labor</w:t>
      </w:r>
      <w:r>
        <w:rPr>
          <w:rFonts w:ascii="Times New Roman" w:hAnsi="Times New Roman" w:cs="Times New Roman"/>
          <w:sz w:val="24"/>
          <w:szCs w:val="24"/>
        </w:rPr>
        <w:t xml:space="preserve"> </w:t>
      </w:r>
      <w:r>
        <w:rPr>
          <w:rFonts w:ascii="Times New Roman" w:hAnsi="Times New Roman" w:cs="Times New Roman"/>
          <w:sz w:val="24"/>
          <w:szCs w:val="24"/>
        </w:rPr>
        <w:t>demand</w:t>
      </w:r>
    </w:p>
    <w:p w14:paraId="666535C6" w14:textId="6A6D2250" w:rsidR="0099528D" w:rsidRDefault="00C446F7" w:rsidP="00D350E5">
      <w:pPr>
        <w:jc w:val="both"/>
        <w:rPr>
          <w:rFonts w:ascii="Times New Roman" w:hAnsi="Times New Roman" w:cs="Times New Roman"/>
          <w:sz w:val="24"/>
          <w:szCs w:val="24"/>
        </w:rPr>
      </w:pPr>
      <w:r>
        <w:rPr>
          <w:noProof/>
          <w:lang w:val="en-GB" w:eastAsia="en-GB"/>
        </w:rPr>
        <w:drawing>
          <wp:inline distT="0" distB="0" distL="0" distR="0" wp14:anchorId="77CA39BD" wp14:editId="5AFFC499">
            <wp:extent cx="5717689" cy="2743200"/>
            <wp:effectExtent l="0" t="0" r="16510" b="0"/>
            <wp:docPr id="782215701" name="Graphique 1">
              <a:extLst xmlns:a="http://schemas.openxmlformats.org/drawingml/2006/main">
                <a:ext uri="{FF2B5EF4-FFF2-40B4-BE49-F238E27FC236}">
                  <a16:creationId xmlns:a16="http://schemas.microsoft.com/office/drawing/2014/main" id="{EB7EE7C2-088A-8C56-CEA1-D4DFA53349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9070B0C" w14:textId="4632D4EA" w:rsidR="00C446F7" w:rsidRDefault="00C446F7" w:rsidP="00D350E5">
      <w:pPr>
        <w:jc w:val="both"/>
        <w:rPr>
          <w:rFonts w:ascii="Times New Roman" w:hAnsi="Times New Roman" w:cs="Times New Roman"/>
          <w:sz w:val="24"/>
          <w:szCs w:val="24"/>
        </w:rPr>
      </w:pPr>
      <w:r>
        <w:rPr>
          <w:noProof/>
          <w:lang w:val="en-GB" w:eastAsia="en-GB"/>
        </w:rPr>
        <w:drawing>
          <wp:inline distT="0" distB="0" distL="0" distR="0" wp14:anchorId="271EF1EC" wp14:editId="6C1EBE01">
            <wp:extent cx="5770880" cy="3105937"/>
            <wp:effectExtent l="0" t="0" r="1270" b="18415"/>
            <wp:docPr id="684046648" name="Graphique 1">
              <a:extLst xmlns:a="http://schemas.openxmlformats.org/drawingml/2006/main">
                <a:ext uri="{FF2B5EF4-FFF2-40B4-BE49-F238E27FC236}">
                  <a16:creationId xmlns:a16="http://schemas.microsoft.com/office/drawing/2014/main" id="{54E818C6-9204-D768-F1B4-462E597BFC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0A30741" w14:textId="77777777" w:rsidR="00C446F7" w:rsidRDefault="00C446F7" w:rsidP="00C446F7">
      <w:pPr>
        <w:jc w:val="both"/>
        <w:rPr>
          <w:sz w:val="18"/>
          <w:szCs w:val="18"/>
        </w:rPr>
      </w:pPr>
      <w:r w:rsidRPr="009F3C25">
        <w:rPr>
          <w:sz w:val="18"/>
          <w:szCs w:val="18"/>
        </w:rPr>
        <w:t>Source: Authors</w:t>
      </w:r>
    </w:p>
    <w:p w14:paraId="568E128A" w14:textId="372EF7B5" w:rsidR="00AD4D49" w:rsidRDefault="00AD4D49" w:rsidP="00C446F7">
      <w:pPr>
        <w:jc w:val="both"/>
        <w:rPr>
          <w:rFonts w:ascii="Times New Roman" w:hAnsi="Times New Roman" w:cs="Times New Roman"/>
          <w:sz w:val="24"/>
          <w:szCs w:val="24"/>
        </w:rPr>
      </w:pPr>
      <w:r>
        <w:rPr>
          <w:rFonts w:ascii="Times New Roman" w:hAnsi="Times New Roman" w:cs="Times New Roman"/>
          <w:sz w:val="24"/>
          <w:szCs w:val="24"/>
        </w:rPr>
        <w:t>An analysis of household disposable income shows that financing the reform through direct funding from the state budget contributes to a deterioration in household income in Dosso, Maradi, and Niamey. Financing through domestic or external debt has the same effects on household income.</w:t>
      </w:r>
    </w:p>
    <w:p w14:paraId="30E747FF" w14:textId="77777777" w:rsidR="0062027A" w:rsidRDefault="0062027A" w:rsidP="00C446F7">
      <w:pPr>
        <w:jc w:val="both"/>
        <w:rPr>
          <w:rFonts w:ascii="Times New Roman" w:hAnsi="Times New Roman" w:cs="Times New Roman"/>
          <w:sz w:val="24"/>
          <w:szCs w:val="24"/>
        </w:rPr>
      </w:pPr>
    </w:p>
    <w:p w14:paraId="39C8B614" w14:textId="77777777" w:rsidR="0062027A" w:rsidRDefault="0062027A" w:rsidP="00C446F7">
      <w:pPr>
        <w:jc w:val="both"/>
        <w:rPr>
          <w:rFonts w:ascii="Times New Roman" w:hAnsi="Times New Roman" w:cs="Times New Roman"/>
          <w:sz w:val="24"/>
          <w:szCs w:val="24"/>
        </w:rPr>
      </w:pPr>
    </w:p>
    <w:p w14:paraId="2D41BDB0" w14:textId="77777777" w:rsidR="0062027A" w:rsidRPr="00AD4D49" w:rsidRDefault="0062027A" w:rsidP="00C446F7">
      <w:pPr>
        <w:jc w:val="both"/>
        <w:rPr>
          <w:rFonts w:ascii="Times New Roman" w:hAnsi="Times New Roman" w:cs="Times New Roman"/>
          <w:sz w:val="24"/>
          <w:szCs w:val="24"/>
        </w:rPr>
      </w:pPr>
    </w:p>
    <w:tbl>
      <w:tblPr>
        <w:tblW w:w="8773" w:type="dxa"/>
        <w:tblInd w:w="70" w:type="dxa"/>
        <w:tblCellMar>
          <w:left w:w="70" w:type="dxa"/>
          <w:right w:w="70" w:type="dxa"/>
        </w:tblCellMar>
        <w:tblLook w:val="04A0" w:firstRow="1" w:lastRow="0" w:firstColumn="1" w:lastColumn="0" w:noHBand="0" w:noVBand="1"/>
      </w:tblPr>
      <w:tblGrid>
        <w:gridCol w:w="6560"/>
        <w:gridCol w:w="1200"/>
        <w:gridCol w:w="1200"/>
      </w:tblGrid>
      <w:tr w:rsidR="004D2EA0" w:rsidRPr="006E39DA" w14:paraId="1DABEC53" w14:textId="77777777" w:rsidTr="00E20D63">
        <w:trPr>
          <w:trHeight w:val="250"/>
        </w:trPr>
        <w:tc>
          <w:tcPr>
            <w:tcW w:w="6373" w:type="dxa"/>
            <w:tcBorders>
              <w:top w:val="nil"/>
              <w:left w:val="nil"/>
              <w:bottom w:val="nil"/>
              <w:right w:val="nil"/>
            </w:tcBorders>
            <w:shd w:val="clear" w:color="auto" w:fill="auto"/>
            <w:noWrap/>
            <w:vAlign w:val="bottom"/>
            <w:hideMark/>
          </w:tcPr>
          <w:p w14:paraId="5B60DE5D" w14:textId="620D3204" w:rsidR="004D2EA0" w:rsidRPr="00861320" w:rsidRDefault="007E591D" w:rsidP="00861320">
            <w:pPr>
              <w:jc w:val="both"/>
              <w:rPr>
                <w:rFonts w:ascii="Times New Roman" w:hAnsi="Times New Roman" w:cs="Times New Roman"/>
                <w:sz w:val="24"/>
                <w:szCs w:val="24"/>
              </w:rPr>
            </w:pPr>
            <w:r>
              <w:rPr>
                <w:rFonts w:ascii="Times New Roman" w:hAnsi="Times New Roman" w:cs="Times New Roman"/>
                <w:sz w:val="24"/>
                <w:szCs w:val="24"/>
              </w:rPr>
              <w:lastRenderedPageBreak/>
              <w:t>Table</w:t>
            </w:r>
            <w:r w:rsidR="002D5318">
              <w:rPr>
                <w:rFonts w:ascii="Times New Roman" w:hAnsi="Times New Roman" w:cs="Times New Roman"/>
                <w:sz w:val="24"/>
                <w:szCs w:val="24"/>
              </w:rPr>
              <w:t xml:space="preserve"> 3</w:t>
            </w:r>
            <w:r>
              <w:rPr>
                <w:rFonts w:ascii="Times New Roman" w:hAnsi="Times New Roman" w:cs="Times New Roman"/>
                <w:sz w:val="24"/>
                <w:szCs w:val="24"/>
              </w:rPr>
              <w:t>: Effect on household disposable income</w:t>
            </w:r>
          </w:p>
          <w:p w14:paraId="58070CAD" w14:textId="731BDB7A" w:rsidR="004D2EA0" w:rsidRDefault="004D2EA0" w:rsidP="00861320">
            <w:pPr>
              <w:spacing w:after="0" w:line="240" w:lineRule="auto"/>
              <w:rPr>
                <w:rFonts w:ascii="Arial" w:eastAsia="Times New Roman" w:hAnsi="Arial" w:cs="Arial"/>
                <w:color w:val="000000"/>
                <w:sz w:val="20"/>
                <w:szCs w:val="20"/>
                <w:lang w:eastAsia="fr-FR"/>
                <w14:ligatures w14:val="none"/>
              </w:rPr>
            </w:pPr>
            <w:r w:rsidRPr="006E39DA">
              <w:rPr>
                <w:rFonts w:ascii="Arial" w:eastAsia="Times New Roman" w:hAnsi="Arial" w:cs="Arial"/>
                <w:color w:val="000000"/>
                <w:sz w:val="20"/>
                <w:szCs w:val="20"/>
                <w:lang w:eastAsia="fr-FR"/>
                <w14:ligatures w14:val="none"/>
              </w:rPr>
              <w:t>Average household disposal income</w:t>
            </w:r>
          </w:p>
          <w:tbl>
            <w:tblPr>
              <w:tblStyle w:val="Tableausimple1"/>
              <w:tblW w:w="6247" w:type="dxa"/>
              <w:tblLook w:val="04A0" w:firstRow="1" w:lastRow="0" w:firstColumn="1" w:lastColumn="0" w:noHBand="0" w:noVBand="1"/>
            </w:tblPr>
            <w:tblGrid>
              <w:gridCol w:w="870"/>
              <w:gridCol w:w="1530"/>
              <w:gridCol w:w="1302"/>
              <w:gridCol w:w="1130"/>
              <w:gridCol w:w="1415"/>
            </w:tblGrid>
            <w:tr w:rsidR="006B0987" w:rsidRPr="002D71D8" w14:paraId="14C95F67" w14:textId="77777777" w:rsidTr="006B0987">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462" w:type="dxa"/>
                  <w:gridSpan w:val="2"/>
                  <w:noWrap/>
                  <w:hideMark/>
                </w:tcPr>
                <w:p w14:paraId="0849773A" w14:textId="77777777" w:rsidR="002D71D8" w:rsidRPr="002D71D8" w:rsidRDefault="002D71D8" w:rsidP="002D71D8">
                  <w:pPr>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 </w:t>
                  </w:r>
                </w:p>
              </w:tc>
              <w:tc>
                <w:tcPr>
                  <w:tcW w:w="1173" w:type="dxa"/>
                  <w:noWrap/>
                  <w:hideMark/>
                </w:tcPr>
                <w:p w14:paraId="056F9BE1" w14:textId="77777777" w:rsidR="002D71D8" w:rsidRPr="006B0987" w:rsidRDefault="002D71D8" w:rsidP="002D71D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14:ligatures w14:val="none"/>
                    </w:rPr>
                  </w:pPr>
                  <w:r w:rsidRPr="006B0987">
                    <w:rPr>
                      <w:rFonts w:ascii="Arial" w:eastAsia="Times New Roman" w:hAnsi="Arial" w:cs="Arial"/>
                      <w:color w:val="000000"/>
                      <w:sz w:val="18"/>
                      <w:szCs w:val="18"/>
                      <w:lang w:eastAsia="fr-FR"/>
                      <w14:ligatures w14:val="none"/>
                    </w:rPr>
                    <w:t>IntBorrowing</w:t>
                  </w:r>
                </w:p>
              </w:tc>
              <w:tc>
                <w:tcPr>
                  <w:tcW w:w="1159" w:type="dxa"/>
                  <w:noWrap/>
                  <w:hideMark/>
                </w:tcPr>
                <w:p w14:paraId="25BBB5DF" w14:textId="77777777" w:rsidR="002D71D8" w:rsidRPr="006B0987" w:rsidRDefault="002D71D8" w:rsidP="002D71D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14:ligatures w14:val="none"/>
                    </w:rPr>
                  </w:pPr>
                  <w:r w:rsidRPr="006B0987">
                    <w:rPr>
                      <w:rFonts w:ascii="Arial" w:eastAsia="Times New Roman" w:hAnsi="Arial" w:cs="Arial"/>
                      <w:color w:val="000000"/>
                      <w:sz w:val="18"/>
                      <w:szCs w:val="18"/>
                      <w:lang w:eastAsia="fr-FR"/>
                      <w14:ligatures w14:val="none"/>
                    </w:rPr>
                    <w:t>GovSpend</w:t>
                  </w:r>
                </w:p>
              </w:tc>
              <w:tc>
                <w:tcPr>
                  <w:tcW w:w="1453" w:type="dxa"/>
                  <w:noWrap/>
                  <w:hideMark/>
                </w:tcPr>
                <w:p w14:paraId="2D3CE928" w14:textId="77777777" w:rsidR="002D71D8" w:rsidRPr="006B0987" w:rsidRDefault="002D71D8" w:rsidP="002D71D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14:ligatures w14:val="none"/>
                    </w:rPr>
                  </w:pPr>
                  <w:r w:rsidRPr="006B0987">
                    <w:rPr>
                      <w:rFonts w:ascii="Arial" w:eastAsia="Times New Roman" w:hAnsi="Arial" w:cs="Arial"/>
                      <w:color w:val="000000"/>
                      <w:sz w:val="18"/>
                      <w:szCs w:val="18"/>
                      <w:lang w:eastAsia="fr-FR"/>
                      <w14:ligatures w14:val="none"/>
                    </w:rPr>
                    <w:t>ExtBorrowing</w:t>
                  </w:r>
                </w:p>
              </w:tc>
            </w:tr>
            <w:tr w:rsidR="006B0987" w:rsidRPr="002D71D8" w14:paraId="710404F3" w14:textId="77777777" w:rsidTr="006B098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1" w:type="dxa"/>
                  <w:vMerge w:val="restart"/>
                  <w:noWrap/>
                  <w:hideMark/>
                </w:tcPr>
                <w:p w14:paraId="0C5DAAEB" w14:textId="77777777" w:rsidR="002D71D8" w:rsidRPr="002D71D8" w:rsidRDefault="002D71D8" w:rsidP="002D71D8">
                  <w:pPr>
                    <w:jc w:val="center"/>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Urban</w:t>
                  </w:r>
                </w:p>
              </w:tc>
              <w:tc>
                <w:tcPr>
                  <w:tcW w:w="1571" w:type="dxa"/>
                  <w:noWrap/>
                  <w:hideMark/>
                </w:tcPr>
                <w:p w14:paraId="0072AB34" w14:textId="77777777" w:rsidR="002D71D8" w:rsidRPr="002D71D8" w:rsidRDefault="002D71D8" w:rsidP="002D71D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_Agadez</w:t>
                  </w:r>
                </w:p>
              </w:tc>
              <w:tc>
                <w:tcPr>
                  <w:tcW w:w="1173" w:type="dxa"/>
                  <w:noWrap/>
                  <w:hideMark/>
                </w:tcPr>
                <w:p w14:paraId="4A1E9559"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0.21</w:t>
                  </w:r>
                </w:p>
              </w:tc>
              <w:tc>
                <w:tcPr>
                  <w:tcW w:w="1159" w:type="dxa"/>
                  <w:noWrap/>
                  <w:hideMark/>
                </w:tcPr>
                <w:p w14:paraId="12545EAA"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0.05</w:t>
                  </w:r>
                </w:p>
              </w:tc>
              <w:tc>
                <w:tcPr>
                  <w:tcW w:w="1453" w:type="dxa"/>
                  <w:noWrap/>
                  <w:hideMark/>
                </w:tcPr>
                <w:p w14:paraId="49C04AD7"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0.21</w:t>
                  </w:r>
                </w:p>
              </w:tc>
            </w:tr>
            <w:tr w:rsidR="006B0987" w:rsidRPr="002D71D8" w14:paraId="2BE94157" w14:textId="77777777" w:rsidTr="006B0987">
              <w:trPr>
                <w:trHeight w:val="260"/>
              </w:trPr>
              <w:tc>
                <w:tcPr>
                  <w:cnfStyle w:val="001000000000" w:firstRow="0" w:lastRow="0" w:firstColumn="1" w:lastColumn="0" w:oddVBand="0" w:evenVBand="0" w:oddHBand="0" w:evenHBand="0" w:firstRowFirstColumn="0" w:firstRowLastColumn="0" w:lastRowFirstColumn="0" w:lastRowLastColumn="0"/>
                  <w:tcW w:w="891" w:type="dxa"/>
                  <w:vMerge/>
                  <w:hideMark/>
                </w:tcPr>
                <w:p w14:paraId="423EDF3B" w14:textId="77777777" w:rsidR="002D71D8" w:rsidRPr="002D71D8" w:rsidRDefault="002D71D8" w:rsidP="002D71D8">
                  <w:pPr>
                    <w:rPr>
                      <w:rFonts w:ascii="Arial" w:eastAsia="Times New Roman" w:hAnsi="Arial" w:cs="Arial"/>
                      <w:color w:val="000000"/>
                      <w:sz w:val="20"/>
                      <w:szCs w:val="20"/>
                      <w:lang w:eastAsia="fr-FR"/>
                      <w14:ligatures w14:val="none"/>
                    </w:rPr>
                  </w:pPr>
                </w:p>
              </w:tc>
              <w:tc>
                <w:tcPr>
                  <w:tcW w:w="1571" w:type="dxa"/>
                  <w:noWrap/>
                  <w:hideMark/>
                </w:tcPr>
                <w:p w14:paraId="0106A524" w14:textId="77777777" w:rsidR="002D71D8" w:rsidRPr="002D71D8" w:rsidRDefault="002D71D8" w:rsidP="002D71D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_Diffa</w:t>
                  </w:r>
                </w:p>
              </w:tc>
              <w:tc>
                <w:tcPr>
                  <w:tcW w:w="1173" w:type="dxa"/>
                  <w:noWrap/>
                  <w:hideMark/>
                </w:tcPr>
                <w:p w14:paraId="76FA0D39"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0.23</w:t>
                  </w:r>
                </w:p>
              </w:tc>
              <w:tc>
                <w:tcPr>
                  <w:tcW w:w="1159" w:type="dxa"/>
                  <w:noWrap/>
                  <w:hideMark/>
                </w:tcPr>
                <w:p w14:paraId="71DA37EB"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0.39</w:t>
                  </w:r>
                </w:p>
              </w:tc>
              <w:tc>
                <w:tcPr>
                  <w:tcW w:w="1453" w:type="dxa"/>
                  <w:noWrap/>
                  <w:hideMark/>
                </w:tcPr>
                <w:p w14:paraId="5BA0339F"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0.23</w:t>
                  </w:r>
                </w:p>
              </w:tc>
            </w:tr>
            <w:tr w:rsidR="006B0987" w:rsidRPr="002D71D8" w14:paraId="14ACB954" w14:textId="77777777" w:rsidTr="006B098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891" w:type="dxa"/>
                  <w:vMerge/>
                  <w:hideMark/>
                </w:tcPr>
                <w:p w14:paraId="2E7C73A2" w14:textId="77777777" w:rsidR="002D71D8" w:rsidRPr="002D71D8" w:rsidRDefault="002D71D8" w:rsidP="002D71D8">
                  <w:pPr>
                    <w:rPr>
                      <w:rFonts w:ascii="Arial" w:eastAsia="Times New Roman" w:hAnsi="Arial" w:cs="Arial"/>
                      <w:color w:val="000000"/>
                      <w:sz w:val="20"/>
                      <w:szCs w:val="20"/>
                      <w:lang w:eastAsia="fr-FR"/>
                      <w14:ligatures w14:val="none"/>
                    </w:rPr>
                  </w:pPr>
                </w:p>
              </w:tc>
              <w:tc>
                <w:tcPr>
                  <w:tcW w:w="1571" w:type="dxa"/>
                  <w:noWrap/>
                  <w:hideMark/>
                </w:tcPr>
                <w:p w14:paraId="776CDD33" w14:textId="77777777" w:rsidR="002D71D8" w:rsidRPr="002D71D8" w:rsidRDefault="002D71D8" w:rsidP="002D71D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_Dosso</w:t>
                  </w:r>
                </w:p>
              </w:tc>
              <w:tc>
                <w:tcPr>
                  <w:tcW w:w="1173" w:type="dxa"/>
                  <w:noWrap/>
                  <w:hideMark/>
                </w:tcPr>
                <w:p w14:paraId="266ED515"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0.22</w:t>
                  </w:r>
                </w:p>
              </w:tc>
              <w:tc>
                <w:tcPr>
                  <w:tcW w:w="1159" w:type="dxa"/>
                  <w:noWrap/>
                  <w:hideMark/>
                </w:tcPr>
                <w:p w14:paraId="04F13B4F"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-0.25</w:t>
                  </w:r>
                </w:p>
              </w:tc>
              <w:tc>
                <w:tcPr>
                  <w:tcW w:w="1453" w:type="dxa"/>
                  <w:noWrap/>
                  <w:hideMark/>
                </w:tcPr>
                <w:p w14:paraId="357CED6A"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0.22</w:t>
                  </w:r>
                </w:p>
              </w:tc>
            </w:tr>
            <w:tr w:rsidR="006B0987" w:rsidRPr="002D71D8" w14:paraId="6D8827D2" w14:textId="77777777" w:rsidTr="006B0987">
              <w:trPr>
                <w:trHeight w:val="260"/>
              </w:trPr>
              <w:tc>
                <w:tcPr>
                  <w:cnfStyle w:val="001000000000" w:firstRow="0" w:lastRow="0" w:firstColumn="1" w:lastColumn="0" w:oddVBand="0" w:evenVBand="0" w:oddHBand="0" w:evenHBand="0" w:firstRowFirstColumn="0" w:firstRowLastColumn="0" w:lastRowFirstColumn="0" w:lastRowLastColumn="0"/>
                  <w:tcW w:w="891" w:type="dxa"/>
                  <w:vMerge/>
                  <w:hideMark/>
                </w:tcPr>
                <w:p w14:paraId="414E795F" w14:textId="77777777" w:rsidR="002D71D8" w:rsidRPr="002D71D8" w:rsidRDefault="002D71D8" w:rsidP="002D71D8">
                  <w:pPr>
                    <w:rPr>
                      <w:rFonts w:ascii="Arial" w:eastAsia="Times New Roman" w:hAnsi="Arial" w:cs="Arial"/>
                      <w:color w:val="000000"/>
                      <w:sz w:val="20"/>
                      <w:szCs w:val="20"/>
                      <w:lang w:eastAsia="fr-FR"/>
                      <w14:ligatures w14:val="none"/>
                    </w:rPr>
                  </w:pPr>
                </w:p>
              </w:tc>
              <w:tc>
                <w:tcPr>
                  <w:tcW w:w="1571" w:type="dxa"/>
                  <w:noWrap/>
                  <w:hideMark/>
                </w:tcPr>
                <w:p w14:paraId="7A9311A4" w14:textId="77777777" w:rsidR="002D71D8" w:rsidRPr="002D71D8" w:rsidRDefault="002D71D8" w:rsidP="002D71D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_Maradi</w:t>
                  </w:r>
                </w:p>
              </w:tc>
              <w:tc>
                <w:tcPr>
                  <w:tcW w:w="1173" w:type="dxa"/>
                  <w:noWrap/>
                  <w:hideMark/>
                </w:tcPr>
                <w:p w14:paraId="7718C280"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0.24</w:t>
                  </w:r>
                </w:p>
              </w:tc>
              <w:tc>
                <w:tcPr>
                  <w:tcW w:w="1159" w:type="dxa"/>
                  <w:noWrap/>
                  <w:hideMark/>
                </w:tcPr>
                <w:p w14:paraId="0BEAA782"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-0.06</w:t>
                  </w:r>
                </w:p>
              </w:tc>
              <w:tc>
                <w:tcPr>
                  <w:tcW w:w="1453" w:type="dxa"/>
                  <w:noWrap/>
                  <w:hideMark/>
                </w:tcPr>
                <w:p w14:paraId="4428D535"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0.24</w:t>
                  </w:r>
                </w:p>
              </w:tc>
            </w:tr>
            <w:tr w:rsidR="006B0987" w:rsidRPr="002D71D8" w14:paraId="296CE528" w14:textId="77777777" w:rsidTr="006B098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91" w:type="dxa"/>
                  <w:vMerge/>
                  <w:hideMark/>
                </w:tcPr>
                <w:p w14:paraId="1B6C8DC4" w14:textId="77777777" w:rsidR="002D71D8" w:rsidRPr="002D71D8" w:rsidRDefault="002D71D8" w:rsidP="002D71D8">
                  <w:pPr>
                    <w:rPr>
                      <w:rFonts w:ascii="Arial" w:eastAsia="Times New Roman" w:hAnsi="Arial" w:cs="Arial"/>
                      <w:color w:val="000000"/>
                      <w:sz w:val="20"/>
                      <w:szCs w:val="20"/>
                      <w:lang w:eastAsia="fr-FR"/>
                      <w14:ligatures w14:val="none"/>
                    </w:rPr>
                  </w:pPr>
                </w:p>
              </w:tc>
              <w:tc>
                <w:tcPr>
                  <w:tcW w:w="1571" w:type="dxa"/>
                  <w:noWrap/>
                  <w:hideMark/>
                </w:tcPr>
                <w:p w14:paraId="2E875007" w14:textId="77777777" w:rsidR="002D71D8" w:rsidRPr="002D71D8" w:rsidRDefault="002D71D8" w:rsidP="002D71D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_Tahoua</w:t>
                  </w:r>
                </w:p>
              </w:tc>
              <w:tc>
                <w:tcPr>
                  <w:tcW w:w="1173" w:type="dxa"/>
                  <w:noWrap/>
                  <w:hideMark/>
                </w:tcPr>
                <w:p w14:paraId="1815DC62"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0.27</w:t>
                  </w:r>
                </w:p>
              </w:tc>
              <w:tc>
                <w:tcPr>
                  <w:tcW w:w="1159" w:type="dxa"/>
                  <w:noWrap/>
                  <w:hideMark/>
                </w:tcPr>
                <w:p w14:paraId="19B46C27"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0.08</w:t>
                  </w:r>
                </w:p>
              </w:tc>
              <w:tc>
                <w:tcPr>
                  <w:tcW w:w="1453" w:type="dxa"/>
                  <w:noWrap/>
                  <w:hideMark/>
                </w:tcPr>
                <w:p w14:paraId="39A5D1C2"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0.27</w:t>
                  </w:r>
                </w:p>
              </w:tc>
            </w:tr>
            <w:tr w:rsidR="006B0987" w:rsidRPr="002D71D8" w14:paraId="13A2E5AD" w14:textId="77777777" w:rsidTr="006B0987">
              <w:trPr>
                <w:trHeight w:val="260"/>
              </w:trPr>
              <w:tc>
                <w:tcPr>
                  <w:cnfStyle w:val="001000000000" w:firstRow="0" w:lastRow="0" w:firstColumn="1" w:lastColumn="0" w:oddVBand="0" w:evenVBand="0" w:oddHBand="0" w:evenHBand="0" w:firstRowFirstColumn="0" w:firstRowLastColumn="0" w:lastRowFirstColumn="0" w:lastRowLastColumn="0"/>
                  <w:tcW w:w="891" w:type="dxa"/>
                  <w:vMerge/>
                  <w:hideMark/>
                </w:tcPr>
                <w:p w14:paraId="519FF5AA" w14:textId="77777777" w:rsidR="002D71D8" w:rsidRPr="002D71D8" w:rsidRDefault="002D71D8" w:rsidP="002D71D8">
                  <w:pPr>
                    <w:rPr>
                      <w:rFonts w:ascii="Arial" w:eastAsia="Times New Roman" w:hAnsi="Arial" w:cs="Arial"/>
                      <w:color w:val="000000"/>
                      <w:sz w:val="20"/>
                      <w:szCs w:val="20"/>
                      <w:lang w:eastAsia="fr-FR"/>
                      <w14:ligatures w14:val="none"/>
                    </w:rPr>
                  </w:pPr>
                </w:p>
              </w:tc>
              <w:tc>
                <w:tcPr>
                  <w:tcW w:w="1571" w:type="dxa"/>
                  <w:noWrap/>
                  <w:hideMark/>
                </w:tcPr>
                <w:p w14:paraId="00A05533" w14:textId="77777777" w:rsidR="002D71D8" w:rsidRPr="002D71D8" w:rsidRDefault="002D71D8" w:rsidP="002D71D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_Tillabery</w:t>
                  </w:r>
                </w:p>
              </w:tc>
              <w:tc>
                <w:tcPr>
                  <w:tcW w:w="1173" w:type="dxa"/>
                  <w:noWrap/>
                  <w:hideMark/>
                </w:tcPr>
                <w:p w14:paraId="21F14239"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0.22</w:t>
                  </w:r>
                </w:p>
              </w:tc>
              <w:tc>
                <w:tcPr>
                  <w:tcW w:w="1159" w:type="dxa"/>
                  <w:noWrap/>
                  <w:hideMark/>
                </w:tcPr>
                <w:p w14:paraId="3F863D21"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0.28</w:t>
                  </w:r>
                </w:p>
              </w:tc>
              <w:tc>
                <w:tcPr>
                  <w:tcW w:w="1453" w:type="dxa"/>
                  <w:noWrap/>
                  <w:hideMark/>
                </w:tcPr>
                <w:p w14:paraId="1BE3F7B7"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0.22</w:t>
                  </w:r>
                </w:p>
              </w:tc>
            </w:tr>
            <w:tr w:rsidR="006B0987" w:rsidRPr="002D71D8" w14:paraId="2681D043" w14:textId="77777777" w:rsidTr="006B098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91" w:type="dxa"/>
                  <w:vMerge/>
                  <w:hideMark/>
                </w:tcPr>
                <w:p w14:paraId="6B51C82E" w14:textId="77777777" w:rsidR="002D71D8" w:rsidRPr="002D71D8" w:rsidRDefault="002D71D8" w:rsidP="002D71D8">
                  <w:pPr>
                    <w:rPr>
                      <w:rFonts w:ascii="Arial" w:eastAsia="Times New Roman" w:hAnsi="Arial" w:cs="Arial"/>
                      <w:color w:val="000000"/>
                      <w:sz w:val="20"/>
                      <w:szCs w:val="20"/>
                      <w:lang w:eastAsia="fr-FR"/>
                      <w14:ligatures w14:val="none"/>
                    </w:rPr>
                  </w:pPr>
                </w:p>
              </w:tc>
              <w:tc>
                <w:tcPr>
                  <w:tcW w:w="1571" w:type="dxa"/>
                  <w:noWrap/>
                  <w:hideMark/>
                </w:tcPr>
                <w:p w14:paraId="3B797E9A" w14:textId="77777777" w:rsidR="002D71D8" w:rsidRPr="002D71D8" w:rsidRDefault="002D71D8" w:rsidP="002D71D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_Zinder</w:t>
                  </w:r>
                </w:p>
              </w:tc>
              <w:tc>
                <w:tcPr>
                  <w:tcW w:w="1173" w:type="dxa"/>
                  <w:noWrap/>
                  <w:hideMark/>
                </w:tcPr>
                <w:p w14:paraId="3EFAB762"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0.25</w:t>
                  </w:r>
                </w:p>
              </w:tc>
              <w:tc>
                <w:tcPr>
                  <w:tcW w:w="1159" w:type="dxa"/>
                  <w:noWrap/>
                  <w:hideMark/>
                </w:tcPr>
                <w:p w14:paraId="3359F17C"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0.12</w:t>
                  </w:r>
                </w:p>
              </w:tc>
              <w:tc>
                <w:tcPr>
                  <w:tcW w:w="1453" w:type="dxa"/>
                  <w:noWrap/>
                  <w:hideMark/>
                </w:tcPr>
                <w:p w14:paraId="1C91F572"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0.25</w:t>
                  </w:r>
                </w:p>
              </w:tc>
            </w:tr>
            <w:tr w:rsidR="006B0987" w:rsidRPr="002D71D8" w14:paraId="53E0CCA4" w14:textId="77777777" w:rsidTr="006B0987">
              <w:trPr>
                <w:trHeight w:val="260"/>
              </w:trPr>
              <w:tc>
                <w:tcPr>
                  <w:cnfStyle w:val="001000000000" w:firstRow="0" w:lastRow="0" w:firstColumn="1" w:lastColumn="0" w:oddVBand="0" w:evenVBand="0" w:oddHBand="0" w:evenHBand="0" w:firstRowFirstColumn="0" w:firstRowLastColumn="0" w:lastRowFirstColumn="0" w:lastRowLastColumn="0"/>
                  <w:tcW w:w="891" w:type="dxa"/>
                  <w:vMerge/>
                  <w:hideMark/>
                </w:tcPr>
                <w:p w14:paraId="5D1F5681" w14:textId="77777777" w:rsidR="002D71D8" w:rsidRPr="002D71D8" w:rsidRDefault="002D71D8" w:rsidP="002D71D8">
                  <w:pPr>
                    <w:rPr>
                      <w:rFonts w:ascii="Arial" w:eastAsia="Times New Roman" w:hAnsi="Arial" w:cs="Arial"/>
                      <w:color w:val="000000"/>
                      <w:sz w:val="20"/>
                      <w:szCs w:val="20"/>
                      <w:lang w:eastAsia="fr-FR"/>
                      <w14:ligatures w14:val="none"/>
                    </w:rPr>
                  </w:pPr>
                </w:p>
              </w:tc>
              <w:tc>
                <w:tcPr>
                  <w:tcW w:w="1571" w:type="dxa"/>
                  <w:noWrap/>
                  <w:hideMark/>
                </w:tcPr>
                <w:p w14:paraId="16468D99" w14:textId="77777777" w:rsidR="002D71D8" w:rsidRPr="002D71D8" w:rsidRDefault="002D71D8" w:rsidP="002D71D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_Niamey</w:t>
                  </w:r>
                </w:p>
              </w:tc>
              <w:tc>
                <w:tcPr>
                  <w:tcW w:w="1173" w:type="dxa"/>
                  <w:noWrap/>
                  <w:hideMark/>
                </w:tcPr>
                <w:p w14:paraId="2BB2EE4A"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0.22</w:t>
                  </w:r>
                </w:p>
              </w:tc>
              <w:tc>
                <w:tcPr>
                  <w:tcW w:w="1159" w:type="dxa"/>
                  <w:noWrap/>
                  <w:hideMark/>
                </w:tcPr>
                <w:p w14:paraId="0A6C6035"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-0.09</w:t>
                  </w:r>
                </w:p>
              </w:tc>
              <w:tc>
                <w:tcPr>
                  <w:tcW w:w="1453" w:type="dxa"/>
                  <w:noWrap/>
                  <w:hideMark/>
                </w:tcPr>
                <w:p w14:paraId="7AB38421"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0.22</w:t>
                  </w:r>
                </w:p>
              </w:tc>
            </w:tr>
            <w:tr w:rsidR="006B0987" w:rsidRPr="002D71D8" w14:paraId="60078494" w14:textId="77777777" w:rsidTr="006B098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91" w:type="dxa"/>
                  <w:vMerge w:val="restart"/>
                  <w:noWrap/>
                  <w:hideMark/>
                </w:tcPr>
                <w:p w14:paraId="721783B8" w14:textId="77777777" w:rsidR="002D71D8" w:rsidRPr="002D71D8" w:rsidRDefault="002D71D8" w:rsidP="002D71D8">
                  <w:pPr>
                    <w:jc w:val="center"/>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Rural</w:t>
                  </w:r>
                </w:p>
              </w:tc>
              <w:tc>
                <w:tcPr>
                  <w:tcW w:w="1571" w:type="dxa"/>
                  <w:noWrap/>
                  <w:hideMark/>
                </w:tcPr>
                <w:p w14:paraId="0B252960" w14:textId="77777777" w:rsidR="002D71D8" w:rsidRPr="002D71D8" w:rsidRDefault="002D71D8" w:rsidP="002D71D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_Agadez</w:t>
                  </w:r>
                </w:p>
              </w:tc>
              <w:tc>
                <w:tcPr>
                  <w:tcW w:w="1173" w:type="dxa"/>
                  <w:noWrap/>
                  <w:hideMark/>
                </w:tcPr>
                <w:p w14:paraId="2BB10159"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0.18</w:t>
                  </w:r>
                </w:p>
              </w:tc>
              <w:tc>
                <w:tcPr>
                  <w:tcW w:w="1159" w:type="dxa"/>
                  <w:noWrap/>
                  <w:hideMark/>
                </w:tcPr>
                <w:p w14:paraId="408D7305"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0.31</w:t>
                  </w:r>
                </w:p>
              </w:tc>
              <w:tc>
                <w:tcPr>
                  <w:tcW w:w="1453" w:type="dxa"/>
                  <w:noWrap/>
                  <w:hideMark/>
                </w:tcPr>
                <w:p w14:paraId="0D826FCB"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0.18</w:t>
                  </w:r>
                </w:p>
              </w:tc>
            </w:tr>
            <w:tr w:rsidR="006B0987" w:rsidRPr="002D71D8" w14:paraId="27D47128" w14:textId="77777777" w:rsidTr="006B0987">
              <w:trPr>
                <w:trHeight w:val="260"/>
              </w:trPr>
              <w:tc>
                <w:tcPr>
                  <w:cnfStyle w:val="001000000000" w:firstRow="0" w:lastRow="0" w:firstColumn="1" w:lastColumn="0" w:oddVBand="0" w:evenVBand="0" w:oddHBand="0" w:evenHBand="0" w:firstRowFirstColumn="0" w:firstRowLastColumn="0" w:lastRowFirstColumn="0" w:lastRowLastColumn="0"/>
                  <w:tcW w:w="891" w:type="dxa"/>
                  <w:vMerge/>
                  <w:hideMark/>
                </w:tcPr>
                <w:p w14:paraId="1B7606B2" w14:textId="77777777" w:rsidR="002D71D8" w:rsidRPr="002D71D8" w:rsidRDefault="002D71D8" w:rsidP="002D71D8">
                  <w:pPr>
                    <w:rPr>
                      <w:rFonts w:ascii="Arial" w:eastAsia="Times New Roman" w:hAnsi="Arial" w:cs="Arial"/>
                      <w:color w:val="000000"/>
                      <w:sz w:val="20"/>
                      <w:szCs w:val="20"/>
                      <w:lang w:eastAsia="fr-FR"/>
                      <w14:ligatures w14:val="none"/>
                    </w:rPr>
                  </w:pPr>
                </w:p>
              </w:tc>
              <w:tc>
                <w:tcPr>
                  <w:tcW w:w="1571" w:type="dxa"/>
                  <w:noWrap/>
                  <w:hideMark/>
                </w:tcPr>
                <w:p w14:paraId="19EBA7D8" w14:textId="77777777" w:rsidR="002D71D8" w:rsidRPr="002D71D8" w:rsidRDefault="002D71D8" w:rsidP="002D71D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_Diffa</w:t>
                  </w:r>
                </w:p>
              </w:tc>
              <w:tc>
                <w:tcPr>
                  <w:tcW w:w="1173" w:type="dxa"/>
                  <w:noWrap/>
                  <w:hideMark/>
                </w:tcPr>
                <w:p w14:paraId="0092C065"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0.19</w:t>
                  </w:r>
                </w:p>
              </w:tc>
              <w:tc>
                <w:tcPr>
                  <w:tcW w:w="1159" w:type="dxa"/>
                  <w:noWrap/>
                  <w:hideMark/>
                </w:tcPr>
                <w:p w14:paraId="18EB9BA4"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0.22</w:t>
                  </w:r>
                </w:p>
              </w:tc>
              <w:tc>
                <w:tcPr>
                  <w:tcW w:w="1453" w:type="dxa"/>
                  <w:noWrap/>
                  <w:hideMark/>
                </w:tcPr>
                <w:p w14:paraId="21BE97DB"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0.19</w:t>
                  </w:r>
                </w:p>
              </w:tc>
            </w:tr>
            <w:tr w:rsidR="006B0987" w:rsidRPr="002D71D8" w14:paraId="0A48CC7C" w14:textId="77777777" w:rsidTr="006B098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91" w:type="dxa"/>
                  <w:vMerge/>
                  <w:hideMark/>
                </w:tcPr>
                <w:p w14:paraId="1C05DD65" w14:textId="77777777" w:rsidR="002D71D8" w:rsidRPr="002D71D8" w:rsidRDefault="002D71D8" w:rsidP="002D71D8">
                  <w:pPr>
                    <w:rPr>
                      <w:rFonts w:ascii="Arial" w:eastAsia="Times New Roman" w:hAnsi="Arial" w:cs="Arial"/>
                      <w:color w:val="000000"/>
                      <w:sz w:val="20"/>
                      <w:szCs w:val="20"/>
                      <w:lang w:eastAsia="fr-FR"/>
                      <w14:ligatures w14:val="none"/>
                    </w:rPr>
                  </w:pPr>
                </w:p>
              </w:tc>
              <w:tc>
                <w:tcPr>
                  <w:tcW w:w="1571" w:type="dxa"/>
                  <w:noWrap/>
                  <w:hideMark/>
                </w:tcPr>
                <w:p w14:paraId="280B1CF5" w14:textId="77777777" w:rsidR="002D71D8" w:rsidRPr="002D71D8" w:rsidRDefault="002D71D8" w:rsidP="002D71D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_Dosso</w:t>
                  </w:r>
                </w:p>
              </w:tc>
              <w:tc>
                <w:tcPr>
                  <w:tcW w:w="1173" w:type="dxa"/>
                  <w:noWrap/>
                  <w:hideMark/>
                </w:tcPr>
                <w:p w14:paraId="4D62BA1C"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0.22</w:t>
                  </w:r>
                </w:p>
              </w:tc>
              <w:tc>
                <w:tcPr>
                  <w:tcW w:w="1159" w:type="dxa"/>
                  <w:noWrap/>
                  <w:hideMark/>
                </w:tcPr>
                <w:p w14:paraId="5F8A90DC"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0.17</w:t>
                  </w:r>
                </w:p>
              </w:tc>
              <w:tc>
                <w:tcPr>
                  <w:tcW w:w="1453" w:type="dxa"/>
                  <w:noWrap/>
                  <w:hideMark/>
                </w:tcPr>
                <w:p w14:paraId="61E4316B"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0.22</w:t>
                  </w:r>
                </w:p>
              </w:tc>
            </w:tr>
            <w:tr w:rsidR="006B0987" w:rsidRPr="002D71D8" w14:paraId="2C5E4C55" w14:textId="77777777" w:rsidTr="006B0987">
              <w:trPr>
                <w:trHeight w:val="260"/>
              </w:trPr>
              <w:tc>
                <w:tcPr>
                  <w:cnfStyle w:val="001000000000" w:firstRow="0" w:lastRow="0" w:firstColumn="1" w:lastColumn="0" w:oddVBand="0" w:evenVBand="0" w:oddHBand="0" w:evenHBand="0" w:firstRowFirstColumn="0" w:firstRowLastColumn="0" w:lastRowFirstColumn="0" w:lastRowLastColumn="0"/>
                  <w:tcW w:w="891" w:type="dxa"/>
                  <w:vMerge/>
                  <w:hideMark/>
                </w:tcPr>
                <w:p w14:paraId="25D97921" w14:textId="77777777" w:rsidR="002D71D8" w:rsidRPr="002D71D8" w:rsidRDefault="002D71D8" w:rsidP="002D71D8">
                  <w:pPr>
                    <w:rPr>
                      <w:rFonts w:ascii="Arial" w:eastAsia="Times New Roman" w:hAnsi="Arial" w:cs="Arial"/>
                      <w:color w:val="000000"/>
                      <w:sz w:val="20"/>
                      <w:szCs w:val="20"/>
                      <w:lang w:eastAsia="fr-FR"/>
                      <w14:ligatures w14:val="none"/>
                    </w:rPr>
                  </w:pPr>
                </w:p>
              </w:tc>
              <w:tc>
                <w:tcPr>
                  <w:tcW w:w="1571" w:type="dxa"/>
                  <w:noWrap/>
                  <w:hideMark/>
                </w:tcPr>
                <w:p w14:paraId="2308B6CA" w14:textId="77777777" w:rsidR="002D71D8" w:rsidRPr="002D71D8" w:rsidRDefault="002D71D8" w:rsidP="002D71D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_Maradi</w:t>
                  </w:r>
                </w:p>
              </w:tc>
              <w:tc>
                <w:tcPr>
                  <w:tcW w:w="1173" w:type="dxa"/>
                  <w:noWrap/>
                  <w:hideMark/>
                </w:tcPr>
                <w:p w14:paraId="20592805"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0.24</w:t>
                  </w:r>
                </w:p>
              </w:tc>
              <w:tc>
                <w:tcPr>
                  <w:tcW w:w="1159" w:type="dxa"/>
                  <w:noWrap/>
                  <w:hideMark/>
                </w:tcPr>
                <w:p w14:paraId="176109FB"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0.37</w:t>
                  </w:r>
                </w:p>
              </w:tc>
              <w:tc>
                <w:tcPr>
                  <w:tcW w:w="1453" w:type="dxa"/>
                  <w:noWrap/>
                  <w:hideMark/>
                </w:tcPr>
                <w:p w14:paraId="00C8A493"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0.24</w:t>
                  </w:r>
                </w:p>
              </w:tc>
            </w:tr>
            <w:tr w:rsidR="006B0987" w:rsidRPr="002D71D8" w14:paraId="4A5A6949" w14:textId="77777777" w:rsidTr="006B098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91" w:type="dxa"/>
                  <w:vMerge/>
                  <w:hideMark/>
                </w:tcPr>
                <w:p w14:paraId="38A323CF" w14:textId="77777777" w:rsidR="002D71D8" w:rsidRPr="002D71D8" w:rsidRDefault="002D71D8" w:rsidP="002D71D8">
                  <w:pPr>
                    <w:rPr>
                      <w:rFonts w:ascii="Arial" w:eastAsia="Times New Roman" w:hAnsi="Arial" w:cs="Arial"/>
                      <w:color w:val="000000"/>
                      <w:sz w:val="20"/>
                      <w:szCs w:val="20"/>
                      <w:lang w:eastAsia="fr-FR"/>
                      <w14:ligatures w14:val="none"/>
                    </w:rPr>
                  </w:pPr>
                </w:p>
              </w:tc>
              <w:tc>
                <w:tcPr>
                  <w:tcW w:w="1571" w:type="dxa"/>
                  <w:noWrap/>
                  <w:hideMark/>
                </w:tcPr>
                <w:p w14:paraId="65A193C0" w14:textId="77777777" w:rsidR="002D71D8" w:rsidRPr="002D71D8" w:rsidRDefault="002D71D8" w:rsidP="002D71D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_Tahoua</w:t>
                  </w:r>
                </w:p>
              </w:tc>
              <w:tc>
                <w:tcPr>
                  <w:tcW w:w="1173" w:type="dxa"/>
                  <w:noWrap/>
                  <w:hideMark/>
                </w:tcPr>
                <w:p w14:paraId="02AE234A"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0.21</w:t>
                  </w:r>
                </w:p>
              </w:tc>
              <w:tc>
                <w:tcPr>
                  <w:tcW w:w="1159" w:type="dxa"/>
                  <w:noWrap/>
                  <w:hideMark/>
                </w:tcPr>
                <w:p w14:paraId="6D8C8EFE"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0.17</w:t>
                  </w:r>
                </w:p>
              </w:tc>
              <w:tc>
                <w:tcPr>
                  <w:tcW w:w="1453" w:type="dxa"/>
                  <w:noWrap/>
                  <w:hideMark/>
                </w:tcPr>
                <w:p w14:paraId="4456A08F"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0.21</w:t>
                  </w:r>
                </w:p>
              </w:tc>
            </w:tr>
            <w:tr w:rsidR="006B0987" w:rsidRPr="002D71D8" w14:paraId="648C4E0F" w14:textId="77777777" w:rsidTr="006B0987">
              <w:trPr>
                <w:trHeight w:val="250"/>
              </w:trPr>
              <w:tc>
                <w:tcPr>
                  <w:cnfStyle w:val="001000000000" w:firstRow="0" w:lastRow="0" w:firstColumn="1" w:lastColumn="0" w:oddVBand="0" w:evenVBand="0" w:oddHBand="0" w:evenHBand="0" w:firstRowFirstColumn="0" w:firstRowLastColumn="0" w:lastRowFirstColumn="0" w:lastRowLastColumn="0"/>
                  <w:tcW w:w="891" w:type="dxa"/>
                  <w:vMerge/>
                  <w:hideMark/>
                </w:tcPr>
                <w:p w14:paraId="0985FF79" w14:textId="77777777" w:rsidR="002D71D8" w:rsidRPr="002D71D8" w:rsidRDefault="002D71D8" w:rsidP="002D71D8">
                  <w:pPr>
                    <w:rPr>
                      <w:rFonts w:ascii="Arial" w:eastAsia="Times New Roman" w:hAnsi="Arial" w:cs="Arial"/>
                      <w:color w:val="000000"/>
                      <w:sz w:val="20"/>
                      <w:szCs w:val="20"/>
                      <w:lang w:eastAsia="fr-FR"/>
                      <w14:ligatures w14:val="none"/>
                    </w:rPr>
                  </w:pPr>
                </w:p>
              </w:tc>
              <w:tc>
                <w:tcPr>
                  <w:tcW w:w="1571" w:type="dxa"/>
                  <w:noWrap/>
                  <w:hideMark/>
                </w:tcPr>
                <w:p w14:paraId="74A67249" w14:textId="77777777" w:rsidR="002D71D8" w:rsidRPr="002D71D8" w:rsidRDefault="002D71D8" w:rsidP="002D71D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_Tillabery</w:t>
                  </w:r>
                </w:p>
              </w:tc>
              <w:tc>
                <w:tcPr>
                  <w:tcW w:w="1173" w:type="dxa"/>
                  <w:noWrap/>
                  <w:hideMark/>
                </w:tcPr>
                <w:p w14:paraId="307B569A"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0.21</w:t>
                  </w:r>
                </w:p>
              </w:tc>
              <w:tc>
                <w:tcPr>
                  <w:tcW w:w="1159" w:type="dxa"/>
                  <w:noWrap/>
                  <w:hideMark/>
                </w:tcPr>
                <w:p w14:paraId="06B623FF"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0.08</w:t>
                  </w:r>
                </w:p>
              </w:tc>
              <w:tc>
                <w:tcPr>
                  <w:tcW w:w="1453" w:type="dxa"/>
                  <w:noWrap/>
                  <w:hideMark/>
                </w:tcPr>
                <w:p w14:paraId="148F9D25"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0.21</w:t>
                  </w:r>
                </w:p>
              </w:tc>
            </w:tr>
            <w:tr w:rsidR="006B0987" w:rsidRPr="002D71D8" w14:paraId="774444F3" w14:textId="77777777" w:rsidTr="006B0987">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891" w:type="dxa"/>
                  <w:vMerge/>
                  <w:hideMark/>
                </w:tcPr>
                <w:p w14:paraId="759B896F" w14:textId="77777777" w:rsidR="002D71D8" w:rsidRPr="002D71D8" w:rsidRDefault="002D71D8" w:rsidP="002D71D8">
                  <w:pPr>
                    <w:rPr>
                      <w:rFonts w:ascii="Arial" w:eastAsia="Times New Roman" w:hAnsi="Arial" w:cs="Arial"/>
                      <w:color w:val="000000"/>
                      <w:sz w:val="20"/>
                      <w:szCs w:val="20"/>
                      <w:lang w:eastAsia="fr-FR"/>
                      <w14:ligatures w14:val="none"/>
                    </w:rPr>
                  </w:pPr>
                </w:p>
              </w:tc>
              <w:tc>
                <w:tcPr>
                  <w:tcW w:w="1571" w:type="dxa"/>
                  <w:noWrap/>
                  <w:hideMark/>
                </w:tcPr>
                <w:p w14:paraId="6AF46E6B" w14:textId="77777777" w:rsidR="002D71D8" w:rsidRPr="002D71D8" w:rsidRDefault="002D71D8" w:rsidP="002D71D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_Zinder</w:t>
                  </w:r>
                </w:p>
              </w:tc>
              <w:tc>
                <w:tcPr>
                  <w:tcW w:w="1173" w:type="dxa"/>
                  <w:noWrap/>
                  <w:hideMark/>
                </w:tcPr>
                <w:p w14:paraId="3E3CEBE4"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0.22</w:t>
                  </w:r>
                </w:p>
              </w:tc>
              <w:tc>
                <w:tcPr>
                  <w:tcW w:w="1159" w:type="dxa"/>
                  <w:noWrap/>
                  <w:hideMark/>
                </w:tcPr>
                <w:p w14:paraId="42326EC2"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0.23</w:t>
                  </w:r>
                </w:p>
              </w:tc>
              <w:tc>
                <w:tcPr>
                  <w:tcW w:w="1453" w:type="dxa"/>
                  <w:noWrap/>
                  <w:hideMark/>
                </w:tcPr>
                <w:p w14:paraId="23CFD5A8"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0.22</w:t>
                  </w:r>
                </w:p>
              </w:tc>
            </w:tr>
            <w:tr w:rsidR="006B0987" w:rsidRPr="002D71D8" w14:paraId="04FB950D" w14:textId="77777777" w:rsidTr="006B0987">
              <w:trPr>
                <w:trHeight w:val="250"/>
              </w:trPr>
              <w:tc>
                <w:tcPr>
                  <w:cnfStyle w:val="001000000000" w:firstRow="0" w:lastRow="0" w:firstColumn="1" w:lastColumn="0" w:oddVBand="0" w:evenVBand="0" w:oddHBand="0" w:evenHBand="0" w:firstRowFirstColumn="0" w:firstRowLastColumn="0" w:lastRowFirstColumn="0" w:lastRowLastColumn="0"/>
                  <w:tcW w:w="891" w:type="dxa"/>
                  <w:vMerge/>
                  <w:hideMark/>
                </w:tcPr>
                <w:p w14:paraId="111623F4" w14:textId="77777777" w:rsidR="002D71D8" w:rsidRPr="002D71D8" w:rsidRDefault="002D71D8" w:rsidP="002D71D8">
                  <w:pPr>
                    <w:rPr>
                      <w:rFonts w:ascii="Arial" w:eastAsia="Times New Roman" w:hAnsi="Arial" w:cs="Arial"/>
                      <w:color w:val="000000"/>
                      <w:sz w:val="20"/>
                      <w:szCs w:val="20"/>
                      <w:lang w:eastAsia="fr-FR"/>
                      <w14:ligatures w14:val="none"/>
                    </w:rPr>
                  </w:pPr>
                </w:p>
              </w:tc>
              <w:tc>
                <w:tcPr>
                  <w:tcW w:w="1571" w:type="dxa"/>
                  <w:noWrap/>
                  <w:hideMark/>
                </w:tcPr>
                <w:p w14:paraId="196DFCEB" w14:textId="77777777" w:rsidR="002D71D8" w:rsidRPr="002D71D8" w:rsidRDefault="002D71D8" w:rsidP="002D71D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hh _Niamey</w:t>
                  </w:r>
                </w:p>
              </w:tc>
              <w:tc>
                <w:tcPr>
                  <w:tcW w:w="1173" w:type="dxa"/>
                  <w:noWrap/>
                  <w:hideMark/>
                </w:tcPr>
                <w:p w14:paraId="2B8C7C78"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0.21</w:t>
                  </w:r>
                </w:p>
              </w:tc>
              <w:tc>
                <w:tcPr>
                  <w:tcW w:w="1159" w:type="dxa"/>
                  <w:noWrap/>
                  <w:hideMark/>
                </w:tcPr>
                <w:p w14:paraId="478FCACE"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0.24</w:t>
                  </w:r>
                </w:p>
              </w:tc>
              <w:tc>
                <w:tcPr>
                  <w:tcW w:w="1453" w:type="dxa"/>
                  <w:noWrap/>
                  <w:hideMark/>
                </w:tcPr>
                <w:p w14:paraId="7264180D"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0.21</w:t>
                  </w:r>
                </w:p>
              </w:tc>
            </w:tr>
            <w:tr w:rsidR="006B0987" w:rsidRPr="002D71D8" w14:paraId="1F69C917" w14:textId="77777777" w:rsidTr="006B0987">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462" w:type="dxa"/>
                  <w:gridSpan w:val="2"/>
                  <w:noWrap/>
                  <w:hideMark/>
                </w:tcPr>
                <w:p w14:paraId="6C23D1C0" w14:textId="150D7240" w:rsidR="002D71D8" w:rsidRPr="002D71D8" w:rsidRDefault="002D71D8" w:rsidP="002D71D8">
                  <w:pPr>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Average Urban</w:t>
                  </w:r>
                </w:p>
              </w:tc>
              <w:tc>
                <w:tcPr>
                  <w:tcW w:w="1173" w:type="dxa"/>
                  <w:noWrap/>
                  <w:hideMark/>
                </w:tcPr>
                <w:p w14:paraId="3532A8EA"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0.23</w:t>
                  </w:r>
                </w:p>
              </w:tc>
              <w:tc>
                <w:tcPr>
                  <w:tcW w:w="1159" w:type="dxa"/>
                  <w:noWrap/>
                  <w:hideMark/>
                </w:tcPr>
                <w:p w14:paraId="7386DDB7"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0.07</w:t>
                  </w:r>
                </w:p>
              </w:tc>
              <w:tc>
                <w:tcPr>
                  <w:tcW w:w="1453" w:type="dxa"/>
                  <w:noWrap/>
                  <w:hideMark/>
                </w:tcPr>
                <w:p w14:paraId="17F4A4FA" w14:textId="77777777" w:rsidR="002D71D8" w:rsidRPr="002D71D8" w:rsidRDefault="002D71D8" w:rsidP="002D71D8">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0.23</w:t>
                  </w:r>
                </w:p>
              </w:tc>
            </w:tr>
            <w:tr w:rsidR="006B0987" w:rsidRPr="002D71D8" w14:paraId="50EC73E9" w14:textId="77777777" w:rsidTr="006B0987">
              <w:trPr>
                <w:trHeight w:val="250"/>
              </w:trPr>
              <w:tc>
                <w:tcPr>
                  <w:cnfStyle w:val="001000000000" w:firstRow="0" w:lastRow="0" w:firstColumn="1" w:lastColumn="0" w:oddVBand="0" w:evenVBand="0" w:oddHBand="0" w:evenHBand="0" w:firstRowFirstColumn="0" w:firstRowLastColumn="0" w:lastRowFirstColumn="0" w:lastRowLastColumn="0"/>
                  <w:tcW w:w="2462" w:type="dxa"/>
                  <w:gridSpan w:val="2"/>
                  <w:noWrap/>
                  <w:hideMark/>
                </w:tcPr>
                <w:p w14:paraId="0FA8A2CE" w14:textId="468577C1" w:rsidR="002D71D8" w:rsidRPr="002D71D8" w:rsidRDefault="002D71D8" w:rsidP="002D71D8">
                  <w:pPr>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Rural Average</w:t>
                  </w:r>
                </w:p>
              </w:tc>
              <w:tc>
                <w:tcPr>
                  <w:tcW w:w="1173" w:type="dxa"/>
                  <w:noWrap/>
                  <w:hideMark/>
                </w:tcPr>
                <w:p w14:paraId="537A7048"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0.21</w:t>
                  </w:r>
                </w:p>
              </w:tc>
              <w:tc>
                <w:tcPr>
                  <w:tcW w:w="1159" w:type="dxa"/>
                  <w:noWrap/>
                  <w:hideMark/>
                </w:tcPr>
                <w:p w14:paraId="1B3263E2"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0.23</w:t>
                  </w:r>
                </w:p>
              </w:tc>
              <w:tc>
                <w:tcPr>
                  <w:tcW w:w="1453" w:type="dxa"/>
                  <w:noWrap/>
                  <w:hideMark/>
                </w:tcPr>
                <w:p w14:paraId="772E93E3" w14:textId="77777777" w:rsidR="002D71D8" w:rsidRPr="002D71D8" w:rsidRDefault="002D71D8" w:rsidP="002D71D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14:ligatures w14:val="none"/>
                    </w:rPr>
                  </w:pPr>
                  <w:r w:rsidRPr="002D71D8">
                    <w:rPr>
                      <w:rFonts w:ascii="Arial" w:eastAsia="Times New Roman" w:hAnsi="Arial" w:cs="Arial"/>
                      <w:color w:val="000000"/>
                      <w:sz w:val="20"/>
                      <w:szCs w:val="20"/>
                      <w:lang w:eastAsia="fr-FR"/>
                      <w14:ligatures w14:val="none"/>
                    </w:rPr>
                    <w:t>0.21</w:t>
                  </w:r>
                </w:p>
              </w:tc>
            </w:tr>
          </w:tbl>
          <w:p w14:paraId="5FCB2C10" w14:textId="77777777" w:rsidR="002D71D8" w:rsidRDefault="002D71D8" w:rsidP="00E20D63">
            <w:pPr>
              <w:spacing w:after="0" w:line="240" w:lineRule="auto"/>
              <w:rPr>
                <w:rFonts w:ascii="Arial" w:eastAsia="Times New Roman" w:hAnsi="Arial" w:cs="Arial"/>
                <w:color w:val="000000"/>
                <w:sz w:val="20"/>
                <w:szCs w:val="20"/>
                <w:lang w:eastAsia="fr-FR"/>
                <w14:ligatures w14:val="none"/>
              </w:rPr>
            </w:pPr>
          </w:p>
          <w:p w14:paraId="217E2FBA" w14:textId="77777777" w:rsidR="004D2EA0" w:rsidRPr="006E39DA" w:rsidRDefault="004D2EA0" w:rsidP="00E20D63">
            <w:pPr>
              <w:spacing w:after="0" w:line="240" w:lineRule="auto"/>
              <w:rPr>
                <w:rFonts w:ascii="Arial" w:eastAsia="Times New Roman" w:hAnsi="Arial" w:cs="Arial"/>
                <w:color w:val="000000"/>
                <w:sz w:val="20"/>
                <w:szCs w:val="20"/>
                <w:lang w:eastAsia="fr-FR"/>
                <w14:ligatures w14:val="none"/>
              </w:rPr>
            </w:pPr>
          </w:p>
        </w:tc>
        <w:tc>
          <w:tcPr>
            <w:tcW w:w="1200" w:type="dxa"/>
            <w:tcBorders>
              <w:top w:val="nil"/>
              <w:left w:val="nil"/>
              <w:bottom w:val="nil"/>
              <w:right w:val="nil"/>
            </w:tcBorders>
            <w:shd w:val="clear" w:color="auto" w:fill="auto"/>
            <w:noWrap/>
            <w:vAlign w:val="bottom"/>
            <w:hideMark/>
          </w:tcPr>
          <w:p w14:paraId="00F9B51C" w14:textId="77777777" w:rsidR="004D2EA0" w:rsidRPr="006E39DA" w:rsidRDefault="004D2EA0" w:rsidP="00E20D63">
            <w:pPr>
              <w:spacing w:after="0" w:line="240" w:lineRule="auto"/>
              <w:rPr>
                <w:rFonts w:ascii="Arial" w:eastAsia="Times New Roman" w:hAnsi="Arial" w:cs="Arial"/>
                <w:color w:val="000000"/>
                <w:sz w:val="20"/>
                <w:szCs w:val="20"/>
                <w:lang w:eastAsia="fr-FR"/>
                <w14:ligatures w14:val="none"/>
              </w:rPr>
            </w:pPr>
          </w:p>
        </w:tc>
        <w:tc>
          <w:tcPr>
            <w:tcW w:w="1200" w:type="dxa"/>
            <w:tcBorders>
              <w:top w:val="nil"/>
              <w:left w:val="nil"/>
              <w:bottom w:val="nil"/>
              <w:right w:val="nil"/>
            </w:tcBorders>
            <w:shd w:val="clear" w:color="auto" w:fill="auto"/>
            <w:noWrap/>
            <w:vAlign w:val="bottom"/>
            <w:hideMark/>
          </w:tcPr>
          <w:p w14:paraId="06A5B20A" w14:textId="77777777" w:rsidR="004D2EA0" w:rsidRPr="006E39DA" w:rsidRDefault="004D2EA0" w:rsidP="00E20D63">
            <w:pPr>
              <w:spacing w:after="0" w:line="240" w:lineRule="auto"/>
              <w:rPr>
                <w:rFonts w:ascii="Times New Roman" w:eastAsia="Times New Roman" w:hAnsi="Times New Roman" w:cs="Times New Roman"/>
                <w:sz w:val="20"/>
                <w:szCs w:val="20"/>
                <w:lang w:eastAsia="fr-FR"/>
                <w14:ligatures w14:val="none"/>
              </w:rPr>
            </w:pPr>
          </w:p>
        </w:tc>
      </w:tr>
    </w:tbl>
    <w:p w14:paraId="686EA227" w14:textId="095013FD" w:rsidR="00C446F7" w:rsidRPr="002D71D8" w:rsidRDefault="004D2EA0" w:rsidP="00D350E5">
      <w:pPr>
        <w:jc w:val="both"/>
        <w:rPr>
          <w:rFonts w:ascii="Times New Roman" w:hAnsi="Times New Roman" w:cs="Times New Roman"/>
          <w:sz w:val="18"/>
          <w:szCs w:val="18"/>
        </w:rPr>
      </w:pPr>
      <w:r w:rsidRPr="00877F7B">
        <w:rPr>
          <w:rFonts w:ascii="Times New Roman" w:hAnsi="Times New Roman" w:cs="Times New Roman"/>
          <w:sz w:val="18"/>
          <w:szCs w:val="18"/>
        </w:rPr>
        <w:t>Source: Authors</w:t>
      </w:r>
    </w:p>
    <w:p w14:paraId="00E4550F" w14:textId="77777777" w:rsidR="00A0397F" w:rsidRDefault="00A0397F" w:rsidP="00A0397F">
      <w:pPr>
        <w:pStyle w:val="Titre1"/>
        <w:numPr>
          <w:ilvl w:val="0"/>
          <w:numId w:val="1"/>
        </w:numPr>
        <w:tabs>
          <w:tab w:val="num" w:pos="360"/>
        </w:tabs>
        <w:spacing w:line="240" w:lineRule="auto"/>
        <w:ind w:left="0" w:firstLine="0"/>
        <w:rPr>
          <w:b/>
          <w:bCs/>
        </w:rPr>
      </w:pPr>
      <w:bookmarkStart w:id="63" w:name="_Toc87357315"/>
      <w:bookmarkStart w:id="64" w:name="_Toc195507406"/>
      <w:bookmarkStart w:id="65" w:name="_Toc200944565"/>
      <w:r w:rsidRPr="00FD3029">
        <w:rPr>
          <w:b/>
          <w:bCs/>
        </w:rPr>
        <w:t>Conclusion</w:t>
      </w:r>
      <w:bookmarkEnd w:id="63"/>
      <w:bookmarkEnd w:id="64"/>
      <w:bookmarkEnd w:id="65"/>
    </w:p>
    <w:p w14:paraId="4A7FFAFF" w14:textId="3C76C0CA" w:rsidR="00313B99" w:rsidRDefault="00313B99" w:rsidP="00877F7B">
      <w:pPr>
        <w:jc w:val="both"/>
        <w:rPr>
          <w:rFonts w:ascii="Times New Roman" w:hAnsi="Times New Roman" w:cs="Times New Roman"/>
          <w:sz w:val="24"/>
          <w:szCs w:val="24"/>
        </w:rPr>
      </w:pPr>
      <w:r w:rsidRPr="00313B99">
        <w:rPr>
          <w:rFonts w:ascii="Times New Roman" w:hAnsi="Times New Roman" w:cs="Times New Roman"/>
          <w:sz w:val="24"/>
          <w:szCs w:val="24"/>
        </w:rPr>
        <w:t>The impact of the various reforms analyzed on gender is appreciable through the observed effects on market work and domestic activities. These effects are reflected in the variations in labor supply and wages. Their analysis allows us to observe an overall negative trend in the evolution of gender inequalities. Indeed, the various reforms penalize women's work more. We observe that when labor supply decreases (case of skilled workers), these decreases are more significant for women.</w:t>
      </w:r>
      <w:r w:rsidR="00E937BD">
        <w:rPr>
          <w:rFonts w:ascii="Times New Roman" w:hAnsi="Times New Roman" w:cs="Times New Roman"/>
          <w:sz w:val="24"/>
          <w:szCs w:val="24"/>
        </w:rPr>
        <w:t xml:space="preserve"> </w:t>
      </w:r>
      <w:r w:rsidR="00E937BD" w:rsidRPr="00E937BD">
        <w:rPr>
          <w:rFonts w:ascii="Times New Roman" w:hAnsi="Times New Roman" w:cs="Times New Roman"/>
          <w:sz w:val="24"/>
          <w:szCs w:val="24"/>
        </w:rPr>
        <w:t>Oil and cement price subsidies are different, and their effects on the economy and households are naturally diverse.</w:t>
      </w:r>
    </w:p>
    <w:p w14:paraId="0B8B9AF8" w14:textId="77777777" w:rsidR="009A5102" w:rsidRDefault="009A5102" w:rsidP="009A5102">
      <w:pPr>
        <w:pStyle w:val="NormalWeb"/>
        <w:jc w:val="both"/>
      </w:pPr>
      <w:r>
        <w:t>The assessment conducted as part of this study highlights positive impacts at both the microeconomic and macroeconomic levels. The improvement in household income, the boost in purchasing power, and the overall perception of social well-being are encouraging results. However, the limitations identified, such as pressure on public finances, persistent social disparities, and the risks of dependence on subsidies, reveal the need for strategic adjustment.</w:t>
      </w:r>
    </w:p>
    <w:p w14:paraId="50034CD4" w14:textId="1769C355" w:rsidR="00FD50C4" w:rsidRDefault="003F30F6" w:rsidP="006457F0">
      <w:pPr>
        <w:jc w:val="both"/>
        <w:rPr>
          <w:rFonts w:ascii="Times New Roman" w:hAnsi="Times New Roman" w:cs="Times New Roman"/>
          <w:sz w:val="24"/>
          <w:szCs w:val="24"/>
        </w:rPr>
      </w:pPr>
      <w:r w:rsidRPr="003F30F6">
        <w:rPr>
          <w:rFonts w:ascii="Times New Roman" w:hAnsi="Times New Roman" w:cs="Times New Roman"/>
          <w:sz w:val="24"/>
          <w:szCs w:val="24"/>
        </w:rPr>
        <w:t>The objective of this paper was to analyze the impact of oil and cement reforms implemented by the Nigerien government to support the Nigerien population and reduce the cost of living. Computable general equilibrium modeling allowed us to analyze the retraction effects of the reforms and their final effects on the well-being of men and women.</w:t>
      </w:r>
    </w:p>
    <w:p w14:paraId="7846D29B" w14:textId="1BE98DAC" w:rsidR="005D5625" w:rsidRDefault="00FD50C4" w:rsidP="006457F0">
      <w:pPr>
        <w:jc w:val="both"/>
        <w:rPr>
          <w:rFonts w:ascii="Times New Roman" w:hAnsi="Times New Roman" w:cs="Times New Roman"/>
          <w:sz w:val="24"/>
          <w:szCs w:val="24"/>
        </w:rPr>
      </w:pPr>
      <w:r w:rsidRPr="003F30F6">
        <w:rPr>
          <w:rFonts w:ascii="Times New Roman" w:hAnsi="Times New Roman" w:cs="Times New Roman"/>
          <w:sz w:val="24"/>
          <w:szCs w:val="24"/>
        </w:rPr>
        <w:t xml:space="preserve">The estimation results suggest that the </w:t>
      </w:r>
      <w:r w:rsidR="00AF22C3" w:rsidRPr="00AF22C3">
        <w:rPr>
          <w:rFonts w:ascii="Times New Roman" w:hAnsi="Times New Roman" w:cs="Times New Roman"/>
          <w:sz w:val="24"/>
          <w:szCs w:val="24"/>
        </w:rPr>
        <w:t xml:space="preserve">oil </w:t>
      </w:r>
      <w:r w:rsidR="009D2DE9">
        <w:rPr>
          <w:rFonts w:ascii="Times New Roman" w:hAnsi="Times New Roman" w:cs="Times New Roman"/>
          <w:sz w:val="24"/>
          <w:szCs w:val="24"/>
        </w:rPr>
        <w:t>reform has a positive impact on the growth</w:t>
      </w:r>
      <w:r w:rsidR="00E20D63">
        <w:rPr>
          <w:rFonts w:ascii="Times New Roman" w:hAnsi="Times New Roman" w:cs="Times New Roman"/>
          <w:sz w:val="24"/>
          <w:szCs w:val="24"/>
        </w:rPr>
        <w:t xml:space="preserve"> committed economists</w:t>
      </w:r>
      <w:r w:rsidR="009D2DE9">
        <w:rPr>
          <w:rFonts w:ascii="Times New Roman" w:hAnsi="Times New Roman" w:cs="Times New Roman"/>
          <w:sz w:val="24"/>
          <w:szCs w:val="24"/>
        </w:rPr>
        <w:t xml:space="preserve"> </w:t>
      </w:r>
    </w:p>
    <w:p w14:paraId="5D1C77A0" w14:textId="334CF0CF" w:rsidR="008060AD" w:rsidRDefault="008060AD" w:rsidP="008060AD">
      <w:pPr>
        <w:pStyle w:val="Titre1"/>
        <w:numPr>
          <w:ilvl w:val="0"/>
          <w:numId w:val="1"/>
        </w:numPr>
        <w:tabs>
          <w:tab w:val="num" w:pos="360"/>
        </w:tabs>
        <w:spacing w:line="240" w:lineRule="auto"/>
        <w:ind w:left="0" w:firstLine="0"/>
        <w:rPr>
          <w:b/>
          <w:bCs/>
        </w:rPr>
      </w:pPr>
      <w:bookmarkStart w:id="66" w:name="_Toc195507407"/>
      <w:bookmarkStart w:id="67" w:name="_Toc200944566"/>
      <w:r>
        <w:rPr>
          <w:b/>
          <w:bCs/>
        </w:rPr>
        <w:lastRenderedPageBreak/>
        <w:t>References</w:t>
      </w:r>
      <w:bookmarkEnd w:id="66"/>
      <w:bookmarkEnd w:id="67"/>
    </w:p>
    <w:p w14:paraId="578485B7" w14:textId="77777777" w:rsidR="00073BD8" w:rsidRDefault="00073BD8" w:rsidP="008060AD">
      <w:pPr>
        <w:spacing w:after="120" w:line="240" w:lineRule="auto"/>
        <w:jc w:val="both"/>
        <w:rPr>
          <w:rFonts w:ascii="Times New Roman" w:hAnsi="Times New Roman" w:cs="Times New Roman"/>
          <w:sz w:val="24"/>
          <w:szCs w:val="24"/>
        </w:rPr>
      </w:pPr>
      <w:r w:rsidRPr="00073BD8">
        <w:rPr>
          <w:rFonts w:ascii="Times New Roman" w:hAnsi="Times New Roman" w:cs="Times New Roman"/>
          <w:sz w:val="24"/>
          <w:szCs w:val="24"/>
        </w:rPr>
        <w:t>ADOUKA Lakhdar, REFAFA Brahim (2017). The Impact of Variation in Hydrocarbon Prices on Economic Growth in Algeria , Algerian Journal of Economics and Management Volume 8, Number 2, Pages 13-24, 06-30-2017.</w:t>
      </w:r>
    </w:p>
    <w:p w14:paraId="120AAB41" w14:textId="77777777" w:rsidR="00073BD8" w:rsidRPr="003F7121" w:rsidRDefault="00073BD8" w:rsidP="008060AD">
      <w:pPr>
        <w:spacing w:line="240" w:lineRule="auto"/>
        <w:jc w:val="both"/>
        <w:rPr>
          <w:rFonts w:ascii="Times New Roman" w:hAnsi="Times New Roman" w:cs="Times New Roman"/>
          <w:sz w:val="24"/>
          <w:szCs w:val="24"/>
          <w:lang w:val="en-US"/>
        </w:rPr>
      </w:pPr>
      <w:r w:rsidRPr="003F7121">
        <w:rPr>
          <w:rFonts w:ascii="Times New Roman" w:hAnsi="Times New Roman" w:cs="Times New Roman"/>
          <w:sz w:val="24"/>
          <w:szCs w:val="24"/>
          <w:lang w:val="en-US"/>
        </w:rPr>
        <w:t>Aragie , E., McDonald, S., Thierfelder, K., 2016. STAGE_DEV Version 2: August 2016. A Static Applied General Equilibrium Model: Technical Documentation.</w:t>
      </w:r>
    </w:p>
    <w:p w14:paraId="3E589410" w14:textId="77777777" w:rsidR="00073BD8" w:rsidRPr="00FF5279" w:rsidRDefault="00073BD8" w:rsidP="008060AD">
      <w:pPr>
        <w:spacing w:line="240" w:lineRule="auto"/>
        <w:jc w:val="both"/>
        <w:rPr>
          <w:rFonts w:ascii="Times New Roman" w:hAnsi="Times New Roman" w:cs="Times New Roman"/>
          <w:sz w:val="24"/>
          <w:szCs w:val="24"/>
        </w:rPr>
      </w:pPr>
      <w:r w:rsidRPr="00FF5279">
        <w:rPr>
          <w:rFonts w:ascii="Times New Roman" w:hAnsi="Times New Roman" w:cs="Times New Roman"/>
          <w:sz w:val="24"/>
          <w:szCs w:val="24"/>
        </w:rPr>
        <w:t xml:space="preserve">Ba, A., Diagne, B., &amp; Diop, D. (2021). Impact of revenues from the exploitation of oil and gas resources on the Senegalese economy. </w:t>
      </w:r>
      <w:hyperlink r:id="rId28" w:history="1">
        <w:r w:rsidRPr="00FF5279">
          <w:rPr>
            <w:rStyle w:val="Lienhypertexte"/>
            <w:rFonts w:ascii="Times New Roman" w:hAnsi="Times New Roman" w:cs="Times New Roman"/>
            <w:sz w:val="24"/>
            <w:szCs w:val="24"/>
          </w:rPr>
          <w:t>https://dpee.sn/download/impact-des-revenus-provenant-de-lexploitation-des-ressources-petrolieres-et-gazieres-sur-leconomie-senegalaise</w:t>
        </w:r>
      </w:hyperlink>
    </w:p>
    <w:p w14:paraId="6734ED2C" w14:textId="77777777" w:rsidR="00073BD8" w:rsidRDefault="00073BD8" w:rsidP="008060AD">
      <w:pPr>
        <w:spacing w:after="120" w:line="240" w:lineRule="auto"/>
        <w:jc w:val="both"/>
        <w:rPr>
          <w:rFonts w:ascii="Times New Roman" w:hAnsi="Times New Roman" w:cs="Times New Roman"/>
          <w:sz w:val="24"/>
          <w:szCs w:val="24"/>
        </w:rPr>
      </w:pPr>
      <w:r w:rsidRPr="00073BD8">
        <w:rPr>
          <w:rFonts w:ascii="Times New Roman" w:hAnsi="Times New Roman" w:cs="Times New Roman"/>
          <w:sz w:val="24"/>
          <w:szCs w:val="24"/>
        </w:rPr>
        <w:t>World Bank (2013), Opening Doors. Gender Equality and Development in the Middle East and North Africa , Washington.</w:t>
      </w:r>
    </w:p>
    <w:p w14:paraId="747B9622" w14:textId="77777777" w:rsidR="00073BD8" w:rsidRPr="003C06CE" w:rsidRDefault="00073BD8" w:rsidP="008060AD">
      <w:pPr>
        <w:spacing w:before="240" w:after="120" w:line="300" w:lineRule="auto"/>
        <w:jc w:val="both"/>
        <w:rPr>
          <w:rFonts w:ascii="Times New Roman" w:hAnsi="Times New Roman" w:cs="Times New Roman"/>
          <w:sz w:val="24"/>
          <w:szCs w:val="24"/>
          <w:lang w:val="en-US"/>
        </w:rPr>
      </w:pPr>
      <w:r w:rsidRPr="00FB5CBD">
        <w:rPr>
          <w:rFonts w:ascii="Times New Roman" w:hAnsi="Times New Roman" w:cs="Times New Roman"/>
          <w:sz w:val="24"/>
          <w:szCs w:val="24"/>
        </w:rPr>
        <w:t xml:space="preserve">Bortoli Clément, and Milin Kevin. (2016). Economic Note: Who benefited from the fall in the price of oil? </w:t>
      </w:r>
      <w:r w:rsidRPr="003C06CE">
        <w:rPr>
          <w:rFonts w:ascii="Times New Roman" w:hAnsi="Times New Roman" w:cs="Times New Roman"/>
          <w:sz w:val="24"/>
          <w:szCs w:val="24"/>
          <w:lang w:val="en-US"/>
        </w:rPr>
        <w:t>INSEE.</w:t>
      </w:r>
    </w:p>
    <w:p w14:paraId="443B9ECC" w14:textId="77777777" w:rsidR="00073BD8" w:rsidRPr="003F7121" w:rsidRDefault="00073BD8" w:rsidP="008060AD">
      <w:pPr>
        <w:spacing w:line="240" w:lineRule="auto"/>
        <w:jc w:val="both"/>
        <w:rPr>
          <w:rFonts w:ascii="Times New Roman" w:hAnsi="Times New Roman" w:cs="Times New Roman"/>
          <w:sz w:val="24"/>
          <w:szCs w:val="24"/>
          <w:lang w:val="en-US"/>
        </w:rPr>
      </w:pPr>
      <w:r w:rsidRPr="003F7121">
        <w:rPr>
          <w:rFonts w:ascii="Times New Roman" w:hAnsi="Times New Roman" w:cs="Times New Roman"/>
          <w:sz w:val="24"/>
          <w:szCs w:val="24"/>
        </w:rPr>
        <w:t xml:space="preserve">Boulanger, P., Dudu , H., Ferrari, E., Mainar-Causapé , AJ, Ramos, MP, 2020. </w:t>
      </w:r>
      <w:r w:rsidRPr="003F7121">
        <w:rPr>
          <w:rFonts w:ascii="Times New Roman" w:hAnsi="Times New Roman" w:cs="Times New Roman"/>
          <w:sz w:val="24"/>
          <w:szCs w:val="24"/>
          <w:lang w:val="en-US"/>
        </w:rPr>
        <w:t>Effectiveness of fertilizer policy reforms to enhance food security in Kenya: a macro–micro simulation analysis. Applied Economics 1–21. https://doi.org/10.1080/00036846.2020.1808180</w:t>
      </w:r>
    </w:p>
    <w:p w14:paraId="3E47C91B" w14:textId="77777777" w:rsidR="00073BD8" w:rsidRPr="003C06CE" w:rsidRDefault="00073BD8" w:rsidP="008060AD">
      <w:pPr>
        <w:spacing w:after="120" w:line="240" w:lineRule="auto"/>
        <w:jc w:val="both"/>
        <w:rPr>
          <w:rFonts w:ascii="Times New Roman" w:hAnsi="Times New Roman" w:cs="Times New Roman"/>
          <w:sz w:val="24"/>
          <w:szCs w:val="24"/>
          <w:lang w:val="en-US"/>
        </w:rPr>
      </w:pPr>
      <w:r w:rsidRPr="003F7121">
        <w:rPr>
          <w:rFonts w:ascii="Times New Roman" w:hAnsi="Times New Roman" w:cs="Times New Roman"/>
          <w:sz w:val="24"/>
          <w:szCs w:val="24"/>
          <w:lang w:val="en-US"/>
        </w:rPr>
        <w:t xml:space="preserve">Coady, D., Fabrizio, S., Dizioli , A., Funke, K., Kapsoli , J., Kpodar , K., Kangur, A., Nozaki, M., Shang, B., Soto, M., Thakoor, V., Sears, L., Nemeth, L., Alleyne, T., Villafuerte, M., Op De Beke, A., Verdier, G., Mira, C., Gwenhamo , F., … </w:t>
      </w:r>
      <w:r w:rsidRPr="00FF5279">
        <w:rPr>
          <w:rFonts w:ascii="Times New Roman" w:hAnsi="Times New Roman" w:cs="Times New Roman"/>
          <w:sz w:val="24"/>
          <w:szCs w:val="24"/>
          <w:lang w:val="en-US"/>
        </w:rPr>
        <w:t xml:space="preserve">Zouhar , Y. (2013). Energy subsidy reform: Lessons and implications. </w:t>
      </w:r>
      <w:hyperlink r:id="rId29" w:history="1">
        <w:r w:rsidRPr="00FF5279">
          <w:rPr>
            <w:rStyle w:val="Lienhypertexte"/>
            <w:rFonts w:ascii="Times New Roman" w:hAnsi="Times New Roman" w:cs="Times New Roman"/>
            <w:sz w:val="24"/>
            <w:szCs w:val="24"/>
            <w:lang w:val="en-US"/>
          </w:rPr>
          <w:t>https://doi.org/10.5089/9781475558111.071</w:t>
        </w:r>
      </w:hyperlink>
      <w:r w:rsidRPr="003C06CE">
        <w:rPr>
          <w:rFonts w:ascii="Times New Roman" w:hAnsi="Times New Roman" w:cs="Times New Roman"/>
          <w:sz w:val="24"/>
          <w:szCs w:val="24"/>
          <w:lang w:val="en-US"/>
        </w:rPr>
        <w:t xml:space="preserve"> </w:t>
      </w:r>
    </w:p>
    <w:p w14:paraId="62FAF835" w14:textId="77777777" w:rsidR="00073BD8" w:rsidRDefault="00073BD8" w:rsidP="008060AD">
      <w:pPr>
        <w:spacing w:after="120" w:line="240" w:lineRule="auto"/>
        <w:jc w:val="both"/>
        <w:rPr>
          <w:rFonts w:ascii="Times New Roman" w:hAnsi="Times New Roman" w:cs="Times New Roman"/>
          <w:sz w:val="24"/>
          <w:szCs w:val="24"/>
        </w:rPr>
      </w:pPr>
      <w:r w:rsidRPr="00073BD8">
        <w:rPr>
          <w:rFonts w:ascii="Times New Roman" w:hAnsi="Times New Roman" w:cs="Times New Roman"/>
          <w:sz w:val="24"/>
          <w:szCs w:val="24"/>
        </w:rPr>
        <w:t>Djinadou ,. AKA; Maboudou , AG; Ouikoun , CG; Noukpozounkou M , . D.; Faïhun Abossede , ML; Kombienou , P.; Ogou , A.; Ouedraogo , M. (2024) The climate-smart village model of Worogui -Goura, commune of Tchaourou in the northeast of Benin. 1 p.</w:t>
      </w:r>
    </w:p>
    <w:p w14:paraId="5110FC91" w14:textId="77777777" w:rsidR="00073BD8" w:rsidRDefault="00073BD8" w:rsidP="00073BD8">
      <w:pPr>
        <w:rPr>
          <w:rFonts w:ascii="Times New Roman" w:hAnsi="Times New Roman" w:cs="Times New Roman"/>
          <w:sz w:val="24"/>
          <w:szCs w:val="24"/>
        </w:rPr>
      </w:pPr>
      <w:r w:rsidRPr="00B50259">
        <w:rPr>
          <w:rFonts w:ascii="Times New Roman" w:hAnsi="Times New Roman" w:cs="Times New Roman"/>
          <w:sz w:val="24"/>
          <w:szCs w:val="24"/>
        </w:rPr>
        <w:t>Hickey , S., and du Toit, A. (2007) Adverse-Incorporation, Social Exclusion and Chronic Poverty . Chronic Poverty Research Center Working Paper No 81.</w:t>
      </w:r>
    </w:p>
    <w:p w14:paraId="13B6356C" w14:textId="77777777" w:rsidR="00073BD8" w:rsidRPr="00B552C9" w:rsidRDefault="00073BD8" w:rsidP="008060AD">
      <w:pPr>
        <w:spacing w:before="240" w:after="120" w:line="300" w:lineRule="auto"/>
        <w:jc w:val="both"/>
        <w:rPr>
          <w:rFonts w:ascii="Times New Roman" w:hAnsi="Times New Roman" w:cs="Times New Roman"/>
          <w:sz w:val="24"/>
          <w:szCs w:val="24"/>
          <w:lang w:val="en-US"/>
        </w:rPr>
      </w:pPr>
      <w:r w:rsidRPr="00B552C9">
        <w:rPr>
          <w:rFonts w:ascii="Times New Roman" w:hAnsi="Times New Roman" w:cs="Times New Roman"/>
          <w:sz w:val="24"/>
          <w:szCs w:val="24"/>
          <w:lang w:val="en-US"/>
        </w:rPr>
        <w:t>Kpodar , Kangni, 2006, “Distributional Effects of Oil Price Changes on Household Expenditures: Evidence from Mali,” IMF Working Paper No. 06/91.</w:t>
      </w:r>
    </w:p>
    <w:p w14:paraId="502C358B" w14:textId="77777777" w:rsidR="00073BD8" w:rsidRDefault="00073BD8" w:rsidP="008060AD">
      <w:pPr>
        <w:spacing w:after="120" w:line="240" w:lineRule="auto"/>
        <w:jc w:val="both"/>
        <w:rPr>
          <w:rFonts w:ascii="Times New Roman" w:hAnsi="Times New Roman" w:cs="Times New Roman"/>
          <w:sz w:val="24"/>
          <w:szCs w:val="24"/>
        </w:rPr>
      </w:pPr>
      <w:r w:rsidRPr="006D7CA2">
        <w:rPr>
          <w:rFonts w:ascii="Times New Roman" w:hAnsi="Times New Roman" w:cs="Times New Roman"/>
          <w:sz w:val="24"/>
          <w:szCs w:val="24"/>
          <w:lang w:val="fr-FR"/>
        </w:rPr>
        <w:t xml:space="preserve">Lemelin, André and Robichaud, Véronique (2016). </w:t>
      </w:r>
      <w:r w:rsidRPr="00073BD8">
        <w:rPr>
          <w:rFonts w:ascii="Times New Roman" w:hAnsi="Times New Roman" w:cs="Times New Roman"/>
          <w:sz w:val="24"/>
          <w:szCs w:val="24"/>
        </w:rPr>
        <w:t xml:space="preserve">Oil , metals and minerals : World prices and Quebec's regions ( Results from a CGE model) Partnership for economic policy , Quebec. </w:t>
      </w:r>
      <w:hyperlink r:id="rId30" w:history="1">
        <w:r w:rsidRPr="00A83559">
          <w:rPr>
            <w:rStyle w:val="Lienhypertexte"/>
            <w:rFonts w:ascii="Times New Roman" w:hAnsi="Times New Roman" w:cs="Times New Roman"/>
            <w:sz w:val="24"/>
            <w:szCs w:val="24"/>
          </w:rPr>
          <w:t xml:space="preserve">https://www.pep-net.org/sites/pep-net.org/files/Le </w:t>
        </w:r>
      </w:hyperlink>
      <w:r w:rsidRPr="00073BD8">
        <w:rPr>
          <w:rFonts w:ascii="Times New Roman" w:hAnsi="Times New Roman" w:cs="Times New Roman"/>
          <w:sz w:val="24"/>
          <w:szCs w:val="24"/>
        </w:rPr>
        <w:t>...</w:t>
      </w:r>
    </w:p>
    <w:p w14:paraId="4B0EF002" w14:textId="77777777" w:rsidR="00073BD8" w:rsidRDefault="00073BD8" w:rsidP="008060AD">
      <w:pPr>
        <w:spacing w:after="120" w:line="240" w:lineRule="auto"/>
        <w:jc w:val="both"/>
        <w:rPr>
          <w:rFonts w:ascii="Times New Roman" w:hAnsi="Times New Roman" w:cs="Times New Roman"/>
          <w:sz w:val="24"/>
          <w:szCs w:val="24"/>
        </w:rPr>
      </w:pPr>
      <w:r w:rsidRPr="00073BD8">
        <w:rPr>
          <w:rFonts w:ascii="Times New Roman" w:hAnsi="Times New Roman" w:cs="Times New Roman"/>
          <w:sz w:val="24"/>
          <w:szCs w:val="24"/>
        </w:rPr>
        <w:t>Olivier de Sardan Jean-Pierre and Ridde Valéry, “Exemption from payment for healthcare in Burkina Faso, Mali and Niger” Contradictions of public policies, Contemporary Africa, 2012 /3 n° 243, pp. 11-32. DOI: 10.3917/afco.243.0011</w:t>
      </w:r>
    </w:p>
    <w:p w14:paraId="171A66C1" w14:textId="77777777" w:rsidR="00073BD8" w:rsidRPr="00FF5279" w:rsidRDefault="00073BD8" w:rsidP="008060AD">
      <w:pPr>
        <w:spacing w:after="120" w:line="240" w:lineRule="auto"/>
        <w:jc w:val="both"/>
        <w:rPr>
          <w:rFonts w:ascii="Times New Roman" w:hAnsi="Times New Roman" w:cs="Times New Roman"/>
          <w:sz w:val="24"/>
          <w:szCs w:val="24"/>
        </w:rPr>
      </w:pPr>
      <w:r w:rsidRPr="00073BD8">
        <w:rPr>
          <w:rFonts w:ascii="Times New Roman" w:hAnsi="Times New Roman" w:cs="Times New Roman"/>
          <w:sz w:val="24"/>
          <w:szCs w:val="24"/>
        </w:rPr>
        <w:t xml:space="preserve">Oussama, B., Yapan , YF, Uysal , A. </w:t>
      </w:r>
      <w:r w:rsidRPr="00073BD8">
        <w:rPr>
          <w:rFonts w:ascii="Times New Roman" w:hAnsi="Times New Roman" w:cs="Times New Roman"/>
          <w:i/>
          <w:iCs/>
          <w:sz w:val="24"/>
          <w:szCs w:val="24"/>
        </w:rPr>
        <w:t>et al.</w:t>
      </w:r>
      <w:r w:rsidRPr="00073BD8">
        <w:rPr>
          <w:rFonts w:ascii="Times New Roman" w:hAnsi="Times New Roman" w:cs="Times New Roman"/>
          <w:sz w:val="24"/>
          <w:szCs w:val="24"/>
        </w:rPr>
        <w:t xml:space="preserve"> Assessment of turning AISI 316L stainless steel under MWCNT- reinforced nanofluid-assisted MQL and optimization of process parameters by NSGA-II and TOPSIS. </w:t>
      </w:r>
      <w:r w:rsidRPr="00073BD8">
        <w:rPr>
          <w:rFonts w:ascii="Times New Roman" w:hAnsi="Times New Roman" w:cs="Times New Roman"/>
          <w:i/>
          <w:iCs/>
          <w:sz w:val="24"/>
          <w:szCs w:val="24"/>
        </w:rPr>
        <w:t>Int J Adv Manuf Technol</w:t>
      </w:r>
      <w:r w:rsidRPr="00073BD8">
        <w:rPr>
          <w:rFonts w:ascii="Times New Roman" w:hAnsi="Times New Roman" w:cs="Times New Roman"/>
          <w:sz w:val="24"/>
          <w:szCs w:val="24"/>
        </w:rPr>
        <w:t> </w:t>
      </w:r>
      <w:r w:rsidRPr="00073BD8">
        <w:rPr>
          <w:rFonts w:ascii="Times New Roman" w:hAnsi="Times New Roman" w:cs="Times New Roman"/>
          <w:b/>
          <w:bCs/>
          <w:sz w:val="24"/>
          <w:szCs w:val="24"/>
        </w:rPr>
        <w:t xml:space="preserve">127 </w:t>
      </w:r>
      <w:r w:rsidRPr="00073BD8">
        <w:rPr>
          <w:rFonts w:ascii="Times New Roman" w:hAnsi="Times New Roman" w:cs="Times New Roman"/>
          <w:sz w:val="24"/>
          <w:szCs w:val="24"/>
        </w:rPr>
        <w:t>, 3855–3868 (2023). https://doi.org/10.1007/s00170-023-11747-w</w:t>
      </w:r>
    </w:p>
    <w:p w14:paraId="6AE4AE69" w14:textId="77777777" w:rsidR="00073BD8" w:rsidRDefault="00073BD8" w:rsidP="008060AD">
      <w:pPr>
        <w:spacing w:after="120" w:line="240" w:lineRule="auto"/>
        <w:jc w:val="both"/>
      </w:pPr>
      <w:r w:rsidRPr="00FF5279">
        <w:rPr>
          <w:rFonts w:ascii="Times New Roman" w:hAnsi="Times New Roman" w:cs="Times New Roman"/>
          <w:sz w:val="24"/>
          <w:szCs w:val="24"/>
        </w:rPr>
        <w:t xml:space="preserve">Pierre Nziengui Mamboundou . Analysis of the impact of economic reforms on gender inequalities and poverty in Africa: Application to Burkina Faso and Senegal. Economics and Finance. Normandy University, 2020. French. </w:t>
      </w:r>
      <w:hyperlink r:id="rId31" w:tgtFrame="_blank" w:history="1">
        <w:r w:rsidRPr="00FF5279">
          <w:rPr>
            <w:rStyle w:val="Lienhypertexte"/>
            <w:rFonts w:ascii="Cambria Math" w:hAnsi="Cambria Math" w:cs="Cambria Math"/>
            <w:sz w:val="24"/>
            <w:szCs w:val="24"/>
          </w:rPr>
          <w:t xml:space="preserve">⟨ </w:t>
        </w:r>
      </w:hyperlink>
      <w:hyperlink r:id="rId32" w:tgtFrame="_blank" w:history="1">
        <w:r w:rsidRPr="00FF5279">
          <w:rPr>
            <w:rStyle w:val="Lienhypertexte"/>
            <w:rFonts w:ascii="Times New Roman" w:hAnsi="Times New Roman" w:cs="Times New Roman"/>
            <w:sz w:val="24"/>
            <w:szCs w:val="24"/>
          </w:rPr>
          <w:t xml:space="preserve">NNT: 2020NORMLH27 </w:t>
        </w:r>
      </w:hyperlink>
      <w:hyperlink r:id="rId33" w:tgtFrame="_blank" w:history="1">
        <w:r w:rsidRPr="00FF5279">
          <w:rPr>
            <w:rStyle w:val="Lienhypertexte"/>
            <w:rFonts w:ascii="Cambria Math" w:hAnsi="Cambria Math" w:cs="Cambria Math"/>
            <w:sz w:val="24"/>
            <w:szCs w:val="24"/>
          </w:rPr>
          <w:t xml:space="preserve">⟩ </w:t>
        </w:r>
      </w:hyperlink>
      <w:r w:rsidRPr="00FF5279">
        <w:rPr>
          <w:rFonts w:ascii="Times New Roman" w:hAnsi="Times New Roman" w:cs="Times New Roman"/>
          <w:sz w:val="24"/>
          <w:szCs w:val="24"/>
        </w:rPr>
        <w:t xml:space="preserve">. </w:t>
      </w:r>
      <w:hyperlink r:id="rId34" w:tgtFrame="_blank" w:history="1">
        <w:r w:rsidRPr="00FF5279">
          <w:rPr>
            <w:rStyle w:val="Lienhypertexte"/>
            <w:rFonts w:ascii="Cambria Math" w:hAnsi="Cambria Math" w:cs="Cambria Math"/>
            <w:sz w:val="24"/>
            <w:szCs w:val="24"/>
          </w:rPr>
          <w:t xml:space="preserve">⟨ </w:t>
        </w:r>
      </w:hyperlink>
      <w:hyperlink r:id="rId35" w:tgtFrame="_blank" w:history="1">
        <w:r w:rsidRPr="00FF5279">
          <w:rPr>
            <w:rStyle w:val="Lienhypertexte"/>
            <w:rFonts w:ascii="Times New Roman" w:hAnsi="Times New Roman" w:cs="Times New Roman"/>
            <w:sz w:val="24"/>
            <w:szCs w:val="24"/>
          </w:rPr>
          <w:t xml:space="preserve">tel-03476079 </w:t>
        </w:r>
      </w:hyperlink>
      <w:hyperlink r:id="rId36" w:tgtFrame="_blank" w:history="1">
        <w:r w:rsidRPr="00FF5279">
          <w:rPr>
            <w:rStyle w:val="Lienhypertexte"/>
            <w:rFonts w:ascii="Cambria Math" w:hAnsi="Cambria Math" w:cs="Cambria Math"/>
            <w:sz w:val="24"/>
            <w:szCs w:val="24"/>
          </w:rPr>
          <w:t>⟩</w:t>
        </w:r>
      </w:hyperlink>
    </w:p>
    <w:p w14:paraId="3A8BFA1C" w14:textId="77777777" w:rsidR="008060AD" w:rsidRDefault="008060AD" w:rsidP="006457F0">
      <w:pPr>
        <w:jc w:val="both"/>
        <w:rPr>
          <w:rFonts w:ascii="Times New Roman" w:hAnsi="Times New Roman" w:cs="Times New Roman"/>
          <w:sz w:val="24"/>
          <w:szCs w:val="24"/>
        </w:rPr>
      </w:pPr>
    </w:p>
    <w:sectPr w:rsidR="008060AD">
      <w:footerReference w:type="default" r:id="rId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370A7" w14:textId="77777777" w:rsidR="00C13765" w:rsidRDefault="00C13765" w:rsidP="00C93DCF">
      <w:pPr>
        <w:spacing w:after="0" w:line="240" w:lineRule="auto"/>
      </w:pPr>
      <w:r>
        <w:separator/>
      </w:r>
    </w:p>
  </w:endnote>
  <w:endnote w:type="continuationSeparator" w:id="0">
    <w:p w14:paraId="47EED3D8" w14:textId="77777777" w:rsidR="00C13765" w:rsidRDefault="00C13765" w:rsidP="00C93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altName w:val="Tahoma"/>
    <w:panose1 w:val="00000000000000000000"/>
    <w:charset w:val="00"/>
    <w:family w:val="auto"/>
    <w:notTrueType/>
    <w:pitch w:val="variable"/>
    <w:sig w:usb0="20000287" w:usb1="00000001" w:usb2="00000000" w:usb3="00000000" w:csb0="000001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659028"/>
      <w:docPartObj>
        <w:docPartGallery w:val="Page Numbers (Bottom of Page)"/>
        <w:docPartUnique/>
      </w:docPartObj>
    </w:sdtPr>
    <w:sdtContent>
      <w:p w14:paraId="4EC6894A" w14:textId="348A92E7" w:rsidR="006B0987" w:rsidRDefault="006B0987">
        <w:pPr>
          <w:pStyle w:val="Pieddepage"/>
          <w:jc w:val="right"/>
        </w:pPr>
        <w:r>
          <w:fldChar w:fldCharType="begin"/>
        </w:r>
        <w:r>
          <w:instrText>PAGE   \* MERGEFORMAT</w:instrText>
        </w:r>
        <w:r>
          <w:fldChar w:fldCharType="separate"/>
        </w:r>
        <w:r>
          <w:rPr>
            <w:lang w:val="fr-FR"/>
          </w:rPr>
          <w:t>2</w:t>
        </w:r>
        <w:r>
          <w:fldChar w:fldCharType="end"/>
        </w:r>
      </w:p>
    </w:sdtContent>
  </w:sdt>
  <w:p w14:paraId="0E631FDC" w14:textId="77777777" w:rsidR="006B0987" w:rsidRDefault="006B098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96B4F" w14:textId="77777777" w:rsidR="00C13765" w:rsidRDefault="00C13765" w:rsidP="00C93DCF">
      <w:pPr>
        <w:spacing w:after="0" w:line="240" w:lineRule="auto"/>
      </w:pPr>
      <w:r>
        <w:separator/>
      </w:r>
    </w:p>
  </w:footnote>
  <w:footnote w:type="continuationSeparator" w:id="0">
    <w:p w14:paraId="4E7A71FA" w14:textId="77777777" w:rsidR="00C13765" w:rsidRDefault="00C13765" w:rsidP="00C93DCF">
      <w:pPr>
        <w:spacing w:after="0" w:line="240" w:lineRule="auto"/>
      </w:pPr>
      <w:r>
        <w:continuationSeparator/>
      </w:r>
    </w:p>
  </w:footnote>
  <w:footnote w:id="1">
    <w:p w14:paraId="39DE3D45" w14:textId="77777777" w:rsidR="006D7CA2" w:rsidRDefault="006D7CA2" w:rsidP="00C93DCF">
      <w:pPr>
        <w:pStyle w:val="Notedebasdepage"/>
      </w:pPr>
      <w:r>
        <w:rPr>
          <w:rStyle w:val="Appelnotedebasdep"/>
        </w:rPr>
        <w:footnoteRef/>
      </w:r>
      <w:r>
        <w:t xml:space="preserve"> </w:t>
      </w:r>
      <w:r w:rsidRPr="00D44A30">
        <w:rPr>
          <w:rFonts w:ascii="Times New Roman" w:hAnsi="Times New Roman" w:cs="Times New Roman"/>
          <w:sz w:val="18"/>
          <w:szCs w:val="18"/>
        </w:rPr>
        <w:t>Resilience Program for the Safeguarding of the Homeland (PRSP)</w:t>
      </w:r>
    </w:p>
  </w:footnote>
  <w:footnote w:id="2">
    <w:p w14:paraId="1AE30C68" w14:textId="77777777" w:rsidR="006D7CA2" w:rsidRPr="0084194A" w:rsidRDefault="006D7CA2" w:rsidP="00CB1792">
      <w:pPr>
        <w:pStyle w:val="Notedebasdepage"/>
        <w:rPr>
          <w:lang w:val="en-US"/>
        </w:rPr>
      </w:pPr>
      <w:r>
        <w:rPr>
          <w:rStyle w:val="Appelnotedebasdep"/>
        </w:rPr>
        <w:footnoteRef/>
      </w:r>
      <w:r>
        <w:t xml:space="preserve">The oil is transported via a 462.5 km pipeline that connects the oil fields to the refinery. The company produces diesel and premium oil for the domestic market, and exports the surplus </w:t>
      </w:r>
      <w:r w:rsidRPr="00484BCF">
        <w:rPr>
          <w:rFonts w:ascii="Times New Roman" w:hAnsi="Times New Roman" w:cs="Times New Roman"/>
          <w:sz w:val="24"/>
          <w:szCs w:val="24"/>
        </w:rPr>
        <w:t>.</w:t>
      </w:r>
    </w:p>
  </w:footnote>
  <w:footnote w:id="3">
    <w:p w14:paraId="2B7844AE" w14:textId="77777777" w:rsidR="006D7CA2" w:rsidRDefault="006D7CA2" w:rsidP="005E5CE5">
      <w:pPr>
        <w:pStyle w:val="Notedebasdepage"/>
        <w:jc w:val="both"/>
      </w:pPr>
      <w:r w:rsidRPr="000B68FC">
        <w:rPr>
          <w:rStyle w:val="Appelnotedebasdep"/>
          <w:rFonts w:ascii="Cambria" w:hAnsi="Cambria"/>
        </w:rPr>
        <w:footnoteRef/>
      </w:r>
      <w:r w:rsidRPr="000B68FC">
        <w:rPr>
          <w:rFonts w:ascii="Cambria" w:hAnsi="Cambria"/>
        </w:rPr>
        <w:t xml:space="preserve"> </w:t>
      </w:r>
      <w:r w:rsidRPr="009D2E42">
        <w:t>Heir to the Niger Cement Company, it produces clinker and gray Portland cement in the form of CPJ 35 or CPJ 45.</w:t>
      </w:r>
    </w:p>
  </w:footnote>
  <w:footnote w:id="4">
    <w:p w14:paraId="43D04EA5" w14:textId="61344112" w:rsidR="006D7CA2" w:rsidRPr="005E2B32" w:rsidRDefault="006D7CA2" w:rsidP="008E1AE3">
      <w:pPr>
        <w:pStyle w:val="Notedebasdepage"/>
        <w:rPr>
          <w:lang w:val="en-US"/>
        </w:rPr>
      </w:pPr>
      <w:r>
        <w:rPr>
          <w:rStyle w:val="Appelnotedebasdep"/>
        </w:rPr>
        <w:footnoteRef/>
      </w:r>
      <w:r>
        <w:t xml:space="preserve">55,000 FCFA in Niamey, 54,000 FCFA in Dosso; 49,000 FCFA in Tahoua; 55,000 F CFA in Maradi; 57,000 F CFA in Zinder; 59,000 F CFA in Diffa and Agadez, 5700 FCFA in </w:t>
      </w:r>
      <w:r w:rsidRPr="005E2B32">
        <w:t>Tillabéri.</w:t>
      </w:r>
    </w:p>
  </w:footnote>
  <w:footnote w:id="5">
    <w:p w14:paraId="1CA44519" w14:textId="2F1D17C4" w:rsidR="006D7CA2" w:rsidRPr="00D74007" w:rsidRDefault="006D7CA2" w:rsidP="003E5E84">
      <w:pPr>
        <w:pStyle w:val="Notedebasdepage"/>
        <w:jc w:val="both"/>
        <w:rPr>
          <w:lang w:val="en-US"/>
        </w:rPr>
      </w:pPr>
      <w:r>
        <w:rPr>
          <w:rStyle w:val="Appelnotedebasdep"/>
        </w:rPr>
        <w:footnoteRef/>
      </w:r>
      <w:r>
        <w:t>This involves total exemption from the tax on financial activities (TAFI) on accrued interest not yet due on loans, from value added tax (VAT), real estate tax for legal entities (TIPM) and professional tax (TP), exemption from customs duties and taxes on coal intended for the production of CEM II 32.5 grey cement and from value added tax (VAT) on the sale and transport within the country of CEM II 32.5 grey cement intended for households.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06C0"/>
    <w:multiLevelType w:val="hybridMultilevel"/>
    <w:tmpl w:val="46A82E7E"/>
    <w:lvl w:ilvl="0" w:tplc="24E24F5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232879"/>
    <w:multiLevelType w:val="hybridMultilevel"/>
    <w:tmpl w:val="C9742346"/>
    <w:lvl w:ilvl="0" w:tplc="A8B6DCF2">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771EB0"/>
    <w:multiLevelType w:val="hybridMultilevel"/>
    <w:tmpl w:val="DF66F99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1754DA"/>
    <w:multiLevelType w:val="multilevel"/>
    <w:tmpl w:val="08EC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1D3ACF"/>
    <w:multiLevelType w:val="hybridMultilevel"/>
    <w:tmpl w:val="ABD0D1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09E6AF6"/>
    <w:multiLevelType w:val="multilevel"/>
    <w:tmpl w:val="909C2FB8"/>
    <w:lvl w:ilvl="0">
      <w:start w:val="1"/>
      <w:numFmt w:val="decimal"/>
      <w:lvlText w:val="%1."/>
      <w:lvlJc w:val="left"/>
      <w:pPr>
        <w:ind w:left="720" w:hanging="360"/>
      </w:pPr>
      <w:rPr>
        <w:rFonts w:hint="default"/>
        <w:sz w:val="32"/>
        <w:szCs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EB866D9"/>
    <w:multiLevelType w:val="multilevel"/>
    <w:tmpl w:val="A95CD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4B56B5"/>
    <w:multiLevelType w:val="multilevel"/>
    <w:tmpl w:val="52AE5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8C7E58"/>
    <w:multiLevelType w:val="hybridMultilevel"/>
    <w:tmpl w:val="12BC3DC4"/>
    <w:lvl w:ilvl="0" w:tplc="C1E632F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07050801">
    <w:abstractNumId w:val="5"/>
  </w:num>
  <w:num w:numId="2" w16cid:durableId="45645696">
    <w:abstractNumId w:val="7"/>
  </w:num>
  <w:num w:numId="3" w16cid:durableId="210847454">
    <w:abstractNumId w:val="4"/>
  </w:num>
  <w:num w:numId="4" w16cid:durableId="759565352">
    <w:abstractNumId w:val="0"/>
  </w:num>
  <w:num w:numId="5" w16cid:durableId="77943535">
    <w:abstractNumId w:val="2"/>
  </w:num>
  <w:num w:numId="6" w16cid:durableId="583030642">
    <w:abstractNumId w:val="8"/>
  </w:num>
  <w:num w:numId="7" w16cid:durableId="1980988008">
    <w:abstractNumId w:val="1"/>
  </w:num>
  <w:num w:numId="8" w16cid:durableId="1431045837">
    <w:abstractNumId w:val="6"/>
  </w:num>
  <w:num w:numId="9" w16cid:durableId="10962921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F12"/>
    <w:rsid w:val="00011B15"/>
    <w:rsid w:val="00012137"/>
    <w:rsid w:val="000130EC"/>
    <w:rsid w:val="000149D9"/>
    <w:rsid w:val="00015D0D"/>
    <w:rsid w:val="000223DC"/>
    <w:rsid w:val="000256A7"/>
    <w:rsid w:val="00026B82"/>
    <w:rsid w:val="000330C0"/>
    <w:rsid w:val="000469C4"/>
    <w:rsid w:val="00051850"/>
    <w:rsid w:val="00070EF9"/>
    <w:rsid w:val="00072ACE"/>
    <w:rsid w:val="00073BD8"/>
    <w:rsid w:val="000A169C"/>
    <w:rsid w:val="000A3B46"/>
    <w:rsid w:val="000B3EF1"/>
    <w:rsid w:val="000B6AFB"/>
    <w:rsid w:val="000C4C7F"/>
    <w:rsid w:val="000C710D"/>
    <w:rsid w:val="000D3F25"/>
    <w:rsid w:val="000E778E"/>
    <w:rsid w:val="000F4257"/>
    <w:rsid w:val="00104C53"/>
    <w:rsid w:val="001162C0"/>
    <w:rsid w:val="00120F88"/>
    <w:rsid w:val="001245BE"/>
    <w:rsid w:val="00144E51"/>
    <w:rsid w:val="00164407"/>
    <w:rsid w:val="00187EAA"/>
    <w:rsid w:val="00190994"/>
    <w:rsid w:val="001972E6"/>
    <w:rsid w:val="001C210E"/>
    <w:rsid w:val="001C7EE1"/>
    <w:rsid w:val="001F6CD5"/>
    <w:rsid w:val="001F6E40"/>
    <w:rsid w:val="001F7F88"/>
    <w:rsid w:val="0020660E"/>
    <w:rsid w:val="00211565"/>
    <w:rsid w:val="00214589"/>
    <w:rsid w:val="00214D1A"/>
    <w:rsid w:val="002267D2"/>
    <w:rsid w:val="002272AD"/>
    <w:rsid w:val="00233DA3"/>
    <w:rsid w:val="0024152B"/>
    <w:rsid w:val="00247662"/>
    <w:rsid w:val="002511AF"/>
    <w:rsid w:val="0025495F"/>
    <w:rsid w:val="00254C45"/>
    <w:rsid w:val="002638F6"/>
    <w:rsid w:val="0026459C"/>
    <w:rsid w:val="00264FF3"/>
    <w:rsid w:val="00265476"/>
    <w:rsid w:val="002669D1"/>
    <w:rsid w:val="002735B7"/>
    <w:rsid w:val="00273A51"/>
    <w:rsid w:val="00277CD4"/>
    <w:rsid w:val="00287685"/>
    <w:rsid w:val="0029421F"/>
    <w:rsid w:val="002A256D"/>
    <w:rsid w:val="002B4AAD"/>
    <w:rsid w:val="002B548F"/>
    <w:rsid w:val="002B6C9A"/>
    <w:rsid w:val="002D5318"/>
    <w:rsid w:val="002D71D8"/>
    <w:rsid w:val="002D7B86"/>
    <w:rsid w:val="00313B99"/>
    <w:rsid w:val="003365DC"/>
    <w:rsid w:val="00341405"/>
    <w:rsid w:val="00365BB6"/>
    <w:rsid w:val="00374949"/>
    <w:rsid w:val="00380D55"/>
    <w:rsid w:val="00381836"/>
    <w:rsid w:val="003A0EFF"/>
    <w:rsid w:val="003B327D"/>
    <w:rsid w:val="003D2F9E"/>
    <w:rsid w:val="003E1615"/>
    <w:rsid w:val="003E5E84"/>
    <w:rsid w:val="003F30F6"/>
    <w:rsid w:val="003F37C3"/>
    <w:rsid w:val="003F5EA4"/>
    <w:rsid w:val="0040558C"/>
    <w:rsid w:val="00406F8C"/>
    <w:rsid w:val="004215D5"/>
    <w:rsid w:val="00424395"/>
    <w:rsid w:val="00427DDD"/>
    <w:rsid w:val="00437056"/>
    <w:rsid w:val="00441F66"/>
    <w:rsid w:val="00444D8D"/>
    <w:rsid w:val="00457FAA"/>
    <w:rsid w:val="00466151"/>
    <w:rsid w:val="00480CE0"/>
    <w:rsid w:val="00480D24"/>
    <w:rsid w:val="00484BCF"/>
    <w:rsid w:val="004A3DAA"/>
    <w:rsid w:val="004C47D1"/>
    <w:rsid w:val="004D17B5"/>
    <w:rsid w:val="004D2EA0"/>
    <w:rsid w:val="004D6A74"/>
    <w:rsid w:val="004E5A8C"/>
    <w:rsid w:val="00500DA3"/>
    <w:rsid w:val="00507F1E"/>
    <w:rsid w:val="0051047A"/>
    <w:rsid w:val="005128BC"/>
    <w:rsid w:val="00513979"/>
    <w:rsid w:val="005309F1"/>
    <w:rsid w:val="005340D5"/>
    <w:rsid w:val="00541B44"/>
    <w:rsid w:val="00560455"/>
    <w:rsid w:val="00560DBC"/>
    <w:rsid w:val="005619CC"/>
    <w:rsid w:val="0058331E"/>
    <w:rsid w:val="00586084"/>
    <w:rsid w:val="00597C5D"/>
    <w:rsid w:val="005C634F"/>
    <w:rsid w:val="005D5625"/>
    <w:rsid w:val="005E2B32"/>
    <w:rsid w:val="005E5CE5"/>
    <w:rsid w:val="005F0844"/>
    <w:rsid w:val="005F4EBC"/>
    <w:rsid w:val="00605E05"/>
    <w:rsid w:val="0060635D"/>
    <w:rsid w:val="0062027A"/>
    <w:rsid w:val="0062533E"/>
    <w:rsid w:val="00634774"/>
    <w:rsid w:val="00636F35"/>
    <w:rsid w:val="00643D8A"/>
    <w:rsid w:val="006457F0"/>
    <w:rsid w:val="00651E7A"/>
    <w:rsid w:val="006538CB"/>
    <w:rsid w:val="0066506A"/>
    <w:rsid w:val="00671324"/>
    <w:rsid w:val="0067243D"/>
    <w:rsid w:val="0068138E"/>
    <w:rsid w:val="0068436B"/>
    <w:rsid w:val="00691852"/>
    <w:rsid w:val="00694D9E"/>
    <w:rsid w:val="0069510B"/>
    <w:rsid w:val="006A0C7E"/>
    <w:rsid w:val="006A1000"/>
    <w:rsid w:val="006A2B73"/>
    <w:rsid w:val="006A6BC6"/>
    <w:rsid w:val="006B0987"/>
    <w:rsid w:val="006C7E7B"/>
    <w:rsid w:val="006D7CA2"/>
    <w:rsid w:val="006E0A46"/>
    <w:rsid w:val="006E39DA"/>
    <w:rsid w:val="006E6D94"/>
    <w:rsid w:val="007102A9"/>
    <w:rsid w:val="00711F72"/>
    <w:rsid w:val="0073480C"/>
    <w:rsid w:val="007366F6"/>
    <w:rsid w:val="00740E42"/>
    <w:rsid w:val="00750CB4"/>
    <w:rsid w:val="00752406"/>
    <w:rsid w:val="00753AF1"/>
    <w:rsid w:val="00757712"/>
    <w:rsid w:val="0076709E"/>
    <w:rsid w:val="00794DFD"/>
    <w:rsid w:val="007C1E37"/>
    <w:rsid w:val="007D1D45"/>
    <w:rsid w:val="007D6079"/>
    <w:rsid w:val="007E1968"/>
    <w:rsid w:val="007E455A"/>
    <w:rsid w:val="007E591D"/>
    <w:rsid w:val="007E766A"/>
    <w:rsid w:val="007F4DA4"/>
    <w:rsid w:val="007F66D7"/>
    <w:rsid w:val="00801D2A"/>
    <w:rsid w:val="008060AD"/>
    <w:rsid w:val="00815542"/>
    <w:rsid w:val="00833A32"/>
    <w:rsid w:val="0084194A"/>
    <w:rsid w:val="00843C8B"/>
    <w:rsid w:val="00846900"/>
    <w:rsid w:val="00861320"/>
    <w:rsid w:val="00864A68"/>
    <w:rsid w:val="00874EBB"/>
    <w:rsid w:val="00877F7B"/>
    <w:rsid w:val="0088071E"/>
    <w:rsid w:val="00890E03"/>
    <w:rsid w:val="008964D4"/>
    <w:rsid w:val="008974D1"/>
    <w:rsid w:val="008A0654"/>
    <w:rsid w:val="008A31B6"/>
    <w:rsid w:val="008A4D67"/>
    <w:rsid w:val="008C01DD"/>
    <w:rsid w:val="008C163E"/>
    <w:rsid w:val="008D4C4E"/>
    <w:rsid w:val="008D7B6E"/>
    <w:rsid w:val="008D7F63"/>
    <w:rsid w:val="008E1980"/>
    <w:rsid w:val="008E1AE3"/>
    <w:rsid w:val="008F1A37"/>
    <w:rsid w:val="008F36D9"/>
    <w:rsid w:val="009147C7"/>
    <w:rsid w:val="0091574A"/>
    <w:rsid w:val="0092094B"/>
    <w:rsid w:val="00932808"/>
    <w:rsid w:val="0094643A"/>
    <w:rsid w:val="00946548"/>
    <w:rsid w:val="00966BE4"/>
    <w:rsid w:val="00981C93"/>
    <w:rsid w:val="009832F7"/>
    <w:rsid w:val="0099528D"/>
    <w:rsid w:val="009A5102"/>
    <w:rsid w:val="009A5717"/>
    <w:rsid w:val="009B0FA2"/>
    <w:rsid w:val="009B1D5F"/>
    <w:rsid w:val="009C2EC1"/>
    <w:rsid w:val="009C32D4"/>
    <w:rsid w:val="009D164E"/>
    <w:rsid w:val="009D2DE9"/>
    <w:rsid w:val="009D2E42"/>
    <w:rsid w:val="009D5632"/>
    <w:rsid w:val="009D6042"/>
    <w:rsid w:val="009D6E66"/>
    <w:rsid w:val="009E367D"/>
    <w:rsid w:val="009F30D3"/>
    <w:rsid w:val="009F3C25"/>
    <w:rsid w:val="009F747C"/>
    <w:rsid w:val="00A007DD"/>
    <w:rsid w:val="00A0397F"/>
    <w:rsid w:val="00A15F12"/>
    <w:rsid w:val="00A20286"/>
    <w:rsid w:val="00A2193F"/>
    <w:rsid w:val="00A22DB6"/>
    <w:rsid w:val="00A2757C"/>
    <w:rsid w:val="00A27CC7"/>
    <w:rsid w:val="00A51F01"/>
    <w:rsid w:val="00A64695"/>
    <w:rsid w:val="00A71DEE"/>
    <w:rsid w:val="00A75BE5"/>
    <w:rsid w:val="00A91295"/>
    <w:rsid w:val="00A92D30"/>
    <w:rsid w:val="00A932BB"/>
    <w:rsid w:val="00AC4F54"/>
    <w:rsid w:val="00AD290D"/>
    <w:rsid w:val="00AD4D49"/>
    <w:rsid w:val="00AD687F"/>
    <w:rsid w:val="00AE3B63"/>
    <w:rsid w:val="00AF0195"/>
    <w:rsid w:val="00AF1795"/>
    <w:rsid w:val="00AF22C3"/>
    <w:rsid w:val="00AF6B63"/>
    <w:rsid w:val="00B023B7"/>
    <w:rsid w:val="00B23FF6"/>
    <w:rsid w:val="00B25B08"/>
    <w:rsid w:val="00B27435"/>
    <w:rsid w:val="00B30ACB"/>
    <w:rsid w:val="00B4671C"/>
    <w:rsid w:val="00B67CD7"/>
    <w:rsid w:val="00B70C89"/>
    <w:rsid w:val="00B7655C"/>
    <w:rsid w:val="00B80C89"/>
    <w:rsid w:val="00B81E2A"/>
    <w:rsid w:val="00B87069"/>
    <w:rsid w:val="00B95B78"/>
    <w:rsid w:val="00BA076B"/>
    <w:rsid w:val="00BA6F6A"/>
    <w:rsid w:val="00BD00EF"/>
    <w:rsid w:val="00BD0187"/>
    <w:rsid w:val="00BD7645"/>
    <w:rsid w:val="00BE02C6"/>
    <w:rsid w:val="00BF4546"/>
    <w:rsid w:val="00C0552F"/>
    <w:rsid w:val="00C05F74"/>
    <w:rsid w:val="00C11EE4"/>
    <w:rsid w:val="00C132A1"/>
    <w:rsid w:val="00C13765"/>
    <w:rsid w:val="00C240ED"/>
    <w:rsid w:val="00C249CD"/>
    <w:rsid w:val="00C37B86"/>
    <w:rsid w:val="00C446F7"/>
    <w:rsid w:val="00C50B94"/>
    <w:rsid w:val="00C5395F"/>
    <w:rsid w:val="00C63475"/>
    <w:rsid w:val="00C67E99"/>
    <w:rsid w:val="00C84C51"/>
    <w:rsid w:val="00C93DCF"/>
    <w:rsid w:val="00C94F04"/>
    <w:rsid w:val="00CB11EB"/>
    <w:rsid w:val="00CB1792"/>
    <w:rsid w:val="00CB4249"/>
    <w:rsid w:val="00CD5D13"/>
    <w:rsid w:val="00CD7E1C"/>
    <w:rsid w:val="00CE6D19"/>
    <w:rsid w:val="00CE7954"/>
    <w:rsid w:val="00CF469F"/>
    <w:rsid w:val="00D002BE"/>
    <w:rsid w:val="00D0068B"/>
    <w:rsid w:val="00D046A8"/>
    <w:rsid w:val="00D3189D"/>
    <w:rsid w:val="00D350E5"/>
    <w:rsid w:val="00D36EAF"/>
    <w:rsid w:val="00D47CEE"/>
    <w:rsid w:val="00D62232"/>
    <w:rsid w:val="00D658A0"/>
    <w:rsid w:val="00D74007"/>
    <w:rsid w:val="00D773A7"/>
    <w:rsid w:val="00D80357"/>
    <w:rsid w:val="00D81F73"/>
    <w:rsid w:val="00DD306C"/>
    <w:rsid w:val="00DD3C71"/>
    <w:rsid w:val="00DD46F6"/>
    <w:rsid w:val="00DE74D6"/>
    <w:rsid w:val="00DF41D1"/>
    <w:rsid w:val="00DF426B"/>
    <w:rsid w:val="00DF71B0"/>
    <w:rsid w:val="00E17EC4"/>
    <w:rsid w:val="00E20D63"/>
    <w:rsid w:val="00E2156F"/>
    <w:rsid w:val="00E4299B"/>
    <w:rsid w:val="00E44CC6"/>
    <w:rsid w:val="00E4625F"/>
    <w:rsid w:val="00E47C4E"/>
    <w:rsid w:val="00E513AA"/>
    <w:rsid w:val="00E54986"/>
    <w:rsid w:val="00E804AA"/>
    <w:rsid w:val="00E849CB"/>
    <w:rsid w:val="00E937BD"/>
    <w:rsid w:val="00EA0BCD"/>
    <w:rsid w:val="00EA5B16"/>
    <w:rsid w:val="00EB2232"/>
    <w:rsid w:val="00EB7F8A"/>
    <w:rsid w:val="00ED325A"/>
    <w:rsid w:val="00ED6290"/>
    <w:rsid w:val="00ED6CF9"/>
    <w:rsid w:val="00EE0CB5"/>
    <w:rsid w:val="00EF0216"/>
    <w:rsid w:val="00EF06F7"/>
    <w:rsid w:val="00EF748E"/>
    <w:rsid w:val="00F01E37"/>
    <w:rsid w:val="00F103EC"/>
    <w:rsid w:val="00F15D35"/>
    <w:rsid w:val="00F25B8C"/>
    <w:rsid w:val="00F43B22"/>
    <w:rsid w:val="00F815AE"/>
    <w:rsid w:val="00F842D9"/>
    <w:rsid w:val="00F93AB6"/>
    <w:rsid w:val="00F975AA"/>
    <w:rsid w:val="00FA1008"/>
    <w:rsid w:val="00FA78D2"/>
    <w:rsid w:val="00FB31CF"/>
    <w:rsid w:val="00FC1229"/>
    <w:rsid w:val="00FD228B"/>
    <w:rsid w:val="00FD50C4"/>
    <w:rsid w:val="00FF7C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19E57"/>
  <w15:chartTrackingRefBased/>
  <w15:docId w15:val="{8488D879-21D2-4271-8FDF-14B0BEE7F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F12"/>
    <w:rPr>
      <w:kern w:val="0"/>
    </w:rPr>
  </w:style>
  <w:style w:type="paragraph" w:styleId="Titre1">
    <w:name w:val="heading 1"/>
    <w:basedOn w:val="Normal"/>
    <w:next w:val="Normal"/>
    <w:link w:val="Titre1Car"/>
    <w:uiPriority w:val="9"/>
    <w:qFormat/>
    <w:rsid w:val="00A15F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15F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15F12"/>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15F12"/>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15F1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15F1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15F1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15F1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15F1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15F12"/>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15F12"/>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15F12"/>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15F12"/>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15F1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15F1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5F1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5F1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5F12"/>
    <w:rPr>
      <w:rFonts w:eastAsiaTheme="majorEastAsia" w:cstheme="majorBidi"/>
      <w:color w:val="272727" w:themeColor="text1" w:themeTint="D8"/>
    </w:rPr>
  </w:style>
  <w:style w:type="paragraph" w:styleId="Titre">
    <w:name w:val="Title"/>
    <w:basedOn w:val="Normal"/>
    <w:next w:val="Normal"/>
    <w:link w:val="TitreCar"/>
    <w:uiPriority w:val="10"/>
    <w:qFormat/>
    <w:rsid w:val="00A15F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15F1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15F1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15F1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15F12"/>
    <w:pPr>
      <w:spacing w:before="160"/>
      <w:jc w:val="center"/>
    </w:pPr>
    <w:rPr>
      <w:i/>
      <w:iCs/>
      <w:color w:val="404040" w:themeColor="text1" w:themeTint="BF"/>
    </w:rPr>
  </w:style>
  <w:style w:type="character" w:customStyle="1" w:styleId="CitationCar">
    <w:name w:val="Citation Car"/>
    <w:basedOn w:val="Policepardfaut"/>
    <w:link w:val="Citation"/>
    <w:uiPriority w:val="29"/>
    <w:rsid w:val="00A15F12"/>
    <w:rPr>
      <w:i/>
      <w:iCs/>
      <w:color w:val="404040" w:themeColor="text1" w:themeTint="BF"/>
    </w:rPr>
  </w:style>
  <w:style w:type="paragraph" w:styleId="Paragraphedeliste">
    <w:name w:val="List Paragraph"/>
    <w:basedOn w:val="Normal"/>
    <w:link w:val="ParagraphedelisteCar"/>
    <w:uiPriority w:val="34"/>
    <w:qFormat/>
    <w:rsid w:val="00A15F12"/>
    <w:pPr>
      <w:ind w:left="720"/>
      <w:contextualSpacing/>
    </w:pPr>
  </w:style>
  <w:style w:type="character" w:styleId="Accentuationintense">
    <w:name w:val="Intense Emphasis"/>
    <w:basedOn w:val="Policepardfaut"/>
    <w:uiPriority w:val="21"/>
    <w:qFormat/>
    <w:rsid w:val="00A15F12"/>
    <w:rPr>
      <w:i/>
      <w:iCs/>
      <w:color w:val="2F5496" w:themeColor="accent1" w:themeShade="BF"/>
    </w:rPr>
  </w:style>
  <w:style w:type="paragraph" w:styleId="Citationintense">
    <w:name w:val="Intense Quote"/>
    <w:basedOn w:val="Normal"/>
    <w:next w:val="Normal"/>
    <w:link w:val="CitationintenseCar"/>
    <w:uiPriority w:val="30"/>
    <w:qFormat/>
    <w:rsid w:val="00A15F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15F12"/>
    <w:rPr>
      <w:i/>
      <w:iCs/>
      <w:color w:val="2F5496" w:themeColor="accent1" w:themeShade="BF"/>
    </w:rPr>
  </w:style>
  <w:style w:type="character" w:styleId="Rfrenceintense">
    <w:name w:val="Intense Reference"/>
    <w:basedOn w:val="Policepardfaut"/>
    <w:uiPriority w:val="32"/>
    <w:qFormat/>
    <w:rsid w:val="00A15F12"/>
    <w:rPr>
      <w:b/>
      <w:bCs/>
      <w:smallCaps/>
      <w:color w:val="2F5496" w:themeColor="accent1" w:themeShade="BF"/>
      <w:spacing w:val="5"/>
    </w:rPr>
  </w:style>
  <w:style w:type="character" w:styleId="Lienhypertexte">
    <w:name w:val="Hyperlink"/>
    <w:basedOn w:val="Policepardfaut"/>
    <w:uiPriority w:val="99"/>
    <w:unhideWhenUsed/>
    <w:rsid w:val="00A15F12"/>
    <w:rPr>
      <w:color w:val="0563C1" w:themeColor="hyperlink"/>
      <w:u w:val="single"/>
    </w:rPr>
  </w:style>
  <w:style w:type="paragraph" w:styleId="Notedebasdepage">
    <w:name w:val="footnote text"/>
    <w:aliases w:val="FOOTNOTES,fn,single space,footnote text,ALTS FOOTNOTE,Fodnotetekst Tegn,Geneva 9,Font: Geneva 9,Boston 10,f,ALTS FOOTNOTE Char Tegn Tegn,ALTS FOOTNOTE Char Tegn,Footnote Text Char,Footnote Text Char1 Char,Footnote Text Char Char Char"/>
    <w:basedOn w:val="Normal"/>
    <w:link w:val="NotedebasdepageCar"/>
    <w:uiPriority w:val="99"/>
    <w:semiHidden/>
    <w:unhideWhenUsed/>
    <w:qFormat/>
    <w:rsid w:val="00C93DCF"/>
    <w:pPr>
      <w:spacing w:after="0" w:line="240" w:lineRule="auto"/>
    </w:pPr>
    <w:rPr>
      <w:sz w:val="20"/>
      <w:szCs w:val="20"/>
    </w:rPr>
  </w:style>
  <w:style w:type="character" w:customStyle="1" w:styleId="NotedebasdepageCar">
    <w:name w:val="Note de bas de page Car"/>
    <w:aliases w:val="FOOTNOTES Car,fn Car,single space Car,footnote text Car,ALTS FOOTNOTE Car,Fodnotetekst Tegn Car,Geneva 9 Car,Font: Geneva 9 Car,Boston 10 Car,f Car,ALTS FOOTNOTE Char Tegn Tegn Car,ALTS FOOTNOTE Char Tegn Car"/>
    <w:basedOn w:val="Policepardfaut"/>
    <w:link w:val="Notedebasdepage"/>
    <w:uiPriority w:val="99"/>
    <w:semiHidden/>
    <w:rsid w:val="00C93DCF"/>
    <w:rPr>
      <w:kern w:val="0"/>
      <w:sz w:val="20"/>
      <w:szCs w:val="20"/>
    </w:rPr>
  </w:style>
  <w:style w:type="character" w:styleId="Appelnotedebasdep">
    <w:name w:val="footnote reference"/>
    <w:aliases w:val="Car Car Char Car Char Car Car Char Car Char Char,Car Car Car Car Car Car Car Car Char Car Car Char Car Car Car Char Car Char Char Char, Car Car Char Car Char Car Car Char Car Char Char"/>
    <w:basedOn w:val="Policepardfaut"/>
    <w:uiPriority w:val="99"/>
    <w:unhideWhenUsed/>
    <w:rsid w:val="00C93DCF"/>
    <w:rPr>
      <w:vertAlign w:val="superscript"/>
    </w:rPr>
  </w:style>
  <w:style w:type="character" w:customStyle="1" w:styleId="jlqj4b">
    <w:name w:val="jlqj4b"/>
    <w:basedOn w:val="Policepardfaut"/>
    <w:rsid w:val="00484BCF"/>
  </w:style>
  <w:style w:type="character" w:customStyle="1" w:styleId="ParagraphedelisteCar">
    <w:name w:val="Paragraphe de liste Car"/>
    <w:link w:val="Paragraphedeliste"/>
    <w:uiPriority w:val="34"/>
    <w:locked/>
    <w:rsid w:val="00A0397F"/>
    <w:rPr>
      <w:kern w:val="0"/>
    </w:rPr>
  </w:style>
  <w:style w:type="paragraph" w:customStyle="1" w:styleId="Default">
    <w:name w:val="Default"/>
    <w:rsid w:val="00104C53"/>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En-tte">
    <w:name w:val="header"/>
    <w:basedOn w:val="Normal"/>
    <w:link w:val="En-tteCar"/>
    <w:uiPriority w:val="99"/>
    <w:unhideWhenUsed/>
    <w:rsid w:val="00015D0D"/>
    <w:pPr>
      <w:tabs>
        <w:tab w:val="center" w:pos="4536"/>
        <w:tab w:val="right" w:pos="9072"/>
      </w:tabs>
      <w:spacing w:after="0" w:line="240" w:lineRule="auto"/>
    </w:pPr>
  </w:style>
  <w:style w:type="character" w:customStyle="1" w:styleId="En-tteCar">
    <w:name w:val="En-tête Car"/>
    <w:basedOn w:val="Policepardfaut"/>
    <w:link w:val="En-tte"/>
    <w:uiPriority w:val="99"/>
    <w:rsid w:val="00015D0D"/>
    <w:rPr>
      <w:kern w:val="0"/>
    </w:rPr>
  </w:style>
  <w:style w:type="paragraph" w:styleId="Pieddepage">
    <w:name w:val="footer"/>
    <w:basedOn w:val="Normal"/>
    <w:link w:val="PieddepageCar"/>
    <w:uiPriority w:val="99"/>
    <w:unhideWhenUsed/>
    <w:rsid w:val="00015D0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15D0D"/>
    <w:rPr>
      <w:kern w:val="0"/>
    </w:rPr>
  </w:style>
  <w:style w:type="table" w:styleId="Grilledutableau">
    <w:name w:val="Table Grid"/>
    <w:basedOn w:val="TableauNormal"/>
    <w:uiPriority w:val="39"/>
    <w:rsid w:val="00645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C0552F"/>
    <w:rPr>
      <w:color w:val="666666"/>
    </w:rPr>
  </w:style>
  <w:style w:type="paragraph" w:styleId="En-ttedetabledesmatires">
    <w:name w:val="TOC Heading"/>
    <w:basedOn w:val="Titre1"/>
    <w:next w:val="Normal"/>
    <w:uiPriority w:val="39"/>
    <w:unhideWhenUsed/>
    <w:qFormat/>
    <w:rsid w:val="002735B7"/>
    <w:pPr>
      <w:spacing w:before="240" w:after="0"/>
      <w:outlineLvl w:val="9"/>
    </w:pPr>
    <w:rPr>
      <w:sz w:val="32"/>
      <w:szCs w:val="32"/>
      <w:lang w:eastAsia="fr-FR"/>
      <w14:ligatures w14:val="none"/>
    </w:rPr>
  </w:style>
  <w:style w:type="paragraph" w:styleId="TM1">
    <w:name w:val="toc 1"/>
    <w:basedOn w:val="Normal"/>
    <w:next w:val="Normal"/>
    <w:autoRedefine/>
    <w:uiPriority w:val="39"/>
    <w:unhideWhenUsed/>
    <w:rsid w:val="00CE7954"/>
    <w:pPr>
      <w:tabs>
        <w:tab w:val="left" w:pos="440"/>
        <w:tab w:val="right" w:leader="dot" w:pos="9062"/>
      </w:tabs>
      <w:spacing w:after="100"/>
    </w:pPr>
    <w:rPr>
      <w:noProof/>
    </w:rPr>
  </w:style>
  <w:style w:type="paragraph" w:styleId="TM2">
    <w:name w:val="toc 2"/>
    <w:basedOn w:val="Normal"/>
    <w:next w:val="Normal"/>
    <w:autoRedefine/>
    <w:uiPriority w:val="39"/>
    <w:unhideWhenUsed/>
    <w:rsid w:val="00CE7954"/>
    <w:pPr>
      <w:tabs>
        <w:tab w:val="left" w:pos="960"/>
        <w:tab w:val="right" w:leader="dot" w:pos="9062"/>
      </w:tabs>
      <w:spacing w:after="100"/>
      <w:ind w:left="220"/>
    </w:pPr>
    <w:rPr>
      <w:b/>
      <w:bCs/>
      <w:noProof/>
    </w:rPr>
  </w:style>
  <w:style w:type="paragraph" w:styleId="TM3">
    <w:name w:val="toc 3"/>
    <w:basedOn w:val="Normal"/>
    <w:next w:val="Normal"/>
    <w:autoRedefine/>
    <w:uiPriority w:val="39"/>
    <w:unhideWhenUsed/>
    <w:rsid w:val="002735B7"/>
    <w:pPr>
      <w:spacing w:after="100"/>
      <w:ind w:left="440"/>
    </w:pPr>
  </w:style>
  <w:style w:type="paragraph" w:styleId="Rvision">
    <w:name w:val="Revision"/>
    <w:hidden/>
    <w:uiPriority w:val="99"/>
    <w:semiHidden/>
    <w:rsid w:val="00C67E99"/>
    <w:pPr>
      <w:spacing w:after="0" w:line="240" w:lineRule="auto"/>
    </w:pPr>
    <w:rPr>
      <w:kern w:val="0"/>
    </w:rPr>
  </w:style>
  <w:style w:type="table" w:styleId="TableauGrille1Clair-Accentuation1">
    <w:name w:val="Grid Table 1 Light Accent 1"/>
    <w:basedOn w:val="TableauNormal"/>
    <w:uiPriority w:val="46"/>
    <w:rsid w:val="005E5CE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Lgende">
    <w:name w:val="caption"/>
    <w:basedOn w:val="Normal"/>
    <w:next w:val="Normal"/>
    <w:uiPriority w:val="35"/>
    <w:unhideWhenUsed/>
    <w:qFormat/>
    <w:rsid w:val="005E5CE5"/>
    <w:pPr>
      <w:spacing w:after="200" w:line="240" w:lineRule="auto"/>
    </w:pPr>
    <w:rPr>
      <w:i/>
      <w:iCs/>
      <w:color w:val="44546A" w:themeColor="text2"/>
      <w:kern w:val="2"/>
      <w:sz w:val="18"/>
      <w:szCs w:val="18"/>
    </w:rPr>
  </w:style>
  <w:style w:type="character" w:customStyle="1" w:styleId="Mentionnonrsolue1">
    <w:name w:val="Mention non résolue1"/>
    <w:basedOn w:val="Policepardfaut"/>
    <w:uiPriority w:val="99"/>
    <w:semiHidden/>
    <w:unhideWhenUsed/>
    <w:rsid w:val="00C84C51"/>
    <w:rPr>
      <w:color w:val="605E5C"/>
      <w:shd w:val="clear" w:color="auto" w:fill="E1DFDD"/>
    </w:rPr>
  </w:style>
  <w:style w:type="table" w:styleId="Tableausimple3">
    <w:name w:val="Plain Table 3"/>
    <w:basedOn w:val="TableauNormal"/>
    <w:uiPriority w:val="43"/>
    <w:rsid w:val="00F975A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semiHidden/>
    <w:unhideWhenUsed/>
    <w:rsid w:val="009A5102"/>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styleId="Marquedecommentaire">
    <w:name w:val="annotation reference"/>
    <w:basedOn w:val="Policepardfaut"/>
    <w:uiPriority w:val="99"/>
    <w:semiHidden/>
    <w:unhideWhenUsed/>
    <w:rsid w:val="006D7CA2"/>
    <w:rPr>
      <w:sz w:val="16"/>
      <w:szCs w:val="16"/>
    </w:rPr>
  </w:style>
  <w:style w:type="paragraph" w:styleId="Commentaire">
    <w:name w:val="annotation text"/>
    <w:basedOn w:val="Normal"/>
    <w:link w:val="CommentaireCar"/>
    <w:uiPriority w:val="99"/>
    <w:semiHidden/>
    <w:unhideWhenUsed/>
    <w:rsid w:val="006D7CA2"/>
    <w:pPr>
      <w:spacing w:line="240" w:lineRule="auto"/>
    </w:pPr>
    <w:rPr>
      <w:sz w:val="20"/>
      <w:szCs w:val="20"/>
    </w:rPr>
  </w:style>
  <w:style w:type="character" w:customStyle="1" w:styleId="CommentaireCar">
    <w:name w:val="Commentaire Car"/>
    <w:basedOn w:val="Policepardfaut"/>
    <w:link w:val="Commentaire"/>
    <w:uiPriority w:val="99"/>
    <w:semiHidden/>
    <w:rsid w:val="006D7CA2"/>
    <w:rPr>
      <w:kern w:val="0"/>
      <w:sz w:val="20"/>
      <w:szCs w:val="20"/>
    </w:rPr>
  </w:style>
  <w:style w:type="paragraph" w:styleId="Objetducommentaire">
    <w:name w:val="annotation subject"/>
    <w:basedOn w:val="Commentaire"/>
    <w:next w:val="Commentaire"/>
    <w:link w:val="ObjetducommentaireCar"/>
    <w:uiPriority w:val="99"/>
    <w:semiHidden/>
    <w:unhideWhenUsed/>
    <w:rsid w:val="006D7CA2"/>
    <w:rPr>
      <w:b/>
      <w:bCs/>
    </w:rPr>
  </w:style>
  <w:style w:type="character" w:customStyle="1" w:styleId="ObjetducommentaireCar">
    <w:name w:val="Objet du commentaire Car"/>
    <w:basedOn w:val="CommentaireCar"/>
    <w:link w:val="Objetducommentaire"/>
    <w:uiPriority w:val="99"/>
    <w:semiHidden/>
    <w:rsid w:val="006D7CA2"/>
    <w:rPr>
      <w:b/>
      <w:bCs/>
      <w:kern w:val="0"/>
      <w:sz w:val="20"/>
      <w:szCs w:val="20"/>
    </w:rPr>
  </w:style>
  <w:style w:type="paragraph" w:styleId="Textedebulles">
    <w:name w:val="Balloon Text"/>
    <w:basedOn w:val="Normal"/>
    <w:link w:val="TextedebullesCar"/>
    <w:uiPriority w:val="99"/>
    <w:semiHidden/>
    <w:unhideWhenUsed/>
    <w:rsid w:val="006D7CA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7CA2"/>
    <w:rPr>
      <w:rFonts w:ascii="Segoe UI" w:hAnsi="Segoe UI" w:cs="Segoe UI"/>
      <w:kern w:val="0"/>
      <w:sz w:val="18"/>
      <w:szCs w:val="18"/>
    </w:rPr>
  </w:style>
  <w:style w:type="table" w:styleId="Tableausimple1">
    <w:name w:val="Plain Table 1"/>
    <w:basedOn w:val="TableauNormal"/>
    <w:uiPriority w:val="41"/>
    <w:rsid w:val="006B09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05975">
      <w:bodyDiv w:val="1"/>
      <w:marLeft w:val="0"/>
      <w:marRight w:val="0"/>
      <w:marTop w:val="0"/>
      <w:marBottom w:val="0"/>
      <w:divBdr>
        <w:top w:val="none" w:sz="0" w:space="0" w:color="auto"/>
        <w:left w:val="none" w:sz="0" w:space="0" w:color="auto"/>
        <w:bottom w:val="none" w:sz="0" w:space="0" w:color="auto"/>
        <w:right w:val="none" w:sz="0" w:space="0" w:color="auto"/>
      </w:divBdr>
    </w:div>
    <w:div w:id="199785549">
      <w:bodyDiv w:val="1"/>
      <w:marLeft w:val="0"/>
      <w:marRight w:val="0"/>
      <w:marTop w:val="0"/>
      <w:marBottom w:val="0"/>
      <w:divBdr>
        <w:top w:val="none" w:sz="0" w:space="0" w:color="auto"/>
        <w:left w:val="none" w:sz="0" w:space="0" w:color="auto"/>
        <w:bottom w:val="none" w:sz="0" w:space="0" w:color="auto"/>
        <w:right w:val="none" w:sz="0" w:space="0" w:color="auto"/>
      </w:divBdr>
    </w:div>
    <w:div w:id="204294356">
      <w:bodyDiv w:val="1"/>
      <w:marLeft w:val="0"/>
      <w:marRight w:val="0"/>
      <w:marTop w:val="0"/>
      <w:marBottom w:val="0"/>
      <w:divBdr>
        <w:top w:val="none" w:sz="0" w:space="0" w:color="auto"/>
        <w:left w:val="none" w:sz="0" w:space="0" w:color="auto"/>
        <w:bottom w:val="none" w:sz="0" w:space="0" w:color="auto"/>
        <w:right w:val="none" w:sz="0" w:space="0" w:color="auto"/>
      </w:divBdr>
    </w:div>
    <w:div w:id="290022369">
      <w:bodyDiv w:val="1"/>
      <w:marLeft w:val="0"/>
      <w:marRight w:val="0"/>
      <w:marTop w:val="0"/>
      <w:marBottom w:val="0"/>
      <w:divBdr>
        <w:top w:val="none" w:sz="0" w:space="0" w:color="auto"/>
        <w:left w:val="none" w:sz="0" w:space="0" w:color="auto"/>
        <w:bottom w:val="none" w:sz="0" w:space="0" w:color="auto"/>
        <w:right w:val="none" w:sz="0" w:space="0" w:color="auto"/>
      </w:divBdr>
    </w:div>
    <w:div w:id="595332343">
      <w:bodyDiv w:val="1"/>
      <w:marLeft w:val="0"/>
      <w:marRight w:val="0"/>
      <w:marTop w:val="0"/>
      <w:marBottom w:val="0"/>
      <w:divBdr>
        <w:top w:val="none" w:sz="0" w:space="0" w:color="auto"/>
        <w:left w:val="none" w:sz="0" w:space="0" w:color="auto"/>
        <w:bottom w:val="none" w:sz="0" w:space="0" w:color="auto"/>
        <w:right w:val="none" w:sz="0" w:space="0" w:color="auto"/>
      </w:divBdr>
    </w:div>
    <w:div w:id="631136013">
      <w:bodyDiv w:val="1"/>
      <w:marLeft w:val="0"/>
      <w:marRight w:val="0"/>
      <w:marTop w:val="0"/>
      <w:marBottom w:val="0"/>
      <w:divBdr>
        <w:top w:val="none" w:sz="0" w:space="0" w:color="auto"/>
        <w:left w:val="none" w:sz="0" w:space="0" w:color="auto"/>
        <w:bottom w:val="none" w:sz="0" w:space="0" w:color="auto"/>
        <w:right w:val="none" w:sz="0" w:space="0" w:color="auto"/>
      </w:divBdr>
    </w:div>
    <w:div w:id="655718771">
      <w:bodyDiv w:val="1"/>
      <w:marLeft w:val="0"/>
      <w:marRight w:val="0"/>
      <w:marTop w:val="0"/>
      <w:marBottom w:val="0"/>
      <w:divBdr>
        <w:top w:val="none" w:sz="0" w:space="0" w:color="auto"/>
        <w:left w:val="none" w:sz="0" w:space="0" w:color="auto"/>
        <w:bottom w:val="none" w:sz="0" w:space="0" w:color="auto"/>
        <w:right w:val="none" w:sz="0" w:space="0" w:color="auto"/>
      </w:divBdr>
    </w:div>
    <w:div w:id="670835643">
      <w:bodyDiv w:val="1"/>
      <w:marLeft w:val="0"/>
      <w:marRight w:val="0"/>
      <w:marTop w:val="0"/>
      <w:marBottom w:val="0"/>
      <w:divBdr>
        <w:top w:val="none" w:sz="0" w:space="0" w:color="auto"/>
        <w:left w:val="none" w:sz="0" w:space="0" w:color="auto"/>
        <w:bottom w:val="none" w:sz="0" w:space="0" w:color="auto"/>
        <w:right w:val="none" w:sz="0" w:space="0" w:color="auto"/>
      </w:divBdr>
    </w:div>
    <w:div w:id="782265087">
      <w:bodyDiv w:val="1"/>
      <w:marLeft w:val="0"/>
      <w:marRight w:val="0"/>
      <w:marTop w:val="0"/>
      <w:marBottom w:val="0"/>
      <w:divBdr>
        <w:top w:val="none" w:sz="0" w:space="0" w:color="auto"/>
        <w:left w:val="none" w:sz="0" w:space="0" w:color="auto"/>
        <w:bottom w:val="none" w:sz="0" w:space="0" w:color="auto"/>
        <w:right w:val="none" w:sz="0" w:space="0" w:color="auto"/>
      </w:divBdr>
    </w:div>
    <w:div w:id="809329034">
      <w:bodyDiv w:val="1"/>
      <w:marLeft w:val="0"/>
      <w:marRight w:val="0"/>
      <w:marTop w:val="0"/>
      <w:marBottom w:val="0"/>
      <w:divBdr>
        <w:top w:val="none" w:sz="0" w:space="0" w:color="auto"/>
        <w:left w:val="none" w:sz="0" w:space="0" w:color="auto"/>
        <w:bottom w:val="none" w:sz="0" w:space="0" w:color="auto"/>
        <w:right w:val="none" w:sz="0" w:space="0" w:color="auto"/>
      </w:divBdr>
    </w:div>
    <w:div w:id="867328445">
      <w:bodyDiv w:val="1"/>
      <w:marLeft w:val="0"/>
      <w:marRight w:val="0"/>
      <w:marTop w:val="0"/>
      <w:marBottom w:val="0"/>
      <w:divBdr>
        <w:top w:val="none" w:sz="0" w:space="0" w:color="auto"/>
        <w:left w:val="none" w:sz="0" w:space="0" w:color="auto"/>
        <w:bottom w:val="none" w:sz="0" w:space="0" w:color="auto"/>
        <w:right w:val="none" w:sz="0" w:space="0" w:color="auto"/>
      </w:divBdr>
    </w:div>
    <w:div w:id="915241325">
      <w:bodyDiv w:val="1"/>
      <w:marLeft w:val="0"/>
      <w:marRight w:val="0"/>
      <w:marTop w:val="0"/>
      <w:marBottom w:val="0"/>
      <w:divBdr>
        <w:top w:val="none" w:sz="0" w:space="0" w:color="auto"/>
        <w:left w:val="none" w:sz="0" w:space="0" w:color="auto"/>
        <w:bottom w:val="none" w:sz="0" w:space="0" w:color="auto"/>
        <w:right w:val="none" w:sz="0" w:space="0" w:color="auto"/>
      </w:divBdr>
    </w:div>
    <w:div w:id="925186561">
      <w:bodyDiv w:val="1"/>
      <w:marLeft w:val="0"/>
      <w:marRight w:val="0"/>
      <w:marTop w:val="0"/>
      <w:marBottom w:val="0"/>
      <w:divBdr>
        <w:top w:val="none" w:sz="0" w:space="0" w:color="auto"/>
        <w:left w:val="none" w:sz="0" w:space="0" w:color="auto"/>
        <w:bottom w:val="none" w:sz="0" w:space="0" w:color="auto"/>
        <w:right w:val="none" w:sz="0" w:space="0" w:color="auto"/>
      </w:divBdr>
    </w:div>
    <w:div w:id="1176386675">
      <w:bodyDiv w:val="1"/>
      <w:marLeft w:val="0"/>
      <w:marRight w:val="0"/>
      <w:marTop w:val="0"/>
      <w:marBottom w:val="0"/>
      <w:divBdr>
        <w:top w:val="none" w:sz="0" w:space="0" w:color="auto"/>
        <w:left w:val="none" w:sz="0" w:space="0" w:color="auto"/>
        <w:bottom w:val="none" w:sz="0" w:space="0" w:color="auto"/>
        <w:right w:val="none" w:sz="0" w:space="0" w:color="auto"/>
      </w:divBdr>
    </w:div>
    <w:div w:id="1285038843">
      <w:bodyDiv w:val="1"/>
      <w:marLeft w:val="0"/>
      <w:marRight w:val="0"/>
      <w:marTop w:val="0"/>
      <w:marBottom w:val="0"/>
      <w:divBdr>
        <w:top w:val="none" w:sz="0" w:space="0" w:color="auto"/>
        <w:left w:val="none" w:sz="0" w:space="0" w:color="auto"/>
        <w:bottom w:val="none" w:sz="0" w:space="0" w:color="auto"/>
        <w:right w:val="none" w:sz="0" w:space="0" w:color="auto"/>
      </w:divBdr>
    </w:div>
    <w:div w:id="1420564236">
      <w:bodyDiv w:val="1"/>
      <w:marLeft w:val="0"/>
      <w:marRight w:val="0"/>
      <w:marTop w:val="0"/>
      <w:marBottom w:val="0"/>
      <w:divBdr>
        <w:top w:val="none" w:sz="0" w:space="0" w:color="auto"/>
        <w:left w:val="none" w:sz="0" w:space="0" w:color="auto"/>
        <w:bottom w:val="none" w:sz="0" w:space="0" w:color="auto"/>
        <w:right w:val="none" w:sz="0" w:space="0" w:color="auto"/>
      </w:divBdr>
    </w:div>
    <w:div w:id="1474448069">
      <w:bodyDiv w:val="1"/>
      <w:marLeft w:val="0"/>
      <w:marRight w:val="0"/>
      <w:marTop w:val="0"/>
      <w:marBottom w:val="0"/>
      <w:divBdr>
        <w:top w:val="none" w:sz="0" w:space="0" w:color="auto"/>
        <w:left w:val="none" w:sz="0" w:space="0" w:color="auto"/>
        <w:bottom w:val="none" w:sz="0" w:space="0" w:color="auto"/>
        <w:right w:val="none" w:sz="0" w:space="0" w:color="auto"/>
      </w:divBdr>
    </w:div>
    <w:div w:id="1669746841">
      <w:bodyDiv w:val="1"/>
      <w:marLeft w:val="0"/>
      <w:marRight w:val="0"/>
      <w:marTop w:val="0"/>
      <w:marBottom w:val="0"/>
      <w:divBdr>
        <w:top w:val="none" w:sz="0" w:space="0" w:color="auto"/>
        <w:left w:val="none" w:sz="0" w:space="0" w:color="auto"/>
        <w:bottom w:val="none" w:sz="0" w:space="0" w:color="auto"/>
        <w:right w:val="none" w:sz="0" w:space="0" w:color="auto"/>
      </w:divBdr>
    </w:div>
    <w:div w:id="1729960923">
      <w:bodyDiv w:val="1"/>
      <w:marLeft w:val="0"/>
      <w:marRight w:val="0"/>
      <w:marTop w:val="0"/>
      <w:marBottom w:val="0"/>
      <w:divBdr>
        <w:top w:val="none" w:sz="0" w:space="0" w:color="auto"/>
        <w:left w:val="none" w:sz="0" w:space="0" w:color="auto"/>
        <w:bottom w:val="none" w:sz="0" w:space="0" w:color="auto"/>
        <w:right w:val="none" w:sz="0" w:space="0" w:color="auto"/>
      </w:divBdr>
    </w:div>
    <w:div w:id="1815023358">
      <w:bodyDiv w:val="1"/>
      <w:marLeft w:val="0"/>
      <w:marRight w:val="0"/>
      <w:marTop w:val="0"/>
      <w:marBottom w:val="0"/>
      <w:divBdr>
        <w:top w:val="none" w:sz="0" w:space="0" w:color="auto"/>
        <w:left w:val="none" w:sz="0" w:space="0" w:color="auto"/>
        <w:bottom w:val="none" w:sz="0" w:space="0" w:color="auto"/>
        <w:right w:val="none" w:sz="0" w:space="0" w:color="auto"/>
      </w:divBdr>
    </w:div>
    <w:div w:id="1879854159">
      <w:bodyDiv w:val="1"/>
      <w:marLeft w:val="0"/>
      <w:marRight w:val="0"/>
      <w:marTop w:val="0"/>
      <w:marBottom w:val="0"/>
      <w:divBdr>
        <w:top w:val="none" w:sz="0" w:space="0" w:color="auto"/>
        <w:left w:val="none" w:sz="0" w:space="0" w:color="auto"/>
        <w:bottom w:val="none" w:sz="0" w:space="0" w:color="auto"/>
        <w:right w:val="none" w:sz="0" w:space="0" w:color="auto"/>
      </w:divBdr>
    </w:div>
    <w:div w:id="1916208270">
      <w:bodyDiv w:val="1"/>
      <w:marLeft w:val="0"/>
      <w:marRight w:val="0"/>
      <w:marTop w:val="0"/>
      <w:marBottom w:val="0"/>
      <w:divBdr>
        <w:top w:val="none" w:sz="0" w:space="0" w:color="auto"/>
        <w:left w:val="none" w:sz="0" w:space="0" w:color="auto"/>
        <w:bottom w:val="none" w:sz="0" w:space="0" w:color="auto"/>
        <w:right w:val="none" w:sz="0" w:space="0" w:color="auto"/>
      </w:divBdr>
    </w:div>
    <w:div w:id="1990941089">
      <w:bodyDiv w:val="1"/>
      <w:marLeft w:val="0"/>
      <w:marRight w:val="0"/>
      <w:marTop w:val="0"/>
      <w:marBottom w:val="0"/>
      <w:divBdr>
        <w:top w:val="none" w:sz="0" w:space="0" w:color="auto"/>
        <w:left w:val="none" w:sz="0" w:space="0" w:color="auto"/>
        <w:bottom w:val="none" w:sz="0" w:space="0" w:color="auto"/>
        <w:right w:val="none" w:sz="0" w:space="0" w:color="auto"/>
      </w:divBdr>
    </w:div>
    <w:div w:id="214703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adalk@gmail.com" TargetMode="Externa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3.xml"/><Relationship Id="rId34" Type="http://schemas.openxmlformats.org/officeDocument/2006/relationships/hyperlink" Target="https://theses.hal.science/tel-03476079v1" TargetMode="Externa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hyperlink" Target="https://www.theses.fr/2020NORMLH27"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hyperlink" Target="https://doi.org/10.5089/9781475558111.0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hyperlink" Target="https://www.theses.fr/2020NORMLH27"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hyperlink" Target="https://dpee.sn/download/impact-des-revenus-provenant-de-lexploitation-des-ressources-petrolieres-et-gazieres-sur-leconomie-senegalaise" TargetMode="External"/><Relationship Id="rId36" Type="http://schemas.openxmlformats.org/officeDocument/2006/relationships/hyperlink" Target="https://theses.hal.science/tel-03476079v1" TargetMode="Externa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hyperlink" Target="https://www.theses.fr/2020NORMLH27"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hyperlink" Target="https://www.pep-net.org/sites/pep-net.org/files/Le" TargetMode="External"/><Relationship Id="rId35" Type="http://schemas.openxmlformats.org/officeDocument/2006/relationships/hyperlink" Target="https://theses.hal.science/tel-03476079v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Admin\Desktop\jrc-demetraw\Resutatsw.xlsx" TargetMode="External"/><Relationship Id="rId2" Type="http://schemas.microsoft.com/office/2011/relationships/chartColorStyle" Target="colors19.xml"/><Relationship Id="rId1" Type="http://schemas.microsoft.com/office/2011/relationships/chartStyle" Target="style1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785586176727909"/>
          <c:y val="0"/>
          <c:w val="0.50373293963254595"/>
          <c:h val="0.98959813515807116"/>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641-4D17-ADDC-0C4325B5809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641-4D17-ADDC-0C4325B5809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641-4D17-ADDC-0C4325B5809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641-4D17-ADDC-0C4325B5809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641-4D17-ADDC-0C4325B58095}"/>
              </c:ext>
            </c:extLst>
          </c:dPt>
          <c:dLbls>
            <c:dLbl>
              <c:idx val="0"/>
              <c:tx>
                <c:rich>
                  <a:bodyPr/>
                  <a:lstStyle/>
                  <a:p>
                    <a:fld id="{D59E6804-201E-4505-9D2F-20EBC6578B30}" type="CATEGORYNAME">
                      <a:rPr lang="en-US">
                        <a:solidFill>
                          <a:schemeClr val="bg1"/>
                        </a:solidFill>
                      </a:rPr>
                      <a:pPr/>
                      <a:t>[NOM DE CATÉGORIE]</a:t>
                    </a:fld>
                    <a:r>
                      <a:rPr lang="en-US" baseline="0">
                        <a:solidFill>
                          <a:schemeClr val="bg1"/>
                        </a:solidFill>
                      </a:rPr>
                      <a:t>, </a:t>
                    </a:r>
                    <a:fld id="{F6AB263F-4AC8-4B39-AAD1-62ED00FF85AA}" type="VALUE">
                      <a:rPr lang="en-US" baseline="0">
                        <a:solidFill>
                          <a:schemeClr val="bg1"/>
                        </a:solidFill>
                      </a:rPr>
                      <a:pPr/>
                      <a:t>[VALEUR]</a:t>
                    </a:fld>
                    <a:endParaRPr lang="en-US" baseline="0">
                      <a:solidFill>
                        <a:schemeClr val="bg1"/>
                      </a:solidFill>
                    </a:endParaRP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641-4D17-ADDC-0C4325B5809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'Feuil5 (2)'!$AH$10:$AH$14</c:f>
              <c:strCache>
                <c:ptCount val="5"/>
                <c:pt idx="0">
                  <c:v>households</c:v>
                </c:pt>
                <c:pt idx="1">
                  <c:v>Industry</c:v>
                </c:pt>
                <c:pt idx="2">
                  <c:v>Transprt</c:v>
                </c:pt>
                <c:pt idx="3">
                  <c:v>Services</c:v>
                </c:pt>
                <c:pt idx="4">
                  <c:v>Agricuture</c:v>
                </c:pt>
              </c:strCache>
            </c:strRef>
          </c:cat>
          <c:val>
            <c:numRef>
              <c:f>'Feuil5 (2)'!$AI$10:$AI$14</c:f>
              <c:numCache>
                <c:formatCode>0.00%</c:formatCode>
                <c:ptCount val="5"/>
                <c:pt idx="0">
                  <c:v>0.78300000000000003</c:v>
                </c:pt>
                <c:pt idx="1">
                  <c:v>3.1E-2</c:v>
                </c:pt>
                <c:pt idx="2">
                  <c:v>0.152</c:v>
                </c:pt>
                <c:pt idx="3">
                  <c:v>3.4000000000000002E-2</c:v>
                </c:pt>
                <c:pt idx="4">
                  <c:v>0</c:v>
                </c:pt>
              </c:numCache>
            </c:numRef>
          </c:val>
          <c:extLst>
            <c:ext xmlns:c16="http://schemas.microsoft.com/office/drawing/2014/chart" uri="{C3380CC4-5D6E-409C-BE32-E72D297353CC}">
              <c16:uniqueId val="{0000000A-1641-4D17-ADDC-0C4325B58095}"/>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8937007874016"/>
          <c:y val="2.9681273628961741E-2"/>
          <c:w val="0.88221062992125998"/>
          <c:h val="0.60770508928210509"/>
        </c:manualLayout>
      </c:layout>
      <c:barChart>
        <c:barDir val="col"/>
        <c:grouping val="clustered"/>
        <c:varyColors val="0"/>
        <c:ser>
          <c:idx val="0"/>
          <c:order val="0"/>
          <c:tx>
            <c:strRef>
              <c:f>'Feuil5 (2)'!$BV$21</c:f>
              <c:strCache>
                <c:ptCount val="1"/>
                <c:pt idx="0">
                  <c:v>Oil</c:v>
                </c:pt>
              </c:strCache>
            </c:strRef>
          </c:tx>
          <c:spPr>
            <a:solidFill>
              <a:schemeClr val="accent1"/>
            </a:solidFill>
            <a:ln>
              <a:noFill/>
            </a:ln>
            <a:effectLst/>
          </c:spPr>
          <c:invertIfNegative val="0"/>
          <c:dLbls>
            <c:dLbl>
              <c:idx val="1"/>
              <c:layout>
                <c:manualLayout>
                  <c:x val="-1.1111111111111086E-2"/>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01-48DB-8176-A12B05DBB689}"/>
                </c:ext>
              </c:extLst>
            </c:dLbl>
            <c:dLbl>
              <c:idx val="2"/>
              <c:layout>
                <c:manualLayout>
                  <c:x val="-2.5462668816039986E-17"/>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01-48DB-8176-A12B05DBB689}"/>
                </c:ext>
              </c:extLst>
            </c:dLbl>
            <c:dLbl>
              <c:idx val="8"/>
              <c:layout>
                <c:manualLayout>
                  <c:x val="0"/>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01-48DB-8176-A12B05DBB689}"/>
                </c:ext>
              </c:extLst>
            </c:dLbl>
            <c:dLbl>
              <c:idx val="14"/>
              <c:layout>
                <c:manualLayout>
                  <c:x val="5.5555555555553519E-3"/>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01-48DB-8176-A12B05DBB68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5">
                        <a:lumMod val="50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'Feuil5 (2)'!$BT$22:$BU$37</c:f>
              <c:multiLvlStrCache>
                <c:ptCount val="16"/>
                <c:lvl>
                  <c:pt idx="0">
                    <c:v>hh_Agadez</c:v>
                  </c:pt>
                  <c:pt idx="1">
                    <c:v>hh_Diffa</c:v>
                  </c:pt>
                  <c:pt idx="2">
                    <c:v>hh_Doss</c:v>
                  </c:pt>
                  <c:pt idx="3">
                    <c:v>hh_Maradi</c:v>
                  </c:pt>
                  <c:pt idx="4">
                    <c:v>hh_Tahua</c:v>
                  </c:pt>
                  <c:pt idx="5">
                    <c:v>hh_Tilabery</c:v>
                  </c:pt>
                  <c:pt idx="6">
                    <c:v>hh_Zinder</c:v>
                  </c:pt>
                  <c:pt idx="7">
                    <c:v>hh_Niamey</c:v>
                  </c:pt>
                  <c:pt idx="8">
                    <c:v>hh_Agadez</c:v>
                  </c:pt>
                  <c:pt idx="9">
                    <c:v>hh_Diffa</c:v>
                  </c:pt>
                  <c:pt idx="10">
                    <c:v>hh_Doss</c:v>
                  </c:pt>
                  <c:pt idx="11">
                    <c:v>hh_Maradi</c:v>
                  </c:pt>
                  <c:pt idx="12">
                    <c:v>hh_Tahua</c:v>
                  </c:pt>
                  <c:pt idx="13">
                    <c:v>hh_Tilabery</c:v>
                  </c:pt>
                  <c:pt idx="14">
                    <c:v>hh_Zinder</c:v>
                  </c:pt>
                  <c:pt idx="15">
                    <c:v>hh_Niamey</c:v>
                  </c:pt>
                </c:lvl>
                <c:lvl>
                  <c:pt idx="0">
                    <c:v>Urbain</c:v>
                  </c:pt>
                  <c:pt idx="8">
                    <c:v>Rural</c:v>
                  </c:pt>
                </c:lvl>
              </c:multiLvlStrCache>
            </c:multiLvlStrRef>
          </c:cat>
          <c:val>
            <c:numRef>
              <c:f>'Feuil5 (2)'!$BV$22:$BV$37</c:f>
              <c:numCache>
                <c:formatCode>0.0%</c:formatCode>
                <c:ptCount val="16"/>
                <c:pt idx="0">
                  <c:v>3.3000000000000002E-2</c:v>
                </c:pt>
                <c:pt idx="1">
                  <c:v>1.2999999999999999E-2</c:v>
                </c:pt>
                <c:pt idx="2">
                  <c:v>2.8000000000000001E-2</c:v>
                </c:pt>
                <c:pt idx="3">
                  <c:v>3.3000000000000002E-2</c:v>
                </c:pt>
                <c:pt idx="4">
                  <c:v>0.02</c:v>
                </c:pt>
                <c:pt idx="5">
                  <c:v>1.9E-2</c:v>
                </c:pt>
                <c:pt idx="6">
                  <c:v>2.8000000000000001E-2</c:v>
                </c:pt>
                <c:pt idx="7">
                  <c:v>9.7000000000000003E-2</c:v>
                </c:pt>
                <c:pt idx="8">
                  <c:v>1.9E-2</c:v>
                </c:pt>
                <c:pt idx="9">
                  <c:v>6.2E-2</c:v>
                </c:pt>
                <c:pt idx="10">
                  <c:v>0.158</c:v>
                </c:pt>
                <c:pt idx="11">
                  <c:v>0.121</c:v>
                </c:pt>
                <c:pt idx="12">
                  <c:v>0.14699999999999999</c:v>
                </c:pt>
                <c:pt idx="13">
                  <c:v>0.11</c:v>
                </c:pt>
                <c:pt idx="14">
                  <c:v>0.108</c:v>
                </c:pt>
                <c:pt idx="15">
                  <c:v>4.0000000000000001E-3</c:v>
                </c:pt>
              </c:numCache>
            </c:numRef>
          </c:val>
          <c:extLst>
            <c:ext xmlns:c16="http://schemas.microsoft.com/office/drawing/2014/chart" uri="{C3380CC4-5D6E-409C-BE32-E72D297353CC}">
              <c16:uniqueId val="{00000004-7C01-48DB-8176-A12B05DBB689}"/>
            </c:ext>
          </c:extLst>
        </c:ser>
        <c:ser>
          <c:idx val="1"/>
          <c:order val="1"/>
          <c:tx>
            <c:strRef>
              <c:f>'Feuil5 (2)'!$BW$21</c:f>
              <c:strCache>
                <c:ptCount val="1"/>
                <c:pt idx="0">
                  <c:v>Cement</c:v>
                </c:pt>
              </c:strCache>
            </c:strRef>
          </c:tx>
          <c:spPr>
            <a:solidFill>
              <a:schemeClr val="accent2"/>
            </a:solidFill>
            <a:ln>
              <a:no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5-7C01-48DB-8176-A12B05DBB689}"/>
                </c:ext>
              </c:extLst>
            </c:dLbl>
            <c:dLbl>
              <c:idx val="4"/>
              <c:delete val="1"/>
              <c:extLst>
                <c:ext xmlns:c15="http://schemas.microsoft.com/office/drawing/2012/chart" uri="{CE6537A1-D6FC-4f65-9D91-7224C49458BB}"/>
                <c:ext xmlns:c16="http://schemas.microsoft.com/office/drawing/2014/chart" uri="{C3380CC4-5D6E-409C-BE32-E72D297353CC}">
                  <c16:uniqueId val="{00000006-7C01-48DB-8176-A12B05DBB689}"/>
                </c:ext>
              </c:extLst>
            </c:dLbl>
            <c:dLbl>
              <c:idx val="5"/>
              <c:delete val="1"/>
              <c:extLst>
                <c:ext xmlns:c15="http://schemas.microsoft.com/office/drawing/2012/chart" uri="{CE6537A1-D6FC-4f65-9D91-7224C49458BB}"/>
                <c:ext xmlns:c16="http://schemas.microsoft.com/office/drawing/2014/chart" uri="{C3380CC4-5D6E-409C-BE32-E72D297353CC}">
                  <c16:uniqueId val="{00000007-7C01-48DB-8176-A12B05DBB689}"/>
                </c:ext>
              </c:extLst>
            </c:dLbl>
            <c:dLbl>
              <c:idx val="6"/>
              <c:delete val="1"/>
              <c:extLst>
                <c:ext xmlns:c15="http://schemas.microsoft.com/office/drawing/2012/chart" uri="{CE6537A1-D6FC-4f65-9D91-7224C49458BB}"/>
                <c:ext xmlns:c16="http://schemas.microsoft.com/office/drawing/2014/chart" uri="{C3380CC4-5D6E-409C-BE32-E72D297353CC}">
                  <c16:uniqueId val="{00000008-7C01-48DB-8176-A12B05DBB689}"/>
                </c:ext>
              </c:extLst>
            </c:dLbl>
            <c:dLbl>
              <c:idx val="11"/>
              <c:delete val="1"/>
              <c:extLst>
                <c:ext xmlns:c15="http://schemas.microsoft.com/office/drawing/2012/chart" uri="{CE6537A1-D6FC-4f65-9D91-7224C49458BB}"/>
                <c:ext xmlns:c16="http://schemas.microsoft.com/office/drawing/2014/chart" uri="{C3380CC4-5D6E-409C-BE32-E72D297353CC}">
                  <c16:uniqueId val="{00000009-7C01-48DB-8176-A12B05DBB689}"/>
                </c:ext>
              </c:extLst>
            </c:dLbl>
            <c:dLbl>
              <c:idx val="13"/>
              <c:delete val="1"/>
              <c:extLst>
                <c:ext xmlns:c15="http://schemas.microsoft.com/office/drawing/2012/chart" uri="{CE6537A1-D6FC-4f65-9D91-7224C49458BB}"/>
                <c:ext xmlns:c16="http://schemas.microsoft.com/office/drawing/2014/chart" uri="{C3380CC4-5D6E-409C-BE32-E72D297353CC}">
                  <c16:uniqueId val="{0000000A-7C01-48DB-8176-A12B05DBB689}"/>
                </c:ext>
              </c:extLst>
            </c:dLbl>
            <c:dLbl>
              <c:idx val="14"/>
              <c:layout>
                <c:manualLayout>
                  <c:x val="1.9444444444444344E-2"/>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C01-48DB-8176-A12B05DBB689}"/>
                </c:ext>
              </c:extLst>
            </c:dLbl>
            <c:dLbl>
              <c:idx val="15"/>
              <c:delete val="1"/>
              <c:extLst>
                <c:ext xmlns:c15="http://schemas.microsoft.com/office/drawing/2012/chart" uri="{CE6537A1-D6FC-4f65-9D91-7224C49458BB}"/>
                <c:ext xmlns:c16="http://schemas.microsoft.com/office/drawing/2014/chart" uri="{C3380CC4-5D6E-409C-BE32-E72D297353CC}">
                  <c16:uniqueId val="{0000000C-7C01-48DB-8176-A12B05DBB68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'Feuil5 (2)'!$BT$22:$BU$37</c:f>
              <c:multiLvlStrCache>
                <c:ptCount val="16"/>
                <c:lvl>
                  <c:pt idx="0">
                    <c:v>hh_Agadez</c:v>
                  </c:pt>
                  <c:pt idx="1">
                    <c:v>hh_Diffa</c:v>
                  </c:pt>
                  <c:pt idx="2">
                    <c:v>hh_Doss</c:v>
                  </c:pt>
                  <c:pt idx="3">
                    <c:v>hh_Maradi</c:v>
                  </c:pt>
                  <c:pt idx="4">
                    <c:v>hh_Tahua</c:v>
                  </c:pt>
                  <c:pt idx="5">
                    <c:v>hh_Tilabery</c:v>
                  </c:pt>
                  <c:pt idx="6">
                    <c:v>hh_Zinder</c:v>
                  </c:pt>
                  <c:pt idx="7">
                    <c:v>hh_Niamey</c:v>
                  </c:pt>
                  <c:pt idx="8">
                    <c:v>hh_Agadez</c:v>
                  </c:pt>
                  <c:pt idx="9">
                    <c:v>hh_Diffa</c:v>
                  </c:pt>
                  <c:pt idx="10">
                    <c:v>hh_Doss</c:v>
                  </c:pt>
                  <c:pt idx="11">
                    <c:v>hh_Maradi</c:v>
                  </c:pt>
                  <c:pt idx="12">
                    <c:v>hh_Tahua</c:v>
                  </c:pt>
                  <c:pt idx="13">
                    <c:v>hh_Tilabery</c:v>
                  </c:pt>
                  <c:pt idx="14">
                    <c:v>hh_Zinder</c:v>
                  </c:pt>
                  <c:pt idx="15">
                    <c:v>hh_Niamey</c:v>
                  </c:pt>
                </c:lvl>
                <c:lvl>
                  <c:pt idx="0">
                    <c:v>Urbain</c:v>
                  </c:pt>
                  <c:pt idx="8">
                    <c:v>Rural</c:v>
                  </c:pt>
                </c:lvl>
              </c:multiLvlStrCache>
            </c:multiLvlStrRef>
          </c:cat>
          <c:val>
            <c:numRef>
              <c:f>'Feuil5 (2)'!$BW$22:$BW$37</c:f>
              <c:numCache>
                <c:formatCode>0.0%</c:formatCode>
                <c:ptCount val="16"/>
                <c:pt idx="0">
                  <c:v>1.2E-2</c:v>
                </c:pt>
                <c:pt idx="1">
                  <c:v>9.4E-2</c:v>
                </c:pt>
                <c:pt idx="2">
                  <c:v>3.5999999999999997E-2</c:v>
                </c:pt>
                <c:pt idx="3">
                  <c:v>0</c:v>
                </c:pt>
                <c:pt idx="4">
                  <c:v>0</c:v>
                </c:pt>
                <c:pt idx="5">
                  <c:v>0</c:v>
                </c:pt>
                <c:pt idx="6">
                  <c:v>0</c:v>
                </c:pt>
                <c:pt idx="7">
                  <c:v>0.311</c:v>
                </c:pt>
                <c:pt idx="8">
                  <c:v>3.0000000000000001E-3</c:v>
                </c:pt>
                <c:pt idx="9">
                  <c:v>8.9999999999999993E-3</c:v>
                </c:pt>
                <c:pt idx="10">
                  <c:v>8.7999999999999995E-2</c:v>
                </c:pt>
                <c:pt idx="11">
                  <c:v>0</c:v>
                </c:pt>
                <c:pt idx="12">
                  <c:v>0.379</c:v>
                </c:pt>
                <c:pt idx="13">
                  <c:v>0</c:v>
                </c:pt>
                <c:pt idx="14">
                  <c:v>6.8000000000000005E-2</c:v>
                </c:pt>
                <c:pt idx="15">
                  <c:v>0</c:v>
                </c:pt>
              </c:numCache>
            </c:numRef>
          </c:val>
          <c:extLst>
            <c:ext xmlns:c16="http://schemas.microsoft.com/office/drawing/2014/chart" uri="{C3380CC4-5D6E-409C-BE32-E72D297353CC}">
              <c16:uniqueId val="{0000000D-7C01-48DB-8176-A12B05DBB689}"/>
            </c:ext>
          </c:extLst>
        </c:ser>
        <c:dLbls>
          <c:showLegendKey val="0"/>
          <c:showVal val="0"/>
          <c:showCatName val="0"/>
          <c:showSerName val="0"/>
          <c:showPercent val="0"/>
          <c:showBubbleSize val="0"/>
        </c:dLbls>
        <c:gapWidth val="219"/>
        <c:overlap val="-27"/>
        <c:axId val="511193000"/>
        <c:axId val="511194440"/>
      </c:barChart>
      <c:catAx>
        <c:axId val="511193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11194440"/>
        <c:crosses val="autoZero"/>
        <c:auto val="1"/>
        <c:lblAlgn val="ctr"/>
        <c:lblOffset val="100"/>
        <c:noMultiLvlLbl val="0"/>
      </c:catAx>
      <c:valAx>
        <c:axId val="511194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fr-FR" sz="1000" b="1" i="0" u="none" strike="noStrike" baseline="0">
                    <a:effectLst/>
                  </a:rPr>
                  <a:t>Variation in %</a:t>
                </a:r>
                <a:endParaRPr lang="fr-FR" b="1"/>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fr-FR"/>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11193000"/>
        <c:crosses val="autoZero"/>
        <c:crossBetween val="between"/>
      </c:valAx>
      <c:spPr>
        <a:noFill/>
        <a:ln>
          <a:noFill/>
        </a:ln>
        <a:effectLst/>
      </c:spPr>
    </c:plotArea>
    <c:legend>
      <c:legendPos val="b"/>
      <c:layout>
        <c:manualLayout>
          <c:xMode val="edge"/>
          <c:yMode val="edge"/>
          <c:x val="0.10240310586176724"/>
          <c:y val="2.372630504520264E-2"/>
          <c:w val="0.12297156605424324"/>
          <c:h val="0.1336811023622047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'Feuil5 (2)'!$AB$5</c:f>
              <c:strCache>
                <c:ptCount val="1"/>
                <c:pt idx="0">
                  <c:v>oil</c:v>
                </c:pt>
              </c:strCache>
            </c:strRef>
          </c:tx>
          <c:spPr>
            <a:solidFill>
              <a:schemeClr val="accent1"/>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5B19-4BAF-A40B-3368EF5A4215}"/>
                </c:ext>
              </c:extLst>
            </c:dLbl>
            <c:dLbl>
              <c:idx val="1"/>
              <c:delete val="1"/>
              <c:extLst>
                <c:ext xmlns:c15="http://schemas.microsoft.com/office/drawing/2012/chart" uri="{CE6537A1-D6FC-4f65-9D91-7224C49458BB}"/>
                <c:ext xmlns:c16="http://schemas.microsoft.com/office/drawing/2014/chart" uri="{C3380CC4-5D6E-409C-BE32-E72D297353CC}">
                  <c16:uniqueId val="{00000001-5B19-4BAF-A40B-3368EF5A4215}"/>
                </c:ext>
              </c:extLst>
            </c:dLbl>
            <c:dLbl>
              <c:idx val="3"/>
              <c:delete val="1"/>
              <c:extLst>
                <c:ext xmlns:c15="http://schemas.microsoft.com/office/drawing/2012/chart" uri="{CE6537A1-D6FC-4f65-9D91-7224C49458BB}"/>
                <c:ext xmlns:c16="http://schemas.microsoft.com/office/drawing/2014/chart" uri="{C3380CC4-5D6E-409C-BE32-E72D297353CC}">
                  <c16:uniqueId val="{00000002-5B19-4BAF-A40B-3368EF5A4215}"/>
                </c:ext>
              </c:extLst>
            </c:dLbl>
            <c:dLbl>
              <c:idx val="4"/>
              <c:delete val="1"/>
              <c:extLst>
                <c:ext xmlns:c15="http://schemas.microsoft.com/office/drawing/2012/chart" uri="{CE6537A1-D6FC-4f65-9D91-7224C49458BB}"/>
                <c:ext xmlns:c16="http://schemas.microsoft.com/office/drawing/2014/chart" uri="{C3380CC4-5D6E-409C-BE32-E72D297353CC}">
                  <c16:uniqueId val="{00000003-5B19-4BAF-A40B-3368EF5A4215}"/>
                </c:ext>
              </c:extLst>
            </c:dLbl>
            <c:dLbl>
              <c:idx val="5"/>
              <c:delete val="1"/>
              <c:extLst>
                <c:ext xmlns:c15="http://schemas.microsoft.com/office/drawing/2012/chart" uri="{CE6537A1-D6FC-4f65-9D91-7224C49458BB}"/>
                <c:ext xmlns:c16="http://schemas.microsoft.com/office/drawing/2014/chart" uri="{C3380CC4-5D6E-409C-BE32-E72D297353CC}">
                  <c16:uniqueId val="{00000004-5B19-4BAF-A40B-3368EF5A4215}"/>
                </c:ext>
              </c:extLst>
            </c:dLbl>
            <c:dLbl>
              <c:idx val="6"/>
              <c:delete val="1"/>
              <c:extLst>
                <c:ext xmlns:c15="http://schemas.microsoft.com/office/drawing/2012/chart" uri="{CE6537A1-D6FC-4f65-9D91-7224C49458BB}"/>
                <c:ext xmlns:c16="http://schemas.microsoft.com/office/drawing/2014/chart" uri="{C3380CC4-5D6E-409C-BE32-E72D297353CC}">
                  <c16:uniqueId val="{00000005-5B19-4BAF-A40B-3368EF5A4215}"/>
                </c:ext>
              </c:extLst>
            </c:dLbl>
            <c:dLbl>
              <c:idx val="7"/>
              <c:delete val="1"/>
              <c:extLst>
                <c:ext xmlns:c15="http://schemas.microsoft.com/office/drawing/2012/chart" uri="{CE6537A1-D6FC-4f65-9D91-7224C49458BB}"/>
                <c:ext xmlns:c16="http://schemas.microsoft.com/office/drawing/2014/chart" uri="{C3380CC4-5D6E-409C-BE32-E72D297353CC}">
                  <c16:uniqueId val="{00000006-5B19-4BAF-A40B-3368EF5A4215}"/>
                </c:ext>
              </c:extLst>
            </c:dLbl>
            <c:dLbl>
              <c:idx val="8"/>
              <c:delete val="1"/>
              <c:extLst>
                <c:ext xmlns:c15="http://schemas.microsoft.com/office/drawing/2012/chart" uri="{CE6537A1-D6FC-4f65-9D91-7224C49458BB}"/>
                <c:ext xmlns:c16="http://schemas.microsoft.com/office/drawing/2014/chart" uri="{C3380CC4-5D6E-409C-BE32-E72D297353CC}">
                  <c16:uniqueId val="{00000007-5B19-4BAF-A40B-3368EF5A4215}"/>
                </c:ext>
              </c:extLst>
            </c:dLbl>
            <c:dLbl>
              <c:idx val="9"/>
              <c:delete val="1"/>
              <c:extLst>
                <c:ext xmlns:c15="http://schemas.microsoft.com/office/drawing/2012/chart" uri="{CE6537A1-D6FC-4f65-9D91-7224C49458BB}"/>
                <c:ext xmlns:c16="http://schemas.microsoft.com/office/drawing/2014/chart" uri="{C3380CC4-5D6E-409C-BE32-E72D297353CC}">
                  <c16:uniqueId val="{00000008-5B19-4BAF-A40B-3368EF5A4215}"/>
                </c:ext>
              </c:extLst>
            </c:dLbl>
            <c:dLbl>
              <c:idx val="10"/>
              <c:delete val="1"/>
              <c:extLst>
                <c:ext xmlns:c15="http://schemas.microsoft.com/office/drawing/2012/chart" uri="{CE6537A1-D6FC-4f65-9D91-7224C49458BB}"/>
                <c:ext xmlns:c16="http://schemas.microsoft.com/office/drawing/2014/chart" uri="{C3380CC4-5D6E-409C-BE32-E72D297353CC}">
                  <c16:uniqueId val="{00000009-5B19-4BAF-A40B-3368EF5A4215}"/>
                </c:ext>
              </c:extLst>
            </c:dLbl>
            <c:dLbl>
              <c:idx val="11"/>
              <c:delete val="1"/>
              <c:extLst>
                <c:ext xmlns:c15="http://schemas.microsoft.com/office/drawing/2012/chart" uri="{CE6537A1-D6FC-4f65-9D91-7224C49458BB}"/>
                <c:ext xmlns:c16="http://schemas.microsoft.com/office/drawing/2014/chart" uri="{C3380CC4-5D6E-409C-BE32-E72D297353CC}">
                  <c16:uniqueId val="{0000000A-5B19-4BAF-A40B-3368EF5A4215}"/>
                </c:ext>
              </c:extLst>
            </c:dLbl>
            <c:dLbl>
              <c:idx val="12"/>
              <c:delete val="1"/>
              <c:extLst>
                <c:ext xmlns:c15="http://schemas.microsoft.com/office/drawing/2012/chart" uri="{CE6537A1-D6FC-4f65-9D91-7224C49458BB}"/>
                <c:ext xmlns:c16="http://schemas.microsoft.com/office/drawing/2014/chart" uri="{C3380CC4-5D6E-409C-BE32-E72D297353CC}">
                  <c16:uniqueId val="{0000000B-5B19-4BAF-A40B-3368EF5A4215}"/>
                </c:ext>
              </c:extLst>
            </c:dLbl>
            <c:dLbl>
              <c:idx val="14"/>
              <c:delete val="1"/>
              <c:extLst>
                <c:ext xmlns:c15="http://schemas.microsoft.com/office/drawing/2012/chart" uri="{CE6537A1-D6FC-4f65-9D91-7224C49458BB}"/>
                <c:ext xmlns:c16="http://schemas.microsoft.com/office/drawing/2014/chart" uri="{C3380CC4-5D6E-409C-BE32-E72D297353CC}">
                  <c16:uniqueId val="{0000000C-5B19-4BAF-A40B-3368EF5A4215}"/>
                </c:ext>
              </c:extLst>
            </c:dLbl>
            <c:dLbl>
              <c:idx val="16"/>
              <c:delete val="1"/>
              <c:extLst>
                <c:ext xmlns:c15="http://schemas.microsoft.com/office/drawing/2012/chart" uri="{CE6537A1-D6FC-4f65-9D91-7224C49458BB}"/>
                <c:ext xmlns:c16="http://schemas.microsoft.com/office/drawing/2014/chart" uri="{C3380CC4-5D6E-409C-BE32-E72D297353CC}">
                  <c16:uniqueId val="{0000000D-5B19-4BAF-A40B-3368EF5A4215}"/>
                </c:ext>
              </c:extLst>
            </c:dLbl>
            <c:dLbl>
              <c:idx val="18"/>
              <c:delete val="1"/>
              <c:extLst>
                <c:ext xmlns:c15="http://schemas.microsoft.com/office/drawing/2012/chart" uri="{CE6537A1-D6FC-4f65-9D91-7224C49458BB}"/>
                <c:ext xmlns:c16="http://schemas.microsoft.com/office/drawing/2014/chart" uri="{C3380CC4-5D6E-409C-BE32-E72D297353CC}">
                  <c16:uniqueId val="{0000000E-5B19-4BAF-A40B-3368EF5A4215}"/>
                </c:ext>
              </c:extLst>
            </c:dLbl>
            <c:dLbl>
              <c:idx val="19"/>
              <c:delete val="1"/>
              <c:extLst>
                <c:ext xmlns:c15="http://schemas.microsoft.com/office/drawing/2012/chart" uri="{CE6537A1-D6FC-4f65-9D91-7224C49458BB}"/>
                <c:ext xmlns:c16="http://schemas.microsoft.com/office/drawing/2014/chart" uri="{C3380CC4-5D6E-409C-BE32-E72D297353CC}">
                  <c16:uniqueId val="{0000000F-5B19-4BAF-A40B-3368EF5A4215}"/>
                </c:ext>
              </c:extLst>
            </c:dLbl>
            <c:dLbl>
              <c:idx val="20"/>
              <c:delete val="1"/>
              <c:extLst>
                <c:ext xmlns:c15="http://schemas.microsoft.com/office/drawing/2012/chart" uri="{CE6537A1-D6FC-4f65-9D91-7224C49458BB}"/>
                <c:ext xmlns:c16="http://schemas.microsoft.com/office/drawing/2014/chart" uri="{C3380CC4-5D6E-409C-BE32-E72D297353CC}">
                  <c16:uniqueId val="{00000010-5B19-4BAF-A40B-3368EF5A4215}"/>
                </c:ext>
              </c:extLst>
            </c:dLbl>
            <c:dLbl>
              <c:idx val="22"/>
              <c:delete val="1"/>
              <c:extLst>
                <c:ext xmlns:c15="http://schemas.microsoft.com/office/drawing/2012/chart" uri="{CE6537A1-D6FC-4f65-9D91-7224C49458BB}"/>
                <c:ext xmlns:c16="http://schemas.microsoft.com/office/drawing/2014/chart" uri="{C3380CC4-5D6E-409C-BE32-E72D297353CC}">
                  <c16:uniqueId val="{00000011-5B19-4BAF-A40B-3368EF5A421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70C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'Feuil5 (2)'!$AC$1:$AZ$1</c:f>
              <c:strCache>
                <c:ptCount val="24"/>
                <c:pt idx="0">
                  <c:v>ah_agri</c:v>
                </c:pt>
                <c:pt idx="1">
                  <c:v>ah_lvst</c:v>
                </c:pt>
                <c:pt idx="2">
                  <c:v>a_fore</c:v>
                </c:pt>
                <c:pt idx="3">
                  <c:v>a_fish</c:v>
                </c:pt>
                <c:pt idx="4">
                  <c:v>a_cnpg</c:v>
                </c:pt>
                <c:pt idx="5">
                  <c:v>a_mine</c:v>
                </c:pt>
                <c:pt idx="6">
                  <c:v>a_food</c:v>
                </c:pt>
                <c:pt idx="7">
                  <c:v>a_text</c:v>
                </c:pt>
                <c:pt idx="8">
                  <c:v>a_papr</c:v>
                </c:pt>
                <c:pt idx="9">
                  <c:v>a_refi</c:v>
                </c:pt>
                <c:pt idx="10">
                  <c:v>a_chem</c:v>
                </c:pt>
                <c:pt idx="11">
                  <c:v>a_ceme</c:v>
                </c:pt>
                <c:pt idx="12">
                  <c:v>a_oman</c:v>
                </c:pt>
                <c:pt idx="13">
                  <c:v>a_elga</c:v>
                </c:pt>
                <c:pt idx="14">
                  <c:v>a_wate</c:v>
                </c:pt>
                <c:pt idx="15">
                  <c:v>a_cons</c:v>
                </c:pt>
                <c:pt idx="16">
                  <c:v>a_trad</c:v>
                </c:pt>
                <c:pt idx="17">
                  <c:v>a_tran</c:v>
                </c:pt>
                <c:pt idx="18">
                  <c:v>a_acco</c:v>
                </c:pt>
                <c:pt idx="19">
                  <c:v>a_comm</c:v>
                </c:pt>
                <c:pt idx="20">
                  <c:v>a_fsrv</c:v>
                </c:pt>
                <c:pt idx="21">
                  <c:v>a_rest</c:v>
                </c:pt>
                <c:pt idx="22">
                  <c:v>a_pri</c:v>
                </c:pt>
                <c:pt idx="23">
                  <c:v>a_pub</c:v>
                </c:pt>
              </c:strCache>
            </c:strRef>
          </c:cat>
          <c:val>
            <c:numRef>
              <c:f>'Feuil5 (2)'!$AC$5:$AZ$5</c:f>
              <c:numCache>
                <c:formatCode>0.0%</c:formatCode>
                <c:ptCount val="24"/>
                <c:pt idx="0">
                  <c:v>0</c:v>
                </c:pt>
                <c:pt idx="1">
                  <c:v>0</c:v>
                </c:pt>
                <c:pt idx="2">
                  <c:v>0.19341380261123367</c:v>
                </c:pt>
                <c:pt idx="3">
                  <c:v>6.1865512086333032E-5</c:v>
                </c:pt>
                <c:pt idx="4">
                  <c:v>2.8479576652295013E-9</c:v>
                </c:pt>
                <c:pt idx="5">
                  <c:v>4.6798766168833741E-9</c:v>
                </c:pt>
                <c:pt idx="6">
                  <c:v>7.1159553752300356E-11</c:v>
                </c:pt>
                <c:pt idx="7">
                  <c:v>1.7681890572606673E-9</c:v>
                </c:pt>
                <c:pt idx="8">
                  <c:v>6.2357605022511325E-9</c:v>
                </c:pt>
                <c:pt idx="9">
                  <c:v>0</c:v>
                </c:pt>
                <c:pt idx="10">
                  <c:v>1.1458306857186113E-9</c:v>
                </c:pt>
                <c:pt idx="11">
                  <c:v>1.5781251511478023E-9</c:v>
                </c:pt>
                <c:pt idx="12">
                  <c:v>4.6819816236923053E-10</c:v>
                </c:pt>
                <c:pt idx="13">
                  <c:v>8.094745572412439E-3</c:v>
                </c:pt>
                <c:pt idx="14">
                  <c:v>4.048451932558488E-4</c:v>
                </c:pt>
                <c:pt idx="15">
                  <c:v>1.9405227173480862E-2</c:v>
                </c:pt>
                <c:pt idx="16">
                  <c:v>8.9184469863253101E-10</c:v>
                </c:pt>
                <c:pt idx="17">
                  <c:v>0.35064511829759359</c:v>
                </c:pt>
                <c:pt idx="18">
                  <c:v>9.5772396800352623E-6</c:v>
                </c:pt>
                <c:pt idx="19">
                  <c:v>1.0317011948562637E-4</c:v>
                </c:pt>
                <c:pt idx="20">
                  <c:v>3.1600773808021087E-4</c:v>
                </c:pt>
                <c:pt idx="21">
                  <c:v>0.11605837042376335</c:v>
                </c:pt>
                <c:pt idx="22">
                  <c:v>3.345538863087758E-4</c:v>
                </c:pt>
                <c:pt idx="23">
                  <c:v>5.6893906754270284E-3</c:v>
                </c:pt>
              </c:numCache>
            </c:numRef>
          </c:val>
          <c:extLst>
            <c:ext xmlns:c16="http://schemas.microsoft.com/office/drawing/2014/chart" uri="{C3380CC4-5D6E-409C-BE32-E72D297353CC}">
              <c16:uniqueId val="{00000012-5B19-4BAF-A40B-3368EF5A4215}"/>
            </c:ext>
          </c:extLst>
        </c:ser>
        <c:ser>
          <c:idx val="1"/>
          <c:order val="1"/>
          <c:tx>
            <c:strRef>
              <c:f>'Feuil5 (2)'!$AB$6</c:f>
              <c:strCache>
                <c:ptCount val="1"/>
                <c:pt idx="0">
                  <c:v>Cement</c:v>
                </c:pt>
              </c:strCache>
            </c:strRef>
          </c:tx>
          <c:spPr>
            <a:solidFill>
              <a:schemeClr val="accent2"/>
            </a:solidFill>
            <a:ln>
              <a:noFill/>
            </a:ln>
            <a:effectLst/>
          </c:spPr>
          <c:invertIfNegative val="0"/>
          <c:dLbls>
            <c:dLbl>
              <c:idx val="1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5B19-4BAF-A40B-3368EF5A421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'Feuil5 (2)'!$AC$1:$AZ$1</c:f>
              <c:strCache>
                <c:ptCount val="24"/>
                <c:pt idx="0">
                  <c:v>ah_agri</c:v>
                </c:pt>
                <c:pt idx="1">
                  <c:v>ah_lvst</c:v>
                </c:pt>
                <c:pt idx="2">
                  <c:v>a_fore</c:v>
                </c:pt>
                <c:pt idx="3">
                  <c:v>a_fish</c:v>
                </c:pt>
                <c:pt idx="4">
                  <c:v>a_cnpg</c:v>
                </c:pt>
                <c:pt idx="5">
                  <c:v>a_mine</c:v>
                </c:pt>
                <c:pt idx="6">
                  <c:v>a_food</c:v>
                </c:pt>
                <c:pt idx="7">
                  <c:v>a_text</c:v>
                </c:pt>
                <c:pt idx="8">
                  <c:v>a_papr</c:v>
                </c:pt>
                <c:pt idx="9">
                  <c:v>a_refi</c:v>
                </c:pt>
                <c:pt idx="10">
                  <c:v>a_chem</c:v>
                </c:pt>
                <c:pt idx="11">
                  <c:v>a_ceme</c:v>
                </c:pt>
                <c:pt idx="12">
                  <c:v>a_oman</c:v>
                </c:pt>
                <c:pt idx="13">
                  <c:v>a_elga</c:v>
                </c:pt>
                <c:pt idx="14">
                  <c:v>a_wate</c:v>
                </c:pt>
                <c:pt idx="15">
                  <c:v>a_cons</c:v>
                </c:pt>
                <c:pt idx="16">
                  <c:v>a_trad</c:v>
                </c:pt>
                <c:pt idx="17">
                  <c:v>a_tran</c:v>
                </c:pt>
                <c:pt idx="18">
                  <c:v>a_acco</c:v>
                </c:pt>
                <c:pt idx="19">
                  <c:v>a_comm</c:v>
                </c:pt>
                <c:pt idx="20">
                  <c:v>a_fsrv</c:v>
                </c:pt>
                <c:pt idx="21">
                  <c:v>a_rest</c:v>
                </c:pt>
                <c:pt idx="22">
                  <c:v>a_pri</c:v>
                </c:pt>
                <c:pt idx="23">
                  <c:v>a_pub</c:v>
                </c:pt>
              </c:strCache>
            </c:strRef>
          </c:cat>
          <c:val>
            <c:numRef>
              <c:f>'Feuil5 (2)'!$AC$6:$AZ$6</c:f>
              <c:numCache>
                <c:formatCode>0.0%</c:formatCode>
                <c:ptCount val="2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0.39349911944048671</c:v>
                </c:pt>
                <c:pt idx="16">
                  <c:v>0</c:v>
                </c:pt>
                <c:pt idx="17">
                  <c:v>0</c:v>
                </c:pt>
                <c:pt idx="18">
                  <c:v>0</c:v>
                </c:pt>
                <c:pt idx="19">
                  <c:v>0</c:v>
                </c:pt>
                <c:pt idx="20">
                  <c:v>0</c:v>
                </c:pt>
                <c:pt idx="21">
                  <c:v>0</c:v>
                </c:pt>
                <c:pt idx="22">
                  <c:v>0</c:v>
                </c:pt>
                <c:pt idx="23">
                  <c:v>0</c:v>
                </c:pt>
              </c:numCache>
            </c:numRef>
          </c:val>
          <c:extLst>
            <c:ext xmlns:c16="http://schemas.microsoft.com/office/drawing/2014/chart" uri="{C3380CC4-5D6E-409C-BE32-E72D297353CC}">
              <c16:uniqueId val="{00000014-5B19-4BAF-A40B-3368EF5A4215}"/>
            </c:ext>
          </c:extLst>
        </c:ser>
        <c:dLbls>
          <c:showLegendKey val="0"/>
          <c:showVal val="0"/>
          <c:showCatName val="0"/>
          <c:showSerName val="0"/>
          <c:showPercent val="0"/>
          <c:showBubbleSize val="0"/>
        </c:dLbls>
        <c:gapWidth val="219"/>
        <c:overlap val="-27"/>
        <c:axId val="639146992"/>
        <c:axId val="639145552"/>
      </c:barChart>
      <c:catAx>
        <c:axId val="639146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145552"/>
        <c:crosses val="autoZero"/>
        <c:auto val="1"/>
        <c:lblAlgn val="ctr"/>
        <c:lblOffset val="100"/>
        <c:noMultiLvlLbl val="0"/>
      </c:catAx>
      <c:valAx>
        <c:axId val="6391455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146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26026514613522E-2"/>
          <c:y val="2.5428331875182269E-2"/>
          <c:w val="0.91073973485386484"/>
          <c:h val="0.94914333624963543"/>
        </c:manualLayout>
      </c:layout>
      <c:barChart>
        <c:barDir val="col"/>
        <c:grouping val="clustered"/>
        <c:varyColors val="0"/>
        <c:ser>
          <c:idx val="0"/>
          <c:order val="0"/>
          <c:tx>
            <c:strRef>
              <c:f>Feuil1!$N$51</c:f>
              <c:strCache>
                <c:ptCount val="1"/>
                <c:pt idx="0">
                  <c:v>IntBorrowing</c:v>
                </c:pt>
              </c:strCache>
            </c:strRef>
          </c:tx>
          <c:spPr>
            <a:solidFill>
              <a:schemeClr val="accent1"/>
            </a:solidFill>
            <a:ln>
              <a:noFill/>
            </a:ln>
            <a:effectLst/>
          </c:spPr>
          <c:invertIfNegative val="0"/>
          <c:dLbls>
            <c:dLbl>
              <c:idx val="6"/>
              <c:layout>
                <c:manualLayout>
                  <c:x val="-8.3333333333333332E-3"/>
                  <c:y val="-8.487556272013328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2C5-4703-A61F-EE7401381D7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Feuil1!$M$52:$M$60</c:f>
              <c:strCache>
                <c:ptCount val="9"/>
                <c:pt idx="0">
                  <c:v>Private Consumption</c:v>
                </c:pt>
                <c:pt idx="1">
                  <c:v>Public Consumption</c:v>
                </c:pt>
                <c:pt idx="2">
                  <c:v>Investment</c:v>
                </c:pt>
                <c:pt idx="3">
                  <c:v>Absorption</c:v>
                </c:pt>
                <c:pt idx="4">
                  <c:v>IMPORT</c:v>
                </c:pt>
                <c:pt idx="5">
                  <c:v>EXPORT</c:v>
                </c:pt>
                <c:pt idx="6">
                  <c:v>GDP</c:v>
                </c:pt>
                <c:pt idx="7">
                  <c:v>Government income</c:v>
                </c:pt>
                <c:pt idx="8">
                  <c:v>Firm income</c:v>
                </c:pt>
              </c:strCache>
              <c:extLst/>
            </c:strRef>
          </c:cat>
          <c:val>
            <c:numRef>
              <c:f>Feuil1!$N$52:$N$60</c:f>
              <c:numCache>
                <c:formatCode>General</c:formatCode>
                <c:ptCount val="9"/>
                <c:pt idx="0" formatCode="0.00">
                  <c:v>0.25604713386574901</c:v>
                </c:pt>
                <c:pt idx="2" formatCode="0.00">
                  <c:v>-0.31290280256834502</c:v>
                </c:pt>
                <c:pt idx="3" formatCode="0.00">
                  <c:v>6.6462351676690901E-2</c:v>
                </c:pt>
                <c:pt idx="4" formatCode="0.00">
                  <c:v>0.36138760148686799</c:v>
                </c:pt>
                <c:pt idx="5" formatCode="0.00">
                  <c:v>0.77928764708722997</c:v>
                </c:pt>
                <c:pt idx="6" formatCode="0.00">
                  <c:v>6.1686547996771403E-2</c:v>
                </c:pt>
                <c:pt idx="7" formatCode="0.00">
                  <c:v>-0.98547507200150597</c:v>
                </c:pt>
                <c:pt idx="8" formatCode="0.00">
                  <c:v>0.193468072606365</c:v>
                </c:pt>
              </c:numCache>
              <c:extLst/>
            </c:numRef>
          </c:val>
          <c:extLst>
            <c:ext xmlns:c16="http://schemas.microsoft.com/office/drawing/2014/chart" uri="{C3380CC4-5D6E-409C-BE32-E72D297353CC}">
              <c16:uniqueId val="{00000001-52C5-4703-A61F-EE7401381D74}"/>
            </c:ext>
          </c:extLst>
        </c:ser>
        <c:ser>
          <c:idx val="1"/>
          <c:order val="1"/>
          <c:tx>
            <c:strRef>
              <c:f>Feuil1!$O$51</c:f>
              <c:strCache>
                <c:ptCount val="1"/>
                <c:pt idx="0">
                  <c:v>GovSpend</c:v>
                </c:pt>
              </c:strCache>
            </c:strRef>
          </c:tx>
          <c:spPr>
            <a:solidFill>
              <a:schemeClr val="accent2"/>
            </a:solidFill>
            <a:ln>
              <a:noFill/>
            </a:ln>
            <a:effectLst/>
          </c:spPr>
          <c:invertIfNegative val="0"/>
          <c:dLbls>
            <c:dLbl>
              <c:idx val="0"/>
              <c:layout>
                <c:manualLayout>
                  <c:x val="8.3333333333333332E-3"/>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2C5-4703-A61F-EE7401381D74}"/>
                </c:ext>
              </c:extLst>
            </c:dLbl>
            <c:dLbl>
              <c:idx val="3"/>
              <c:layout>
                <c:manualLayout>
                  <c:x val="-5.0925337632079971E-17"/>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2C5-4703-A61F-EE7401381D74}"/>
                </c:ext>
              </c:extLst>
            </c:dLbl>
            <c:dLbl>
              <c:idx val="6"/>
              <c:layout>
                <c:manualLayout>
                  <c:x val="1.1111111111111009E-2"/>
                  <c:y val="9.25925925925925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2C5-4703-A61F-EE7401381D74}"/>
                </c:ext>
              </c:extLst>
            </c:dLbl>
            <c:dLbl>
              <c:idx val="8"/>
              <c:layout>
                <c:manualLayout>
                  <c:x val="0"/>
                  <c:y val="-2.31481481481481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2C5-4703-A61F-EE7401381D7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Feuil1!$M$52:$M$60</c:f>
              <c:strCache>
                <c:ptCount val="9"/>
                <c:pt idx="0">
                  <c:v>Private Consumption</c:v>
                </c:pt>
                <c:pt idx="1">
                  <c:v>Public Consumption</c:v>
                </c:pt>
                <c:pt idx="2">
                  <c:v>Investment</c:v>
                </c:pt>
                <c:pt idx="3">
                  <c:v>Absorption</c:v>
                </c:pt>
                <c:pt idx="4">
                  <c:v>IMPORT</c:v>
                </c:pt>
                <c:pt idx="5">
                  <c:v>EXPORT</c:v>
                </c:pt>
                <c:pt idx="6">
                  <c:v>GDP</c:v>
                </c:pt>
                <c:pt idx="7">
                  <c:v>Government income</c:v>
                </c:pt>
                <c:pt idx="8">
                  <c:v>Firm income</c:v>
                </c:pt>
              </c:strCache>
              <c:extLst/>
            </c:strRef>
          </c:cat>
          <c:val>
            <c:numRef>
              <c:f>Feuil1!$O$52:$O$60</c:f>
              <c:numCache>
                <c:formatCode>0.00</c:formatCode>
                <c:ptCount val="9"/>
                <c:pt idx="0">
                  <c:v>0.20206071952031801</c:v>
                </c:pt>
                <c:pt idx="1">
                  <c:v>-0.78776875441373295</c:v>
                </c:pt>
                <c:pt idx="2">
                  <c:v>0.11781700968039401</c:v>
                </c:pt>
                <c:pt idx="3">
                  <c:v>4.2266960421727597E-2</c:v>
                </c:pt>
                <c:pt idx="4">
                  <c:v>0.47779080614071701</c:v>
                </c:pt>
                <c:pt idx="5">
                  <c:v>1.0486213780292399</c:v>
                </c:pt>
                <c:pt idx="6">
                  <c:v>2.9922247021289601E-2</c:v>
                </c:pt>
                <c:pt idx="7">
                  <c:v>-0.91295349241768498</c:v>
                </c:pt>
                <c:pt idx="8">
                  <c:v>0.20709332075605899</c:v>
                </c:pt>
              </c:numCache>
              <c:extLst/>
            </c:numRef>
          </c:val>
          <c:extLst>
            <c:ext xmlns:c16="http://schemas.microsoft.com/office/drawing/2014/chart" uri="{C3380CC4-5D6E-409C-BE32-E72D297353CC}">
              <c16:uniqueId val="{00000006-52C5-4703-A61F-EE7401381D74}"/>
            </c:ext>
          </c:extLst>
        </c:ser>
        <c:ser>
          <c:idx val="2"/>
          <c:order val="2"/>
          <c:tx>
            <c:strRef>
              <c:f>Feuil1!$P$51</c:f>
              <c:strCache>
                <c:ptCount val="1"/>
                <c:pt idx="0">
                  <c:v>ExtBorrowing</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Feuil1!$M$52:$M$60</c:f>
              <c:strCache>
                <c:ptCount val="9"/>
                <c:pt idx="0">
                  <c:v>Private Consumption</c:v>
                </c:pt>
                <c:pt idx="1">
                  <c:v>Public Consumption</c:v>
                </c:pt>
                <c:pt idx="2">
                  <c:v>Investment</c:v>
                </c:pt>
                <c:pt idx="3">
                  <c:v>Absorption</c:v>
                </c:pt>
                <c:pt idx="4">
                  <c:v>IMPORT</c:v>
                </c:pt>
                <c:pt idx="5">
                  <c:v>EXPORT</c:v>
                </c:pt>
                <c:pt idx="6">
                  <c:v>GDP</c:v>
                </c:pt>
                <c:pt idx="7">
                  <c:v>Government income</c:v>
                </c:pt>
                <c:pt idx="8">
                  <c:v>Firm income</c:v>
                </c:pt>
              </c:strCache>
              <c:extLst/>
            </c:strRef>
          </c:cat>
          <c:val>
            <c:numRef>
              <c:f>Feuil1!$P$52:$P$60</c:f>
              <c:numCache>
                <c:formatCode>General</c:formatCode>
                <c:ptCount val="9"/>
                <c:pt idx="0" formatCode="0.00">
                  <c:v>0.25978428124047098</c:v>
                </c:pt>
                <c:pt idx="2" formatCode="0.00">
                  <c:v>0.235759346805025</c:v>
                </c:pt>
                <c:pt idx="3" formatCode="0.00">
                  <c:v>0.217327013614039</c:v>
                </c:pt>
                <c:pt idx="4" formatCode="0.00">
                  <c:v>0.71536377565153897</c:v>
                </c:pt>
                <c:pt idx="5" formatCode="0.00">
                  <c:v>9.4389882494724006E-2</c:v>
                </c:pt>
                <c:pt idx="6" formatCode="0.00">
                  <c:v>5.7599352471385097E-2</c:v>
                </c:pt>
                <c:pt idx="7" formatCode="0.00">
                  <c:v>-0.97832171511001298</c:v>
                </c:pt>
                <c:pt idx="8" formatCode="0.00">
                  <c:v>0.148790673640775</c:v>
                </c:pt>
              </c:numCache>
              <c:extLst/>
            </c:numRef>
          </c:val>
          <c:extLst>
            <c:ext xmlns:c16="http://schemas.microsoft.com/office/drawing/2014/chart" uri="{C3380CC4-5D6E-409C-BE32-E72D297353CC}">
              <c16:uniqueId val="{00000007-52C5-4703-A61F-EE7401381D74}"/>
            </c:ext>
          </c:extLst>
        </c:ser>
        <c:dLbls>
          <c:showLegendKey val="0"/>
          <c:showVal val="0"/>
          <c:showCatName val="0"/>
          <c:showSerName val="0"/>
          <c:showPercent val="0"/>
          <c:showBubbleSize val="0"/>
        </c:dLbls>
        <c:gapWidth val="219"/>
        <c:overlap val="-27"/>
        <c:axId val="540382344"/>
        <c:axId val="540387744"/>
      </c:barChart>
      <c:catAx>
        <c:axId val="540382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0387744"/>
        <c:crosses val="autoZero"/>
        <c:auto val="1"/>
        <c:lblAlgn val="ctr"/>
        <c:lblOffset val="100"/>
        <c:noMultiLvlLbl val="0"/>
      </c:catAx>
      <c:valAx>
        <c:axId val="540387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0382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142169974899191E-2"/>
          <c:y val="2.5428331875182269E-2"/>
          <c:w val="0.91510256953224611"/>
          <c:h val="0.94914333624963543"/>
        </c:manualLayout>
      </c:layout>
      <c:barChart>
        <c:barDir val="col"/>
        <c:grouping val="clustered"/>
        <c:varyColors val="0"/>
        <c:ser>
          <c:idx val="0"/>
          <c:order val="0"/>
          <c:tx>
            <c:strRef>
              <c:f>Feuil1!$I$41</c:f>
              <c:strCache>
                <c:ptCount val="1"/>
                <c:pt idx="0">
                  <c:v>IntBorrowing</c:v>
                </c:pt>
              </c:strCache>
            </c:strRef>
          </c:tx>
          <c:spPr>
            <a:solidFill>
              <a:schemeClr val="accent1"/>
            </a:solidFill>
            <a:ln>
              <a:noFill/>
            </a:ln>
            <a:effectLst/>
          </c:spPr>
          <c:invertIfNegative val="0"/>
          <c:dLbls>
            <c:dLbl>
              <c:idx val="2"/>
              <c:layout>
                <c:manualLayout>
                  <c:x val="0"/>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0EA-4D90-A088-3C5E380D4DC4}"/>
                </c:ext>
              </c:extLst>
            </c:dLbl>
            <c:dLbl>
              <c:idx val="5"/>
              <c:layout>
                <c:manualLayout>
                  <c:x val="-5.5555555555555558E-3"/>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0EA-4D90-A088-3C5E380D4DC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Feuil1!$H$42:$H$47</c:f>
              <c:strCache>
                <c:ptCount val="6"/>
                <c:pt idx="0">
                  <c:v>Import tax</c:v>
                </c:pt>
                <c:pt idx="1">
                  <c:v>Export tax</c:v>
                </c:pt>
                <c:pt idx="2">
                  <c:v>Direct tax</c:v>
                </c:pt>
                <c:pt idx="3">
                  <c:v>Indirect tax</c:v>
                </c:pt>
                <c:pt idx="4">
                  <c:v>Sales tax</c:v>
                </c:pt>
                <c:pt idx="5">
                  <c:v>VAT tax</c:v>
                </c:pt>
              </c:strCache>
            </c:strRef>
          </c:cat>
          <c:val>
            <c:numRef>
              <c:f>Feuil1!$I$42:$I$47</c:f>
              <c:numCache>
                <c:formatCode>0.00</c:formatCode>
                <c:ptCount val="6"/>
                <c:pt idx="0">
                  <c:v>1.3966970927445299</c:v>
                </c:pt>
                <c:pt idx="1">
                  <c:v>2.59204379656481</c:v>
                </c:pt>
                <c:pt idx="2">
                  <c:v>1.1754235257411001</c:v>
                </c:pt>
                <c:pt idx="3">
                  <c:v>2.15058431850328</c:v>
                </c:pt>
                <c:pt idx="4">
                  <c:v>-10.106874608459799</c:v>
                </c:pt>
                <c:pt idx="5">
                  <c:v>1.11750115441166</c:v>
                </c:pt>
              </c:numCache>
            </c:numRef>
          </c:val>
          <c:extLst>
            <c:ext xmlns:c16="http://schemas.microsoft.com/office/drawing/2014/chart" uri="{C3380CC4-5D6E-409C-BE32-E72D297353CC}">
              <c16:uniqueId val="{00000002-C0EA-4D90-A088-3C5E380D4DC4}"/>
            </c:ext>
          </c:extLst>
        </c:ser>
        <c:ser>
          <c:idx val="1"/>
          <c:order val="1"/>
          <c:tx>
            <c:strRef>
              <c:f>Feuil1!$J$41</c:f>
              <c:strCache>
                <c:ptCount val="1"/>
                <c:pt idx="0">
                  <c:v>GovSpend</c:v>
                </c:pt>
              </c:strCache>
            </c:strRef>
          </c:tx>
          <c:spPr>
            <a:solidFill>
              <a:schemeClr val="accent2"/>
            </a:solidFill>
            <a:ln>
              <a:noFill/>
            </a:ln>
            <a:effectLst/>
          </c:spPr>
          <c:invertIfNegative val="0"/>
          <c:dLbls>
            <c:dLbl>
              <c:idx val="0"/>
              <c:layout>
                <c:manualLayout>
                  <c:x val="-2.7777777777777779E-3"/>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0EA-4D90-A088-3C5E380D4DC4}"/>
                </c:ext>
              </c:extLst>
            </c:dLbl>
            <c:dLbl>
              <c:idx val="1"/>
              <c:layout>
                <c:manualLayout>
                  <c:x val="-5.0925337632079971E-17"/>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0EA-4D90-A088-3C5E380D4DC4}"/>
                </c:ext>
              </c:extLst>
            </c:dLbl>
            <c:dLbl>
              <c:idx val="2"/>
              <c:layout>
                <c:manualLayout>
                  <c:x val="-2.7777777777778286E-3"/>
                  <c:y val="-2.31481481481481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0EA-4D90-A088-3C5E380D4DC4}"/>
                </c:ext>
              </c:extLst>
            </c:dLbl>
            <c:dLbl>
              <c:idx val="3"/>
              <c:layout>
                <c:manualLayout>
                  <c:x val="0"/>
                  <c:y val="-1.85185185185185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0EA-4D90-A088-3C5E380D4DC4}"/>
                </c:ext>
              </c:extLst>
            </c:dLbl>
            <c:dLbl>
              <c:idx val="4"/>
              <c:layout>
                <c:manualLayout>
                  <c:x val="0"/>
                  <c:y val="-3.24070428696412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0EA-4D90-A088-3C5E380D4DC4}"/>
                </c:ext>
              </c:extLst>
            </c:dLbl>
            <c:dLbl>
              <c:idx val="5"/>
              <c:layout>
                <c:manualLayout>
                  <c:x val="1.0185067526415994E-16"/>
                  <c:y val="-2.7777777777777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0EA-4D90-A088-3C5E380D4DC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Feuil1!$H$42:$H$47</c:f>
              <c:strCache>
                <c:ptCount val="6"/>
                <c:pt idx="0">
                  <c:v>Import tax</c:v>
                </c:pt>
                <c:pt idx="1">
                  <c:v>Export tax</c:v>
                </c:pt>
                <c:pt idx="2">
                  <c:v>Direct tax</c:v>
                </c:pt>
                <c:pt idx="3">
                  <c:v>Indirect tax</c:v>
                </c:pt>
                <c:pt idx="4">
                  <c:v>Sales tax</c:v>
                </c:pt>
                <c:pt idx="5">
                  <c:v>VAT tax</c:v>
                </c:pt>
              </c:strCache>
            </c:strRef>
          </c:cat>
          <c:val>
            <c:numRef>
              <c:f>Feuil1!$J$42:$J$47</c:f>
              <c:numCache>
                <c:formatCode>0.00</c:formatCode>
                <c:ptCount val="6"/>
                <c:pt idx="0">
                  <c:v>1.43354823456492</c:v>
                </c:pt>
                <c:pt idx="1">
                  <c:v>2.8163018261328001</c:v>
                </c:pt>
                <c:pt idx="2">
                  <c:v>1.0608478972736699</c:v>
                </c:pt>
                <c:pt idx="3">
                  <c:v>2.1974645131854098</c:v>
                </c:pt>
                <c:pt idx="4">
                  <c:v>-9.9596849613725507</c:v>
                </c:pt>
                <c:pt idx="5">
                  <c:v>1.0005505897073199</c:v>
                </c:pt>
              </c:numCache>
            </c:numRef>
          </c:val>
          <c:extLst>
            <c:ext xmlns:c16="http://schemas.microsoft.com/office/drawing/2014/chart" uri="{C3380CC4-5D6E-409C-BE32-E72D297353CC}">
              <c16:uniqueId val="{00000009-C0EA-4D90-A088-3C5E380D4DC4}"/>
            </c:ext>
          </c:extLst>
        </c:ser>
        <c:ser>
          <c:idx val="2"/>
          <c:order val="2"/>
          <c:tx>
            <c:strRef>
              <c:f>Feuil1!$K$41</c:f>
              <c:strCache>
                <c:ptCount val="1"/>
                <c:pt idx="0">
                  <c:v>ExtBorrowing</c:v>
                </c:pt>
              </c:strCache>
            </c:strRef>
          </c:tx>
          <c:spPr>
            <a:solidFill>
              <a:schemeClr val="accent3"/>
            </a:solidFill>
            <a:ln>
              <a:noFill/>
            </a:ln>
            <a:effectLst/>
          </c:spPr>
          <c:invertIfNegative val="0"/>
          <c:dLbls>
            <c:dLbl>
              <c:idx val="5"/>
              <c:layout>
                <c:manualLayout>
                  <c:x val="2.7777777777777779E-3"/>
                  <c:y val="1.38888888888888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0EA-4D90-A088-3C5E380D4DC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Feuil1!$H$42:$H$47</c:f>
              <c:strCache>
                <c:ptCount val="6"/>
                <c:pt idx="0">
                  <c:v>Import tax</c:v>
                </c:pt>
                <c:pt idx="1">
                  <c:v>Export tax</c:v>
                </c:pt>
                <c:pt idx="2">
                  <c:v>Direct tax</c:v>
                </c:pt>
                <c:pt idx="3">
                  <c:v>Indirect tax</c:v>
                </c:pt>
                <c:pt idx="4">
                  <c:v>Sales tax</c:v>
                </c:pt>
                <c:pt idx="5">
                  <c:v>VAT tax</c:v>
                </c:pt>
              </c:strCache>
            </c:strRef>
          </c:cat>
          <c:val>
            <c:numRef>
              <c:f>Feuil1!$K$42:$K$47</c:f>
              <c:numCache>
                <c:formatCode>0.00</c:formatCode>
                <c:ptCount val="6"/>
                <c:pt idx="0">
                  <c:v>1.55935967191809</c:v>
                </c:pt>
                <c:pt idx="1">
                  <c:v>2.1360604083724199</c:v>
                </c:pt>
                <c:pt idx="2">
                  <c:v>1.1316166436461399</c:v>
                </c:pt>
                <c:pt idx="3">
                  <c:v>2.1524285881359999</c:v>
                </c:pt>
                <c:pt idx="4">
                  <c:v>-9.8385314801092196</c:v>
                </c:pt>
                <c:pt idx="5">
                  <c:v>1.07482736316891</c:v>
                </c:pt>
              </c:numCache>
            </c:numRef>
          </c:val>
          <c:extLst>
            <c:ext xmlns:c16="http://schemas.microsoft.com/office/drawing/2014/chart" uri="{C3380CC4-5D6E-409C-BE32-E72D297353CC}">
              <c16:uniqueId val="{0000000B-C0EA-4D90-A088-3C5E380D4DC4}"/>
            </c:ext>
          </c:extLst>
        </c:ser>
        <c:dLbls>
          <c:showLegendKey val="0"/>
          <c:showVal val="0"/>
          <c:showCatName val="0"/>
          <c:showSerName val="0"/>
          <c:showPercent val="0"/>
          <c:showBubbleSize val="0"/>
        </c:dLbls>
        <c:gapWidth val="219"/>
        <c:overlap val="-27"/>
        <c:axId val="193116264"/>
        <c:axId val="286426136"/>
      </c:barChart>
      <c:catAx>
        <c:axId val="193116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426136"/>
        <c:crosses val="autoZero"/>
        <c:auto val="1"/>
        <c:lblAlgn val="ctr"/>
        <c:lblOffset val="100"/>
        <c:noMultiLvlLbl val="0"/>
      </c:catAx>
      <c:valAx>
        <c:axId val="286426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fr-FR" b="1"/>
                  <a:t>Variati</a:t>
                </a:r>
                <a:r>
                  <a:rPr lang="fr-FR" sz="1000" b="1" i="0" u="none" strike="noStrike" baseline="0">
                    <a:effectLst/>
                  </a:rPr>
                  <a:t>o</a:t>
                </a:r>
                <a:r>
                  <a:rPr lang="fr-FR" b="1"/>
                  <a:t>n</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fr-FR"/>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116264"/>
        <c:crosses val="autoZero"/>
        <c:crossBetween val="between"/>
      </c:valAx>
      <c:spPr>
        <a:noFill/>
        <a:ln>
          <a:noFill/>
        </a:ln>
        <a:effectLst/>
      </c:spPr>
    </c:plotArea>
    <c:legend>
      <c:legendPos val="b"/>
      <c:layout>
        <c:manualLayout>
          <c:xMode val="edge"/>
          <c:yMode val="edge"/>
          <c:x val="7.753074693726747E-2"/>
          <c:y val="0.79120287616781027"/>
          <c:w val="0.4443532045835330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 sz="1800">
                <a:effectLst/>
              </a:rPr>
              <a:t>Domestic production</a:t>
            </a:r>
          </a:p>
        </c:rich>
      </c:tx>
      <c:layout>
        <c:manualLayout>
          <c:xMode val="edge"/>
          <c:yMode val="edge"/>
          <c:x val="0.1049827614760392"/>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1567147856517936E-2"/>
          <c:y val="2.5428331875182269E-2"/>
          <c:w val="0.93184504900558562"/>
          <c:h val="0.94050853018372704"/>
        </c:manualLayout>
      </c:layout>
      <c:barChart>
        <c:barDir val="col"/>
        <c:grouping val="clustered"/>
        <c:varyColors val="0"/>
        <c:ser>
          <c:idx val="0"/>
          <c:order val="0"/>
          <c:tx>
            <c:strRef>
              <c:f>Feuil3!$AR$1</c:f>
              <c:strCache>
                <c:ptCount val="1"/>
                <c:pt idx="0">
                  <c:v>IntBorrowing</c:v>
                </c:pt>
              </c:strCache>
            </c:strRef>
          </c:tx>
          <c:spPr>
            <a:solidFill>
              <a:schemeClr val="accent1"/>
            </a:solidFill>
            <a:ln>
              <a:noFill/>
            </a:ln>
            <a:effectLst/>
          </c:spPr>
          <c:invertIfNegative val="0"/>
          <c:dLbls>
            <c:dLbl>
              <c:idx val="0"/>
              <c:layout>
                <c:manualLayout>
                  <c:x val="-5.736137667304015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6B4-4C0A-B1B6-FFB36F2CED53}"/>
                </c:ext>
              </c:extLst>
            </c:dLbl>
            <c:dLbl>
              <c:idx val="2"/>
              <c:layout>
                <c:manualLayout>
                  <c:x val="0"/>
                  <c:y val="-9.259259259259302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6B4-4C0A-B1B6-FFB36F2CED53}"/>
                </c:ext>
              </c:extLst>
            </c:dLbl>
            <c:dLbl>
              <c:idx val="3"/>
              <c:layout>
                <c:manualLayout>
                  <c:x val="0"/>
                  <c:y val="9.259259259259343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6B4-4C0A-B1B6-FFB36F2CED53}"/>
                </c:ext>
              </c:extLst>
            </c:dLbl>
            <c:dLbl>
              <c:idx val="6"/>
              <c:layout>
                <c:manualLayout>
                  <c:x val="-9.5602294455066923E-3"/>
                  <c:y val="3.24074074074073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6B4-4C0A-B1B6-FFB36F2CED53}"/>
                </c:ext>
              </c:extLst>
            </c:dLbl>
            <c:dLbl>
              <c:idx val="8"/>
              <c:layout>
                <c:manualLayout>
                  <c:x val="7.0107539378771661E-17"/>
                  <c:y val="9.259259259259217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6B4-4C0A-B1B6-FFB36F2CED53}"/>
                </c:ext>
              </c:extLst>
            </c:dLbl>
            <c:dLbl>
              <c:idx val="9"/>
              <c:layout>
                <c:manualLayout>
                  <c:x val="-5.7361376673040155E-3"/>
                  <c:y val="1.38888888888888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6B4-4C0A-B1B6-FFB36F2CED5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70C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(Feuil3!$AQ$2:$AQ$5,Feuil3!$AQ$7,Feuil3!$AQ$9:$AQ$21)</c:f>
              <c:strCache>
                <c:ptCount val="18"/>
                <c:pt idx="0">
                  <c:v>agriculture</c:v>
                </c:pt>
                <c:pt idx="1">
                  <c:v>livestock</c:v>
                </c:pt>
                <c:pt idx="2">
                  <c:v>Forestry</c:v>
                </c:pt>
                <c:pt idx="3">
                  <c:v>Fisheries</c:v>
                </c:pt>
                <c:pt idx="4">
                  <c:v>Mining</c:v>
                </c:pt>
                <c:pt idx="5">
                  <c:v>Manufacturing</c:v>
                </c:pt>
                <c:pt idx="6">
                  <c:v>Electricity and Water </c:v>
                </c:pt>
                <c:pt idx="7">
                  <c:v>Construction</c:v>
                </c:pt>
                <c:pt idx="8">
                  <c:v>Trade and repair</c:v>
                </c:pt>
                <c:pt idx="9">
                  <c:v>Transport and Storage</c:v>
                </c:pt>
                <c:pt idx="10">
                  <c:v>Accomodation and food services</c:v>
                </c:pt>
                <c:pt idx="11">
                  <c:v>Telecommunications</c:v>
                </c:pt>
                <c:pt idx="12">
                  <c:v>Financial and insurance services</c:v>
                </c:pt>
                <c:pt idx="13">
                  <c:v>Real Estate</c:v>
                </c:pt>
                <c:pt idx="14">
                  <c:v>Professional activities</c:v>
                </c:pt>
                <c:pt idx="15">
                  <c:v>Busniness services</c:v>
                </c:pt>
                <c:pt idx="16">
                  <c:v>Public services</c:v>
                </c:pt>
                <c:pt idx="17">
                  <c:v>Other Services</c:v>
                </c:pt>
              </c:strCache>
              <c:extLst/>
            </c:strRef>
          </c:cat>
          <c:val>
            <c:numRef>
              <c:f>(Feuil3!$AR$2:$AR$5,Feuil3!$AR$7,Feuil3!$AR$9:$AR$21)</c:f>
              <c:numCache>
                <c:formatCode>0.00</c:formatCode>
                <c:ptCount val="18"/>
                <c:pt idx="0">
                  <c:v>-3.5960881539231953E-3</c:v>
                </c:pt>
                <c:pt idx="1">
                  <c:v>-0.11884645443259433</c:v>
                </c:pt>
                <c:pt idx="2">
                  <c:v>0.14941206358128101</c:v>
                </c:pt>
                <c:pt idx="3">
                  <c:v>-9.4965031981075806E-3</c:v>
                </c:pt>
                <c:pt idx="4">
                  <c:v>-0.82251598579891771</c:v>
                </c:pt>
                <c:pt idx="5">
                  <c:v>-0.43905285364380392</c:v>
                </c:pt>
                <c:pt idx="6">
                  <c:v>9.1048307374286749E-2</c:v>
                </c:pt>
                <c:pt idx="7">
                  <c:v>-0.38921787433187699</c:v>
                </c:pt>
                <c:pt idx="8">
                  <c:v>6.655989400267974E-2</c:v>
                </c:pt>
                <c:pt idx="9">
                  <c:v>1.2061645886225301</c:v>
                </c:pt>
                <c:pt idx="10">
                  <c:v>-6.8975655665426003E-2</c:v>
                </c:pt>
                <c:pt idx="11">
                  <c:v>5.15873898802965E-2</c:v>
                </c:pt>
                <c:pt idx="12">
                  <c:v>-7.3049850144315101E-2</c:v>
                </c:pt>
                <c:pt idx="13">
                  <c:v>0.21052030204000999</c:v>
                </c:pt>
                <c:pt idx="14">
                  <c:v>-0.46640023006923997</c:v>
                </c:pt>
                <c:pt idx="15">
                  <c:v>-5.9098323418254502E-2</c:v>
                </c:pt>
                <c:pt idx="16">
                  <c:v>2.2260034794205314E-2</c:v>
                </c:pt>
                <c:pt idx="17">
                  <c:v>6.3424705695609901E-2</c:v>
                </c:pt>
              </c:numCache>
              <c:extLst/>
            </c:numRef>
          </c:val>
          <c:extLst>
            <c:ext xmlns:c16="http://schemas.microsoft.com/office/drawing/2014/chart" uri="{C3380CC4-5D6E-409C-BE32-E72D297353CC}">
              <c16:uniqueId val="{00000006-56B4-4C0A-B1B6-FFB36F2CED53}"/>
            </c:ext>
          </c:extLst>
        </c:ser>
        <c:ser>
          <c:idx val="1"/>
          <c:order val="1"/>
          <c:tx>
            <c:strRef>
              <c:f>Feuil3!$AS$1</c:f>
              <c:strCache>
                <c:ptCount val="1"/>
                <c:pt idx="0">
                  <c:v>GovSpend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(Feuil3!$AQ$2:$AQ$5,Feuil3!$AQ$7,Feuil3!$AQ$9:$AQ$21)</c:f>
              <c:strCache>
                <c:ptCount val="18"/>
                <c:pt idx="0">
                  <c:v>agriculture</c:v>
                </c:pt>
                <c:pt idx="1">
                  <c:v>livestock</c:v>
                </c:pt>
                <c:pt idx="2">
                  <c:v>Forestry</c:v>
                </c:pt>
                <c:pt idx="3">
                  <c:v>Fisheries</c:v>
                </c:pt>
                <c:pt idx="4">
                  <c:v>Mining</c:v>
                </c:pt>
                <c:pt idx="5">
                  <c:v>Manufacturing</c:v>
                </c:pt>
                <c:pt idx="6">
                  <c:v>Electricity and Water </c:v>
                </c:pt>
                <c:pt idx="7">
                  <c:v>Construction</c:v>
                </c:pt>
                <c:pt idx="8">
                  <c:v>Trade and repair</c:v>
                </c:pt>
                <c:pt idx="9">
                  <c:v>Transport and Storage</c:v>
                </c:pt>
                <c:pt idx="10">
                  <c:v>Accomodation and food services</c:v>
                </c:pt>
                <c:pt idx="11">
                  <c:v>Telecommunications</c:v>
                </c:pt>
                <c:pt idx="12">
                  <c:v>Financial and insurance services</c:v>
                </c:pt>
                <c:pt idx="13">
                  <c:v>Real Estate</c:v>
                </c:pt>
                <c:pt idx="14">
                  <c:v>Professional activities</c:v>
                </c:pt>
                <c:pt idx="15">
                  <c:v>Busniness services</c:v>
                </c:pt>
                <c:pt idx="16">
                  <c:v>Public services</c:v>
                </c:pt>
                <c:pt idx="17">
                  <c:v>Other Services</c:v>
                </c:pt>
              </c:strCache>
              <c:extLst/>
            </c:strRef>
          </c:cat>
          <c:val>
            <c:numRef>
              <c:f>(Feuil3!$AS$2:$AS$5,Feuil3!$AS$7,Feuil3!$AS$9:$AS$21)</c:f>
              <c:numCache>
                <c:formatCode>0.00</c:formatCode>
                <c:ptCount val="18"/>
                <c:pt idx="0">
                  <c:v>-4.6976185713949917E-2</c:v>
                </c:pt>
                <c:pt idx="1">
                  <c:v>-0.19207968889843305</c:v>
                </c:pt>
                <c:pt idx="2">
                  <c:v>9.1131686047461399E-2</c:v>
                </c:pt>
                <c:pt idx="3">
                  <c:v>-4.4197367395909702E-2</c:v>
                </c:pt>
                <c:pt idx="4">
                  <c:v>-0.11010603207632735</c:v>
                </c:pt>
                <c:pt idx="5">
                  <c:v>-0.18203692140202773</c:v>
                </c:pt>
                <c:pt idx="6">
                  <c:v>7.2180120056643107E-2</c:v>
                </c:pt>
                <c:pt idx="7">
                  <c:v>0.13317008649067899</c:v>
                </c:pt>
                <c:pt idx="8">
                  <c:v>9.2132764107809198E-2</c:v>
                </c:pt>
                <c:pt idx="9">
                  <c:v>1.2303589615211901</c:v>
                </c:pt>
                <c:pt idx="10">
                  <c:v>-0.22751979115884099</c:v>
                </c:pt>
                <c:pt idx="11">
                  <c:v>-6.5239322403144201E-2</c:v>
                </c:pt>
                <c:pt idx="12">
                  <c:v>-0.18906598615450301</c:v>
                </c:pt>
                <c:pt idx="13">
                  <c:v>0.12720330933262899</c:v>
                </c:pt>
                <c:pt idx="14">
                  <c:v>5.4123225714946002E-2</c:v>
                </c:pt>
                <c:pt idx="15">
                  <c:v>-0.198811918869851</c:v>
                </c:pt>
                <c:pt idx="16">
                  <c:v>-0.55798414753725467</c:v>
                </c:pt>
                <c:pt idx="17">
                  <c:v>-2.1994537174577999E-2</c:v>
                </c:pt>
              </c:numCache>
              <c:extLst/>
            </c:numRef>
          </c:val>
          <c:extLst>
            <c:ext xmlns:c16="http://schemas.microsoft.com/office/drawing/2014/chart" uri="{C3380CC4-5D6E-409C-BE32-E72D297353CC}">
              <c16:uniqueId val="{00000007-56B4-4C0A-B1B6-FFB36F2CED53}"/>
            </c:ext>
          </c:extLst>
        </c:ser>
        <c:ser>
          <c:idx val="2"/>
          <c:order val="2"/>
          <c:tx>
            <c:strRef>
              <c:f>Feuil3!$AT$1</c:f>
              <c:strCache>
                <c:ptCount val="1"/>
                <c:pt idx="0">
                  <c:v>ExtBorrowing</c:v>
                </c:pt>
              </c:strCache>
            </c:strRef>
          </c:tx>
          <c:spPr>
            <a:solidFill>
              <a:schemeClr val="accent3"/>
            </a:solidFill>
            <a:ln>
              <a:noFill/>
            </a:ln>
            <a:effectLst/>
          </c:spPr>
          <c:invertIfNegative val="0"/>
          <c:cat>
            <c:strRef>
              <c:f>(Feuil3!$AQ$2:$AQ$5,Feuil3!$AQ$7,Feuil3!$AQ$9:$AQ$21)</c:f>
              <c:strCache>
                <c:ptCount val="18"/>
                <c:pt idx="0">
                  <c:v>agriculture</c:v>
                </c:pt>
                <c:pt idx="1">
                  <c:v>livestock</c:v>
                </c:pt>
                <c:pt idx="2">
                  <c:v>Forestry</c:v>
                </c:pt>
                <c:pt idx="3">
                  <c:v>Fisheries</c:v>
                </c:pt>
                <c:pt idx="4">
                  <c:v>Mining</c:v>
                </c:pt>
                <c:pt idx="5">
                  <c:v>Manufacturing</c:v>
                </c:pt>
                <c:pt idx="6">
                  <c:v>Electricity and Water </c:v>
                </c:pt>
                <c:pt idx="7">
                  <c:v>Construction</c:v>
                </c:pt>
                <c:pt idx="8">
                  <c:v>Trade and repair</c:v>
                </c:pt>
                <c:pt idx="9">
                  <c:v>Transport and Storage</c:v>
                </c:pt>
                <c:pt idx="10">
                  <c:v>Accomodation and food services</c:v>
                </c:pt>
                <c:pt idx="11">
                  <c:v>Telecommunications</c:v>
                </c:pt>
                <c:pt idx="12">
                  <c:v>Financial and insurance services</c:v>
                </c:pt>
                <c:pt idx="13">
                  <c:v>Real Estate</c:v>
                </c:pt>
                <c:pt idx="14">
                  <c:v>Professional activities</c:v>
                </c:pt>
                <c:pt idx="15">
                  <c:v>Busniness services</c:v>
                </c:pt>
                <c:pt idx="16">
                  <c:v>Public services</c:v>
                </c:pt>
                <c:pt idx="17">
                  <c:v>Other Services</c:v>
                </c:pt>
              </c:strCache>
              <c:extLst/>
            </c:strRef>
          </c:cat>
          <c:val>
            <c:numRef>
              <c:f>(Feuil3!$AT$2:$AT$5,Feuil3!$AT$7,Feuil3!$AT$9:$AT$21)</c:f>
              <c:numCache>
                <c:formatCode>0.00</c:formatCode>
                <c:ptCount val="18"/>
                <c:pt idx="0">
                  <c:v>-3.9217272487981503E-3</c:v>
                </c:pt>
                <c:pt idx="1">
                  <c:v>-8.4988440439676835E-2</c:v>
                </c:pt>
                <c:pt idx="2">
                  <c:v>0.19771318921904399</c:v>
                </c:pt>
                <c:pt idx="3">
                  <c:v>-4.2571370343850397E-2</c:v>
                </c:pt>
                <c:pt idx="4">
                  <c:v>-1.363955321123508</c:v>
                </c:pt>
                <c:pt idx="5">
                  <c:v>-0.58451622992860564</c:v>
                </c:pt>
                <c:pt idx="6">
                  <c:v>6.6391539467112196E-2</c:v>
                </c:pt>
                <c:pt idx="7">
                  <c:v>0.15175597667180801</c:v>
                </c:pt>
                <c:pt idx="8">
                  <c:v>0.1685127161678395</c:v>
                </c:pt>
                <c:pt idx="9">
                  <c:v>1.15820777745022</c:v>
                </c:pt>
                <c:pt idx="10">
                  <c:v>-8.2361502863363995E-2</c:v>
                </c:pt>
                <c:pt idx="11">
                  <c:v>-1.0776467265998201E-3</c:v>
                </c:pt>
                <c:pt idx="12">
                  <c:v>9.7280586281272008E-3</c:v>
                </c:pt>
                <c:pt idx="13">
                  <c:v>0.20081806881759701</c:v>
                </c:pt>
                <c:pt idx="14">
                  <c:v>-4.7262832975619097E-2</c:v>
                </c:pt>
                <c:pt idx="15">
                  <c:v>-6.7758435752580198E-2</c:v>
                </c:pt>
                <c:pt idx="16">
                  <c:v>1.1887544032598884E-2</c:v>
                </c:pt>
                <c:pt idx="17">
                  <c:v>1.1515965070160001E-2</c:v>
                </c:pt>
              </c:numCache>
              <c:extLst/>
            </c:numRef>
          </c:val>
          <c:extLst>
            <c:ext xmlns:c16="http://schemas.microsoft.com/office/drawing/2014/chart" uri="{C3380CC4-5D6E-409C-BE32-E72D297353CC}">
              <c16:uniqueId val="{00000008-56B4-4C0A-B1B6-FFB36F2CED53}"/>
            </c:ext>
          </c:extLst>
        </c:ser>
        <c:dLbls>
          <c:showLegendKey val="0"/>
          <c:showVal val="0"/>
          <c:showCatName val="0"/>
          <c:showSerName val="0"/>
          <c:showPercent val="0"/>
          <c:showBubbleSize val="0"/>
        </c:dLbls>
        <c:gapWidth val="219"/>
        <c:overlap val="-27"/>
        <c:axId val="622781952"/>
        <c:axId val="622781232"/>
      </c:barChart>
      <c:catAx>
        <c:axId val="62278195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2781232"/>
        <c:crosses val="autoZero"/>
        <c:auto val="1"/>
        <c:lblAlgn val="ctr"/>
        <c:lblOffset val="100"/>
        <c:noMultiLvlLbl val="0"/>
      </c:catAx>
      <c:valAx>
        <c:axId val="6227812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200" b="1">
                    <a:effectLst/>
                  </a:rPr>
                  <a:t>Variation in %</a:t>
                </a:r>
              </a:p>
            </c:rich>
          </c:tx>
          <c:layout>
            <c:manualLayout>
              <c:xMode val="edge"/>
              <c:yMode val="edge"/>
              <c:x val="0"/>
              <c:y val="0.3268846995785277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2781952"/>
        <c:crosses val="autoZero"/>
        <c:crossBetween val="between"/>
      </c:valAx>
      <c:spPr>
        <a:noFill/>
        <a:ln>
          <a:noFill/>
        </a:ln>
        <a:effectLst/>
      </c:spPr>
    </c:plotArea>
    <c:legend>
      <c:legendPos val="b"/>
      <c:layout>
        <c:manualLayout>
          <c:xMode val="edge"/>
          <c:yMode val="edge"/>
          <c:x val="1.4550899108193431E-2"/>
          <c:y val="0.91753063024798254"/>
          <c:w val="0.42090886049177767"/>
          <c:h val="7.00212369719345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558734473459045E-2"/>
          <c:y val="4.2083333333333355E-2"/>
          <c:w val="0.91029361569023859"/>
          <c:h val="0.68756962671332755"/>
        </c:manualLayout>
      </c:layout>
      <c:barChart>
        <c:barDir val="col"/>
        <c:grouping val="clustered"/>
        <c:varyColors val="0"/>
        <c:ser>
          <c:idx val="0"/>
          <c:order val="0"/>
          <c:tx>
            <c:strRef>
              <c:f>Feuil3!$BD$1</c:f>
              <c:strCache>
                <c:ptCount val="1"/>
                <c:pt idx="0">
                  <c:v>IntBorrowing</c:v>
                </c:pt>
              </c:strCache>
            </c:strRef>
          </c:tx>
          <c:spPr>
            <a:solidFill>
              <a:schemeClr val="accent1"/>
            </a:solidFill>
            <a:ln>
              <a:noFill/>
            </a:ln>
            <a:effectLst/>
          </c:spPr>
          <c:invertIfNegative val="0"/>
          <c:dLbls>
            <c:dLbl>
              <c:idx val="7"/>
              <c:layout>
                <c:manualLayout>
                  <c:x val="-1.257993500366914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4D6-4DCD-A84E-5A0D39AB9A9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70C0"/>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Feuil3!$BC$2:$BC$15</c:f>
              <c:strCache>
                <c:ptCount val="14"/>
                <c:pt idx="0">
                  <c:v>agriculture</c:v>
                </c:pt>
                <c:pt idx="1">
                  <c:v>livestock</c:v>
                </c:pt>
                <c:pt idx="2">
                  <c:v>Forestry</c:v>
                </c:pt>
                <c:pt idx="3">
                  <c:v>Fisheries</c:v>
                </c:pt>
                <c:pt idx="4">
                  <c:v>Mining</c:v>
                </c:pt>
                <c:pt idx="5">
                  <c:v>Oil Refining</c:v>
                </c:pt>
                <c:pt idx="6">
                  <c:v>Manufacturing</c:v>
                </c:pt>
                <c:pt idx="7">
                  <c:v>Transport and Storage</c:v>
                </c:pt>
                <c:pt idx="8">
                  <c:v>Accomodation and food services</c:v>
                </c:pt>
                <c:pt idx="9">
                  <c:v>Telecommunications</c:v>
                </c:pt>
                <c:pt idx="10">
                  <c:v>Financial and insurance services</c:v>
                </c:pt>
                <c:pt idx="11">
                  <c:v>Professional activities</c:v>
                </c:pt>
                <c:pt idx="12">
                  <c:v>Busniness services</c:v>
                </c:pt>
                <c:pt idx="13">
                  <c:v>Other Services</c:v>
                </c:pt>
              </c:strCache>
            </c:strRef>
          </c:cat>
          <c:val>
            <c:numRef>
              <c:f>Feuil3!$BD$2:$BD$15</c:f>
              <c:numCache>
                <c:formatCode>0.00</c:formatCode>
                <c:ptCount val="14"/>
                <c:pt idx="0">
                  <c:v>-0.30638012577849644</c:v>
                </c:pt>
                <c:pt idx="1">
                  <c:v>-0.43120611769824979</c:v>
                </c:pt>
                <c:pt idx="2">
                  <c:v>0.231138326323446</c:v>
                </c:pt>
                <c:pt idx="3">
                  <c:v>-0.36246998410189202</c:v>
                </c:pt>
                <c:pt idx="4">
                  <c:v>-0.80419435109292792</c:v>
                </c:pt>
                <c:pt idx="5">
                  <c:v>-0.25251419981930201</c:v>
                </c:pt>
                <c:pt idx="6">
                  <c:v>-0.44433808120452462</c:v>
                </c:pt>
                <c:pt idx="7">
                  <c:v>3.27415499526826</c:v>
                </c:pt>
                <c:pt idx="8">
                  <c:v>-0.35750838720620898</c:v>
                </c:pt>
                <c:pt idx="9">
                  <c:v>-0.10406904994577799</c:v>
                </c:pt>
                <c:pt idx="10">
                  <c:v>-0.29557316457264399</c:v>
                </c:pt>
                <c:pt idx="11">
                  <c:v>-0.63901447839950298</c:v>
                </c:pt>
                <c:pt idx="12">
                  <c:v>-0.226068783991863</c:v>
                </c:pt>
                <c:pt idx="13">
                  <c:v>-9.2743144458140095E-2</c:v>
                </c:pt>
              </c:numCache>
            </c:numRef>
          </c:val>
          <c:extLst>
            <c:ext xmlns:c16="http://schemas.microsoft.com/office/drawing/2014/chart" uri="{C3380CC4-5D6E-409C-BE32-E72D297353CC}">
              <c16:uniqueId val="{00000001-A4D6-4DCD-A84E-5A0D39AB9A90}"/>
            </c:ext>
          </c:extLst>
        </c:ser>
        <c:ser>
          <c:idx val="1"/>
          <c:order val="1"/>
          <c:tx>
            <c:strRef>
              <c:f>Feuil3!$BE$1</c:f>
              <c:strCache>
                <c:ptCount val="1"/>
                <c:pt idx="0">
                  <c:v>GovSpend</c:v>
                </c:pt>
              </c:strCache>
            </c:strRef>
          </c:tx>
          <c:spPr>
            <a:solidFill>
              <a:schemeClr val="accent2"/>
            </a:solidFill>
            <a:ln>
              <a:noFill/>
            </a:ln>
            <a:effectLst/>
          </c:spPr>
          <c:invertIfNegative val="0"/>
          <c:dLbls>
            <c:dLbl>
              <c:idx val="7"/>
              <c:layout>
                <c:manualLayout>
                  <c:x val="2.0966558339448578E-3"/>
                  <c:y val="2.49921899406435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4D6-4DCD-A84E-5A0D39AB9A9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Feuil3!$BC$2:$BC$15</c:f>
              <c:strCache>
                <c:ptCount val="14"/>
                <c:pt idx="0">
                  <c:v>agriculture</c:v>
                </c:pt>
                <c:pt idx="1">
                  <c:v>livestock</c:v>
                </c:pt>
                <c:pt idx="2">
                  <c:v>Forestry</c:v>
                </c:pt>
                <c:pt idx="3">
                  <c:v>Fisheries</c:v>
                </c:pt>
                <c:pt idx="4">
                  <c:v>Mining</c:v>
                </c:pt>
                <c:pt idx="5">
                  <c:v>Oil Refining</c:v>
                </c:pt>
                <c:pt idx="6">
                  <c:v>Manufacturing</c:v>
                </c:pt>
                <c:pt idx="7">
                  <c:v>Transport and Storage</c:v>
                </c:pt>
                <c:pt idx="8">
                  <c:v>Accomodation and food services</c:v>
                </c:pt>
                <c:pt idx="9">
                  <c:v>Telecommunications</c:v>
                </c:pt>
                <c:pt idx="10">
                  <c:v>Financial and insurance services</c:v>
                </c:pt>
                <c:pt idx="11">
                  <c:v>Professional activities</c:v>
                </c:pt>
                <c:pt idx="12">
                  <c:v>Busniness services</c:v>
                </c:pt>
                <c:pt idx="13">
                  <c:v>Other Services</c:v>
                </c:pt>
              </c:strCache>
            </c:strRef>
          </c:cat>
          <c:val>
            <c:numRef>
              <c:f>Feuil3!$BE$2:$BE$15</c:f>
              <c:numCache>
                <c:formatCode>0.00</c:formatCode>
                <c:ptCount val="14"/>
                <c:pt idx="0">
                  <c:v>-0.27554488550332701</c:v>
                </c:pt>
                <c:pt idx="1">
                  <c:v>-0.44680738913390883</c:v>
                </c:pt>
                <c:pt idx="2">
                  <c:v>0.28581804127813398</c:v>
                </c:pt>
                <c:pt idx="3">
                  <c:v>-0.32783866940845002</c:v>
                </c:pt>
                <c:pt idx="4">
                  <c:v>-5.9937875538611851E-2</c:v>
                </c:pt>
                <c:pt idx="5">
                  <c:v>-0.21062714602247501</c:v>
                </c:pt>
                <c:pt idx="6">
                  <c:v>-0.30732903167125397</c:v>
                </c:pt>
                <c:pt idx="7">
                  <c:v>3.3676018358463899</c:v>
                </c:pt>
                <c:pt idx="8">
                  <c:v>-0.41663946150708903</c:v>
                </c:pt>
                <c:pt idx="9">
                  <c:v>-0.16446467900881601</c:v>
                </c:pt>
                <c:pt idx="10">
                  <c:v>-0.32120881100711102</c:v>
                </c:pt>
                <c:pt idx="11">
                  <c:v>-9.4024426273790596E-2</c:v>
                </c:pt>
                <c:pt idx="12">
                  <c:v>-0.294459143321461</c:v>
                </c:pt>
                <c:pt idx="13">
                  <c:v>-9.7229305429351598E-2</c:v>
                </c:pt>
              </c:numCache>
            </c:numRef>
          </c:val>
          <c:extLst>
            <c:ext xmlns:c16="http://schemas.microsoft.com/office/drawing/2014/chart" uri="{C3380CC4-5D6E-409C-BE32-E72D297353CC}">
              <c16:uniqueId val="{00000003-A4D6-4DCD-A84E-5A0D39AB9A90}"/>
            </c:ext>
          </c:extLst>
        </c:ser>
        <c:ser>
          <c:idx val="2"/>
          <c:order val="2"/>
          <c:tx>
            <c:strRef>
              <c:f>Feuil3!$BF$1</c:f>
              <c:strCache>
                <c:ptCount val="1"/>
                <c:pt idx="0">
                  <c:v>ExtBorrowing</c:v>
                </c:pt>
              </c:strCache>
            </c:strRef>
          </c:tx>
          <c:spPr>
            <a:solidFill>
              <a:schemeClr val="accent3"/>
            </a:solidFill>
            <a:ln>
              <a:noFill/>
            </a:ln>
            <a:effectLst/>
          </c:spPr>
          <c:invertIfNegative val="0"/>
          <c:dLbls>
            <c:dLbl>
              <c:idx val="7"/>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4D6-4DCD-A84E-5A0D39AB9A9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Feuil3!$BC$2:$BC$15</c:f>
              <c:strCache>
                <c:ptCount val="14"/>
                <c:pt idx="0">
                  <c:v>agriculture</c:v>
                </c:pt>
                <c:pt idx="1">
                  <c:v>livestock</c:v>
                </c:pt>
                <c:pt idx="2">
                  <c:v>Forestry</c:v>
                </c:pt>
                <c:pt idx="3">
                  <c:v>Fisheries</c:v>
                </c:pt>
                <c:pt idx="4">
                  <c:v>Mining</c:v>
                </c:pt>
                <c:pt idx="5">
                  <c:v>Oil Refining</c:v>
                </c:pt>
                <c:pt idx="6">
                  <c:v>Manufacturing</c:v>
                </c:pt>
                <c:pt idx="7">
                  <c:v>Transport and Storage</c:v>
                </c:pt>
                <c:pt idx="8">
                  <c:v>Accomodation and food services</c:v>
                </c:pt>
                <c:pt idx="9">
                  <c:v>Telecommunications</c:v>
                </c:pt>
                <c:pt idx="10">
                  <c:v>Financial and insurance services</c:v>
                </c:pt>
                <c:pt idx="11">
                  <c:v>Professional activities</c:v>
                </c:pt>
                <c:pt idx="12">
                  <c:v>Busniness services</c:v>
                </c:pt>
                <c:pt idx="13">
                  <c:v>Other Services</c:v>
                </c:pt>
              </c:strCache>
            </c:strRef>
          </c:cat>
          <c:val>
            <c:numRef>
              <c:f>Feuil3!$BF$2:$BF$15</c:f>
              <c:numCache>
                <c:formatCode>0.00</c:formatCode>
                <c:ptCount val="14"/>
                <c:pt idx="0">
                  <c:v>-0.40633611791494106</c:v>
                </c:pt>
                <c:pt idx="1">
                  <c:v>-0.4880669687317406</c:v>
                </c:pt>
                <c:pt idx="2">
                  <c:v>0.113122657524983</c:v>
                </c:pt>
                <c:pt idx="3">
                  <c:v>-0.54464877755809504</c:v>
                </c:pt>
                <c:pt idx="4">
                  <c:v>-1.4652316065466362</c:v>
                </c:pt>
                <c:pt idx="5">
                  <c:v>-0.37048645859796597</c:v>
                </c:pt>
                <c:pt idx="6">
                  <c:v>-0.64931877463729981</c:v>
                </c:pt>
                <c:pt idx="7">
                  <c:v>3.0872623611475101</c:v>
                </c:pt>
                <c:pt idx="8">
                  <c:v>-0.55656690056314095</c:v>
                </c:pt>
                <c:pt idx="9">
                  <c:v>-0.29642536699132899</c:v>
                </c:pt>
                <c:pt idx="10">
                  <c:v>-0.344950813957141</c:v>
                </c:pt>
                <c:pt idx="11">
                  <c:v>-0.48605795238930199</c:v>
                </c:pt>
                <c:pt idx="12">
                  <c:v>-0.37416526916015902</c:v>
                </c:pt>
                <c:pt idx="13">
                  <c:v>-0.296701608008902</c:v>
                </c:pt>
              </c:numCache>
            </c:numRef>
          </c:val>
          <c:extLst>
            <c:ext xmlns:c16="http://schemas.microsoft.com/office/drawing/2014/chart" uri="{C3380CC4-5D6E-409C-BE32-E72D297353CC}">
              <c16:uniqueId val="{00000005-A4D6-4DCD-A84E-5A0D39AB9A90}"/>
            </c:ext>
          </c:extLst>
        </c:ser>
        <c:dLbls>
          <c:showLegendKey val="0"/>
          <c:showVal val="0"/>
          <c:showCatName val="0"/>
          <c:showSerName val="0"/>
          <c:showPercent val="0"/>
          <c:showBubbleSize val="0"/>
        </c:dLbls>
        <c:gapWidth val="219"/>
        <c:overlap val="-27"/>
        <c:axId val="643271312"/>
        <c:axId val="643271672"/>
      </c:barChart>
      <c:catAx>
        <c:axId val="64327131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3271672"/>
        <c:crosses val="autoZero"/>
        <c:auto val="1"/>
        <c:lblAlgn val="ctr"/>
        <c:lblOffset val="100"/>
        <c:noMultiLvlLbl val="0"/>
      </c:catAx>
      <c:valAx>
        <c:axId val="643271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1" i="0" u="none" strike="noStrike" kern="1200" baseline="0">
                    <a:solidFill>
                      <a:sysClr val="windowText" lastClr="000000">
                        <a:lumMod val="65000"/>
                        <a:lumOff val="35000"/>
                      </a:sysClr>
                    </a:solidFill>
                    <a:effectLst/>
                  </a:rPr>
                  <a:t>Variation in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Red]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3271312"/>
        <c:crosses val="autoZero"/>
        <c:crossBetween val="between"/>
      </c:valAx>
      <c:spPr>
        <a:noFill/>
        <a:ln>
          <a:noFill/>
        </a:ln>
        <a:effectLst/>
      </c:spPr>
    </c:plotArea>
    <c:legend>
      <c:legendPos val="b"/>
      <c:layout>
        <c:manualLayout>
          <c:xMode val="edge"/>
          <c:yMode val="edge"/>
          <c:x val="1.5741427855640996E-3"/>
          <c:y val="0.9144697510885138"/>
          <c:w val="0.41398122750119071"/>
          <c:h val="8.553024891148616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 sz="1400">
                <a:effectLst/>
              </a:rPr>
              <a:t>IMPORT</a:t>
            </a:r>
          </a:p>
        </c:rich>
      </c:tx>
      <c:layout>
        <c:manualLayout>
          <c:xMode val="edge"/>
          <c:yMode val="edge"/>
          <c:x val="0.17343602693738"/>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238490639476082E-2"/>
          <c:y val="6.7205398391429666E-2"/>
          <c:w val="0.92137356486218447"/>
          <c:h val="0.52644446592714733"/>
        </c:manualLayout>
      </c:layout>
      <c:barChart>
        <c:barDir val="col"/>
        <c:grouping val="clustered"/>
        <c:varyColors val="0"/>
        <c:ser>
          <c:idx val="0"/>
          <c:order val="0"/>
          <c:tx>
            <c:strRef>
              <c:f>Feuil3!$BQ$1</c:f>
              <c:strCache>
                <c:ptCount val="1"/>
                <c:pt idx="0">
                  <c:v>IntBorrowing</c:v>
                </c:pt>
              </c:strCache>
            </c:strRef>
          </c:tx>
          <c:spPr>
            <a:solidFill>
              <a:schemeClr val="accent1"/>
            </a:solidFill>
            <a:ln>
              <a:noFill/>
            </a:ln>
            <a:effectLst/>
          </c:spPr>
          <c:invertIfNegative val="0"/>
          <c:dLbls>
            <c:dLbl>
              <c:idx val="2"/>
              <c:layout>
                <c:manualLayout>
                  <c:x val="-1.0207206287639091E-2"/>
                  <c:y val="2.31485126859142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079-41CA-8AB9-6F1EA366669B}"/>
                </c:ext>
              </c:extLst>
            </c:dLbl>
            <c:dLbl>
              <c:idx val="4"/>
              <c:layout>
                <c:manualLayout>
                  <c:x val="-8.1657650301112956E-3"/>
                  <c:y val="9.25925925925925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079-41CA-8AB9-6F1EA366669B}"/>
                </c:ext>
              </c:extLst>
            </c:dLbl>
            <c:dLbl>
              <c:idx val="5"/>
              <c:layout>
                <c:manualLayout>
                  <c:x val="-1.0207206287639074E-2"/>
                  <c:y val="2.31485126859142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079-41CA-8AB9-6F1EA366669B}"/>
                </c:ext>
              </c:extLst>
            </c:dLbl>
            <c:dLbl>
              <c:idx val="9"/>
              <c:layout>
                <c:manualLayout>
                  <c:x val="-1.0207206287639074E-2"/>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079-41CA-8AB9-6F1EA366669B}"/>
                </c:ext>
              </c:extLst>
            </c:dLbl>
            <c:dLbl>
              <c:idx val="14"/>
              <c:layout>
                <c:manualLayout>
                  <c:x val="0"/>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079-41CA-8AB9-6F1EA366669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70C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Feuil3!$BP$2:$BP$17</c:f>
              <c:strCache>
                <c:ptCount val="16"/>
                <c:pt idx="0">
                  <c:v>agriculture</c:v>
                </c:pt>
                <c:pt idx="1">
                  <c:v>livestock</c:v>
                </c:pt>
                <c:pt idx="2">
                  <c:v>Forestry</c:v>
                </c:pt>
                <c:pt idx="3">
                  <c:v>Fisheries</c:v>
                </c:pt>
                <c:pt idx="4">
                  <c:v>Mining</c:v>
                </c:pt>
                <c:pt idx="5">
                  <c:v>Oil Refining</c:v>
                </c:pt>
                <c:pt idx="6">
                  <c:v>Manufacturing</c:v>
                </c:pt>
                <c:pt idx="7">
                  <c:v>Electricity and Water </c:v>
                </c:pt>
                <c:pt idx="8">
                  <c:v>Construction</c:v>
                </c:pt>
                <c:pt idx="9">
                  <c:v>Transport and Storage</c:v>
                </c:pt>
                <c:pt idx="10">
                  <c:v>Telecommunications</c:v>
                </c:pt>
                <c:pt idx="11">
                  <c:v>Financial and insurance services</c:v>
                </c:pt>
                <c:pt idx="12">
                  <c:v>Professional activities</c:v>
                </c:pt>
                <c:pt idx="13">
                  <c:v>Busniness services</c:v>
                </c:pt>
                <c:pt idx="14">
                  <c:v>Public services</c:v>
                </c:pt>
                <c:pt idx="15">
                  <c:v>Other Services</c:v>
                </c:pt>
              </c:strCache>
            </c:strRef>
          </c:cat>
          <c:val>
            <c:numRef>
              <c:f>Feuil3!$BQ$2:$BQ$17</c:f>
              <c:numCache>
                <c:formatCode>0.00</c:formatCode>
                <c:ptCount val="16"/>
                <c:pt idx="0">
                  <c:v>0.69473233243588206</c:v>
                </c:pt>
                <c:pt idx="1">
                  <c:v>0.77199788698689975</c:v>
                </c:pt>
                <c:pt idx="2">
                  <c:v>-6.2817204162740795E-2</c:v>
                </c:pt>
                <c:pt idx="3">
                  <c:v>0.54425957426069305</c:v>
                </c:pt>
                <c:pt idx="4">
                  <c:v>-0.70274601740922005</c:v>
                </c:pt>
                <c:pt idx="5">
                  <c:v>-6.2817204162740795E-2</c:v>
                </c:pt>
                <c:pt idx="6">
                  <c:v>0.50077622519087694</c:v>
                </c:pt>
                <c:pt idx="7">
                  <c:v>0.62362693445699302</c:v>
                </c:pt>
                <c:pt idx="8">
                  <c:v>-0.47391049221523901</c:v>
                </c:pt>
                <c:pt idx="9">
                  <c:v>-2.8468413081688602</c:v>
                </c:pt>
                <c:pt idx="10">
                  <c:v>0.43090970793913602</c:v>
                </c:pt>
                <c:pt idx="11">
                  <c:v>0.38024476361968601</c:v>
                </c:pt>
                <c:pt idx="12">
                  <c:v>-3.7376953354666398E-2</c:v>
                </c:pt>
                <c:pt idx="13">
                  <c:v>0.29319951581440801</c:v>
                </c:pt>
                <c:pt idx="14">
                  <c:v>0.54880373016336625</c:v>
                </c:pt>
                <c:pt idx="15">
                  <c:v>0.43802995699917302</c:v>
                </c:pt>
              </c:numCache>
            </c:numRef>
          </c:val>
          <c:extLst>
            <c:ext xmlns:c16="http://schemas.microsoft.com/office/drawing/2014/chart" uri="{C3380CC4-5D6E-409C-BE32-E72D297353CC}">
              <c16:uniqueId val="{00000000-C079-41CA-8AB9-6F1EA366669B}"/>
            </c:ext>
          </c:extLst>
        </c:ser>
        <c:ser>
          <c:idx val="1"/>
          <c:order val="1"/>
          <c:tx>
            <c:strRef>
              <c:f>Feuil3!$BR$1</c:f>
              <c:strCache>
                <c:ptCount val="1"/>
                <c:pt idx="0">
                  <c:v>GovSpend</c:v>
                </c:pt>
              </c:strCache>
            </c:strRef>
          </c:tx>
          <c:spPr>
            <a:solidFill>
              <a:schemeClr val="accent2"/>
            </a:solidFill>
            <a:ln>
              <a:noFill/>
            </a:ln>
            <a:effectLst/>
          </c:spPr>
          <c:invertIfNegative val="0"/>
          <c:dLbls>
            <c:dLbl>
              <c:idx val="14"/>
              <c:layout>
                <c:manualLayout>
                  <c:x val="0"/>
                  <c:y val="4.629629629629714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079-41CA-8AB9-6F1EA366669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Feuil3!$BP$2:$BP$17</c:f>
              <c:strCache>
                <c:ptCount val="16"/>
                <c:pt idx="0">
                  <c:v>agriculture</c:v>
                </c:pt>
                <c:pt idx="1">
                  <c:v>livestock</c:v>
                </c:pt>
                <c:pt idx="2">
                  <c:v>Forestry</c:v>
                </c:pt>
                <c:pt idx="3">
                  <c:v>Fisheries</c:v>
                </c:pt>
                <c:pt idx="4">
                  <c:v>Mining</c:v>
                </c:pt>
                <c:pt idx="5">
                  <c:v>Oil Refining</c:v>
                </c:pt>
                <c:pt idx="6">
                  <c:v>Manufacturing</c:v>
                </c:pt>
                <c:pt idx="7">
                  <c:v>Electricity and Water </c:v>
                </c:pt>
                <c:pt idx="8">
                  <c:v>Construction</c:v>
                </c:pt>
                <c:pt idx="9">
                  <c:v>Transport and Storage</c:v>
                </c:pt>
                <c:pt idx="10">
                  <c:v>Telecommunications</c:v>
                </c:pt>
                <c:pt idx="11">
                  <c:v>Financial and insurance services</c:v>
                </c:pt>
                <c:pt idx="12">
                  <c:v>Professional activities</c:v>
                </c:pt>
                <c:pt idx="13">
                  <c:v>Busniness services</c:v>
                </c:pt>
                <c:pt idx="14">
                  <c:v>Public services</c:v>
                </c:pt>
                <c:pt idx="15">
                  <c:v>Other Services</c:v>
                </c:pt>
              </c:strCache>
            </c:strRef>
          </c:cat>
          <c:val>
            <c:numRef>
              <c:f>Feuil3!$BR$2:$BR$17</c:f>
              <c:numCache>
                <c:formatCode>0.00</c:formatCode>
                <c:ptCount val="16"/>
                <c:pt idx="0">
                  <c:v>0.40911984291289494</c:v>
                </c:pt>
                <c:pt idx="1">
                  <c:v>0.58850033091848508</c:v>
                </c:pt>
                <c:pt idx="2">
                  <c:v>-0.41341338411822898</c:v>
                </c:pt>
                <c:pt idx="3">
                  <c:v>0.40043385415987098</c:v>
                </c:pt>
                <c:pt idx="4">
                  <c:v>-0.22749961653246928</c:v>
                </c:pt>
                <c:pt idx="5">
                  <c:v>-0.41341338411822898</c:v>
                </c:pt>
                <c:pt idx="6">
                  <c:v>0.32411176495459676</c:v>
                </c:pt>
                <c:pt idx="7">
                  <c:v>0.48716423877934301</c:v>
                </c:pt>
                <c:pt idx="8">
                  <c:v>3.0389826800387701E-3</c:v>
                </c:pt>
                <c:pt idx="9">
                  <c:v>-2.9542376532146499</c:v>
                </c:pt>
                <c:pt idx="10">
                  <c:v>0.17635252564358</c:v>
                </c:pt>
                <c:pt idx="11">
                  <c:v>7.97525691788223E-2</c:v>
                </c:pt>
                <c:pt idx="12">
                  <c:v>0.42218956633198002</c:v>
                </c:pt>
                <c:pt idx="13">
                  <c:v>2.78085011574092E-3</c:v>
                </c:pt>
                <c:pt idx="14">
                  <c:v>-0.49517361825552103</c:v>
                </c:pt>
                <c:pt idx="15">
                  <c:v>0.15824705792400101</c:v>
                </c:pt>
              </c:numCache>
            </c:numRef>
          </c:val>
          <c:extLst>
            <c:ext xmlns:c16="http://schemas.microsoft.com/office/drawing/2014/chart" uri="{C3380CC4-5D6E-409C-BE32-E72D297353CC}">
              <c16:uniqueId val="{00000001-C079-41CA-8AB9-6F1EA366669B}"/>
            </c:ext>
          </c:extLst>
        </c:ser>
        <c:ser>
          <c:idx val="2"/>
          <c:order val="2"/>
          <c:tx>
            <c:strRef>
              <c:f>Feuil3!$BS$1</c:f>
              <c:strCache>
                <c:ptCount val="1"/>
                <c:pt idx="0">
                  <c:v>ExtBorrowing</c:v>
                </c:pt>
              </c:strCache>
            </c:strRef>
          </c:tx>
          <c:spPr>
            <a:solidFill>
              <a:schemeClr val="accent3"/>
            </a:solidFill>
            <a:ln>
              <a:noFill/>
            </a:ln>
            <a:effectLst/>
          </c:spPr>
          <c:invertIfNegative val="0"/>
          <c:dLbls>
            <c:dLbl>
              <c:idx val="4"/>
              <c:layout>
                <c:manualLayout>
                  <c:x val="3.7425990706438277E-17"/>
                  <c:y val="-9.258894721493146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079-41CA-8AB9-6F1EA366669B}"/>
                </c:ext>
              </c:extLst>
            </c:dLbl>
            <c:dLbl>
              <c:idx val="9"/>
              <c:layout>
                <c:manualLayout>
                  <c:x val="6.1243237725834435E-3"/>
                  <c:y val="2.31481481481483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079-41CA-8AB9-6F1EA366669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Feuil3!$BP$2:$BP$17</c:f>
              <c:strCache>
                <c:ptCount val="16"/>
                <c:pt idx="0">
                  <c:v>agriculture</c:v>
                </c:pt>
                <c:pt idx="1">
                  <c:v>livestock</c:v>
                </c:pt>
                <c:pt idx="2">
                  <c:v>Forestry</c:v>
                </c:pt>
                <c:pt idx="3">
                  <c:v>Fisheries</c:v>
                </c:pt>
                <c:pt idx="4">
                  <c:v>Mining</c:v>
                </c:pt>
                <c:pt idx="5">
                  <c:v>Oil Refining</c:v>
                </c:pt>
                <c:pt idx="6">
                  <c:v>Manufacturing</c:v>
                </c:pt>
                <c:pt idx="7">
                  <c:v>Electricity and Water </c:v>
                </c:pt>
                <c:pt idx="8">
                  <c:v>Construction</c:v>
                </c:pt>
                <c:pt idx="9">
                  <c:v>Transport and Storage</c:v>
                </c:pt>
                <c:pt idx="10">
                  <c:v>Telecommunications</c:v>
                </c:pt>
                <c:pt idx="11">
                  <c:v>Financial and insurance services</c:v>
                </c:pt>
                <c:pt idx="12">
                  <c:v>Professional activities</c:v>
                </c:pt>
                <c:pt idx="13">
                  <c:v>Busniness services</c:v>
                </c:pt>
                <c:pt idx="14">
                  <c:v>Public services</c:v>
                </c:pt>
                <c:pt idx="15">
                  <c:v>Other Services</c:v>
                </c:pt>
              </c:strCache>
            </c:strRef>
          </c:cat>
          <c:val>
            <c:numRef>
              <c:f>Feuil3!$BS$2:$BS$17</c:f>
              <c:numCache>
                <c:formatCode>0.00</c:formatCode>
                <c:ptCount val="16"/>
                <c:pt idx="0">
                  <c:v>1.0059926198791396</c:v>
                </c:pt>
                <c:pt idx="1">
                  <c:v>0.86091189823704251</c:v>
                </c:pt>
                <c:pt idx="2">
                  <c:v>0.41803653667220397</c:v>
                </c:pt>
                <c:pt idx="3">
                  <c:v>0.74645919871696298</c:v>
                </c:pt>
                <c:pt idx="4">
                  <c:v>-0.33583673729516139</c:v>
                </c:pt>
                <c:pt idx="5">
                  <c:v>0.41803653667220397</c:v>
                </c:pt>
                <c:pt idx="6">
                  <c:v>0.80530443730584367</c:v>
                </c:pt>
                <c:pt idx="7">
                  <c:v>0.86952187900253397</c:v>
                </c:pt>
                <c:pt idx="8">
                  <c:v>0.34073995940066498</c:v>
                </c:pt>
                <c:pt idx="9">
                  <c:v>-2.6300155876879399</c:v>
                </c:pt>
                <c:pt idx="10">
                  <c:v>0.72023549065566805</c:v>
                </c:pt>
                <c:pt idx="11">
                  <c:v>0.73366848094720205</c:v>
                </c:pt>
                <c:pt idx="12">
                  <c:v>1.0479027847995599</c:v>
                </c:pt>
                <c:pt idx="13">
                  <c:v>0.58010915821384401</c:v>
                </c:pt>
                <c:pt idx="14">
                  <c:v>0.89441273729814463</c:v>
                </c:pt>
                <c:pt idx="15">
                  <c:v>0.75260139263451697</c:v>
                </c:pt>
              </c:numCache>
            </c:numRef>
          </c:val>
          <c:extLst>
            <c:ext xmlns:c16="http://schemas.microsoft.com/office/drawing/2014/chart" uri="{C3380CC4-5D6E-409C-BE32-E72D297353CC}">
              <c16:uniqueId val="{00000002-C079-41CA-8AB9-6F1EA366669B}"/>
            </c:ext>
          </c:extLst>
        </c:ser>
        <c:dLbls>
          <c:showLegendKey val="0"/>
          <c:showVal val="0"/>
          <c:showCatName val="0"/>
          <c:showSerName val="0"/>
          <c:showPercent val="0"/>
          <c:showBubbleSize val="0"/>
        </c:dLbls>
        <c:gapWidth val="219"/>
        <c:overlap val="-27"/>
        <c:axId val="627208032"/>
        <c:axId val="627205872"/>
      </c:barChart>
      <c:catAx>
        <c:axId val="62720803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7205872"/>
        <c:crosses val="autoZero"/>
        <c:auto val="1"/>
        <c:lblAlgn val="ctr"/>
        <c:lblOffset val="100"/>
        <c:noMultiLvlLbl val="0"/>
      </c:catAx>
      <c:valAx>
        <c:axId val="627205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1" i="0" u="none" strike="noStrike" kern="1200" baseline="0">
                    <a:solidFill>
                      <a:sysClr val="windowText" lastClr="000000">
                        <a:lumMod val="65000"/>
                        <a:lumOff val="35000"/>
                      </a:sysClr>
                    </a:solidFill>
                    <a:effectLst/>
                  </a:rPr>
                  <a:t>Variation in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7208032"/>
        <c:crosses val="autoZero"/>
        <c:crossBetween val="between"/>
      </c:valAx>
      <c:spPr>
        <a:noFill/>
        <a:ln>
          <a:noFill/>
        </a:ln>
        <a:effectLst/>
      </c:spPr>
    </c:plotArea>
    <c:legend>
      <c:legendPos val="b"/>
      <c:layout>
        <c:manualLayout>
          <c:xMode val="edge"/>
          <c:yMode val="edge"/>
          <c:x val="7.128485931447566E-2"/>
          <c:y val="0.89872630504520268"/>
          <c:w val="0.49293628631890163"/>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539370078740152E-2"/>
          <c:y val="2.5428331875182269E-2"/>
          <c:w val="0.88890507436570432"/>
          <c:h val="0.94914333624963543"/>
        </c:manualLayout>
      </c:layout>
      <c:barChart>
        <c:barDir val="col"/>
        <c:grouping val="clustered"/>
        <c:varyColors val="0"/>
        <c:ser>
          <c:idx val="0"/>
          <c:order val="0"/>
          <c:tx>
            <c:strRef>
              <c:f>Feuil3!$CC$1</c:f>
              <c:strCache>
                <c:ptCount val="1"/>
                <c:pt idx="0">
                  <c:v>IntBorrowing</c:v>
                </c:pt>
              </c:strCache>
            </c:strRef>
          </c:tx>
          <c:spPr>
            <a:solidFill>
              <a:schemeClr val="accent1"/>
            </a:solidFill>
            <a:ln>
              <a:noFill/>
            </a:ln>
            <a:effectLst/>
          </c:spPr>
          <c:invertIfNegative val="0"/>
          <c:dLbls>
            <c:dLbl>
              <c:idx val="13"/>
              <c:layout>
                <c:manualLayout>
                  <c:x val="-1.4367816091954097E-2"/>
                  <c:y val="2.7777777777777946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70C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BE6-4EF2-9CE0-6C81E05E296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Feuil3!$CB$2:$CB$23</c:f>
              <c:strCache>
                <c:ptCount val="22"/>
                <c:pt idx="0">
                  <c:v>agriculture D</c:v>
                </c:pt>
                <c:pt idx="1">
                  <c:v>livestock D</c:v>
                </c:pt>
                <c:pt idx="2">
                  <c:v>agriculture</c:v>
                </c:pt>
                <c:pt idx="3">
                  <c:v>livestock</c:v>
                </c:pt>
                <c:pt idx="4">
                  <c:v>Forestry</c:v>
                </c:pt>
                <c:pt idx="5">
                  <c:v>Fisheries</c:v>
                </c:pt>
                <c:pt idx="6">
                  <c:v>Petroleum</c:v>
                </c:pt>
                <c:pt idx="7">
                  <c:v>Mining</c:v>
                </c:pt>
                <c:pt idx="8">
                  <c:v>Oil Refining</c:v>
                </c:pt>
                <c:pt idx="9">
                  <c:v>Manufacturing</c:v>
                </c:pt>
                <c:pt idx="10">
                  <c:v>Electricity and Water </c:v>
                </c:pt>
                <c:pt idx="11">
                  <c:v>Construction</c:v>
                </c:pt>
                <c:pt idx="12">
                  <c:v>Trade and repair</c:v>
                </c:pt>
                <c:pt idx="13">
                  <c:v>Transport and Storage</c:v>
                </c:pt>
                <c:pt idx="14">
                  <c:v>Accomodation and food services</c:v>
                </c:pt>
                <c:pt idx="15">
                  <c:v>Telecommunications</c:v>
                </c:pt>
                <c:pt idx="16">
                  <c:v>Financial and insurance services</c:v>
                </c:pt>
                <c:pt idx="17">
                  <c:v>Real Estate</c:v>
                </c:pt>
                <c:pt idx="18">
                  <c:v>Professional activities</c:v>
                </c:pt>
                <c:pt idx="19">
                  <c:v>Busniness services</c:v>
                </c:pt>
                <c:pt idx="20">
                  <c:v>Public services</c:v>
                </c:pt>
                <c:pt idx="21">
                  <c:v>Other Services</c:v>
                </c:pt>
              </c:strCache>
            </c:strRef>
          </c:cat>
          <c:val>
            <c:numRef>
              <c:f>Feuil3!$CC$2:$CC$23</c:f>
              <c:numCache>
                <c:formatCode>0.00</c:formatCode>
                <c:ptCount val="22"/>
                <c:pt idx="0">
                  <c:v>0.17858211475008326</c:v>
                </c:pt>
                <c:pt idx="1">
                  <c:v>0.29214361673266476</c:v>
                </c:pt>
                <c:pt idx="2">
                  <c:v>0.10543463347907051</c:v>
                </c:pt>
                <c:pt idx="3">
                  <c:v>0.12374438585646601</c:v>
                </c:pt>
                <c:pt idx="4">
                  <c:v>-0.104385676905693</c:v>
                </c:pt>
                <c:pt idx="5">
                  <c:v>0.13271262008683499</c:v>
                </c:pt>
                <c:pt idx="6">
                  <c:v>6.54200100129287E-2</c:v>
                </c:pt>
                <c:pt idx="7">
                  <c:v>5.4718740351979857E-2</c:v>
                </c:pt>
                <c:pt idx="8">
                  <c:v>0.17631833559939</c:v>
                </c:pt>
                <c:pt idx="9">
                  <c:v>5.6665381592461032E-2</c:v>
                </c:pt>
                <c:pt idx="10">
                  <c:v>5.0341805282918997E-2</c:v>
                </c:pt>
                <c:pt idx="11">
                  <c:v>-8.4830721033014797E-2</c:v>
                </c:pt>
                <c:pt idx="12">
                  <c:v>5.283865934114125E-2</c:v>
                </c:pt>
                <c:pt idx="13">
                  <c:v>-1.08768119807431</c:v>
                </c:pt>
                <c:pt idx="14">
                  <c:v>9.3045778088580305E-2</c:v>
                </c:pt>
                <c:pt idx="15">
                  <c:v>2.58410450092867E-2</c:v>
                </c:pt>
                <c:pt idx="16">
                  <c:v>4.9503330929851999E-2</c:v>
                </c:pt>
                <c:pt idx="17">
                  <c:v>-5.4068851827096899E-2</c:v>
                </c:pt>
                <c:pt idx="18">
                  <c:v>3.74807758484366E-2</c:v>
                </c:pt>
                <c:pt idx="19">
                  <c:v>2.3329713806347699E-2</c:v>
                </c:pt>
                <c:pt idx="20">
                  <c:v>6.8460501523390005E-2</c:v>
                </c:pt>
                <c:pt idx="21">
                  <c:v>2.5130460772658101E-2</c:v>
                </c:pt>
              </c:numCache>
            </c:numRef>
          </c:val>
          <c:extLst>
            <c:ext xmlns:c16="http://schemas.microsoft.com/office/drawing/2014/chart" uri="{C3380CC4-5D6E-409C-BE32-E72D297353CC}">
              <c16:uniqueId val="{00000000-BBE6-4EF2-9CE0-6C81E05E2961}"/>
            </c:ext>
          </c:extLst>
        </c:ser>
        <c:ser>
          <c:idx val="1"/>
          <c:order val="1"/>
          <c:tx>
            <c:strRef>
              <c:f>Feuil3!$CD$1</c:f>
              <c:strCache>
                <c:ptCount val="1"/>
                <c:pt idx="0">
                  <c:v>GovSpend</c:v>
                </c:pt>
              </c:strCache>
            </c:strRef>
          </c:tx>
          <c:spPr>
            <a:solidFill>
              <a:schemeClr val="accent2"/>
            </a:solidFill>
            <a:ln>
              <a:noFill/>
            </a:ln>
            <a:effectLst/>
          </c:spPr>
          <c:invertIfNegative val="0"/>
          <c:dLbls>
            <c:dLbl>
              <c:idx val="13"/>
              <c:layout>
                <c:manualLayout>
                  <c:x val="-7.5259119653320161E-17"/>
                  <c:y val="4.62962962962962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BE6-4EF2-9CE0-6C81E05E296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Feuil3!$CB$2:$CB$23</c:f>
              <c:strCache>
                <c:ptCount val="22"/>
                <c:pt idx="0">
                  <c:v>agriculture D</c:v>
                </c:pt>
                <c:pt idx="1">
                  <c:v>livestock D</c:v>
                </c:pt>
                <c:pt idx="2">
                  <c:v>agriculture</c:v>
                </c:pt>
                <c:pt idx="3">
                  <c:v>livestock</c:v>
                </c:pt>
                <c:pt idx="4">
                  <c:v>Forestry</c:v>
                </c:pt>
                <c:pt idx="5">
                  <c:v>Fisheries</c:v>
                </c:pt>
                <c:pt idx="6">
                  <c:v>Petroleum</c:v>
                </c:pt>
                <c:pt idx="7">
                  <c:v>Mining</c:v>
                </c:pt>
                <c:pt idx="8">
                  <c:v>Oil Refining</c:v>
                </c:pt>
                <c:pt idx="9">
                  <c:v>Manufacturing</c:v>
                </c:pt>
                <c:pt idx="10">
                  <c:v>Electricity and Water </c:v>
                </c:pt>
                <c:pt idx="11">
                  <c:v>Construction</c:v>
                </c:pt>
                <c:pt idx="12">
                  <c:v>Trade and repair</c:v>
                </c:pt>
                <c:pt idx="13">
                  <c:v>Transport and Storage</c:v>
                </c:pt>
                <c:pt idx="14">
                  <c:v>Accomodation and food services</c:v>
                </c:pt>
                <c:pt idx="15">
                  <c:v>Telecommunications</c:v>
                </c:pt>
                <c:pt idx="16">
                  <c:v>Financial and insurance services</c:v>
                </c:pt>
                <c:pt idx="17">
                  <c:v>Real Estate</c:v>
                </c:pt>
                <c:pt idx="18">
                  <c:v>Professional activities</c:v>
                </c:pt>
                <c:pt idx="19">
                  <c:v>Busniness services</c:v>
                </c:pt>
                <c:pt idx="20">
                  <c:v>Public services</c:v>
                </c:pt>
                <c:pt idx="21">
                  <c:v>Other Services</c:v>
                </c:pt>
              </c:strCache>
            </c:strRef>
          </c:cat>
          <c:val>
            <c:numRef>
              <c:f>Feuil3!$CD$2:$CD$23</c:f>
              <c:numCache>
                <c:formatCode>0.00</c:formatCode>
                <c:ptCount val="22"/>
                <c:pt idx="0">
                  <c:v>0.16968066101448562</c:v>
                </c:pt>
                <c:pt idx="1">
                  <c:v>0.30749515170944602</c:v>
                </c:pt>
                <c:pt idx="2">
                  <c:v>9.6486070990949815E-2</c:v>
                </c:pt>
                <c:pt idx="3">
                  <c:v>0.1418913963005595</c:v>
                </c:pt>
                <c:pt idx="4">
                  <c:v>-0.11370775395303701</c:v>
                </c:pt>
                <c:pt idx="5">
                  <c:v>0.141481687320265</c:v>
                </c:pt>
                <c:pt idx="6">
                  <c:v>9.9961458145656906E-2</c:v>
                </c:pt>
                <c:pt idx="7">
                  <c:v>-8.5915450410778207E-3</c:v>
                </c:pt>
                <c:pt idx="8">
                  <c:v>0.19692046917467099</c:v>
                </c:pt>
                <c:pt idx="9">
                  <c:v>6.3667118508989054E-2</c:v>
                </c:pt>
                <c:pt idx="10">
                  <c:v>5.3844980313208148E-2</c:v>
                </c:pt>
                <c:pt idx="11">
                  <c:v>-4.88897204042473E-2</c:v>
                </c:pt>
                <c:pt idx="12">
                  <c:v>6.3211415483102898E-2</c:v>
                </c:pt>
                <c:pt idx="13">
                  <c:v>-1.07445372528491</c:v>
                </c:pt>
                <c:pt idx="14">
                  <c:v>8.6508680023115403E-2</c:v>
                </c:pt>
                <c:pt idx="15">
                  <c:v>4.0785064039795302E-2</c:v>
                </c:pt>
                <c:pt idx="16">
                  <c:v>5.0933163936477399E-2</c:v>
                </c:pt>
                <c:pt idx="17">
                  <c:v>-3.4005324898885199E-2</c:v>
                </c:pt>
                <c:pt idx="18">
                  <c:v>6.9998017510812402E-2</c:v>
                </c:pt>
                <c:pt idx="19">
                  <c:v>3.3570175792945599E-2</c:v>
                </c:pt>
                <c:pt idx="20">
                  <c:v>-4.5316744963486605E-4</c:v>
                </c:pt>
                <c:pt idx="21">
                  <c:v>2.6497534706933799E-2</c:v>
                </c:pt>
              </c:numCache>
            </c:numRef>
          </c:val>
          <c:extLst>
            <c:ext xmlns:c16="http://schemas.microsoft.com/office/drawing/2014/chart" uri="{C3380CC4-5D6E-409C-BE32-E72D297353CC}">
              <c16:uniqueId val="{00000001-BBE6-4EF2-9CE0-6C81E05E2961}"/>
            </c:ext>
          </c:extLst>
        </c:ser>
        <c:ser>
          <c:idx val="2"/>
          <c:order val="2"/>
          <c:tx>
            <c:strRef>
              <c:f>Feuil3!$CE$1</c:f>
              <c:strCache>
                <c:ptCount val="1"/>
                <c:pt idx="0">
                  <c:v>ExtBorrowing</c:v>
                </c:pt>
              </c:strCache>
            </c:strRef>
          </c:tx>
          <c:spPr>
            <a:solidFill>
              <a:schemeClr val="accent3"/>
            </a:solidFill>
            <a:ln>
              <a:noFill/>
            </a:ln>
            <a:effectLst/>
          </c:spPr>
          <c:invertIfNegative val="0"/>
          <c:dLbls>
            <c:dLbl>
              <c:idx val="13"/>
              <c:layout>
                <c:manualLayout>
                  <c:x val="2.052545155993507E-3"/>
                  <c:y val="-2.3147783610382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BE6-4EF2-9CE0-6C81E05E296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Feuil3!$CB$2:$CB$23</c:f>
              <c:strCache>
                <c:ptCount val="22"/>
                <c:pt idx="0">
                  <c:v>agriculture D</c:v>
                </c:pt>
                <c:pt idx="1">
                  <c:v>livestock D</c:v>
                </c:pt>
                <c:pt idx="2">
                  <c:v>agriculture</c:v>
                </c:pt>
                <c:pt idx="3">
                  <c:v>livestock</c:v>
                </c:pt>
                <c:pt idx="4">
                  <c:v>Forestry</c:v>
                </c:pt>
                <c:pt idx="5">
                  <c:v>Fisheries</c:v>
                </c:pt>
                <c:pt idx="6">
                  <c:v>Petroleum</c:v>
                </c:pt>
                <c:pt idx="7">
                  <c:v>Mining</c:v>
                </c:pt>
                <c:pt idx="8">
                  <c:v>Oil Refining</c:v>
                </c:pt>
                <c:pt idx="9">
                  <c:v>Manufacturing</c:v>
                </c:pt>
                <c:pt idx="10">
                  <c:v>Electricity and Water </c:v>
                </c:pt>
                <c:pt idx="11">
                  <c:v>Construction</c:v>
                </c:pt>
                <c:pt idx="12">
                  <c:v>Trade and repair</c:v>
                </c:pt>
                <c:pt idx="13">
                  <c:v>Transport and Storage</c:v>
                </c:pt>
                <c:pt idx="14">
                  <c:v>Accomodation and food services</c:v>
                </c:pt>
                <c:pt idx="15">
                  <c:v>Telecommunications</c:v>
                </c:pt>
                <c:pt idx="16">
                  <c:v>Financial and insurance services</c:v>
                </c:pt>
                <c:pt idx="17">
                  <c:v>Real Estate</c:v>
                </c:pt>
                <c:pt idx="18">
                  <c:v>Professional activities</c:v>
                </c:pt>
                <c:pt idx="19">
                  <c:v>Busniness services</c:v>
                </c:pt>
                <c:pt idx="20">
                  <c:v>Public services</c:v>
                </c:pt>
                <c:pt idx="21">
                  <c:v>Other Services</c:v>
                </c:pt>
              </c:strCache>
            </c:strRef>
          </c:cat>
          <c:val>
            <c:numRef>
              <c:f>Feuil3!$CE$2:$CE$23</c:f>
              <c:numCache>
                <c:formatCode>0.00</c:formatCode>
                <c:ptCount val="22"/>
                <c:pt idx="0">
                  <c:v>0.15491114628353136</c:v>
                </c:pt>
                <c:pt idx="1">
                  <c:v>0.28492696110186283</c:v>
                </c:pt>
                <c:pt idx="2">
                  <c:v>8.1040615645830122E-2</c:v>
                </c:pt>
                <c:pt idx="3">
                  <c:v>5.7281993358426986E-2</c:v>
                </c:pt>
                <c:pt idx="4">
                  <c:v>-0.117090665264016</c:v>
                </c:pt>
                <c:pt idx="5">
                  <c:v>0.119738554020429</c:v>
                </c:pt>
                <c:pt idx="6">
                  <c:v>2.6983272998833699E-2</c:v>
                </c:pt>
                <c:pt idx="7">
                  <c:v>0.44316342682137816</c:v>
                </c:pt>
                <c:pt idx="8">
                  <c:v>0.19234374524974401</c:v>
                </c:pt>
                <c:pt idx="9">
                  <c:v>2.3336119124363085E-2</c:v>
                </c:pt>
                <c:pt idx="10">
                  <c:v>1.6625209287312252E-2</c:v>
                </c:pt>
                <c:pt idx="11">
                  <c:v>-0.112119065417517</c:v>
                </c:pt>
                <c:pt idx="12">
                  <c:v>4.2471456656883802E-2</c:v>
                </c:pt>
                <c:pt idx="13">
                  <c:v>-1.1153149611156401</c:v>
                </c:pt>
                <c:pt idx="14">
                  <c:v>9.7931063236231394E-2</c:v>
                </c:pt>
                <c:pt idx="15">
                  <c:v>1.01177274443103E-2</c:v>
                </c:pt>
                <c:pt idx="16">
                  <c:v>2.0491609245837601E-2</c:v>
                </c:pt>
                <c:pt idx="17">
                  <c:v>-7.1700631467081194E-2</c:v>
                </c:pt>
                <c:pt idx="18">
                  <c:v>9.6325119306214901E-2</c:v>
                </c:pt>
                <c:pt idx="19">
                  <c:v>-1.21636606010611E-4</c:v>
                </c:pt>
                <c:pt idx="20">
                  <c:v>6.1221505196504232E-2</c:v>
                </c:pt>
                <c:pt idx="21">
                  <c:v>1.55383075868087E-2</c:v>
                </c:pt>
              </c:numCache>
            </c:numRef>
          </c:val>
          <c:extLst>
            <c:ext xmlns:c16="http://schemas.microsoft.com/office/drawing/2014/chart" uri="{C3380CC4-5D6E-409C-BE32-E72D297353CC}">
              <c16:uniqueId val="{00000002-BBE6-4EF2-9CE0-6C81E05E2961}"/>
            </c:ext>
          </c:extLst>
        </c:ser>
        <c:dLbls>
          <c:showLegendKey val="0"/>
          <c:showVal val="0"/>
          <c:showCatName val="0"/>
          <c:showSerName val="0"/>
          <c:showPercent val="0"/>
          <c:showBubbleSize val="0"/>
        </c:dLbls>
        <c:gapWidth val="219"/>
        <c:overlap val="-27"/>
        <c:axId val="193512360"/>
        <c:axId val="193513800"/>
      </c:barChart>
      <c:catAx>
        <c:axId val="19351236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513800"/>
        <c:crosses val="autoZero"/>
        <c:auto val="1"/>
        <c:lblAlgn val="ctr"/>
        <c:lblOffset val="100"/>
        <c:noMultiLvlLbl val="0"/>
      </c:catAx>
      <c:valAx>
        <c:axId val="193513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1" i="0" u="none" strike="noStrike" kern="1200" baseline="0">
                    <a:solidFill>
                      <a:sysClr val="windowText" lastClr="000000">
                        <a:lumMod val="65000"/>
                        <a:lumOff val="35000"/>
                      </a:sysClr>
                    </a:solidFill>
                    <a:effectLst/>
                  </a:rPr>
                  <a:t>Variation in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512360"/>
        <c:crosses val="autoZero"/>
        <c:crossBetween val="between"/>
      </c:valAx>
      <c:spPr>
        <a:noFill/>
        <a:ln>
          <a:noFill/>
        </a:ln>
        <a:effectLst/>
      </c:spPr>
    </c:plotArea>
    <c:legend>
      <c:legendPos val="b"/>
      <c:layout>
        <c:manualLayout>
          <c:xMode val="edge"/>
          <c:yMode val="edge"/>
          <c:x val="8.7574182537527665E-3"/>
          <c:y val="0.90335593467483233"/>
          <c:w val="0.52178461528515829"/>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632553996151558E-2"/>
          <c:y val="2.3422258784816078E-2"/>
          <c:w val="0.93636744600384847"/>
          <c:h val="0.77025535987106086"/>
        </c:manualLayout>
      </c:layout>
      <c:barChart>
        <c:barDir val="col"/>
        <c:grouping val="clustered"/>
        <c:varyColors val="0"/>
        <c:ser>
          <c:idx val="0"/>
          <c:order val="0"/>
          <c:tx>
            <c:strRef>
              <c:f>Feuil1!$H$49</c:f>
              <c:strCache>
                <c:ptCount val="1"/>
                <c:pt idx="0">
                  <c:v>IntBorrowing</c:v>
                </c:pt>
              </c:strCache>
            </c:strRef>
          </c:tx>
          <c:spPr>
            <a:solidFill>
              <a:schemeClr val="accent1"/>
            </a:solidFill>
            <a:ln>
              <a:noFill/>
            </a:ln>
            <a:effectLst/>
          </c:spPr>
          <c:invertIfNegative val="0"/>
          <c:dLbls>
            <c:dLbl>
              <c:idx val="15"/>
              <c:layout>
                <c:manualLayout>
                  <c:x val="-1.6666666666666767E-2"/>
                  <c:y val="-2.121889068003332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DD8-45A0-9E4D-4A891BB52FA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Feuil1!$F$50:$G$65</c:f>
              <c:multiLvlStrCache>
                <c:ptCount val="16"/>
                <c:lvl>
                  <c:pt idx="0">
                    <c:v>hh_Agadez</c:v>
                  </c:pt>
                  <c:pt idx="1">
                    <c:v>hh_Diffa</c:v>
                  </c:pt>
                  <c:pt idx="2">
                    <c:v>hh_Doss</c:v>
                  </c:pt>
                  <c:pt idx="3">
                    <c:v>hh_Maradi</c:v>
                  </c:pt>
                  <c:pt idx="4">
                    <c:v>hh_Tahua</c:v>
                  </c:pt>
                  <c:pt idx="5">
                    <c:v>hh_Tilabery</c:v>
                  </c:pt>
                  <c:pt idx="6">
                    <c:v>hh_Zinder</c:v>
                  </c:pt>
                  <c:pt idx="7">
                    <c:v>hh_Niamey</c:v>
                  </c:pt>
                  <c:pt idx="8">
                    <c:v>hh_Agadez</c:v>
                  </c:pt>
                  <c:pt idx="9">
                    <c:v>hh_Diffa</c:v>
                  </c:pt>
                  <c:pt idx="10">
                    <c:v>hh_Doss</c:v>
                  </c:pt>
                  <c:pt idx="11">
                    <c:v>hh_Maradi</c:v>
                  </c:pt>
                  <c:pt idx="12">
                    <c:v>hh_Tahua</c:v>
                  </c:pt>
                  <c:pt idx="13">
                    <c:v>hh_Tilabery</c:v>
                  </c:pt>
                  <c:pt idx="14">
                    <c:v>hh_Zinder</c:v>
                  </c:pt>
                  <c:pt idx="15">
                    <c:v>hh_Niamey</c:v>
                  </c:pt>
                </c:lvl>
                <c:lvl>
                  <c:pt idx="0">
                    <c:v>Urbain</c:v>
                  </c:pt>
                  <c:pt idx="8">
                    <c:v>Rural</c:v>
                  </c:pt>
                </c:lvl>
              </c:multiLvlStrCache>
            </c:multiLvlStrRef>
          </c:cat>
          <c:val>
            <c:numRef>
              <c:f>Feuil1!$H$50:$H$65</c:f>
              <c:numCache>
                <c:formatCode>0.00</c:formatCode>
                <c:ptCount val="16"/>
                <c:pt idx="0">
                  <c:v>0.12869421769012501</c:v>
                </c:pt>
                <c:pt idx="1">
                  <c:v>0.17374050327629201</c:v>
                </c:pt>
                <c:pt idx="2">
                  <c:v>-6.9101193967242097E-2</c:v>
                </c:pt>
                <c:pt idx="3">
                  <c:v>7.3873533803350697E-2</c:v>
                </c:pt>
                <c:pt idx="4">
                  <c:v>9.5075997496536502E-3</c:v>
                </c:pt>
                <c:pt idx="5">
                  <c:v>-4.0093539178940301E-3</c:v>
                </c:pt>
                <c:pt idx="6">
                  <c:v>0.22147583933185899</c:v>
                </c:pt>
                <c:pt idx="7">
                  <c:v>6.7867591502761102E-2</c:v>
                </c:pt>
                <c:pt idx="8">
                  <c:v>0.287685286531627</c:v>
                </c:pt>
                <c:pt idx="9">
                  <c:v>-6.4379237589193394E-2</c:v>
                </c:pt>
                <c:pt idx="10">
                  <c:v>0.17705202054875699</c:v>
                </c:pt>
                <c:pt idx="11">
                  <c:v>0.15635364827704701</c:v>
                </c:pt>
                <c:pt idx="12">
                  <c:v>0.19046872134349299</c:v>
                </c:pt>
                <c:pt idx="13">
                  <c:v>0.125098750330736</c:v>
                </c:pt>
                <c:pt idx="14">
                  <c:v>0.17177843858814901</c:v>
                </c:pt>
                <c:pt idx="15">
                  <c:v>0.25385280959670797</c:v>
                </c:pt>
              </c:numCache>
            </c:numRef>
          </c:val>
          <c:extLst>
            <c:ext xmlns:c16="http://schemas.microsoft.com/office/drawing/2014/chart" uri="{C3380CC4-5D6E-409C-BE32-E72D297353CC}">
              <c16:uniqueId val="{00000001-BDD8-45A0-9E4D-4A891BB52FA7}"/>
            </c:ext>
          </c:extLst>
        </c:ser>
        <c:ser>
          <c:idx val="1"/>
          <c:order val="1"/>
          <c:tx>
            <c:strRef>
              <c:f>Feuil1!$I$49</c:f>
              <c:strCache>
                <c:ptCount val="1"/>
                <c:pt idx="0">
                  <c:v>GovSpend</c:v>
                </c:pt>
              </c:strCache>
            </c:strRef>
          </c:tx>
          <c:spPr>
            <a:solidFill>
              <a:schemeClr val="accent2"/>
            </a:solidFill>
            <a:ln>
              <a:noFill/>
            </a:ln>
            <a:effectLst/>
          </c:spPr>
          <c:invertIfNegative val="0"/>
          <c:dLbls>
            <c:dLbl>
              <c:idx val="10"/>
              <c:layout>
                <c:manualLayout>
                  <c:x val="-2.2222222222222223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DD8-45A0-9E4D-4A891BB52FA7}"/>
                </c:ext>
              </c:extLst>
            </c:dLbl>
            <c:dLbl>
              <c:idx val="15"/>
              <c:layout>
                <c:manualLayout>
                  <c:x val="5.5555555555554534E-3"/>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DD8-45A0-9E4D-4A891BB52FA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Feuil1!$F$50:$G$65</c:f>
              <c:multiLvlStrCache>
                <c:ptCount val="16"/>
                <c:lvl>
                  <c:pt idx="0">
                    <c:v>hh_Agadez</c:v>
                  </c:pt>
                  <c:pt idx="1">
                    <c:v>hh_Diffa</c:v>
                  </c:pt>
                  <c:pt idx="2">
                    <c:v>hh_Doss</c:v>
                  </c:pt>
                  <c:pt idx="3">
                    <c:v>hh_Maradi</c:v>
                  </c:pt>
                  <c:pt idx="4">
                    <c:v>hh_Tahua</c:v>
                  </c:pt>
                  <c:pt idx="5">
                    <c:v>hh_Tilabery</c:v>
                  </c:pt>
                  <c:pt idx="6">
                    <c:v>hh_Zinder</c:v>
                  </c:pt>
                  <c:pt idx="7">
                    <c:v>hh_Niamey</c:v>
                  </c:pt>
                  <c:pt idx="8">
                    <c:v>hh_Agadez</c:v>
                  </c:pt>
                  <c:pt idx="9">
                    <c:v>hh_Diffa</c:v>
                  </c:pt>
                  <c:pt idx="10">
                    <c:v>hh_Doss</c:v>
                  </c:pt>
                  <c:pt idx="11">
                    <c:v>hh_Maradi</c:v>
                  </c:pt>
                  <c:pt idx="12">
                    <c:v>hh_Tahua</c:v>
                  </c:pt>
                  <c:pt idx="13">
                    <c:v>hh_Tilabery</c:v>
                  </c:pt>
                  <c:pt idx="14">
                    <c:v>hh_Zinder</c:v>
                  </c:pt>
                  <c:pt idx="15">
                    <c:v>hh_Niamey</c:v>
                  </c:pt>
                </c:lvl>
                <c:lvl>
                  <c:pt idx="0">
                    <c:v>Urbain</c:v>
                  </c:pt>
                  <c:pt idx="8">
                    <c:v>Rural</c:v>
                  </c:pt>
                </c:lvl>
              </c:multiLvlStrCache>
            </c:multiLvlStrRef>
          </c:cat>
          <c:val>
            <c:numRef>
              <c:f>Feuil1!$I$50:$I$65</c:f>
              <c:numCache>
                <c:formatCode>0.00</c:formatCode>
                <c:ptCount val="16"/>
                <c:pt idx="0">
                  <c:v>8.5834774334330205E-2</c:v>
                </c:pt>
                <c:pt idx="1">
                  <c:v>0.25122680361691602</c:v>
                </c:pt>
                <c:pt idx="2">
                  <c:v>-0.248785635924648</c:v>
                </c:pt>
                <c:pt idx="3">
                  <c:v>-4.6911137752928801E-2</c:v>
                </c:pt>
                <c:pt idx="4">
                  <c:v>-6.6585908641556599E-2</c:v>
                </c:pt>
                <c:pt idx="5">
                  <c:v>5.5010557406845399E-2</c:v>
                </c:pt>
                <c:pt idx="6">
                  <c:v>0.17155431094042201</c:v>
                </c:pt>
                <c:pt idx="7">
                  <c:v>-4.7006212909934703E-2</c:v>
                </c:pt>
                <c:pt idx="8">
                  <c:v>0.35246011216443701</c:v>
                </c:pt>
                <c:pt idx="9">
                  <c:v>-4.0043037216548803E-2</c:v>
                </c:pt>
                <c:pt idx="10">
                  <c:v>0.155782778356823</c:v>
                </c:pt>
                <c:pt idx="11">
                  <c:v>0.21102267081649001</c:v>
                </c:pt>
                <c:pt idx="12">
                  <c:v>0.173464494953677</c:v>
                </c:pt>
                <c:pt idx="13">
                  <c:v>7.75363108709968E-2</c:v>
                </c:pt>
                <c:pt idx="14">
                  <c:v>0.17198864896764099</c:v>
                </c:pt>
                <c:pt idx="15">
                  <c:v>0.24995144932013599</c:v>
                </c:pt>
              </c:numCache>
            </c:numRef>
          </c:val>
          <c:extLst>
            <c:ext xmlns:c16="http://schemas.microsoft.com/office/drawing/2014/chart" uri="{C3380CC4-5D6E-409C-BE32-E72D297353CC}">
              <c16:uniqueId val="{00000004-BDD8-45A0-9E4D-4A891BB52FA7}"/>
            </c:ext>
          </c:extLst>
        </c:ser>
        <c:ser>
          <c:idx val="2"/>
          <c:order val="2"/>
          <c:tx>
            <c:strRef>
              <c:f>Feuil1!$J$49</c:f>
              <c:strCache>
                <c:ptCount val="1"/>
                <c:pt idx="0">
                  <c:v>ExtBorrowing</c:v>
                </c:pt>
              </c:strCache>
            </c:strRef>
          </c:tx>
          <c:spPr>
            <a:solidFill>
              <a:schemeClr val="accent3"/>
            </a:solidFill>
            <a:ln>
              <a:noFill/>
            </a:ln>
            <a:effectLst/>
          </c:spPr>
          <c:invertIfNegative val="0"/>
          <c:dLbls>
            <c:dLbl>
              <c:idx val="10"/>
              <c:layout>
                <c:manualLayout>
                  <c:x val="8.3333333333333332E-3"/>
                  <c:y val="4.629629629629586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DD8-45A0-9E4D-4A891BB52FA7}"/>
                </c:ext>
              </c:extLst>
            </c:dLbl>
            <c:dLbl>
              <c:idx val="15"/>
              <c:layout>
                <c:manualLayout>
                  <c:x val="1.1111111111111112E-2"/>
                  <c:y val="-2.121889068003332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DD8-45A0-9E4D-4A891BB52FA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Feuil1!$F$50:$G$65</c:f>
              <c:multiLvlStrCache>
                <c:ptCount val="16"/>
                <c:lvl>
                  <c:pt idx="0">
                    <c:v>hh_Agadez</c:v>
                  </c:pt>
                  <c:pt idx="1">
                    <c:v>hh_Diffa</c:v>
                  </c:pt>
                  <c:pt idx="2">
                    <c:v>hh_Doss</c:v>
                  </c:pt>
                  <c:pt idx="3">
                    <c:v>hh_Maradi</c:v>
                  </c:pt>
                  <c:pt idx="4">
                    <c:v>hh_Tahua</c:v>
                  </c:pt>
                  <c:pt idx="5">
                    <c:v>hh_Tilabery</c:v>
                  </c:pt>
                  <c:pt idx="6">
                    <c:v>hh_Zinder</c:v>
                  </c:pt>
                  <c:pt idx="7">
                    <c:v>hh_Niamey</c:v>
                  </c:pt>
                  <c:pt idx="8">
                    <c:v>hh_Agadez</c:v>
                  </c:pt>
                  <c:pt idx="9">
                    <c:v>hh_Diffa</c:v>
                  </c:pt>
                  <c:pt idx="10">
                    <c:v>hh_Doss</c:v>
                  </c:pt>
                  <c:pt idx="11">
                    <c:v>hh_Maradi</c:v>
                  </c:pt>
                  <c:pt idx="12">
                    <c:v>hh_Tahua</c:v>
                  </c:pt>
                  <c:pt idx="13">
                    <c:v>hh_Tilabery</c:v>
                  </c:pt>
                  <c:pt idx="14">
                    <c:v>hh_Zinder</c:v>
                  </c:pt>
                  <c:pt idx="15">
                    <c:v>hh_Niamey</c:v>
                  </c:pt>
                </c:lvl>
                <c:lvl>
                  <c:pt idx="0">
                    <c:v>Urbain</c:v>
                  </c:pt>
                  <c:pt idx="8">
                    <c:v>Rural</c:v>
                  </c:pt>
                </c:lvl>
              </c:multiLvlStrCache>
            </c:multiLvlStrRef>
          </c:cat>
          <c:val>
            <c:numRef>
              <c:f>Feuil1!$J$50:$J$65</c:f>
              <c:numCache>
                <c:formatCode>0.00</c:formatCode>
                <c:ptCount val="16"/>
                <c:pt idx="0">
                  <c:v>3.4344729963194702E-2</c:v>
                </c:pt>
                <c:pt idx="1">
                  <c:v>5.1802384274822103E-2</c:v>
                </c:pt>
                <c:pt idx="2">
                  <c:v>-5.1320654120317499E-2</c:v>
                </c:pt>
                <c:pt idx="3">
                  <c:v>0.10033601683771599</c:v>
                </c:pt>
                <c:pt idx="4">
                  <c:v>3.6866891946601803E-2</c:v>
                </c:pt>
                <c:pt idx="5">
                  <c:v>-0.109828298684747</c:v>
                </c:pt>
                <c:pt idx="6">
                  <c:v>0.18873280736977399</c:v>
                </c:pt>
                <c:pt idx="7">
                  <c:v>3.5227958775038801E-2</c:v>
                </c:pt>
                <c:pt idx="8">
                  <c:v>0.165915916161779</c:v>
                </c:pt>
                <c:pt idx="9">
                  <c:v>-6.72891446737367E-2</c:v>
                </c:pt>
                <c:pt idx="10">
                  <c:v>0.127117887165483</c:v>
                </c:pt>
                <c:pt idx="11">
                  <c:v>0.13656305808783001</c:v>
                </c:pt>
                <c:pt idx="12">
                  <c:v>0.16881263785668901</c:v>
                </c:pt>
                <c:pt idx="13">
                  <c:v>6.5839536995397893E-2</c:v>
                </c:pt>
                <c:pt idx="14">
                  <c:v>0.151246490311024</c:v>
                </c:pt>
                <c:pt idx="15">
                  <c:v>0.260439790396987</c:v>
                </c:pt>
              </c:numCache>
            </c:numRef>
          </c:val>
          <c:extLst>
            <c:ext xmlns:c16="http://schemas.microsoft.com/office/drawing/2014/chart" uri="{C3380CC4-5D6E-409C-BE32-E72D297353CC}">
              <c16:uniqueId val="{00000007-BDD8-45A0-9E4D-4A891BB52FA7}"/>
            </c:ext>
          </c:extLst>
        </c:ser>
        <c:dLbls>
          <c:showLegendKey val="0"/>
          <c:showVal val="0"/>
          <c:showCatName val="0"/>
          <c:showSerName val="0"/>
          <c:showPercent val="0"/>
          <c:showBubbleSize val="0"/>
        </c:dLbls>
        <c:gapWidth val="219"/>
        <c:overlap val="-27"/>
        <c:axId val="550910328"/>
        <c:axId val="550903128"/>
      </c:barChart>
      <c:catAx>
        <c:axId val="55091032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903128"/>
        <c:crosses val="autoZero"/>
        <c:auto val="1"/>
        <c:lblAlgn val="ctr"/>
        <c:lblOffset val="100"/>
        <c:noMultiLvlLbl val="0"/>
      </c:catAx>
      <c:valAx>
        <c:axId val="550903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1" i="0" u="none" strike="noStrike" kern="1200" baseline="0">
                    <a:solidFill>
                      <a:sysClr val="windowText" lastClr="000000">
                        <a:lumMod val="65000"/>
                        <a:lumOff val="35000"/>
                      </a:sysClr>
                    </a:solidFill>
                    <a:effectLst/>
                  </a:rPr>
                  <a:t>Variation in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910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
              <a:t>RURAL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3083543205398939E-2"/>
          <c:y val="4.5771708061714843E-2"/>
          <c:w val="0.90691645679460109"/>
          <c:h val="0.68528470291361943"/>
        </c:manualLayout>
      </c:layout>
      <c:barChart>
        <c:barDir val="col"/>
        <c:grouping val="clustered"/>
        <c:varyColors val="0"/>
        <c:ser>
          <c:idx val="0"/>
          <c:order val="0"/>
          <c:tx>
            <c:strRef>
              <c:f>Feuil3!$DE$1</c:f>
              <c:strCache>
                <c:ptCount val="1"/>
                <c:pt idx="0">
                  <c:v>IntBorrowing</c:v>
                </c:pt>
              </c:strCache>
            </c:strRef>
          </c:tx>
          <c:spPr>
            <a:solidFill>
              <a:schemeClr val="accent1"/>
            </a:solidFill>
            <a:ln>
              <a:noFill/>
            </a:ln>
            <a:effectLst/>
          </c:spPr>
          <c:invertIfNegative val="0"/>
          <c:cat>
            <c:multiLvlStrRef>
              <c:f>Feuil3!$DC$2:$DD$17</c:f>
              <c:multiLvlStrCache>
                <c:ptCount val="16"/>
                <c:lvl>
                  <c:pt idx="0">
                    <c:v>Labour Agadez</c:v>
                  </c:pt>
                  <c:pt idx="1">
                    <c:v>Labour Diffa</c:v>
                  </c:pt>
                  <c:pt idx="2">
                    <c:v>Labour Dosso</c:v>
                  </c:pt>
                  <c:pt idx="3">
                    <c:v>Labour Maradi</c:v>
                  </c:pt>
                  <c:pt idx="4">
                    <c:v>Labour Niamey</c:v>
                  </c:pt>
                  <c:pt idx="5">
                    <c:v>Labour Tahoua</c:v>
                  </c:pt>
                  <c:pt idx="6">
                    <c:v>Labour Tillabéri</c:v>
                  </c:pt>
                  <c:pt idx="7">
                    <c:v>Labour Zinder</c:v>
                  </c:pt>
                  <c:pt idx="8">
                    <c:v>Labour Agadez</c:v>
                  </c:pt>
                  <c:pt idx="9">
                    <c:v>Labour Diffa</c:v>
                  </c:pt>
                  <c:pt idx="10">
                    <c:v>Labour Dosso</c:v>
                  </c:pt>
                  <c:pt idx="11">
                    <c:v>Labour Maradi</c:v>
                  </c:pt>
                  <c:pt idx="12">
                    <c:v>Labour Niamey</c:v>
                  </c:pt>
                  <c:pt idx="13">
                    <c:v>Labour Tahoua</c:v>
                  </c:pt>
                  <c:pt idx="14">
                    <c:v>Labour Tillabéri</c:v>
                  </c:pt>
                  <c:pt idx="15">
                    <c:v>Labour Zinder</c:v>
                  </c:pt>
                </c:lvl>
                <c:lvl>
                  <c:pt idx="0">
                    <c:v>Masculin</c:v>
                  </c:pt>
                  <c:pt idx="8">
                    <c:v>Feminin</c:v>
                  </c:pt>
                </c:lvl>
              </c:multiLvlStrCache>
            </c:multiLvlStrRef>
          </c:cat>
          <c:val>
            <c:numRef>
              <c:f>Feuil3!$DE$2:$DE$17</c:f>
              <c:numCache>
                <c:formatCode>0.00</c:formatCode>
                <c:ptCount val="16"/>
                <c:pt idx="0">
                  <c:v>0.1704446344663163</c:v>
                </c:pt>
                <c:pt idx="1">
                  <c:v>0.21589563862284913</c:v>
                </c:pt>
                <c:pt idx="2">
                  <c:v>0.15091851198563699</c:v>
                </c:pt>
                <c:pt idx="3">
                  <c:v>0.19439562305840732</c:v>
                </c:pt>
                <c:pt idx="4">
                  <c:v>0.32933356366103334</c:v>
                </c:pt>
                <c:pt idx="5">
                  <c:v>7.2013238553548492E-2</c:v>
                </c:pt>
                <c:pt idx="6">
                  <c:v>0.20188313506984173</c:v>
                </c:pt>
                <c:pt idx="7">
                  <c:v>0.13221501063041441</c:v>
                </c:pt>
                <c:pt idx="8">
                  <c:v>0.31245362252128434</c:v>
                </c:pt>
                <c:pt idx="9">
                  <c:v>0.17224601685314669</c:v>
                </c:pt>
                <c:pt idx="10">
                  <c:v>9.3638319245054544E-2</c:v>
                </c:pt>
                <c:pt idx="11">
                  <c:v>9.0941971135056934E-2</c:v>
                </c:pt>
                <c:pt idx="12">
                  <c:v>0.10498463674191096</c:v>
                </c:pt>
                <c:pt idx="13">
                  <c:v>0.16662976059471649</c:v>
                </c:pt>
                <c:pt idx="14">
                  <c:v>0.18899455219893468</c:v>
                </c:pt>
                <c:pt idx="15">
                  <c:v>0.14919983733014899</c:v>
                </c:pt>
              </c:numCache>
            </c:numRef>
          </c:val>
          <c:extLst>
            <c:ext xmlns:c16="http://schemas.microsoft.com/office/drawing/2014/chart" uri="{C3380CC4-5D6E-409C-BE32-E72D297353CC}">
              <c16:uniqueId val="{00000000-FD69-4EF9-B8E8-8B9C196EF56F}"/>
            </c:ext>
          </c:extLst>
        </c:ser>
        <c:ser>
          <c:idx val="1"/>
          <c:order val="1"/>
          <c:tx>
            <c:strRef>
              <c:f>Feuil3!$DF$1</c:f>
              <c:strCache>
                <c:ptCount val="1"/>
                <c:pt idx="0">
                  <c:v>GovSpend</c:v>
                </c:pt>
              </c:strCache>
            </c:strRef>
          </c:tx>
          <c:spPr>
            <a:solidFill>
              <a:schemeClr val="accent2"/>
            </a:solidFill>
            <a:ln>
              <a:noFill/>
            </a:ln>
            <a:effectLst/>
          </c:spPr>
          <c:invertIfNegative val="0"/>
          <c:cat>
            <c:multiLvlStrRef>
              <c:f>Feuil3!$DC$2:$DD$17</c:f>
              <c:multiLvlStrCache>
                <c:ptCount val="16"/>
                <c:lvl>
                  <c:pt idx="0">
                    <c:v>Labour Agadez</c:v>
                  </c:pt>
                  <c:pt idx="1">
                    <c:v>Labour Diffa</c:v>
                  </c:pt>
                  <c:pt idx="2">
                    <c:v>Labour Dosso</c:v>
                  </c:pt>
                  <c:pt idx="3">
                    <c:v>Labour Maradi</c:v>
                  </c:pt>
                  <c:pt idx="4">
                    <c:v>Labour Niamey</c:v>
                  </c:pt>
                  <c:pt idx="5">
                    <c:v>Labour Tahoua</c:v>
                  </c:pt>
                  <c:pt idx="6">
                    <c:v>Labour Tillabéri</c:v>
                  </c:pt>
                  <c:pt idx="7">
                    <c:v>Labour Zinder</c:v>
                  </c:pt>
                  <c:pt idx="8">
                    <c:v>Labour Agadez</c:v>
                  </c:pt>
                  <c:pt idx="9">
                    <c:v>Labour Diffa</c:v>
                  </c:pt>
                  <c:pt idx="10">
                    <c:v>Labour Dosso</c:v>
                  </c:pt>
                  <c:pt idx="11">
                    <c:v>Labour Maradi</c:v>
                  </c:pt>
                  <c:pt idx="12">
                    <c:v>Labour Niamey</c:v>
                  </c:pt>
                  <c:pt idx="13">
                    <c:v>Labour Tahoua</c:v>
                  </c:pt>
                  <c:pt idx="14">
                    <c:v>Labour Tillabéri</c:v>
                  </c:pt>
                  <c:pt idx="15">
                    <c:v>Labour Zinder</c:v>
                  </c:pt>
                </c:lvl>
                <c:lvl>
                  <c:pt idx="0">
                    <c:v>Masculin</c:v>
                  </c:pt>
                  <c:pt idx="8">
                    <c:v>Feminin</c:v>
                  </c:pt>
                </c:lvl>
              </c:multiLvlStrCache>
            </c:multiLvlStrRef>
          </c:cat>
          <c:val>
            <c:numRef>
              <c:f>Feuil3!$DF$2:$DF$17</c:f>
              <c:numCache>
                <c:formatCode>0.00</c:formatCode>
                <c:ptCount val="16"/>
                <c:pt idx="0">
                  <c:v>7.3828460327073686E-2</c:v>
                </c:pt>
                <c:pt idx="1">
                  <c:v>0.29142255411953966</c:v>
                </c:pt>
                <c:pt idx="2">
                  <c:v>-5.6372697468077645E-2</c:v>
                </c:pt>
                <c:pt idx="3">
                  <c:v>0.26764791551953698</c:v>
                </c:pt>
                <c:pt idx="4">
                  <c:v>0.36210787326684618</c:v>
                </c:pt>
                <c:pt idx="5">
                  <c:v>3.2654599368847279E-2</c:v>
                </c:pt>
                <c:pt idx="6">
                  <c:v>-5.9624908164117446E-3</c:v>
                </c:pt>
                <c:pt idx="7">
                  <c:v>8.5922950219416261E-2</c:v>
                </c:pt>
                <c:pt idx="8">
                  <c:v>0.3654548114196623</c:v>
                </c:pt>
                <c:pt idx="9">
                  <c:v>0.22570430927481755</c:v>
                </c:pt>
                <c:pt idx="10">
                  <c:v>-8.41324015418317E-2</c:v>
                </c:pt>
                <c:pt idx="11">
                  <c:v>7.80802512984166E-2</c:v>
                </c:pt>
                <c:pt idx="12">
                  <c:v>7.8176964980549907E-2</c:v>
                </c:pt>
                <c:pt idx="13">
                  <c:v>-0.10955389264654991</c:v>
                </c:pt>
                <c:pt idx="14">
                  <c:v>-9.0245270206111297E-2</c:v>
                </c:pt>
                <c:pt idx="15">
                  <c:v>0.13685065130530435</c:v>
                </c:pt>
              </c:numCache>
            </c:numRef>
          </c:val>
          <c:extLst>
            <c:ext xmlns:c16="http://schemas.microsoft.com/office/drawing/2014/chart" uri="{C3380CC4-5D6E-409C-BE32-E72D297353CC}">
              <c16:uniqueId val="{00000001-FD69-4EF9-B8E8-8B9C196EF56F}"/>
            </c:ext>
          </c:extLst>
        </c:ser>
        <c:ser>
          <c:idx val="2"/>
          <c:order val="2"/>
          <c:tx>
            <c:strRef>
              <c:f>Feuil3!$DG$1</c:f>
              <c:strCache>
                <c:ptCount val="1"/>
                <c:pt idx="0">
                  <c:v>ExtBorrowing</c:v>
                </c:pt>
              </c:strCache>
            </c:strRef>
          </c:tx>
          <c:spPr>
            <a:solidFill>
              <a:schemeClr val="accent3"/>
            </a:solidFill>
            <a:ln>
              <a:noFill/>
            </a:ln>
            <a:effectLst/>
          </c:spPr>
          <c:invertIfNegative val="0"/>
          <c:cat>
            <c:multiLvlStrRef>
              <c:f>Feuil3!$DC$2:$DD$17</c:f>
              <c:multiLvlStrCache>
                <c:ptCount val="16"/>
                <c:lvl>
                  <c:pt idx="0">
                    <c:v>Labour Agadez</c:v>
                  </c:pt>
                  <c:pt idx="1">
                    <c:v>Labour Diffa</c:v>
                  </c:pt>
                  <c:pt idx="2">
                    <c:v>Labour Dosso</c:v>
                  </c:pt>
                  <c:pt idx="3">
                    <c:v>Labour Maradi</c:v>
                  </c:pt>
                  <c:pt idx="4">
                    <c:v>Labour Niamey</c:v>
                  </c:pt>
                  <c:pt idx="5">
                    <c:v>Labour Tahoua</c:v>
                  </c:pt>
                  <c:pt idx="6">
                    <c:v>Labour Tillabéri</c:v>
                  </c:pt>
                  <c:pt idx="7">
                    <c:v>Labour Zinder</c:v>
                  </c:pt>
                  <c:pt idx="8">
                    <c:v>Labour Agadez</c:v>
                  </c:pt>
                  <c:pt idx="9">
                    <c:v>Labour Diffa</c:v>
                  </c:pt>
                  <c:pt idx="10">
                    <c:v>Labour Dosso</c:v>
                  </c:pt>
                  <c:pt idx="11">
                    <c:v>Labour Maradi</c:v>
                  </c:pt>
                  <c:pt idx="12">
                    <c:v>Labour Niamey</c:v>
                  </c:pt>
                  <c:pt idx="13">
                    <c:v>Labour Tahoua</c:v>
                  </c:pt>
                  <c:pt idx="14">
                    <c:v>Labour Tillabéri</c:v>
                  </c:pt>
                  <c:pt idx="15">
                    <c:v>Labour Zinder</c:v>
                  </c:pt>
                </c:lvl>
                <c:lvl>
                  <c:pt idx="0">
                    <c:v>Masculin</c:v>
                  </c:pt>
                  <c:pt idx="8">
                    <c:v>Feminin</c:v>
                  </c:pt>
                </c:lvl>
              </c:multiLvlStrCache>
            </c:multiLvlStrRef>
          </c:cat>
          <c:val>
            <c:numRef>
              <c:f>Feuil3!$DG$2:$DG$17</c:f>
              <c:numCache>
                <c:formatCode>0.00</c:formatCode>
                <c:ptCount val="16"/>
                <c:pt idx="0">
                  <c:v>0.10928754654093138</c:v>
                </c:pt>
                <c:pt idx="1">
                  <c:v>0.277068621314356</c:v>
                </c:pt>
                <c:pt idx="2">
                  <c:v>0.11594898985735502</c:v>
                </c:pt>
                <c:pt idx="3">
                  <c:v>0.25124188920595231</c:v>
                </c:pt>
                <c:pt idx="4">
                  <c:v>0.33884153527860889</c:v>
                </c:pt>
                <c:pt idx="5">
                  <c:v>0.12547658778130377</c:v>
                </c:pt>
                <c:pt idx="6">
                  <c:v>0.19593703243585725</c:v>
                </c:pt>
                <c:pt idx="7">
                  <c:v>0.13032703135354509</c:v>
                </c:pt>
                <c:pt idx="8">
                  <c:v>0.18218915203208499</c:v>
                </c:pt>
                <c:pt idx="9">
                  <c:v>7.8941697762156732E-2</c:v>
                </c:pt>
                <c:pt idx="10">
                  <c:v>3.9779635141040069E-2</c:v>
                </c:pt>
                <c:pt idx="11">
                  <c:v>4.3966622415728303E-2</c:v>
                </c:pt>
                <c:pt idx="12">
                  <c:v>5.3346860427033953E-2</c:v>
                </c:pt>
                <c:pt idx="13">
                  <c:v>0.15583811555861843</c:v>
                </c:pt>
                <c:pt idx="14">
                  <c:v>0.16385997620467666</c:v>
                </c:pt>
                <c:pt idx="15">
                  <c:v>0.11057112424622535</c:v>
                </c:pt>
              </c:numCache>
            </c:numRef>
          </c:val>
          <c:extLst>
            <c:ext xmlns:c16="http://schemas.microsoft.com/office/drawing/2014/chart" uri="{C3380CC4-5D6E-409C-BE32-E72D297353CC}">
              <c16:uniqueId val="{00000002-FD69-4EF9-B8E8-8B9C196EF56F}"/>
            </c:ext>
          </c:extLst>
        </c:ser>
        <c:dLbls>
          <c:showLegendKey val="0"/>
          <c:showVal val="0"/>
          <c:showCatName val="0"/>
          <c:showSerName val="0"/>
          <c:showPercent val="0"/>
          <c:showBubbleSize val="0"/>
        </c:dLbls>
        <c:gapWidth val="219"/>
        <c:overlap val="-27"/>
        <c:axId val="642083656"/>
        <c:axId val="642084016"/>
      </c:barChart>
      <c:catAx>
        <c:axId val="642083656"/>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2084016"/>
        <c:crosses val="autoZero"/>
        <c:auto val="1"/>
        <c:lblAlgn val="ctr"/>
        <c:lblOffset val="100"/>
        <c:noMultiLvlLbl val="0"/>
      </c:catAx>
      <c:valAx>
        <c:axId val="642084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1" i="0" u="none" strike="noStrike" kern="1200" baseline="0">
                    <a:solidFill>
                      <a:sysClr val="windowText" lastClr="000000">
                        <a:lumMod val="65000"/>
                        <a:lumOff val="35000"/>
                      </a:sysClr>
                    </a:solidFill>
                    <a:effectLst/>
                  </a:rPr>
                  <a:t>Variation in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2083656"/>
        <c:crosses val="autoZero"/>
        <c:crossBetween val="between"/>
        <c:majorUnit val="5.000000000000001E-2"/>
      </c:valAx>
      <c:spPr>
        <a:noFill/>
        <a:ln>
          <a:noFill/>
        </a:ln>
        <a:effectLst/>
      </c:spPr>
    </c:plotArea>
    <c:legend>
      <c:legendPos val="b"/>
      <c:layout>
        <c:manualLayout>
          <c:xMode val="edge"/>
          <c:yMode val="edge"/>
          <c:x val="0.28235411545778999"/>
          <c:y val="0.91654244258043416"/>
          <c:w val="0.43529176908442002"/>
          <c:h val="8.345755741956588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
              <a:t>URBAN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748112618663151"/>
          <c:y val="2.8194444444444459E-2"/>
          <c:w val="0.89251887381336847"/>
          <c:h val="0.67116579177602809"/>
        </c:manualLayout>
      </c:layout>
      <c:barChart>
        <c:barDir val="col"/>
        <c:grouping val="clustered"/>
        <c:varyColors val="0"/>
        <c:ser>
          <c:idx val="0"/>
          <c:order val="0"/>
          <c:tx>
            <c:strRef>
              <c:f>Feuil3!$DE$1</c:f>
              <c:strCache>
                <c:ptCount val="1"/>
                <c:pt idx="0">
                  <c:v>IntBorrowing</c:v>
                </c:pt>
              </c:strCache>
            </c:strRef>
          </c:tx>
          <c:spPr>
            <a:solidFill>
              <a:schemeClr val="accent1"/>
            </a:solidFill>
            <a:ln>
              <a:noFill/>
            </a:ln>
            <a:effectLst/>
          </c:spPr>
          <c:invertIfNegative val="0"/>
          <c:cat>
            <c:multiLvlStrRef>
              <c:f>Feuil3!$DC$18:$DD$33</c:f>
              <c:multiLvlStrCache>
                <c:ptCount val="16"/>
                <c:lvl>
                  <c:pt idx="0">
                    <c:v>Labour Agadez</c:v>
                  </c:pt>
                  <c:pt idx="1">
                    <c:v>Labour Diffa</c:v>
                  </c:pt>
                  <c:pt idx="2">
                    <c:v>Labour Dosso</c:v>
                  </c:pt>
                  <c:pt idx="3">
                    <c:v>Labour Maradi</c:v>
                  </c:pt>
                  <c:pt idx="4">
                    <c:v>Labour Niamey</c:v>
                  </c:pt>
                  <c:pt idx="5">
                    <c:v>Labour Tahoua</c:v>
                  </c:pt>
                  <c:pt idx="6">
                    <c:v>Labour Tillabéri</c:v>
                  </c:pt>
                  <c:pt idx="7">
                    <c:v>Labour Zinder</c:v>
                  </c:pt>
                  <c:pt idx="8">
                    <c:v>Labour Agadez</c:v>
                  </c:pt>
                  <c:pt idx="9">
                    <c:v>Labour Diffa</c:v>
                  </c:pt>
                  <c:pt idx="10">
                    <c:v>Labour Dosso</c:v>
                  </c:pt>
                  <c:pt idx="11">
                    <c:v>Labour Maradi</c:v>
                  </c:pt>
                  <c:pt idx="12">
                    <c:v>Labour Niamey</c:v>
                  </c:pt>
                  <c:pt idx="13">
                    <c:v>Labour Tahoua</c:v>
                  </c:pt>
                  <c:pt idx="14">
                    <c:v>Labour Tillabéri</c:v>
                  </c:pt>
                  <c:pt idx="15">
                    <c:v>Labour Zinder</c:v>
                  </c:pt>
                </c:lvl>
                <c:lvl>
                  <c:pt idx="0">
                    <c:v>Masculin</c:v>
                  </c:pt>
                  <c:pt idx="8">
                    <c:v>Feminin</c:v>
                  </c:pt>
                </c:lvl>
              </c:multiLvlStrCache>
            </c:multiLvlStrRef>
          </c:cat>
          <c:val>
            <c:numRef>
              <c:f>Feuil3!$DE$18:$DE$33</c:f>
              <c:numCache>
                <c:formatCode>0.00</c:formatCode>
                <c:ptCount val="16"/>
                <c:pt idx="0">
                  <c:v>0.22509347738523627</c:v>
                </c:pt>
                <c:pt idx="1">
                  <c:v>8.9894643523145162E-2</c:v>
                </c:pt>
                <c:pt idx="2">
                  <c:v>0.14087474777926429</c:v>
                </c:pt>
                <c:pt idx="3">
                  <c:v>0.16586564445978533</c:v>
                </c:pt>
                <c:pt idx="4">
                  <c:v>0.15335993154168651</c:v>
                </c:pt>
                <c:pt idx="5">
                  <c:v>0.12162450145768489</c:v>
                </c:pt>
                <c:pt idx="6">
                  <c:v>7.5789236847420394E-2</c:v>
                </c:pt>
                <c:pt idx="7">
                  <c:v>0.20028852774077427</c:v>
                </c:pt>
                <c:pt idx="8">
                  <c:v>0.20315246824458885</c:v>
                </c:pt>
                <c:pt idx="9">
                  <c:v>0.34510627358252571</c:v>
                </c:pt>
                <c:pt idx="10">
                  <c:v>0.29637643455051332</c:v>
                </c:pt>
                <c:pt idx="11">
                  <c:v>0.23495181387940067</c:v>
                </c:pt>
                <c:pt idx="12">
                  <c:v>0.19294069771143199</c:v>
                </c:pt>
                <c:pt idx="13">
                  <c:v>0.14175700811116693</c:v>
                </c:pt>
                <c:pt idx="14">
                  <c:v>0.26329811514883528</c:v>
                </c:pt>
                <c:pt idx="15">
                  <c:v>0.26434582214798746</c:v>
                </c:pt>
              </c:numCache>
            </c:numRef>
          </c:val>
          <c:extLst>
            <c:ext xmlns:c16="http://schemas.microsoft.com/office/drawing/2014/chart" uri="{C3380CC4-5D6E-409C-BE32-E72D297353CC}">
              <c16:uniqueId val="{00000000-7487-4D35-B889-F5D1792CD615}"/>
            </c:ext>
          </c:extLst>
        </c:ser>
        <c:ser>
          <c:idx val="1"/>
          <c:order val="1"/>
          <c:tx>
            <c:strRef>
              <c:f>Feuil3!$DF$1</c:f>
              <c:strCache>
                <c:ptCount val="1"/>
                <c:pt idx="0">
                  <c:v>GovSpend</c:v>
                </c:pt>
              </c:strCache>
            </c:strRef>
          </c:tx>
          <c:spPr>
            <a:solidFill>
              <a:schemeClr val="accent2"/>
            </a:solidFill>
            <a:ln>
              <a:noFill/>
            </a:ln>
            <a:effectLst/>
          </c:spPr>
          <c:invertIfNegative val="0"/>
          <c:cat>
            <c:multiLvlStrRef>
              <c:f>Feuil3!$DC$18:$DD$33</c:f>
              <c:multiLvlStrCache>
                <c:ptCount val="16"/>
                <c:lvl>
                  <c:pt idx="0">
                    <c:v>Labour Agadez</c:v>
                  </c:pt>
                  <c:pt idx="1">
                    <c:v>Labour Diffa</c:v>
                  </c:pt>
                  <c:pt idx="2">
                    <c:v>Labour Dosso</c:v>
                  </c:pt>
                  <c:pt idx="3">
                    <c:v>Labour Maradi</c:v>
                  </c:pt>
                  <c:pt idx="4">
                    <c:v>Labour Niamey</c:v>
                  </c:pt>
                  <c:pt idx="5">
                    <c:v>Labour Tahoua</c:v>
                  </c:pt>
                  <c:pt idx="6">
                    <c:v>Labour Tillabéri</c:v>
                  </c:pt>
                  <c:pt idx="7">
                    <c:v>Labour Zinder</c:v>
                  </c:pt>
                  <c:pt idx="8">
                    <c:v>Labour Agadez</c:v>
                  </c:pt>
                  <c:pt idx="9">
                    <c:v>Labour Diffa</c:v>
                  </c:pt>
                  <c:pt idx="10">
                    <c:v>Labour Dosso</c:v>
                  </c:pt>
                  <c:pt idx="11">
                    <c:v>Labour Maradi</c:v>
                  </c:pt>
                  <c:pt idx="12">
                    <c:v>Labour Niamey</c:v>
                  </c:pt>
                  <c:pt idx="13">
                    <c:v>Labour Tahoua</c:v>
                  </c:pt>
                  <c:pt idx="14">
                    <c:v>Labour Tillabéri</c:v>
                  </c:pt>
                  <c:pt idx="15">
                    <c:v>Labour Zinder</c:v>
                  </c:pt>
                </c:lvl>
                <c:lvl>
                  <c:pt idx="0">
                    <c:v>Masculin</c:v>
                  </c:pt>
                  <c:pt idx="8">
                    <c:v>Feminin</c:v>
                  </c:pt>
                </c:lvl>
              </c:multiLvlStrCache>
            </c:multiLvlStrRef>
          </c:cat>
          <c:val>
            <c:numRef>
              <c:f>Feuil3!$DF$18:$DF$33</c:f>
              <c:numCache>
                <c:formatCode>0.00</c:formatCode>
                <c:ptCount val="16"/>
                <c:pt idx="0">
                  <c:v>0.12894874260622297</c:v>
                </c:pt>
                <c:pt idx="1">
                  <c:v>0.16945796347648201</c:v>
                </c:pt>
                <c:pt idx="2">
                  <c:v>5.2746137632784178E-2</c:v>
                </c:pt>
                <c:pt idx="3">
                  <c:v>-5.681474601292523E-2</c:v>
                </c:pt>
                <c:pt idx="4">
                  <c:v>1.6382729586730753E-2</c:v>
                </c:pt>
                <c:pt idx="5">
                  <c:v>3.6389697789815288E-2</c:v>
                </c:pt>
                <c:pt idx="6">
                  <c:v>0.1007668464135528</c:v>
                </c:pt>
                <c:pt idx="7">
                  <c:v>0.11130778093868095</c:v>
                </c:pt>
                <c:pt idx="8">
                  <c:v>-7.2623359034569249E-2</c:v>
                </c:pt>
                <c:pt idx="9">
                  <c:v>0.26244016590669167</c:v>
                </c:pt>
                <c:pt idx="10">
                  <c:v>8.4075162973242495E-2</c:v>
                </c:pt>
                <c:pt idx="11">
                  <c:v>0.101574498787059</c:v>
                </c:pt>
                <c:pt idx="12">
                  <c:v>-8.7401107902451397E-2</c:v>
                </c:pt>
                <c:pt idx="13">
                  <c:v>5.1503165238482598E-2</c:v>
                </c:pt>
                <c:pt idx="14">
                  <c:v>2.3091766312734754E-2</c:v>
                </c:pt>
                <c:pt idx="15">
                  <c:v>0.17495297465630325</c:v>
                </c:pt>
              </c:numCache>
            </c:numRef>
          </c:val>
          <c:extLst>
            <c:ext xmlns:c16="http://schemas.microsoft.com/office/drawing/2014/chart" uri="{C3380CC4-5D6E-409C-BE32-E72D297353CC}">
              <c16:uniqueId val="{00000001-7487-4D35-B889-F5D1792CD615}"/>
            </c:ext>
          </c:extLst>
        </c:ser>
        <c:ser>
          <c:idx val="2"/>
          <c:order val="2"/>
          <c:tx>
            <c:strRef>
              <c:f>Feuil3!$DG$1</c:f>
              <c:strCache>
                <c:ptCount val="1"/>
                <c:pt idx="0">
                  <c:v>ExtBorrowing</c:v>
                </c:pt>
              </c:strCache>
            </c:strRef>
          </c:tx>
          <c:spPr>
            <a:solidFill>
              <a:schemeClr val="accent3"/>
            </a:solidFill>
            <a:ln>
              <a:noFill/>
            </a:ln>
            <a:effectLst/>
          </c:spPr>
          <c:invertIfNegative val="0"/>
          <c:cat>
            <c:multiLvlStrRef>
              <c:f>Feuil3!$DC$18:$DD$33</c:f>
              <c:multiLvlStrCache>
                <c:ptCount val="16"/>
                <c:lvl>
                  <c:pt idx="0">
                    <c:v>Labour Agadez</c:v>
                  </c:pt>
                  <c:pt idx="1">
                    <c:v>Labour Diffa</c:v>
                  </c:pt>
                  <c:pt idx="2">
                    <c:v>Labour Dosso</c:v>
                  </c:pt>
                  <c:pt idx="3">
                    <c:v>Labour Maradi</c:v>
                  </c:pt>
                  <c:pt idx="4">
                    <c:v>Labour Niamey</c:v>
                  </c:pt>
                  <c:pt idx="5">
                    <c:v>Labour Tahoua</c:v>
                  </c:pt>
                  <c:pt idx="6">
                    <c:v>Labour Tillabéri</c:v>
                  </c:pt>
                  <c:pt idx="7">
                    <c:v>Labour Zinder</c:v>
                  </c:pt>
                  <c:pt idx="8">
                    <c:v>Labour Agadez</c:v>
                  </c:pt>
                  <c:pt idx="9">
                    <c:v>Labour Diffa</c:v>
                  </c:pt>
                  <c:pt idx="10">
                    <c:v>Labour Dosso</c:v>
                  </c:pt>
                  <c:pt idx="11">
                    <c:v>Labour Maradi</c:v>
                  </c:pt>
                  <c:pt idx="12">
                    <c:v>Labour Niamey</c:v>
                  </c:pt>
                  <c:pt idx="13">
                    <c:v>Labour Tahoua</c:v>
                  </c:pt>
                  <c:pt idx="14">
                    <c:v>Labour Tillabéri</c:v>
                  </c:pt>
                  <c:pt idx="15">
                    <c:v>Labour Zinder</c:v>
                  </c:pt>
                </c:lvl>
                <c:lvl>
                  <c:pt idx="0">
                    <c:v>Masculin</c:v>
                  </c:pt>
                  <c:pt idx="8">
                    <c:v>Feminin</c:v>
                  </c:pt>
                </c:lvl>
              </c:multiLvlStrCache>
            </c:multiLvlStrRef>
          </c:cat>
          <c:val>
            <c:numRef>
              <c:f>Feuil3!$DG$18:$DG$33</c:f>
              <c:numCache>
                <c:formatCode>0.00</c:formatCode>
                <c:ptCount val="16"/>
                <c:pt idx="0">
                  <c:v>0.17524431322005177</c:v>
                </c:pt>
                <c:pt idx="1">
                  <c:v>0.12152120643711924</c:v>
                </c:pt>
                <c:pt idx="2">
                  <c:v>0.14676162541148938</c:v>
                </c:pt>
                <c:pt idx="3">
                  <c:v>0.21030454495290848</c:v>
                </c:pt>
                <c:pt idx="4">
                  <c:v>0.15263345573341525</c:v>
                </c:pt>
                <c:pt idx="5">
                  <c:v>0.21004879081554503</c:v>
                </c:pt>
                <c:pt idx="6">
                  <c:v>0.15000501529931026</c:v>
                </c:pt>
                <c:pt idx="7">
                  <c:v>0.17904752795842049</c:v>
                </c:pt>
                <c:pt idx="8">
                  <c:v>0.16611218081084184</c:v>
                </c:pt>
                <c:pt idx="9">
                  <c:v>0.28022667125686967</c:v>
                </c:pt>
                <c:pt idx="10">
                  <c:v>0.26892889636831208</c:v>
                </c:pt>
                <c:pt idx="11">
                  <c:v>0.22128514814883701</c:v>
                </c:pt>
                <c:pt idx="12">
                  <c:v>0.14417568420759602</c:v>
                </c:pt>
                <c:pt idx="13">
                  <c:v>0.18858906058392577</c:v>
                </c:pt>
                <c:pt idx="14">
                  <c:v>0.22835398943750457</c:v>
                </c:pt>
                <c:pt idx="15">
                  <c:v>0.21480965727304027</c:v>
                </c:pt>
              </c:numCache>
            </c:numRef>
          </c:val>
          <c:extLst>
            <c:ext xmlns:c16="http://schemas.microsoft.com/office/drawing/2014/chart" uri="{C3380CC4-5D6E-409C-BE32-E72D297353CC}">
              <c16:uniqueId val="{00000002-7487-4D35-B889-F5D1792CD615}"/>
            </c:ext>
          </c:extLst>
        </c:ser>
        <c:dLbls>
          <c:showLegendKey val="0"/>
          <c:showVal val="0"/>
          <c:showCatName val="0"/>
          <c:showSerName val="0"/>
          <c:showPercent val="0"/>
          <c:showBubbleSize val="0"/>
        </c:dLbls>
        <c:gapWidth val="219"/>
        <c:overlap val="-27"/>
        <c:axId val="673648704"/>
        <c:axId val="673650864"/>
      </c:barChart>
      <c:catAx>
        <c:axId val="673648704"/>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3650864"/>
        <c:crosses val="autoZero"/>
        <c:auto val="1"/>
        <c:lblAlgn val="ctr"/>
        <c:lblOffset val="100"/>
        <c:noMultiLvlLbl val="0"/>
      </c:catAx>
      <c:valAx>
        <c:axId val="673650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1" i="0" u="none" strike="noStrike" kern="1200" baseline="0">
                    <a:solidFill>
                      <a:sysClr val="windowText" lastClr="000000">
                        <a:lumMod val="65000"/>
                        <a:lumOff val="35000"/>
                      </a:sysClr>
                    </a:solidFill>
                    <a:effectLst/>
                  </a:rPr>
                  <a:t>Variation in %</a:t>
                </a:r>
              </a:p>
            </c:rich>
          </c:tx>
          <c:layout>
            <c:manualLayout>
              <c:xMode val="edge"/>
              <c:yMode val="edge"/>
              <c:x val="1.2569050276371891E-2"/>
              <c:y val="0.2287656751239428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3648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400829109844414E-2"/>
          <c:y val="4.8997772828507792E-2"/>
          <c:w val="0.87649644215821332"/>
          <c:h val="0.80011083247110815"/>
        </c:manualLayout>
      </c:layout>
      <c:barChart>
        <c:barDir val="col"/>
        <c:grouping val="clustered"/>
        <c:varyColors val="0"/>
        <c:ser>
          <c:idx val="0"/>
          <c:order val="0"/>
          <c:tx>
            <c:strRef>
              <c:f>Feuil4!$C$2</c:f>
              <c:strCache>
                <c:ptCount val="1"/>
                <c:pt idx="0">
                  <c:v>IntBorrowing</c:v>
                </c:pt>
              </c:strCache>
            </c:strRef>
          </c:tx>
          <c:spPr>
            <a:solidFill>
              <a:schemeClr val="accent1"/>
            </a:solidFill>
            <a:ln>
              <a:noFill/>
            </a:ln>
            <a:effectLst/>
          </c:spPr>
          <c:invertIfNegative val="0"/>
          <c:cat>
            <c:strRef>
              <c:f>Feuil4!$B$3:$B$11</c:f>
              <c:strCache>
                <c:ptCount val="9"/>
                <c:pt idx="0">
                  <c:v>Private Consumption</c:v>
                </c:pt>
                <c:pt idx="1">
                  <c:v>Public Consumption</c:v>
                </c:pt>
                <c:pt idx="2">
                  <c:v>Investment</c:v>
                </c:pt>
                <c:pt idx="3">
                  <c:v>Absorption</c:v>
                </c:pt>
                <c:pt idx="4">
                  <c:v>IMPORT</c:v>
                </c:pt>
                <c:pt idx="5">
                  <c:v>EXPORT</c:v>
                </c:pt>
                <c:pt idx="6">
                  <c:v>GDP</c:v>
                </c:pt>
                <c:pt idx="7">
                  <c:v>Government income</c:v>
                </c:pt>
                <c:pt idx="8">
                  <c:v>Firm income</c:v>
                </c:pt>
              </c:strCache>
            </c:strRef>
          </c:cat>
          <c:val>
            <c:numRef>
              <c:f>Feuil4!$C$3:$C$11</c:f>
              <c:numCache>
                <c:formatCode>General</c:formatCode>
                <c:ptCount val="9"/>
                <c:pt idx="0" formatCode="0.00">
                  <c:v>1.4448824888717101E-2</c:v>
                </c:pt>
                <c:pt idx="2" formatCode="0.00">
                  <c:v>1.7460377605942799E-2</c:v>
                </c:pt>
                <c:pt idx="3" formatCode="0.00">
                  <c:v>1.3265423305355699E-2</c:v>
                </c:pt>
                <c:pt idx="4" formatCode="0.00">
                  <c:v>-2.7506456338770101E-2</c:v>
                </c:pt>
                <c:pt idx="5" formatCode="0.00">
                  <c:v>-7.5177913495224402E-2</c:v>
                </c:pt>
                <c:pt idx="6" formatCode="0.00">
                  <c:v>1.50803832192281E-2</c:v>
                </c:pt>
                <c:pt idx="7" formatCode="0.00">
                  <c:v>-2.0180663388309199</c:v>
                </c:pt>
                <c:pt idx="8" formatCode="0.00">
                  <c:v>0.20523681404583299</c:v>
                </c:pt>
              </c:numCache>
            </c:numRef>
          </c:val>
          <c:extLst>
            <c:ext xmlns:c16="http://schemas.microsoft.com/office/drawing/2014/chart" uri="{C3380CC4-5D6E-409C-BE32-E72D297353CC}">
              <c16:uniqueId val="{00000000-9061-4911-B03F-7EF45075BB83}"/>
            </c:ext>
          </c:extLst>
        </c:ser>
        <c:ser>
          <c:idx val="1"/>
          <c:order val="1"/>
          <c:tx>
            <c:strRef>
              <c:f>Feuil4!$D$2</c:f>
              <c:strCache>
                <c:ptCount val="1"/>
                <c:pt idx="0">
                  <c:v>GovSpend</c:v>
                </c:pt>
              </c:strCache>
            </c:strRef>
          </c:tx>
          <c:spPr>
            <a:solidFill>
              <a:schemeClr val="accent2"/>
            </a:solidFill>
            <a:ln>
              <a:noFill/>
            </a:ln>
            <a:effectLst/>
          </c:spPr>
          <c:invertIfNegative val="0"/>
          <c:dLbls>
            <c:dLbl>
              <c:idx val="3"/>
              <c:layout>
                <c:manualLayout>
                  <c:x val="0"/>
                  <c:y val="3.56347438752784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061-4911-B03F-7EF45075BB83}"/>
                </c:ext>
              </c:extLst>
            </c:dLbl>
            <c:dLbl>
              <c:idx val="6"/>
              <c:layout>
                <c:manualLayout>
                  <c:x val="-1.4713580696267087E-16"/>
                  <c:y val="3.56347438752783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061-4911-B03F-7EF45075BB8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Feuil4!$B$3:$B$11</c:f>
              <c:strCache>
                <c:ptCount val="9"/>
                <c:pt idx="0">
                  <c:v>Private Consumption</c:v>
                </c:pt>
                <c:pt idx="1">
                  <c:v>Public Consumption</c:v>
                </c:pt>
                <c:pt idx="2">
                  <c:v>Investment</c:v>
                </c:pt>
                <c:pt idx="3">
                  <c:v>Absorption</c:v>
                </c:pt>
                <c:pt idx="4">
                  <c:v>IMPORT</c:v>
                </c:pt>
                <c:pt idx="5">
                  <c:v>EXPORT</c:v>
                </c:pt>
                <c:pt idx="6">
                  <c:v>GDP</c:v>
                </c:pt>
                <c:pt idx="7">
                  <c:v>Government income</c:v>
                </c:pt>
                <c:pt idx="8">
                  <c:v>Firm income</c:v>
                </c:pt>
              </c:strCache>
            </c:strRef>
          </c:cat>
          <c:val>
            <c:numRef>
              <c:f>Feuil4!$D$3:$D$11</c:f>
              <c:numCache>
                <c:formatCode>0.00</c:formatCode>
                <c:ptCount val="9"/>
                <c:pt idx="0">
                  <c:v>-0.117673893421937</c:v>
                </c:pt>
                <c:pt idx="1">
                  <c:v>-1.7712894364596301</c:v>
                </c:pt>
                <c:pt idx="2">
                  <c:v>0.96790691867092005</c:v>
                </c:pt>
                <c:pt idx="3">
                  <c:v>-5.2361544234841503E-2</c:v>
                </c:pt>
                <c:pt idx="4">
                  <c:v>0.181436527634247</c:v>
                </c:pt>
                <c:pt idx="5">
                  <c:v>0.40085595914276001</c:v>
                </c:pt>
                <c:pt idx="6">
                  <c:v>-6.8935695767507396E-2</c:v>
                </c:pt>
                <c:pt idx="7">
                  <c:v>-1.90158628201172</c:v>
                </c:pt>
                <c:pt idx="8">
                  <c:v>0.2277822139731</c:v>
                </c:pt>
              </c:numCache>
            </c:numRef>
          </c:val>
          <c:extLst>
            <c:ext xmlns:c16="http://schemas.microsoft.com/office/drawing/2014/chart" uri="{C3380CC4-5D6E-409C-BE32-E72D297353CC}">
              <c16:uniqueId val="{00000001-9061-4911-B03F-7EF45075BB83}"/>
            </c:ext>
          </c:extLst>
        </c:ser>
        <c:ser>
          <c:idx val="2"/>
          <c:order val="2"/>
          <c:tx>
            <c:strRef>
              <c:f>Feuil4!$E$2</c:f>
              <c:strCache>
                <c:ptCount val="1"/>
                <c:pt idx="0">
                  <c:v>ExtBorrowing</c:v>
                </c:pt>
              </c:strCache>
            </c:strRef>
          </c:tx>
          <c:spPr>
            <a:solidFill>
              <a:schemeClr val="accent3"/>
            </a:solidFill>
            <a:ln>
              <a:noFill/>
            </a:ln>
            <a:effectLst/>
          </c:spPr>
          <c:invertIfNegative val="0"/>
          <c:cat>
            <c:strRef>
              <c:f>Feuil4!$B$3:$B$11</c:f>
              <c:strCache>
                <c:ptCount val="9"/>
                <c:pt idx="0">
                  <c:v>Private Consumption</c:v>
                </c:pt>
                <c:pt idx="1">
                  <c:v>Public Consumption</c:v>
                </c:pt>
                <c:pt idx="2">
                  <c:v>Investment</c:v>
                </c:pt>
                <c:pt idx="3">
                  <c:v>Absorption</c:v>
                </c:pt>
                <c:pt idx="4">
                  <c:v>IMPORT</c:v>
                </c:pt>
                <c:pt idx="5">
                  <c:v>EXPORT</c:v>
                </c:pt>
                <c:pt idx="6">
                  <c:v>GDP</c:v>
                </c:pt>
                <c:pt idx="7">
                  <c:v>Government income</c:v>
                </c:pt>
                <c:pt idx="8">
                  <c:v>Firm income</c:v>
                </c:pt>
              </c:strCache>
            </c:strRef>
          </c:cat>
          <c:val>
            <c:numRef>
              <c:f>Feuil4!$E$3:$E$11</c:f>
              <c:numCache>
                <c:formatCode>General</c:formatCode>
                <c:ptCount val="9"/>
                <c:pt idx="0" formatCode="0.00">
                  <c:v>2.0863527764959099E-2</c:v>
                </c:pt>
                <c:pt idx="2" formatCode="0.00">
                  <c:v>0.362740026658741</c:v>
                </c:pt>
                <c:pt idx="3" formatCode="0.00">
                  <c:v>0.11060621284396201</c:v>
                </c:pt>
                <c:pt idx="4" formatCode="0.00">
                  <c:v>0.221703814953258</c:v>
                </c:pt>
                <c:pt idx="5" formatCode="0.00">
                  <c:v>-0.41732512785063097</c:v>
                </c:pt>
                <c:pt idx="6" formatCode="0.00">
                  <c:v>1.7758639593452599E-2</c:v>
                </c:pt>
                <c:pt idx="7" formatCode="0.00">
                  <c:v>-2.0126760291546502</c:v>
                </c:pt>
                <c:pt idx="8" formatCode="0.00">
                  <c:v>0.20523681404583299</c:v>
                </c:pt>
              </c:numCache>
            </c:numRef>
          </c:val>
          <c:extLst>
            <c:ext xmlns:c16="http://schemas.microsoft.com/office/drawing/2014/chart" uri="{C3380CC4-5D6E-409C-BE32-E72D297353CC}">
              <c16:uniqueId val="{00000002-9061-4911-B03F-7EF45075BB83}"/>
            </c:ext>
          </c:extLst>
        </c:ser>
        <c:dLbls>
          <c:showLegendKey val="0"/>
          <c:showVal val="0"/>
          <c:showCatName val="0"/>
          <c:showSerName val="0"/>
          <c:showPercent val="0"/>
          <c:showBubbleSize val="0"/>
        </c:dLbls>
        <c:gapWidth val="219"/>
        <c:overlap val="-27"/>
        <c:axId val="654367312"/>
        <c:axId val="654366592"/>
      </c:barChart>
      <c:catAx>
        <c:axId val="654367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4366592"/>
        <c:crosses val="autoZero"/>
        <c:auto val="1"/>
        <c:lblAlgn val="ctr"/>
        <c:lblOffset val="100"/>
        <c:noMultiLvlLbl val="0"/>
      </c:catAx>
      <c:valAx>
        <c:axId val="654366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1" i="0" u="none" strike="noStrike" kern="1200" baseline="0">
                    <a:solidFill>
                      <a:sysClr val="windowText" lastClr="000000">
                        <a:lumMod val="65000"/>
                        <a:lumOff val="35000"/>
                      </a:sysClr>
                    </a:solidFill>
                    <a:effectLst/>
                  </a:rPr>
                  <a:t>Variation in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4367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25802543912781"/>
          <c:y val="2.5428331875182269E-2"/>
          <c:w val="0.88043525809273837"/>
          <c:h val="0.8604483814523185"/>
        </c:manualLayout>
      </c:layout>
      <c:barChart>
        <c:barDir val="col"/>
        <c:grouping val="clustered"/>
        <c:varyColors val="0"/>
        <c:ser>
          <c:idx val="0"/>
          <c:order val="0"/>
          <c:tx>
            <c:strRef>
              <c:f>Feuil4!$X$2</c:f>
              <c:strCache>
                <c:ptCount val="1"/>
                <c:pt idx="0">
                  <c:v>IntBorrowing</c:v>
                </c:pt>
              </c:strCache>
            </c:strRef>
          </c:tx>
          <c:spPr>
            <a:solidFill>
              <a:schemeClr val="accent1"/>
            </a:solidFill>
            <a:ln>
              <a:noFill/>
            </a:ln>
            <a:effectLst/>
          </c:spPr>
          <c:invertIfNegative val="0"/>
          <c:cat>
            <c:strRef>
              <c:f>Feuil4!$W$3:$W$21</c:f>
              <c:strCache>
                <c:ptCount val="19"/>
                <c:pt idx="0">
                  <c:v>agriculture D</c:v>
                </c:pt>
                <c:pt idx="1">
                  <c:v>livestock D</c:v>
                </c:pt>
                <c:pt idx="2">
                  <c:v>Forestry</c:v>
                </c:pt>
                <c:pt idx="3">
                  <c:v>Fisheries</c:v>
                </c:pt>
                <c:pt idx="4">
                  <c:v>Petroleum</c:v>
                </c:pt>
                <c:pt idx="5">
                  <c:v>Mining</c:v>
                </c:pt>
                <c:pt idx="6">
                  <c:v>Manufacturing</c:v>
                </c:pt>
                <c:pt idx="7">
                  <c:v>Electricity and Water </c:v>
                </c:pt>
                <c:pt idx="8">
                  <c:v>Construction</c:v>
                </c:pt>
                <c:pt idx="9">
                  <c:v>Trade and repair</c:v>
                </c:pt>
                <c:pt idx="10">
                  <c:v>Transport and Storage</c:v>
                </c:pt>
                <c:pt idx="11">
                  <c:v>Accomodation and food services</c:v>
                </c:pt>
                <c:pt idx="12">
                  <c:v>Telecommunications</c:v>
                </c:pt>
                <c:pt idx="13">
                  <c:v>Financial and insurance services</c:v>
                </c:pt>
                <c:pt idx="14">
                  <c:v>Real Estate</c:v>
                </c:pt>
                <c:pt idx="15">
                  <c:v>Professional activities</c:v>
                </c:pt>
                <c:pt idx="16">
                  <c:v>Busniness services</c:v>
                </c:pt>
                <c:pt idx="17">
                  <c:v>Public services</c:v>
                </c:pt>
                <c:pt idx="18">
                  <c:v>Other Services</c:v>
                </c:pt>
              </c:strCache>
            </c:strRef>
          </c:cat>
          <c:val>
            <c:numRef>
              <c:f>Feuil4!$X$3:$X$21</c:f>
              <c:numCache>
                <c:formatCode>0.00</c:formatCode>
                <c:ptCount val="19"/>
                <c:pt idx="0">
                  <c:v>-1.4292049895200151E-2</c:v>
                </c:pt>
                <c:pt idx="1">
                  <c:v>-3.0363154357251815E-2</c:v>
                </c:pt>
                <c:pt idx="2">
                  <c:v>-8.6139318168378096E-2</c:v>
                </c:pt>
                <c:pt idx="3">
                  <c:v>-6.4834483925579897E-3</c:v>
                </c:pt>
                <c:pt idx="4">
                  <c:v>-9.3462973615260098E-2</c:v>
                </c:pt>
                <c:pt idx="5">
                  <c:v>-0.37013819764755157</c:v>
                </c:pt>
                <c:pt idx="6">
                  <c:v>-0.15929215717315282</c:v>
                </c:pt>
                <c:pt idx="7">
                  <c:v>-5.8328317842310004E-2</c:v>
                </c:pt>
                <c:pt idx="8">
                  <c:v>0.51614195826827802</c:v>
                </c:pt>
                <c:pt idx="9">
                  <c:v>-3.2253547178179208E-2</c:v>
                </c:pt>
                <c:pt idx="10">
                  <c:v>-1.9145780252060301E-2</c:v>
                </c:pt>
                <c:pt idx="11">
                  <c:v>-7.7262783663144305E-2</c:v>
                </c:pt>
                <c:pt idx="12">
                  <c:v>-2.2539867053211499E-2</c:v>
                </c:pt>
                <c:pt idx="13">
                  <c:v>-0.15783780797960401</c:v>
                </c:pt>
                <c:pt idx="14">
                  <c:v>-2.08604682929092E-3</c:v>
                </c:pt>
                <c:pt idx="15">
                  <c:v>-3.7651039892239201E-4</c:v>
                </c:pt>
                <c:pt idx="16">
                  <c:v>-9.5678951396962503E-2</c:v>
                </c:pt>
                <c:pt idx="17">
                  <c:v>-2.0377729579763577E-3</c:v>
                </c:pt>
                <c:pt idx="18">
                  <c:v>4.5535069000095501E-3</c:v>
                </c:pt>
              </c:numCache>
            </c:numRef>
          </c:val>
          <c:extLst>
            <c:ext xmlns:c16="http://schemas.microsoft.com/office/drawing/2014/chart" uri="{C3380CC4-5D6E-409C-BE32-E72D297353CC}">
              <c16:uniqueId val="{00000000-445B-4981-904F-0C864D682DDA}"/>
            </c:ext>
          </c:extLst>
        </c:ser>
        <c:ser>
          <c:idx val="1"/>
          <c:order val="1"/>
          <c:tx>
            <c:strRef>
              <c:f>Feuil4!$Y$2</c:f>
              <c:strCache>
                <c:ptCount val="1"/>
                <c:pt idx="0">
                  <c:v>GovSpend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Feuil4!$W$3:$W$21</c:f>
              <c:strCache>
                <c:ptCount val="19"/>
                <c:pt idx="0">
                  <c:v>agriculture D</c:v>
                </c:pt>
                <c:pt idx="1">
                  <c:v>livestock D</c:v>
                </c:pt>
                <c:pt idx="2">
                  <c:v>Forestry</c:v>
                </c:pt>
                <c:pt idx="3">
                  <c:v>Fisheries</c:v>
                </c:pt>
                <c:pt idx="4">
                  <c:v>Petroleum</c:v>
                </c:pt>
                <c:pt idx="5">
                  <c:v>Mining</c:v>
                </c:pt>
                <c:pt idx="6">
                  <c:v>Manufacturing</c:v>
                </c:pt>
                <c:pt idx="7">
                  <c:v>Electricity and Water </c:v>
                </c:pt>
                <c:pt idx="8">
                  <c:v>Construction</c:v>
                </c:pt>
                <c:pt idx="9">
                  <c:v>Trade and repair</c:v>
                </c:pt>
                <c:pt idx="10">
                  <c:v>Transport and Storage</c:v>
                </c:pt>
                <c:pt idx="11">
                  <c:v>Accomodation and food services</c:v>
                </c:pt>
                <c:pt idx="12">
                  <c:v>Telecommunications</c:v>
                </c:pt>
                <c:pt idx="13">
                  <c:v>Financial and insurance services</c:v>
                </c:pt>
                <c:pt idx="14">
                  <c:v>Real Estate</c:v>
                </c:pt>
                <c:pt idx="15">
                  <c:v>Professional activities</c:v>
                </c:pt>
                <c:pt idx="16">
                  <c:v>Busniness services</c:v>
                </c:pt>
                <c:pt idx="17">
                  <c:v>Public services</c:v>
                </c:pt>
                <c:pt idx="18">
                  <c:v>Other Services</c:v>
                </c:pt>
              </c:strCache>
            </c:strRef>
          </c:cat>
          <c:val>
            <c:numRef>
              <c:f>Feuil4!$Y$3:$Y$21</c:f>
              <c:numCache>
                <c:formatCode>0.00</c:formatCode>
                <c:ptCount val="19"/>
                <c:pt idx="0">
                  <c:v>-9.3313482064742173E-2</c:v>
                </c:pt>
                <c:pt idx="1">
                  <c:v>-0.16417796907936286</c:v>
                </c:pt>
                <c:pt idx="2">
                  <c:v>-0.19254686631818199</c:v>
                </c:pt>
                <c:pt idx="3">
                  <c:v>-6.9854908734256996E-2</c:v>
                </c:pt>
                <c:pt idx="4">
                  <c:v>1.21207844122182E-2</c:v>
                </c:pt>
                <c:pt idx="5">
                  <c:v>0.92511780334064375</c:v>
                </c:pt>
                <c:pt idx="6">
                  <c:v>0.13219571955004264</c:v>
                </c:pt>
                <c:pt idx="7">
                  <c:v>0.57224335737846155</c:v>
                </c:pt>
                <c:pt idx="8">
                  <c:v>1.46771113485428</c:v>
                </c:pt>
                <c:pt idx="9">
                  <c:v>1.3782514181244203E-2</c:v>
                </c:pt>
                <c:pt idx="10">
                  <c:v>2.56046054730064E-2</c:v>
                </c:pt>
                <c:pt idx="11">
                  <c:v>-0.36593964749367602</c:v>
                </c:pt>
                <c:pt idx="12">
                  <c:v>-0.23538581605112099</c:v>
                </c:pt>
                <c:pt idx="13">
                  <c:v>-0.36983366434682802</c:v>
                </c:pt>
                <c:pt idx="14">
                  <c:v>-0.152943752551366</c:v>
                </c:pt>
                <c:pt idx="15">
                  <c:v>0.94362805330474897</c:v>
                </c:pt>
                <c:pt idx="16">
                  <c:v>-0.35082769181708801</c:v>
                </c:pt>
                <c:pt idx="17">
                  <c:v>-1.0555103291343662</c:v>
                </c:pt>
                <c:pt idx="18">
                  <c:v>-0.150937801383037</c:v>
                </c:pt>
              </c:numCache>
            </c:numRef>
          </c:val>
          <c:extLst>
            <c:ext xmlns:c16="http://schemas.microsoft.com/office/drawing/2014/chart" uri="{C3380CC4-5D6E-409C-BE32-E72D297353CC}">
              <c16:uniqueId val="{00000001-445B-4981-904F-0C864D682DDA}"/>
            </c:ext>
          </c:extLst>
        </c:ser>
        <c:ser>
          <c:idx val="2"/>
          <c:order val="2"/>
          <c:tx>
            <c:strRef>
              <c:f>Feuil4!$Z$2</c:f>
              <c:strCache>
                <c:ptCount val="1"/>
                <c:pt idx="0">
                  <c:v>ExtBorrowing</c:v>
                </c:pt>
              </c:strCache>
            </c:strRef>
          </c:tx>
          <c:spPr>
            <a:solidFill>
              <a:schemeClr val="accent3"/>
            </a:solidFill>
            <a:ln>
              <a:noFill/>
            </a:ln>
            <a:effectLst/>
          </c:spPr>
          <c:invertIfNegative val="0"/>
          <c:cat>
            <c:strRef>
              <c:f>Feuil4!$W$3:$W$21</c:f>
              <c:strCache>
                <c:ptCount val="19"/>
                <c:pt idx="0">
                  <c:v>agriculture D</c:v>
                </c:pt>
                <c:pt idx="1">
                  <c:v>livestock D</c:v>
                </c:pt>
                <c:pt idx="2">
                  <c:v>Forestry</c:v>
                </c:pt>
                <c:pt idx="3">
                  <c:v>Fisheries</c:v>
                </c:pt>
                <c:pt idx="4">
                  <c:v>Petroleum</c:v>
                </c:pt>
                <c:pt idx="5">
                  <c:v>Mining</c:v>
                </c:pt>
                <c:pt idx="6">
                  <c:v>Manufacturing</c:v>
                </c:pt>
                <c:pt idx="7">
                  <c:v>Electricity and Water </c:v>
                </c:pt>
                <c:pt idx="8">
                  <c:v>Construction</c:v>
                </c:pt>
                <c:pt idx="9">
                  <c:v>Trade and repair</c:v>
                </c:pt>
                <c:pt idx="10">
                  <c:v>Transport and Storage</c:v>
                </c:pt>
                <c:pt idx="11">
                  <c:v>Accomodation and food services</c:v>
                </c:pt>
                <c:pt idx="12">
                  <c:v>Telecommunications</c:v>
                </c:pt>
                <c:pt idx="13">
                  <c:v>Financial and insurance services</c:v>
                </c:pt>
                <c:pt idx="14">
                  <c:v>Real Estate</c:v>
                </c:pt>
                <c:pt idx="15">
                  <c:v>Professional activities</c:v>
                </c:pt>
                <c:pt idx="16">
                  <c:v>Busniness services</c:v>
                </c:pt>
                <c:pt idx="17">
                  <c:v>Public services</c:v>
                </c:pt>
                <c:pt idx="18">
                  <c:v>Other Services</c:v>
                </c:pt>
              </c:strCache>
            </c:strRef>
          </c:cat>
          <c:val>
            <c:numRef>
              <c:f>Feuil4!$Z$3:$Z$21</c:f>
              <c:numCache>
                <c:formatCode>0.00</c:formatCode>
                <c:ptCount val="19"/>
                <c:pt idx="0">
                  <c:v>-1.4292049895200151E-2</c:v>
                </c:pt>
                <c:pt idx="1">
                  <c:v>-3.0363154357251815E-2</c:v>
                </c:pt>
                <c:pt idx="2">
                  <c:v>-8.6139318168378096E-2</c:v>
                </c:pt>
                <c:pt idx="3">
                  <c:v>-6.4834483925579897E-3</c:v>
                </c:pt>
                <c:pt idx="4">
                  <c:v>-9.3462973615260098E-2</c:v>
                </c:pt>
                <c:pt idx="5">
                  <c:v>-0.37013819764755157</c:v>
                </c:pt>
                <c:pt idx="6">
                  <c:v>-0.15929215717315282</c:v>
                </c:pt>
                <c:pt idx="7">
                  <c:v>-5.8328317842310004E-2</c:v>
                </c:pt>
                <c:pt idx="8">
                  <c:v>0.51614195826827802</c:v>
                </c:pt>
                <c:pt idx="9">
                  <c:v>-3.2253547178179208E-2</c:v>
                </c:pt>
                <c:pt idx="10">
                  <c:v>-1.9145780252060301E-2</c:v>
                </c:pt>
                <c:pt idx="11">
                  <c:v>-7.7262783663144305E-2</c:v>
                </c:pt>
                <c:pt idx="12">
                  <c:v>-2.2539867053211499E-2</c:v>
                </c:pt>
                <c:pt idx="13">
                  <c:v>-0.15783780797960401</c:v>
                </c:pt>
                <c:pt idx="14">
                  <c:v>-2.08604682929092E-3</c:v>
                </c:pt>
                <c:pt idx="15">
                  <c:v>-3.7651039892239201E-4</c:v>
                </c:pt>
                <c:pt idx="16">
                  <c:v>-9.5678951396962503E-2</c:v>
                </c:pt>
                <c:pt idx="17">
                  <c:v>-2.0377729579763577E-3</c:v>
                </c:pt>
                <c:pt idx="18">
                  <c:v>4.5535069000095501E-3</c:v>
                </c:pt>
              </c:numCache>
            </c:numRef>
          </c:val>
          <c:extLst>
            <c:ext xmlns:c16="http://schemas.microsoft.com/office/drawing/2014/chart" uri="{C3380CC4-5D6E-409C-BE32-E72D297353CC}">
              <c16:uniqueId val="{00000002-445B-4981-904F-0C864D682DDA}"/>
            </c:ext>
          </c:extLst>
        </c:ser>
        <c:dLbls>
          <c:showLegendKey val="0"/>
          <c:showVal val="0"/>
          <c:showCatName val="0"/>
          <c:showSerName val="0"/>
          <c:showPercent val="0"/>
          <c:showBubbleSize val="0"/>
        </c:dLbls>
        <c:gapWidth val="219"/>
        <c:overlap val="-27"/>
        <c:axId val="703085000"/>
        <c:axId val="703081760"/>
      </c:barChart>
      <c:catAx>
        <c:axId val="703085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3081760"/>
        <c:crosses val="autoZero"/>
        <c:auto val="1"/>
        <c:lblAlgn val="ctr"/>
        <c:lblOffset val="100"/>
        <c:noMultiLvlLbl val="0"/>
      </c:catAx>
      <c:valAx>
        <c:axId val="703081760"/>
        <c:scaling>
          <c:orientation val="minMax"/>
          <c:max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1" i="0" u="none" strike="noStrike" kern="1200" baseline="0">
                    <a:solidFill>
                      <a:sysClr val="windowText" lastClr="000000">
                        <a:lumMod val="65000"/>
                        <a:lumOff val="35000"/>
                      </a:sysClr>
                    </a:solidFill>
                    <a:effectLst/>
                  </a:rPr>
                  <a:t>Variation in %</a:t>
                </a:r>
              </a:p>
            </c:rich>
          </c:tx>
          <c:layout>
            <c:manualLayout>
              <c:xMode val="edge"/>
              <c:yMode val="edge"/>
              <c:x val="8.6186822800996023E-3"/>
              <c:y val="0.3073075240594925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3085000"/>
        <c:crosses val="autoZero"/>
        <c:crossBetween val="between"/>
      </c:valAx>
      <c:spPr>
        <a:noFill/>
        <a:ln>
          <a:noFill/>
        </a:ln>
        <a:effectLst/>
      </c:spPr>
    </c:plotArea>
    <c:legend>
      <c:legendPos val="b"/>
      <c:layout>
        <c:manualLayout>
          <c:xMode val="edge"/>
          <c:yMode val="edge"/>
          <c:x val="9.0332963187293919E-2"/>
          <c:y val="0.90335593467483233"/>
          <c:w val="0.42189817618951475"/>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734213924529446E-2"/>
          <c:y val="2.5428331875182269E-2"/>
          <c:w val="0.9094351665456506"/>
          <c:h val="0.86631889763779524"/>
        </c:manualLayout>
      </c:layout>
      <c:barChart>
        <c:barDir val="col"/>
        <c:grouping val="clustered"/>
        <c:varyColors val="0"/>
        <c:ser>
          <c:idx val="0"/>
          <c:order val="0"/>
          <c:tx>
            <c:strRef>
              <c:f>Feuil4!$AW$2</c:f>
              <c:strCache>
                <c:ptCount val="1"/>
                <c:pt idx="0">
                  <c:v>IntBorrowing</c:v>
                </c:pt>
              </c:strCache>
            </c:strRef>
          </c:tx>
          <c:spPr>
            <a:solidFill>
              <a:schemeClr val="accent1"/>
            </a:solidFill>
            <a:ln>
              <a:noFill/>
            </a:ln>
            <a:effectLst/>
          </c:spPr>
          <c:invertIfNegative val="0"/>
          <c:cat>
            <c:strRef>
              <c:f>Feuil4!$AV$3:$AV$17</c:f>
              <c:strCache>
                <c:ptCount val="15"/>
                <c:pt idx="0">
                  <c:v>agriculture</c:v>
                </c:pt>
                <c:pt idx="1">
                  <c:v>livestock</c:v>
                </c:pt>
                <c:pt idx="2">
                  <c:v>Forestry</c:v>
                </c:pt>
                <c:pt idx="3">
                  <c:v>Fisheries</c:v>
                </c:pt>
                <c:pt idx="4">
                  <c:v>Mining</c:v>
                </c:pt>
                <c:pt idx="5">
                  <c:v>Manufacturing</c:v>
                </c:pt>
                <c:pt idx="6">
                  <c:v>Electricity and Water </c:v>
                </c:pt>
                <c:pt idx="7">
                  <c:v>Construction</c:v>
                </c:pt>
                <c:pt idx="8">
                  <c:v>Transport and Storage</c:v>
                </c:pt>
                <c:pt idx="9">
                  <c:v>Telecommunications</c:v>
                </c:pt>
                <c:pt idx="10">
                  <c:v>Financial and insurance services</c:v>
                </c:pt>
                <c:pt idx="11">
                  <c:v>Professional activities</c:v>
                </c:pt>
                <c:pt idx="12">
                  <c:v>Busniness services</c:v>
                </c:pt>
                <c:pt idx="13">
                  <c:v>Public services</c:v>
                </c:pt>
                <c:pt idx="14">
                  <c:v>Other Services</c:v>
                </c:pt>
              </c:strCache>
            </c:strRef>
          </c:cat>
          <c:val>
            <c:numRef>
              <c:f>Feuil4!$AW$3:$AW$17</c:f>
              <c:numCache>
                <c:formatCode>0.00</c:formatCode>
                <c:ptCount val="15"/>
                <c:pt idx="0">
                  <c:v>-8.5424924270043334E-2</c:v>
                </c:pt>
                <c:pt idx="1">
                  <c:v>8.1060429166381467E-2</c:v>
                </c:pt>
                <c:pt idx="2">
                  <c:v>-0.17210738759000299</c:v>
                </c:pt>
                <c:pt idx="3">
                  <c:v>4.3406194621041998E-2</c:v>
                </c:pt>
                <c:pt idx="4">
                  <c:v>-0.45651182443658761</c:v>
                </c:pt>
                <c:pt idx="5">
                  <c:v>4.9997134337824451E-3</c:v>
                </c:pt>
                <c:pt idx="6">
                  <c:v>0.29281133379671997</c:v>
                </c:pt>
                <c:pt idx="7">
                  <c:v>-8.0052173247385507</c:v>
                </c:pt>
                <c:pt idx="8">
                  <c:v>2.2598358284426499E-2</c:v>
                </c:pt>
                <c:pt idx="9">
                  <c:v>2.4759460798790701E-2</c:v>
                </c:pt>
                <c:pt idx="10">
                  <c:v>-9.1468786348386302E-2</c:v>
                </c:pt>
                <c:pt idx="11">
                  <c:v>9.2331434078744196E-2</c:v>
                </c:pt>
                <c:pt idx="12">
                  <c:v>-5.3938203846897202E-2</c:v>
                </c:pt>
                <c:pt idx="13">
                  <c:v>7.0147586733346132E-2</c:v>
                </c:pt>
                <c:pt idx="14">
                  <c:v>1.3126056510117201E-2</c:v>
                </c:pt>
              </c:numCache>
            </c:numRef>
          </c:val>
          <c:extLst>
            <c:ext xmlns:c16="http://schemas.microsoft.com/office/drawing/2014/chart" uri="{C3380CC4-5D6E-409C-BE32-E72D297353CC}">
              <c16:uniqueId val="{00000000-C661-4DE2-907E-F4141E1A86DE}"/>
            </c:ext>
          </c:extLst>
        </c:ser>
        <c:ser>
          <c:idx val="1"/>
          <c:order val="1"/>
          <c:tx>
            <c:strRef>
              <c:f>Feuil4!$AX$2</c:f>
              <c:strCache>
                <c:ptCount val="1"/>
                <c:pt idx="0">
                  <c:v>GovSpend</c:v>
                </c:pt>
              </c:strCache>
            </c:strRef>
          </c:tx>
          <c:spPr>
            <a:solidFill>
              <a:schemeClr val="accent2"/>
            </a:solidFill>
            <a:ln>
              <a:noFill/>
            </a:ln>
            <a:effectLst/>
          </c:spPr>
          <c:invertIfNegative val="0"/>
          <c:cat>
            <c:strRef>
              <c:f>Feuil4!$AV$3:$AV$17</c:f>
              <c:strCache>
                <c:ptCount val="15"/>
                <c:pt idx="0">
                  <c:v>agriculture</c:v>
                </c:pt>
                <c:pt idx="1">
                  <c:v>livestock</c:v>
                </c:pt>
                <c:pt idx="2">
                  <c:v>Forestry</c:v>
                </c:pt>
                <c:pt idx="3">
                  <c:v>Fisheries</c:v>
                </c:pt>
                <c:pt idx="4">
                  <c:v>Mining</c:v>
                </c:pt>
                <c:pt idx="5">
                  <c:v>Manufacturing</c:v>
                </c:pt>
                <c:pt idx="6">
                  <c:v>Electricity and Water </c:v>
                </c:pt>
                <c:pt idx="7">
                  <c:v>Construction</c:v>
                </c:pt>
                <c:pt idx="8">
                  <c:v>Transport and Storage</c:v>
                </c:pt>
                <c:pt idx="9">
                  <c:v>Telecommunications</c:v>
                </c:pt>
                <c:pt idx="10">
                  <c:v>Financial and insurance services</c:v>
                </c:pt>
                <c:pt idx="11">
                  <c:v>Professional activities</c:v>
                </c:pt>
                <c:pt idx="12">
                  <c:v>Busniness services</c:v>
                </c:pt>
                <c:pt idx="13">
                  <c:v>Public services</c:v>
                </c:pt>
                <c:pt idx="14">
                  <c:v>Other Services</c:v>
                </c:pt>
              </c:strCache>
            </c:strRef>
          </c:cat>
          <c:val>
            <c:numRef>
              <c:f>Feuil4!$AX$3:$AX$17</c:f>
              <c:numCache>
                <c:formatCode>0.00</c:formatCode>
                <c:ptCount val="15"/>
                <c:pt idx="0">
                  <c:v>-0.59768828378209338</c:v>
                </c:pt>
                <c:pt idx="1">
                  <c:v>-0.24807278908844649</c:v>
                </c:pt>
                <c:pt idx="2">
                  <c:v>-0.80520352941675799</c:v>
                </c:pt>
                <c:pt idx="3">
                  <c:v>-0.21459642691223699</c:v>
                </c:pt>
                <c:pt idx="4">
                  <c:v>0.40401942283938769</c:v>
                </c:pt>
                <c:pt idx="5">
                  <c:v>-0.37682646447570967</c:v>
                </c:pt>
                <c:pt idx="6">
                  <c:v>5.0813785355984499E-2</c:v>
                </c:pt>
                <c:pt idx="7">
                  <c:v>-7.2084657727071999</c:v>
                </c:pt>
                <c:pt idx="8">
                  <c:v>-0.173293115425835</c:v>
                </c:pt>
                <c:pt idx="9">
                  <c:v>-0.43298683150231898</c:v>
                </c:pt>
                <c:pt idx="10">
                  <c:v>-0.63264595884548702</c:v>
                </c:pt>
                <c:pt idx="11">
                  <c:v>0.92583048814971403</c:v>
                </c:pt>
                <c:pt idx="12">
                  <c:v>-0.57787572211486804</c:v>
                </c:pt>
                <c:pt idx="13">
                  <c:v>-1.8098687478106399</c:v>
                </c:pt>
                <c:pt idx="14">
                  <c:v>-0.48979261627043502</c:v>
                </c:pt>
              </c:numCache>
            </c:numRef>
          </c:val>
          <c:extLst>
            <c:ext xmlns:c16="http://schemas.microsoft.com/office/drawing/2014/chart" uri="{C3380CC4-5D6E-409C-BE32-E72D297353CC}">
              <c16:uniqueId val="{00000001-C661-4DE2-907E-F4141E1A86DE}"/>
            </c:ext>
          </c:extLst>
        </c:ser>
        <c:ser>
          <c:idx val="2"/>
          <c:order val="2"/>
          <c:tx>
            <c:strRef>
              <c:f>Feuil4!$AY$2</c:f>
              <c:strCache>
                <c:ptCount val="1"/>
                <c:pt idx="0">
                  <c:v>ExtBorrowing</c:v>
                </c:pt>
              </c:strCache>
            </c:strRef>
          </c:tx>
          <c:spPr>
            <a:solidFill>
              <a:schemeClr val="accent3"/>
            </a:solidFill>
            <a:ln>
              <a:noFill/>
            </a:ln>
            <a:effectLst/>
          </c:spPr>
          <c:invertIfNegative val="0"/>
          <c:cat>
            <c:strRef>
              <c:f>Feuil4!$AV$3:$AV$17</c:f>
              <c:strCache>
                <c:ptCount val="15"/>
                <c:pt idx="0">
                  <c:v>agriculture</c:v>
                </c:pt>
                <c:pt idx="1">
                  <c:v>livestock</c:v>
                </c:pt>
                <c:pt idx="2">
                  <c:v>Forestry</c:v>
                </c:pt>
                <c:pt idx="3">
                  <c:v>Fisheries</c:v>
                </c:pt>
                <c:pt idx="4">
                  <c:v>Mining</c:v>
                </c:pt>
                <c:pt idx="5">
                  <c:v>Manufacturing</c:v>
                </c:pt>
                <c:pt idx="6">
                  <c:v>Electricity and Water </c:v>
                </c:pt>
                <c:pt idx="7">
                  <c:v>Construction</c:v>
                </c:pt>
                <c:pt idx="8">
                  <c:v>Transport and Storage</c:v>
                </c:pt>
                <c:pt idx="9">
                  <c:v>Telecommunications</c:v>
                </c:pt>
                <c:pt idx="10">
                  <c:v>Financial and insurance services</c:v>
                </c:pt>
                <c:pt idx="11">
                  <c:v>Professional activities</c:v>
                </c:pt>
                <c:pt idx="12">
                  <c:v>Busniness services</c:v>
                </c:pt>
                <c:pt idx="13">
                  <c:v>Public services</c:v>
                </c:pt>
                <c:pt idx="14">
                  <c:v>Other Services</c:v>
                </c:pt>
              </c:strCache>
            </c:strRef>
          </c:cat>
          <c:val>
            <c:numRef>
              <c:f>Feuil4!$AY$3:$AY$17</c:f>
              <c:numCache>
                <c:formatCode>0.00</c:formatCode>
                <c:ptCount val="15"/>
                <c:pt idx="0">
                  <c:v>-8.5424924270043334E-2</c:v>
                </c:pt>
                <c:pt idx="1">
                  <c:v>8.1060429166381467E-2</c:v>
                </c:pt>
                <c:pt idx="2">
                  <c:v>-0.17210738759000299</c:v>
                </c:pt>
                <c:pt idx="3">
                  <c:v>4.3406194621041998E-2</c:v>
                </c:pt>
                <c:pt idx="4">
                  <c:v>-0.45651182443658761</c:v>
                </c:pt>
                <c:pt idx="5">
                  <c:v>4.9997134337824451E-3</c:v>
                </c:pt>
                <c:pt idx="6">
                  <c:v>0.29281133379671997</c:v>
                </c:pt>
                <c:pt idx="7">
                  <c:v>-8.0052173247385507</c:v>
                </c:pt>
                <c:pt idx="8">
                  <c:v>2.2598358284426499E-2</c:v>
                </c:pt>
                <c:pt idx="9">
                  <c:v>2.4759460798790701E-2</c:v>
                </c:pt>
                <c:pt idx="10">
                  <c:v>-9.1468786348386302E-2</c:v>
                </c:pt>
                <c:pt idx="11">
                  <c:v>9.2331434078744196E-2</c:v>
                </c:pt>
                <c:pt idx="12">
                  <c:v>-5.3938203846897202E-2</c:v>
                </c:pt>
                <c:pt idx="13">
                  <c:v>7.0147586733346132E-2</c:v>
                </c:pt>
                <c:pt idx="14">
                  <c:v>1.3126056510117201E-2</c:v>
                </c:pt>
              </c:numCache>
            </c:numRef>
          </c:val>
          <c:extLst>
            <c:ext xmlns:c16="http://schemas.microsoft.com/office/drawing/2014/chart" uri="{C3380CC4-5D6E-409C-BE32-E72D297353CC}">
              <c16:uniqueId val="{00000002-C661-4DE2-907E-F4141E1A86DE}"/>
            </c:ext>
          </c:extLst>
        </c:ser>
        <c:dLbls>
          <c:showLegendKey val="0"/>
          <c:showVal val="0"/>
          <c:showCatName val="0"/>
          <c:showSerName val="0"/>
          <c:showPercent val="0"/>
          <c:showBubbleSize val="0"/>
        </c:dLbls>
        <c:gapWidth val="219"/>
        <c:overlap val="-27"/>
        <c:axId val="708349392"/>
        <c:axId val="708346512"/>
      </c:barChart>
      <c:catAx>
        <c:axId val="708349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8346512"/>
        <c:crosses val="autoZero"/>
        <c:auto val="1"/>
        <c:lblAlgn val="ctr"/>
        <c:lblOffset val="100"/>
        <c:noMultiLvlLbl val="0"/>
      </c:catAx>
      <c:valAx>
        <c:axId val="708346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1" i="0" u="none" strike="noStrike" kern="1200" baseline="0">
                    <a:solidFill>
                      <a:sysClr val="windowText" lastClr="000000">
                        <a:lumMod val="65000"/>
                        <a:lumOff val="35000"/>
                      </a:sysClr>
                    </a:solidFill>
                    <a:effectLst/>
                  </a:rPr>
                  <a:t>Variation in %</a:t>
                </a:r>
              </a:p>
            </c:rich>
          </c:tx>
          <c:layout>
            <c:manualLayout>
              <c:xMode val="edge"/>
              <c:yMode val="edge"/>
              <c:x val="7.5714031052578944E-3"/>
              <c:y val="0.1435761154855643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8349392"/>
        <c:crosses val="autoZero"/>
        <c:crossBetween val="between"/>
      </c:valAx>
      <c:spPr>
        <a:noFill/>
        <a:ln>
          <a:noFill/>
        </a:ln>
        <a:effectLst/>
      </c:spPr>
    </c:plotArea>
    <c:legend>
      <c:legendPos val="b"/>
      <c:layout>
        <c:manualLayout>
          <c:xMode val="edge"/>
          <c:yMode val="edge"/>
          <c:x val="9.199511297973452E-2"/>
          <c:y val="0.88946704578594338"/>
          <c:w val="0.43610899272599207"/>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91749540950865"/>
          <c:y val="5.0925925925925923E-2"/>
          <c:w val="0.89302107254126828"/>
          <c:h val="0.7197240449110528"/>
        </c:manualLayout>
      </c:layout>
      <c:barChart>
        <c:barDir val="col"/>
        <c:grouping val="clustered"/>
        <c:varyColors val="0"/>
        <c:ser>
          <c:idx val="0"/>
          <c:order val="0"/>
          <c:tx>
            <c:strRef>
              <c:f>Feuil4!$BG$2</c:f>
              <c:strCache>
                <c:ptCount val="1"/>
                <c:pt idx="0">
                  <c:v>IntBorrowing</c:v>
                </c:pt>
              </c:strCache>
            </c:strRef>
          </c:tx>
          <c:spPr>
            <a:solidFill>
              <a:schemeClr val="accent1"/>
            </a:solidFill>
            <a:ln>
              <a:noFill/>
            </a:ln>
            <a:effectLst/>
          </c:spPr>
          <c:invertIfNegative val="0"/>
          <c:cat>
            <c:strRef>
              <c:f>Feuil4!$BF$3:$BF$16</c:f>
              <c:strCache>
                <c:ptCount val="14"/>
                <c:pt idx="0">
                  <c:v>agriculture</c:v>
                </c:pt>
                <c:pt idx="1">
                  <c:v>livestock</c:v>
                </c:pt>
                <c:pt idx="2">
                  <c:v>Forestry</c:v>
                </c:pt>
                <c:pt idx="3">
                  <c:v>Fisheries</c:v>
                </c:pt>
                <c:pt idx="4">
                  <c:v>Mining</c:v>
                </c:pt>
                <c:pt idx="5">
                  <c:v>Manufacturing</c:v>
                </c:pt>
                <c:pt idx="6">
                  <c:v>Transport and Storage</c:v>
                </c:pt>
                <c:pt idx="7">
                  <c:v>Accommodation</c:v>
                </c:pt>
                <c:pt idx="8">
                  <c:v>Telecommunications</c:v>
                </c:pt>
                <c:pt idx="9">
                  <c:v>Financial and insurance services</c:v>
                </c:pt>
                <c:pt idx="10">
                  <c:v>Professional activities</c:v>
                </c:pt>
                <c:pt idx="11">
                  <c:v>Busniness services</c:v>
                </c:pt>
                <c:pt idx="12">
                  <c:v>Public services</c:v>
                </c:pt>
                <c:pt idx="13">
                  <c:v>Other Services</c:v>
                </c:pt>
              </c:strCache>
            </c:strRef>
          </c:cat>
          <c:val>
            <c:numRef>
              <c:f>Feuil4!$BG$3:$BG$16</c:f>
              <c:numCache>
                <c:formatCode>0.00</c:formatCode>
                <c:ptCount val="14"/>
                <c:pt idx="0">
                  <c:v>-1.1460658157744774E-2</c:v>
                </c:pt>
                <c:pt idx="1">
                  <c:v>-4.41220678719077E-2</c:v>
                </c:pt>
                <c:pt idx="2">
                  <c:v>-5.30631273659736E-2</c:v>
                </c:pt>
                <c:pt idx="3">
                  <c:v>-3.8401478737910097E-2</c:v>
                </c:pt>
                <c:pt idx="4">
                  <c:v>-0.37288437910157779</c:v>
                </c:pt>
                <c:pt idx="5">
                  <c:v>-7.9721875018509525E-2</c:v>
                </c:pt>
                <c:pt idx="6">
                  <c:v>-3.9807691024591897E-2</c:v>
                </c:pt>
                <c:pt idx="7">
                  <c:v>-5.9172666924339999E-2</c:v>
                </c:pt>
                <c:pt idx="8">
                  <c:v>-4.1990616200109798E-2</c:v>
                </c:pt>
                <c:pt idx="9">
                  <c:v>-0.19051160572011799</c:v>
                </c:pt>
                <c:pt idx="10">
                  <c:v>-3.7756549168008698E-2</c:v>
                </c:pt>
                <c:pt idx="11">
                  <c:v>-0.115505916151406</c:v>
                </c:pt>
                <c:pt idx="12">
                  <c:v>-0.11459135701317756</c:v>
                </c:pt>
                <c:pt idx="13">
                  <c:v>9.7124639309242899E-4</c:v>
                </c:pt>
              </c:numCache>
            </c:numRef>
          </c:val>
          <c:extLst>
            <c:ext xmlns:c16="http://schemas.microsoft.com/office/drawing/2014/chart" uri="{C3380CC4-5D6E-409C-BE32-E72D297353CC}">
              <c16:uniqueId val="{00000000-9010-447E-BB14-87921F0AA2F8}"/>
            </c:ext>
          </c:extLst>
        </c:ser>
        <c:ser>
          <c:idx val="1"/>
          <c:order val="1"/>
          <c:tx>
            <c:strRef>
              <c:f>Feuil4!$BH$2</c:f>
              <c:strCache>
                <c:ptCount val="1"/>
                <c:pt idx="0">
                  <c:v>GovSpend</c:v>
                </c:pt>
              </c:strCache>
            </c:strRef>
          </c:tx>
          <c:spPr>
            <a:solidFill>
              <a:schemeClr val="accent2"/>
            </a:solidFill>
            <a:ln>
              <a:noFill/>
            </a:ln>
            <a:effectLst/>
          </c:spPr>
          <c:invertIfNegative val="0"/>
          <c:cat>
            <c:strRef>
              <c:f>Feuil4!$BF$3:$BF$16</c:f>
              <c:strCache>
                <c:ptCount val="14"/>
                <c:pt idx="0">
                  <c:v>agriculture</c:v>
                </c:pt>
                <c:pt idx="1">
                  <c:v>livestock</c:v>
                </c:pt>
                <c:pt idx="2">
                  <c:v>Forestry</c:v>
                </c:pt>
                <c:pt idx="3">
                  <c:v>Fisheries</c:v>
                </c:pt>
                <c:pt idx="4">
                  <c:v>Mining</c:v>
                </c:pt>
                <c:pt idx="5">
                  <c:v>Manufacturing</c:v>
                </c:pt>
                <c:pt idx="6">
                  <c:v>Transport and Storage</c:v>
                </c:pt>
                <c:pt idx="7">
                  <c:v>Accommodation</c:v>
                </c:pt>
                <c:pt idx="8">
                  <c:v>Telecommunications</c:v>
                </c:pt>
                <c:pt idx="9">
                  <c:v>Financial and insurance services</c:v>
                </c:pt>
                <c:pt idx="10">
                  <c:v>Professional activities</c:v>
                </c:pt>
                <c:pt idx="11">
                  <c:v>Busniness services</c:v>
                </c:pt>
                <c:pt idx="12">
                  <c:v>Public services</c:v>
                </c:pt>
                <c:pt idx="13">
                  <c:v>Other Services</c:v>
                </c:pt>
              </c:strCache>
            </c:strRef>
          </c:cat>
          <c:val>
            <c:numRef>
              <c:f>Feuil4!$BH$3:$BH$16</c:f>
              <c:numCache>
                <c:formatCode>0.00</c:formatCode>
                <c:ptCount val="14"/>
                <c:pt idx="0">
                  <c:v>4.3665314718534382E-2</c:v>
                </c:pt>
                <c:pt idx="1">
                  <c:v>-7.4134298024128437E-2</c:v>
                </c:pt>
                <c:pt idx="2">
                  <c:v>4.4036150617230901E-2</c:v>
                </c:pt>
                <c:pt idx="3">
                  <c:v>2.2879234075531898E-2</c:v>
                </c:pt>
                <c:pt idx="4">
                  <c:v>0.97929630130904377</c:v>
                </c:pt>
                <c:pt idx="5">
                  <c:v>9.5646132723276295E-2</c:v>
                </c:pt>
                <c:pt idx="6">
                  <c:v>0.124227071547026</c:v>
                </c:pt>
                <c:pt idx="7">
                  <c:v>-0.168716567931426</c:v>
                </c:pt>
                <c:pt idx="8">
                  <c:v>-0.15399892607625501</c:v>
                </c:pt>
                <c:pt idx="9">
                  <c:v>-0.240133522680438</c:v>
                </c:pt>
                <c:pt idx="10">
                  <c:v>0.95080907543874105</c:v>
                </c:pt>
                <c:pt idx="11">
                  <c:v>-0.242770310692038</c:v>
                </c:pt>
                <c:pt idx="12">
                  <c:v>0.15596841402208836</c:v>
                </c:pt>
                <c:pt idx="13">
                  <c:v>-9.0180517152731506E-3</c:v>
                </c:pt>
              </c:numCache>
            </c:numRef>
          </c:val>
          <c:extLst>
            <c:ext xmlns:c16="http://schemas.microsoft.com/office/drawing/2014/chart" uri="{C3380CC4-5D6E-409C-BE32-E72D297353CC}">
              <c16:uniqueId val="{00000001-9010-447E-BB14-87921F0AA2F8}"/>
            </c:ext>
          </c:extLst>
        </c:ser>
        <c:ser>
          <c:idx val="2"/>
          <c:order val="2"/>
          <c:tx>
            <c:strRef>
              <c:f>Feuil4!$BI$2</c:f>
              <c:strCache>
                <c:ptCount val="1"/>
                <c:pt idx="0">
                  <c:v>ExtBorrowing</c:v>
                </c:pt>
              </c:strCache>
            </c:strRef>
          </c:tx>
          <c:spPr>
            <a:solidFill>
              <a:schemeClr val="accent3"/>
            </a:solidFill>
            <a:ln>
              <a:noFill/>
            </a:ln>
            <a:effectLst/>
          </c:spPr>
          <c:invertIfNegative val="0"/>
          <c:cat>
            <c:strRef>
              <c:f>Feuil4!$BF$3:$BF$16</c:f>
              <c:strCache>
                <c:ptCount val="14"/>
                <c:pt idx="0">
                  <c:v>agriculture</c:v>
                </c:pt>
                <c:pt idx="1">
                  <c:v>livestock</c:v>
                </c:pt>
                <c:pt idx="2">
                  <c:v>Forestry</c:v>
                </c:pt>
                <c:pt idx="3">
                  <c:v>Fisheries</c:v>
                </c:pt>
                <c:pt idx="4">
                  <c:v>Mining</c:v>
                </c:pt>
                <c:pt idx="5">
                  <c:v>Manufacturing</c:v>
                </c:pt>
                <c:pt idx="6">
                  <c:v>Transport and Storage</c:v>
                </c:pt>
                <c:pt idx="7">
                  <c:v>Accommodation</c:v>
                </c:pt>
                <c:pt idx="8">
                  <c:v>Telecommunications</c:v>
                </c:pt>
                <c:pt idx="9">
                  <c:v>Financial and insurance services</c:v>
                </c:pt>
                <c:pt idx="10">
                  <c:v>Professional activities</c:v>
                </c:pt>
                <c:pt idx="11">
                  <c:v>Busniness services</c:v>
                </c:pt>
                <c:pt idx="12">
                  <c:v>Public services</c:v>
                </c:pt>
                <c:pt idx="13">
                  <c:v>Other Services</c:v>
                </c:pt>
              </c:strCache>
            </c:strRef>
          </c:cat>
          <c:val>
            <c:numRef>
              <c:f>Feuil4!$BI$3:$BI$16</c:f>
              <c:numCache>
                <c:formatCode>0.00</c:formatCode>
                <c:ptCount val="14"/>
                <c:pt idx="0">
                  <c:v>-1.1460658157744774E-2</c:v>
                </c:pt>
                <c:pt idx="1">
                  <c:v>-4.41220678719077E-2</c:v>
                </c:pt>
                <c:pt idx="2">
                  <c:v>-5.30631273659736E-2</c:v>
                </c:pt>
                <c:pt idx="3">
                  <c:v>-3.8401478737910097E-2</c:v>
                </c:pt>
                <c:pt idx="4">
                  <c:v>-0.37288437910157779</c:v>
                </c:pt>
                <c:pt idx="5">
                  <c:v>-7.9721875018509525E-2</c:v>
                </c:pt>
                <c:pt idx="6">
                  <c:v>-3.9807691024591897E-2</c:v>
                </c:pt>
                <c:pt idx="7">
                  <c:v>-5.9172666924339999E-2</c:v>
                </c:pt>
                <c:pt idx="8">
                  <c:v>-4.1990616200109798E-2</c:v>
                </c:pt>
                <c:pt idx="9">
                  <c:v>-0.19051160572011799</c:v>
                </c:pt>
                <c:pt idx="10">
                  <c:v>-3.7756549168008698E-2</c:v>
                </c:pt>
                <c:pt idx="11">
                  <c:v>-0.115505916151406</c:v>
                </c:pt>
                <c:pt idx="12">
                  <c:v>-0.11459135701317756</c:v>
                </c:pt>
                <c:pt idx="13">
                  <c:v>9.7124639309242899E-4</c:v>
                </c:pt>
              </c:numCache>
            </c:numRef>
          </c:val>
          <c:extLst>
            <c:ext xmlns:c16="http://schemas.microsoft.com/office/drawing/2014/chart" uri="{C3380CC4-5D6E-409C-BE32-E72D297353CC}">
              <c16:uniqueId val="{00000002-9010-447E-BB14-87921F0AA2F8}"/>
            </c:ext>
          </c:extLst>
        </c:ser>
        <c:dLbls>
          <c:showLegendKey val="0"/>
          <c:showVal val="0"/>
          <c:showCatName val="0"/>
          <c:showSerName val="0"/>
          <c:showPercent val="0"/>
          <c:showBubbleSize val="0"/>
        </c:dLbls>
        <c:gapWidth val="219"/>
        <c:overlap val="-27"/>
        <c:axId val="708349392"/>
        <c:axId val="708346512"/>
      </c:barChart>
      <c:catAx>
        <c:axId val="708349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8346512"/>
        <c:crosses val="autoZero"/>
        <c:auto val="1"/>
        <c:lblAlgn val="ctr"/>
        <c:lblOffset val="100"/>
        <c:noMultiLvlLbl val="0"/>
      </c:catAx>
      <c:valAx>
        <c:axId val="70834651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1" i="0" u="none" strike="noStrike" kern="1200" baseline="0">
                    <a:solidFill>
                      <a:sysClr val="windowText" lastClr="000000">
                        <a:lumMod val="65000"/>
                        <a:lumOff val="35000"/>
                      </a:sysClr>
                    </a:solidFill>
                    <a:effectLst/>
                  </a:rPr>
                  <a:t>Variation in %</a:t>
                </a:r>
              </a:p>
            </c:rich>
          </c:tx>
          <c:layout>
            <c:manualLayout>
              <c:xMode val="edge"/>
              <c:yMode val="edge"/>
              <c:x val="7.6013934844935743E-3"/>
              <c:y val="0.196840186643336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8349392"/>
        <c:crosses val="autoZero"/>
        <c:crossBetween val="between"/>
      </c:valAx>
      <c:spPr>
        <a:noFill/>
        <a:ln>
          <a:noFill/>
        </a:ln>
        <a:effectLst/>
      </c:spPr>
    </c:plotArea>
    <c:legend>
      <c:legendPos val="b"/>
      <c:layout>
        <c:manualLayout>
          <c:xMode val="edge"/>
          <c:yMode val="edge"/>
          <c:x val="4.7108795795616137E-2"/>
          <c:y val="0.92187445319335082"/>
          <c:w val="0.46159753701155559"/>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6002166395867"/>
          <c:y val="5.4590570719602979E-2"/>
          <c:w val="0.86914934244330566"/>
          <c:h val="0.777294699204783"/>
        </c:manualLayout>
      </c:layout>
      <c:barChart>
        <c:barDir val="col"/>
        <c:grouping val="clustered"/>
        <c:varyColors val="0"/>
        <c:ser>
          <c:idx val="0"/>
          <c:order val="0"/>
          <c:tx>
            <c:strRef>
              <c:f>Feuil4!$CH$2</c:f>
              <c:strCache>
                <c:ptCount val="1"/>
                <c:pt idx="0">
                  <c:v>IntBorrowing</c:v>
                </c:pt>
              </c:strCache>
            </c:strRef>
          </c:tx>
          <c:spPr>
            <a:solidFill>
              <a:schemeClr val="accent1"/>
            </a:solidFill>
            <a:ln>
              <a:noFill/>
            </a:ln>
            <a:effectLst/>
          </c:spPr>
          <c:invertIfNegative val="0"/>
          <c:cat>
            <c:strRef>
              <c:f>Feuil4!$CG$3:$CG$24</c:f>
              <c:strCache>
                <c:ptCount val="22"/>
                <c:pt idx="0">
                  <c:v>agriculture D</c:v>
                </c:pt>
                <c:pt idx="1">
                  <c:v>livestock D</c:v>
                </c:pt>
                <c:pt idx="2">
                  <c:v>agriculture</c:v>
                </c:pt>
                <c:pt idx="3">
                  <c:v>livestock</c:v>
                </c:pt>
                <c:pt idx="4">
                  <c:v>Forestry</c:v>
                </c:pt>
                <c:pt idx="5">
                  <c:v>Fisheries</c:v>
                </c:pt>
                <c:pt idx="6">
                  <c:v>Petroleum</c:v>
                </c:pt>
                <c:pt idx="7">
                  <c:v>Mining</c:v>
                </c:pt>
                <c:pt idx="8">
                  <c:v>cement</c:v>
                </c:pt>
                <c:pt idx="9">
                  <c:v>Manufacturing</c:v>
                </c:pt>
                <c:pt idx="10">
                  <c:v>Electricity and Water </c:v>
                </c:pt>
                <c:pt idx="11">
                  <c:v>Construction</c:v>
                </c:pt>
                <c:pt idx="12">
                  <c:v>Trade and repair</c:v>
                </c:pt>
                <c:pt idx="13">
                  <c:v>Transport and Storage</c:v>
                </c:pt>
                <c:pt idx="14">
                  <c:v>Accomodation and food services</c:v>
                </c:pt>
                <c:pt idx="15">
                  <c:v>Telecommunications</c:v>
                </c:pt>
                <c:pt idx="16">
                  <c:v>Financial and insurance services</c:v>
                </c:pt>
                <c:pt idx="17">
                  <c:v>Real Estate</c:v>
                </c:pt>
                <c:pt idx="18">
                  <c:v>Professional activities</c:v>
                </c:pt>
                <c:pt idx="19">
                  <c:v>Busniness services</c:v>
                </c:pt>
                <c:pt idx="20">
                  <c:v>Public services</c:v>
                </c:pt>
                <c:pt idx="21">
                  <c:v>Other Services</c:v>
                </c:pt>
              </c:strCache>
            </c:strRef>
          </c:cat>
          <c:val>
            <c:numRef>
              <c:f>Feuil4!$CH$3:$CH$24</c:f>
              <c:numCache>
                <c:formatCode>0.00</c:formatCode>
                <c:ptCount val="22"/>
                <c:pt idx="0">
                  <c:v>0.23226743590812046</c:v>
                </c:pt>
                <c:pt idx="1">
                  <c:v>0.22985186777862618</c:v>
                </c:pt>
                <c:pt idx="2">
                  <c:v>0.17506908437810415</c:v>
                </c:pt>
                <c:pt idx="3">
                  <c:v>0.2121798116884292</c:v>
                </c:pt>
                <c:pt idx="4">
                  <c:v>0.18312141118799699</c:v>
                </c:pt>
                <c:pt idx="5">
                  <c:v>0.21569845546100899</c:v>
                </c:pt>
                <c:pt idx="6">
                  <c:v>0.20189398872800299</c:v>
                </c:pt>
                <c:pt idx="7">
                  <c:v>0.20107987155844526</c:v>
                </c:pt>
                <c:pt idx="8">
                  <c:v>0.221450088767355</c:v>
                </c:pt>
                <c:pt idx="9">
                  <c:v>0.20897786826993281</c:v>
                </c:pt>
                <c:pt idx="10">
                  <c:v>0.21322632348251599</c:v>
                </c:pt>
                <c:pt idx="11">
                  <c:v>-2.00635622583401</c:v>
                </c:pt>
                <c:pt idx="12">
                  <c:v>0.2058778218583725</c:v>
                </c:pt>
                <c:pt idx="13">
                  <c:v>0.210057877251529</c:v>
                </c:pt>
                <c:pt idx="14">
                  <c:v>0.19063380532435301</c:v>
                </c:pt>
                <c:pt idx="15">
                  <c:v>0.20945111919728299</c:v>
                </c:pt>
                <c:pt idx="16">
                  <c:v>0.21610213081669399</c:v>
                </c:pt>
                <c:pt idx="17">
                  <c:v>0.21534231495021999</c:v>
                </c:pt>
                <c:pt idx="18">
                  <c:v>0.218435369642521</c:v>
                </c:pt>
                <c:pt idx="19">
                  <c:v>0.20964697658631301</c:v>
                </c:pt>
                <c:pt idx="20">
                  <c:v>0.21787510025005433</c:v>
                </c:pt>
                <c:pt idx="21">
                  <c:v>0.20149737706718401</c:v>
                </c:pt>
              </c:numCache>
            </c:numRef>
          </c:val>
          <c:extLst>
            <c:ext xmlns:c16="http://schemas.microsoft.com/office/drawing/2014/chart" uri="{C3380CC4-5D6E-409C-BE32-E72D297353CC}">
              <c16:uniqueId val="{00000000-C748-4E6A-AE2C-2CDED267FECA}"/>
            </c:ext>
          </c:extLst>
        </c:ser>
        <c:ser>
          <c:idx val="1"/>
          <c:order val="1"/>
          <c:tx>
            <c:strRef>
              <c:f>Feuil4!$CI$2</c:f>
              <c:strCache>
                <c:ptCount val="1"/>
                <c:pt idx="0">
                  <c:v>GovSpend</c:v>
                </c:pt>
              </c:strCache>
            </c:strRef>
          </c:tx>
          <c:spPr>
            <a:solidFill>
              <a:schemeClr val="accent2"/>
            </a:solidFill>
            <a:ln>
              <a:noFill/>
            </a:ln>
            <a:effectLst/>
          </c:spPr>
          <c:invertIfNegative val="0"/>
          <c:cat>
            <c:strRef>
              <c:f>Feuil4!$CG$3:$CG$24</c:f>
              <c:strCache>
                <c:ptCount val="22"/>
                <c:pt idx="0">
                  <c:v>agriculture D</c:v>
                </c:pt>
                <c:pt idx="1">
                  <c:v>livestock D</c:v>
                </c:pt>
                <c:pt idx="2">
                  <c:v>agriculture</c:v>
                </c:pt>
                <c:pt idx="3">
                  <c:v>livestock</c:v>
                </c:pt>
                <c:pt idx="4">
                  <c:v>Forestry</c:v>
                </c:pt>
                <c:pt idx="5">
                  <c:v>Fisheries</c:v>
                </c:pt>
                <c:pt idx="6">
                  <c:v>Petroleum</c:v>
                </c:pt>
                <c:pt idx="7">
                  <c:v>Mining</c:v>
                </c:pt>
                <c:pt idx="8">
                  <c:v>cement</c:v>
                </c:pt>
                <c:pt idx="9">
                  <c:v>Manufacturing</c:v>
                </c:pt>
                <c:pt idx="10">
                  <c:v>Electricity and Water </c:v>
                </c:pt>
                <c:pt idx="11">
                  <c:v>Construction</c:v>
                </c:pt>
                <c:pt idx="12">
                  <c:v>Trade and repair</c:v>
                </c:pt>
                <c:pt idx="13">
                  <c:v>Transport and Storage</c:v>
                </c:pt>
                <c:pt idx="14">
                  <c:v>Accomodation and food services</c:v>
                </c:pt>
                <c:pt idx="15">
                  <c:v>Telecommunications</c:v>
                </c:pt>
                <c:pt idx="16">
                  <c:v>Financial and insurance services</c:v>
                </c:pt>
                <c:pt idx="17">
                  <c:v>Real Estate</c:v>
                </c:pt>
                <c:pt idx="18">
                  <c:v>Professional activities</c:v>
                </c:pt>
                <c:pt idx="19">
                  <c:v>Busniness services</c:v>
                </c:pt>
                <c:pt idx="20">
                  <c:v>Public services</c:v>
                </c:pt>
                <c:pt idx="21">
                  <c:v>Other Services</c:v>
                </c:pt>
              </c:strCache>
            </c:strRef>
          </c:cat>
          <c:val>
            <c:numRef>
              <c:f>Feuil4!$CI$3:$CI$24</c:f>
              <c:numCache>
                <c:formatCode>0.00</c:formatCode>
                <c:ptCount val="22"/>
                <c:pt idx="0">
                  <c:v>0.21872516577409254</c:v>
                </c:pt>
                <c:pt idx="1">
                  <c:v>0.2606851314315804</c:v>
                </c:pt>
                <c:pt idx="2">
                  <c:v>0.16030893823851494</c:v>
                </c:pt>
                <c:pt idx="3">
                  <c:v>0.25557265495426695</c:v>
                </c:pt>
                <c:pt idx="4">
                  <c:v>0.16869553522734301</c:v>
                </c:pt>
                <c:pt idx="5">
                  <c:v>0.240844468491062</c:v>
                </c:pt>
                <c:pt idx="6">
                  <c:v>0.26697124789853899</c:v>
                </c:pt>
                <c:pt idx="7">
                  <c:v>0.26040836143871027</c:v>
                </c:pt>
                <c:pt idx="8">
                  <c:v>0.265689941908761</c:v>
                </c:pt>
                <c:pt idx="9">
                  <c:v>0.2328570153950581</c:v>
                </c:pt>
                <c:pt idx="10">
                  <c:v>0.22185554612039501</c:v>
                </c:pt>
                <c:pt idx="11">
                  <c:v>-1.9403295652717001</c:v>
                </c:pt>
                <c:pt idx="12">
                  <c:v>0.226991268087708</c:v>
                </c:pt>
                <c:pt idx="13">
                  <c:v>0.237941179980623</c:v>
                </c:pt>
                <c:pt idx="14">
                  <c:v>0.18823391400648901</c:v>
                </c:pt>
                <c:pt idx="15">
                  <c:v>0.24646326470896401</c:v>
                </c:pt>
                <c:pt idx="16">
                  <c:v>0.22213074943154301</c:v>
                </c:pt>
                <c:pt idx="17">
                  <c:v>0.25427193979268697</c:v>
                </c:pt>
                <c:pt idx="18">
                  <c:v>0.28377794020713099</c:v>
                </c:pt>
                <c:pt idx="19">
                  <c:v>0.23301439868221499</c:v>
                </c:pt>
                <c:pt idx="20">
                  <c:v>9.4650788627381396E-2</c:v>
                </c:pt>
                <c:pt idx="21">
                  <c:v>0.21614945337375999</c:v>
                </c:pt>
              </c:numCache>
            </c:numRef>
          </c:val>
          <c:extLst>
            <c:ext xmlns:c16="http://schemas.microsoft.com/office/drawing/2014/chart" uri="{C3380CC4-5D6E-409C-BE32-E72D297353CC}">
              <c16:uniqueId val="{00000001-C748-4E6A-AE2C-2CDED267FECA}"/>
            </c:ext>
          </c:extLst>
        </c:ser>
        <c:ser>
          <c:idx val="2"/>
          <c:order val="2"/>
          <c:tx>
            <c:strRef>
              <c:f>Feuil4!$CJ$2</c:f>
              <c:strCache>
                <c:ptCount val="1"/>
                <c:pt idx="0">
                  <c:v>ExtBorrowing</c:v>
                </c:pt>
              </c:strCache>
            </c:strRef>
          </c:tx>
          <c:spPr>
            <a:solidFill>
              <a:schemeClr val="accent3"/>
            </a:solidFill>
            <a:ln>
              <a:noFill/>
            </a:ln>
            <a:effectLst/>
          </c:spPr>
          <c:invertIfNegative val="0"/>
          <c:cat>
            <c:strRef>
              <c:f>Feuil4!$CG$3:$CG$24</c:f>
              <c:strCache>
                <c:ptCount val="22"/>
                <c:pt idx="0">
                  <c:v>agriculture D</c:v>
                </c:pt>
                <c:pt idx="1">
                  <c:v>livestock D</c:v>
                </c:pt>
                <c:pt idx="2">
                  <c:v>agriculture</c:v>
                </c:pt>
                <c:pt idx="3">
                  <c:v>livestock</c:v>
                </c:pt>
                <c:pt idx="4">
                  <c:v>Forestry</c:v>
                </c:pt>
                <c:pt idx="5">
                  <c:v>Fisheries</c:v>
                </c:pt>
                <c:pt idx="6">
                  <c:v>Petroleum</c:v>
                </c:pt>
                <c:pt idx="7">
                  <c:v>Mining</c:v>
                </c:pt>
                <c:pt idx="8">
                  <c:v>cement</c:v>
                </c:pt>
                <c:pt idx="9">
                  <c:v>Manufacturing</c:v>
                </c:pt>
                <c:pt idx="10">
                  <c:v>Electricity and Water </c:v>
                </c:pt>
                <c:pt idx="11">
                  <c:v>Construction</c:v>
                </c:pt>
                <c:pt idx="12">
                  <c:v>Trade and repair</c:v>
                </c:pt>
                <c:pt idx="13">
                  <c:v>Transport and Storage</c:v>
                </c:pt>
                <c:pt idx="14">
                  <c:v>Accomodation and food services</c:v>
                </c:pt>
                <c:pt idx="15">
                  <c:v>Telecommunications</c:v>
                </c:pt>
                <c:pt idx="16">
                  <c:v>Financial and insurance services</c:v>
                </c:pt>
                <c:pt idx="17">
                  <c:v>Real Estate</c:v>
                </c:pt>
                <c:pt idx="18">
                  <c:v>Professional activities</c:v>
                </c:pt>
                <c:pt idx="19">
                  <c:v>Busniness services</c:v>
                </c:pt>
                <c:pt idx="20">
                  <c:v>Public services</c:v>
                </c:pt>
                <c:pt idx="21">
                  <c:v>Other Services</c:v>
                </c:pt>
              </c:strCache>
            </c:strRef>
          </c:cat>
          <c:val>
            <c:numRef>
              <c:f>Feuil4!$CJ$3:$CJ$24</c:f>
              <c:numCache>
                <c:formatCode>0.00</c:formatCode>
                <c:ptCount val="22"/>
                <c:pt idx="0">
                  <c:v>0.2177966248488292</c:v>
                </c:pt>
                <c:pt idx="1">
                  <c:v>0.22533513821091739</c:v>
                </c:pt>
                <c:pt idx="2">
                  <c:v>0.15958629829695245</c:v>
                </c:pt>
                <c:pt idx="3">
                  <c:v>0.1717741818681022</c:v>
                </c:pt>
                <c:pt idx="4">
                  <c:v>0.175146906740721</c:v>
                </c:pt>
                <c:pt idx="5">
                  <c:v>0.20289972303635301</c:v>
                </c:pt>
                <c:pt idx="6">
                  <c:v>0.17826556746550201</c:v>
                </c:pt>
                <c:pt idx="7">
                  <c:v>0.17933544573073223</c:v>
                </c:pt>
                <c:pt idx="8">
                  <c:v>0.20401282718876201</c:v>
                </c:pt>
                <c:pt idx="9">
                  <c:v>0.18602636490877184</c:v>
                </c:pt>
                <c:pt idx="10">
                  <c:v>0.19283410141230201</c:v>
                </c:pt>
                <c:pt idx="11">
                  <c:v>-2.0219726269934299</c:v>
                </c:pt>
                <c:pt idx="12">
                  <c:v>0.19970658975795152</c:v>
                </c:pt>
                <c:pt idx="13">
                  <c:v>0.192365398836472</c:v>
                </c:pt>
                <c:pt idx="14">
                  <c:v>0.18907312266405499</c:v>
                </c:pt>
                <c:pt idx="15">
                  <c:v>0.19366690884889701</c:v>
                </c:pt>
                <c:pt idx="16">
                  <c:v>0.19801074316845299</c:v>
                </c:pt>
                <c:pt idx="17">
                  <c:v>0.20472947474570399</c:v>
                </c:pt>
                <c:pt idx="18">
                  <c:v>0.24160959801351101</c:v>
                </c:pt>
                <c:pt idx="19">
                  <c:v>0.19382912340142899</c:v>
                </c:pt>
                <c:pt idx="20">
                  <c:v>0.213706122915544</c:v>
                </c:pt>
                <c:pt idx="21">
                  <c:v>0.189513634304731</c:v>
                </c:pt>
              </c:numCache>
            </c:numRef>
          </c:val>
          <c:extLst>
            <c:ext xmlns:c16="http://schemas.microsoft.com/office/drawing/2014/chart" uri="{C3380CC4-5D6E-409C-BE32-E72D297353CC}">
              <c16:uniqueId val="{00000002-C748-4E6A-AE2C-2CDED267FECA}"/>
            </c:ext>
          </c:extLst>
        </c:ser>
        <c:dLbls>
          <c:showLegendKey val="0"/>
          <c:showVal val="0"/>
          <c:showCatName val="0"/>
          <c:showSerName val="0"/>
          <c:showPercent val="0"/>
          <c:showBubbleSize val="0"/>
        </c:dLbls>
        <c:gapWidth val="219"/>
        <c:overlap val="-27"/>
        <c:axId val="647411568"/>
        <c:axId val="647413368"/>
      </c:barChart>
      <c:catAx>
        <c:axId val="647411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7413368"/>
        <c:crosses val="autoZero"/>
        <c:auto val="1"/>
        <c:lblAlgn val="ctr"/>
        <c:lblOffset val="100"/>
        <c:noMultiLvlLbl val="0"/>
      </c:catAx>
      <c:valAx>
        <c:axId val="647413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1" i="0" u="none" strike="noStrike" kern="1200" baseline="0">
                    <a:solidFill>
                      <a:sysClr val="windowText" lastClr="000000">
                        <a:lumMod val="65000"/>
                        <a:lumOff val="35000"/>
                      </a:sysClr>
                    </a:solidFill>
                    <a:effectLst/>
                  </a:rPr>
                  <a:t>Variation in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7411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
              <a:t>RURAL</a:t>
            </a:r>
            <a:r>
              <a:rPr lang="en" sz="1400" b="0" i="0" u="none" strike="noStrike" baseline="0">
                <a:effectLst/>
              </a:rPr>
              <a:t>​</a:t>
            </a:r>
            <a:endParaRPr lang="fr-F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0.10653340422629312"/>
          <c:y val="2.5428331875182269E-2"/>
          <c:w val="0.86291097220133139"/>
          <c:h val="0.84452610090405367"/>
        </c:manualLayout>
      </c:layout>
      <c:barChart>
        <c:barDir val="col"/>
        <c:grouping val="clustered"/>
        <c:varyColors val="0"/>
        <c:ser>
          <c:idx val="0"/>
          <c:order val="0"/>
          <c:tx>
            <c:strRef>
              <c:f>Feuil4!$BW$1</c:f>
              <c:strCache>
                <c:ptCount val="1"/>
                <c:pt idx="0">
                  <c:v>IntBorrowing</c:v>
                </c:pt>
              </c:strCache>
            </c:strRef>
          </c:tx>
          <c:spPr>
            <a:solidFill>
              <a:schemeClr val="accent1"/>
            </a:solidFill>
            <a:ln>
              <a:noFill/>
            </a:ln>
            <a:effectLst/>
          </c:spPr>
          <c:invertIfNegative val="0"/>
          <c:cat>
            <c:multiLvlStrRef>
              <c:f>Feuil4!$BU$2:$BV$17</c:f>
              <c:multiLvlStrCache>
                <c:ptCount val="16"/>
                <c:lvl>
                  <c:pt idx="0">
                    <c:v>Labour Agadez</c:v>
                  </c:pt>
                  <c:pt idx="1">
                    <c:v>Labour Diffa</c:v>
                  </c:pt>
                  <c:pt idx="2">
                    <c:v>Labour Dosso</c:v>
                  </c:pt>
                  <c:pt idx="3">
                    <c:v>Labour Maradi</c:v>
                  </c:pt>
                  <c:pt idx="4">
                    <c:v>Labour Niamey</c:v>
                  </c:pt>
                  <c:pt idx="5">
                    <c:v>Labour Tahoua</c:v>
                  </c:pt>
                  <c:pt idx="6">
                    <c:v>Labour Tillabéri</c:v>
                  </c:pt>
                  <c:pt idx="7">
                    <c:v>Labour Zinder</c:v>
                  </c:pt>
                  <c:pt idx="8">
                    <c:v>Labour Agadez</c:v>
                  </c:pt>
                  <c:pt idx="9">
                    <c:v>Labour Diffa</c:v>
                  </c:pt>
                  <c:pt idx="10">
                    <c:v>Labour Dosso</c:v>
                  </c:pt>
                  <c:pt idx="11">
                    <c:v>Labour Maradi</c:v>
                  </c:pt>
                  <c:pt idx="12">
                    <c:v>Labour Niamey</c:v>
                  </c:pt>
                  <c:pt idx="13">
                    <c:v>Labour Tahoua</c:v>
                  </c:pt>
                  <c:pt idx="14">
                    <c:v>Labour Tillabéri</c:v>
                  </c:pt>
                  <c:pt idx="15">
                    <c:v>Labour Zinder</c:v>
                  </c:pt>
                </c:lvl>
                <c:lvl>
                  <c:pt idx="0">
                    <c:v>Masculin</c:v>
                  </c:pt>
                  <c:pt idx="8">
                    <c:v>Feminin</c:v>
                  </c:pt>
                </c:lvl>
              </c:multiLvlStrCache>
            </c:multiLvlStrRef>
          </c:cat>
          <c:val>
            <c:numRef>
              <c:f>Feuil4!$BW$2:$BW$17</c:f>
              <c:numCache>
                <c:formatCode>0.00</c:formatCode>
                <c:ptCount val="16"/>
                <c:pt idx="0">
                  <c:v>0.20220894846868498</c:v>
                </c:pt>
                <c:pt idx="1">
                  <c:v>0.23007359764403634</c:v>
                </c:pt>
                <c:pt idx="2">
                  <c:v>0.21406940480077452</c:v>
                </c:pt>
                <c:pt idx="3">
                  <c:v>0.27346356961099133</c:v>
                </c:pt>
                <c:pt idx="4">
                  <c:v>0.21975640960134965</c:v>
                </c:pt>
                <c:pt idx="5">
                  <c:v>0.24555341433894273</c:v>
                </c:pt>
                <c:pt idx="6">
                  <c:v>0.21990445965500549</c:v>
                </c:pt>
                <c:pt idx="7">
                  <c:v>0.24241542223473525</c:v>
                </c:pt>
                <c:pt idx="8">
                  <c:v>0.20960060504163433</c:v>
                </c:pt>
                <c:pt idx="9">
                  <c:v>0.165451474600047</c:v>
                </c:pt>
                <c:pt idx="10">
                  <c:v>0.21349476587153535</c:v>
                </c:pt>
                <c:pt idx="11">
                  <c:v>0.19953860101483667</c:v>
                </c:pt>
                <c:pt idx="12">
                  <c:v>0.215750984648999</c:v>
                </c:pt>
                <c:pt idx="13">
                  <c:v>0.23021496322678534</c:v>
                </c:pt>
                <c:pt idx="14">
                  <c:v>0.20777185692594466</c:v>
                </c:pt>
                <c:pt idx="15">
                  <c:v>0.199049851300799</c:v>
                </c:pt>
              </c:numCache>
            </c:numRef>
          </c:val>
          <c:extLst>
            <c:ext xmlns:c16="http://schemas.microsoft.com/office/drawing/2014/chart" uri="{C3380CC4-5D6E-409C-BE32-E72D297353CC}">
              <c16:uniqueId val="{00000000-4149-49F8-A813-1958753EFD67}"/>
            </c:ext>
          </c:extLst>
        </c:ser>
        <c:ser>
          <c:idx val="1"/>
          <c:order val="1"/>
          <c:tx>
            <c:strRef>
              <c:f>Feuil4!$BX$1</c:f>
              <c:strCache>
                <c:ptCount val="1"/>
                <c:pt idx="0">
                  <c:v>GovSpend</c:v>
                </c:pt>
              </c:strCache>
            </c:strRef>
          </c:tx>
          <c:spPr>
            <a:solidFill>
              <a:schemeClr val="accent2"/>
            </a:solidFill>
            <a:ln>
              <a:noFill/>
            </a:ln>
            <a:effectLst/>
          </c:spPr>
          <c:invertIfNegative val="0"/>
          <c:cat>
            <c:multiLvlStrRef>
              <c:f>Feuil4!$BU$2:$BV$17</c:f>
              <c:multiLvlStrCache>
                <c:ptCount val="16"/>
                <c:lvl>
                  <c:pt idx="0">
                    <c:v>Labour Agadez</c:v>
                  </c:pt>
                  <c:pt idx="1">
                    <c:v>Labour Diffa</c:v>
                  </c:pt>
                  <c:pt idx="2">
                    <c:v>Labour Dosso</c:v>
                  </c:pt>
                  <c:pt idx="3">
                    <c:v>Labour Maradi</c:v>
                  </c:pt>
                  <c:pt idx="4">
                    <c:v>Labour Niamey</c:v>
                  </c:pt>
                  <c:pt idx="5">
                    <c:v>Labour Tahoua</c:v>
                  </c:pt>
                  <c:pt idx="6">
                    <c:v>Labour Tillabéri</c:v>
                  </c:pt>
                  <c:pt idx="7">
                    <c:v>Labour Zinder</c:v>
                  </c:pt>
                  <c:pt idx="8">
                    <c:v>Labour Agadez</c:v>
                  </c:pt>
                  <c:pt idx="9">
                    <c:v>Labour Diffa</c:v>
                  </c:pt>
                  <c:pt idx="10">
                    <c:v>Labour Dosso</c:v>
                  </c:pt>
                  <c:pt idx="11">
                    <c:v>Labour Maradi</c:v>
                  </c:pt>
                  <c:pt idx="12">
                    <c:v>Labour Niamey</c:v>
                  </c:pt>
                  <c:pt idx="13">
                    <c:v>Labour Tahoua</c:v>
                  </c:pt>
                  <c:pt idx="14">
                    <c:v>Labour Tillabéri</c:v>
                  </c:pt>
                  <c:pt idx="15">
                    <c:v>Labour Zinder</c:v>
                  </c:pt>
                </c:lvl>
                <c:lvl>
                  <c:pt idx="0">
                    <c:v>Masculin</c:v>
                  </c:pt>
                  <c:pt idx="8">
                    <c:v>Feminin</c:v>
                  </c:pt>
                </c:lvl>
              </c:multiLvlStrCache>
            </c:multiLvlStrRef>
          </c:cat>
          <c:val>
            <c:numRef>
              <c:f>Feuil4!$BX$2:$BX$17</c:f>
              <c:numCache>
                <c:formatCode>0.00</c:formatCode>
                <c:ptCount val="16"/>
                <c:pt idx="0">
                  <c:v>2.9070044496909309E-2</c:v>
                </c:pt>
                <c:pt idx="1">
                  <c:v>0.36981590889302174</c:v>
                </c:pt>
                <c:pt idx="2">
                  <c:v>-0.16054528214934663</c:v>
                </c:pt>
                <c:pt idx="3">
                  <c:v>0.40961089428529868</c:v>
                </c:pt>
                <c:pt idx="4">
                  <c:v>0.28196669012933301</c:v>
                </c:pt>
                <c:pt idx="5">
                  <c:v>0.17634715078037977</c:v>
                </c:pt>
                <c:pt idx="6">
                  <c:v>-0.15516045583282451</c:v>
                </c:pt>
                <c:pt idx="7">
                  <c:v>0.16082414069736822</c:v>
                </c:pt>
                <c:pt idx="8">
                  <c:v>0.30834063279989721</c:v>
                </c:pt>
                <c:pt idx="9">
                  <c:v>0.26462942154764835</c:v>
                </c:pt>
                <c:pt idx="10">
                  <c:v>-0.10781745258472102</c:v>
                </c:pt>
                <c:pt idx="11">
                  <c:v>0.17805523316695368</c:v>
                </c:pt>
                <c:pt idx="12">
                  <c:v>0.16888105576335</c:v>
                </c:pt>
                <c:pt idx="13">
                  <c:v>-0.26938920279107093</c:v>
                </c:pt>
                <c:pt idx="14">
                  <c:v>-0.29801206707289368</c:v>
                </c:pt>
                <c:pt idx="15">
                  <c:v>0.17849055298157168</c:v>
                </c:pt>
              </c:numCache>
            </c:numRef>
          </c:val>
          <c:extLst>
            <c:ext xmlns:c16="http://schemas.microsoft.com/office/drawing/2014/chart" uri="{C3380CC4-5D6E-409C-BE32-E72D297353CC}">
              <c16:uniqueId val="{00000001-4149-49F8-A813-1958753EFD67}"/>
            </c:ext>
          </c:extLst>
        </c:ser>
        <c:ser>
          <c:idx val="2"/>
          <c:order val="2"/>
          <c:tx>
            <c:strRef>
              <c:f>Feuil4!$BY$1</c:f>
              <c:strCache>
                <c:ptCount val="1"/>
                <c:pt idx="0">
                  <c:v>ExtBorrowing</c:v>
                </c:pt>
              </c:strCache>
            </c:strRef>
          </c:tx>
          <c:spPr>
            <a:solidFill>
              <a:schemeClr val="accent3"/>
            </a:solidFill>
            <a:ln>
              <a:noFill/>
            </a:ln>
            <a:effectLst/>
          </c:spPr>
          <c:invertIfNegative val="0"/>
          <c:cat>
            <c:multiLvlStrRef>
              <c:f>Feuil4!$BU$2:$BV$17</c:f>
              <c:multiLvlStrCache>
                <c:ptCount val="16"/>
                <c:lvl>
                  <c:pt idx="0">
                    <c:v>Labour Agadez</c:v>
                  </c:pt>
                  <c:pt idx="1">
                    <c:v>Labour Diffa</c:v>
                  </c:pt>
                  <c:pt idx="2">
                    <c:v>Labour Dosso</c:v>
                  </c:pt>
                  <c:pt idx="3">
                    <c:v>Labour Maradi</c:v>
                  </c:pt>
                  <c:pt idx="4">
                    <c:v>Labour Niamey</c:v>
                  </c:pt>
                  <c:pt idx="5">
                    <c:v>Labour Tahoua</c:v>
                  </c:pt>
                  <c:pt idx="6">
                    <c:v>Labour Tillabéri</c:v>
                  </c:pt>
                  <c:pt idx="7">
                    <c:v>Labour Zinder</c:v>
                  </c:pt>
                  <c:pt idx="8">
                    <c:v>Labour Agadez</c:v>
                  </c:pt>
                  <c:pt idx="9">
                    <c:v>Labour Diffa</c:v>
                  </c:pt>
                  <c:pt idx="10">
                    <c:v>Labour Dosso</c:v>
                  </c:pt>
                  <c:pt idx="11">
                    <c:v>Labour Maradi</c:v>
                  </c:pt>
                  <c:pt idx="12">
                    <c:v>Labour Niamey</c:v>
                  </c:pt>
                  <c:pt idx="13">
                    <c:v>Labour Tahoua</c:v>
                  </c:pt>
                  <c:pt idx="14">
                    <c:v>Labour Tillabéri</c:v>
                  </c:pt>
                  <c:pt idx="15">
                    <c:v>Labour Zinder</c:v>
                  </c:pt>
                </c:lvl>
                <c:lvl>
                  <c:pt idx="0">
                    <c:v>Masculin</c:v>
                  </c:pt>
                  <c:pt idx="8">
                    <c:v>Feminin</c:v>
                  </c:pt>
                </c:lvl>
              </c:multiLvlStrCache>
            </c:multiLvlStrRef>
          </c:cat>
          <c:val>
            <c:numRef>
              <c:f>Feuil4!$BY$2:$BY$17</c:f>
              <c:numCache>
                <c:formatCode>0.00</c:formatCode>
                <c:ptCount val="16"/>
                <c:pt idx="0">
                  <c:v>0.20220894846868498</c:v>
                </c:pt>
                <c:pt idx="1">
                  <c:v>0.23007359764403634</c:v>
                </c:pt>
                <c:pt idx="2">
                  <c:v>0.21406940480077452</c:v>
                </c:pt>
                <c:pt idx="3">
                  <c:v>0.27346356961099133</c:v>
                </c:pt>
                <c:pt idx="4">
                  <c:v>0.21975640960134965</c:v>
                </c:pt>
                <c:pt idx="5">
                  <c:v>0.24555341433894273</c:v>
                </c:pt>
                <c:pt idx="6">
                  <c:v>0.21990445965500549</c:v>
                </c:pt>
                <c:pt idx="7">
                  <c:v>0.24241542223473525</c:v>
                </c:pt>
                <c:pt idx="8">
                  <c:v>0.20960060504163433</c:v>
                </c:pt>
                <c:pt idx="9">
                  <c:v>0.165451474600047</c:v>
                </c:pt>
                <c:pt idx="10">
                  <c:v>0.21349476587153535</c:v>
                </c:pt>
                <c:pt idx="11">
                  <c:v>0.19953860101483667</c:v>
                </c:pt>
                <c:pt idx="12">
                  <c:v>0.215750984648999</c:v>
                </c:pt>
                <c:pt idx="13">
                  <c:v>0.23021496322678534</c:v>
                </c:pt>
                <c:pt idx="14">
                  <c:v>0.20777185692594466</c:v>
                </c:pt>
                <c:pt idx="15">
                  <c:v>0.199049851300799</c:v>
                </c:pt>
              </c:numCache>
            </c:numRef>
          </c:val>
          <c:extLst>
            <c:ext xmlns:c16="http://schemas.microsoft.com/office/drawing/2014/chart" uri="{C3380CC4-5D6E-409C-BE32-E72D297353CC}">
              <c16:uniqueId val="{00000002-4149-49F8-A813-1958753EFD67}"/>
            </c:ext>
          </c:extLst>
        </c:ser>
        <c:dLbls>
          <c:showLegendKey val="0"/>
          <c:showVal val="0"/>
          <c:showCatName val="0"/>
          <c:showSerName val="0"/>
          <c:showPercent val="0"/>
          <c:showBubbleSize val="0"/>
        </c:dLbls>
        <c:gapWidth val="219"/>
        <c:overlap val="-27"/>
        <c:axId val="651638984"/>
        <c:axId val="651638624"/>
      </c:barChart>
      <c:catAx>
        <c:axId val="651638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1638624"/>
        <c:crosses val="autoZero"/>
        <c:auto val="1"/>
        <c:lblAlgn val="ctr"/>
        <c:lblOffset val="100"/>
        <c:noMultiLvlLbl val="0"/>
      </c:catAx>
      <c:valAx>
        <c:axId val="651638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1" i="0" u="none" strike="noStrike" kern="1200" baseline="0">
                    <a:solidFill>
                      <a:sysClr val="windowText" lastClr="000000">
                        <a:lumMod val="65000"/>
                        <a:lumOff val="35000"/>
                      </a:sysClr>
                    </a:solidFill>
                    <a:effectLst/>
                  </a:rPr>
                  <a:t>Variation in %</a:t>
                </a:r>
              </a:p>
            </c:rich>
          </c:tx>
          <c:layout>
            <c:manualLayout>
              <c:xMode val="edge"/>
              <c:yMode val="edge"/>
              <c:x val="1.1555144345295356E-2"/>
              <c:y val="0.111846383785360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1638984"/>
        <c:crosses val="autoZero"/>
        <c:crossBetween val="between"/>
      </c:valAx>
      <c:spPr>
        <a:noFill/>
        <a:ln>
          <a:noFill/>
        </a:ln>
        <a:effectLst/>
      </c:spPr>
    </c:plotArea>
    <c:legend>
      <c:legendPos val="b"/>
      <c:layout>
        <c:manualLayout>
          <c:xMode val="edge"/>
          <c:yMode val="edge"/>
          <c:x val="9.1905434854850185E-2"/>
          <c:y val="0.92187445319335082"/>
          <c:w val="0.4385791791574698"/>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
              <a:t>URBAN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3206036745406826E-2"/>
          <c:y val="2.5428331875182269E-2"/>
          <c:w val="0.8762384076990376"/>
          <c:h val="0.90471128608923901"/>
        </c:manualLayout>
      </c:layout>
      <c:barChart>
        <c:barDir val="col"/>
        <c:grouping val="clustered"/>
        <c:varyColors val="0"/>
        <c:ser>
          <c:idx val="0"/>
          <c:order val="0"/>
          <c:tx>
            <c:strRef>
              <c:f>Feuil4!$BW$1</c:f>
              <c:strCache>
                <c:ptCount val="1"/>
                <c:pt idx="0">
                  <c:v>IntBorrowing</c:v>
                </c:pt>
              </c:strCache>
            </c:strRef>
          </c:tx>
          <c:spPr>
            <a:solidFill>
              <a:schemeClr val="accent1"/>
            </a:solidFill>
            <a:ln>
              <a:noFill/>
            </a:ln>
            <a:effectLst/>
          </c:spPr>
          <c:invertIfNegative val="0"/>
          <c:cat>
            <c:multiLvlStrRef>
              <c:f>Feuil4!$BU$18:$BV$33</c:f>
              <c:multiLvlStrCache>
                <c:ptCount val="16"/>
                <c:lvl>
                  <c:pt idx="0">
                    <c:v>Labour Agadez</c:v>
                  </c:pt>
                  <c:pt idx="1">
                    <c:v>Labour Diffa</c:v>
                  </c:pt>
                  <c:pt idx="2">
                    <c:v>Labour Dosso</c:v>
                  </c:pt>
                  <c:pt idx="3">
                    <c:v>Labour Maradi</c:v>
                  </c:pt>
                  <c:pt idx="4">
                    <c:v>Labour Niamey</c:v>
                  </c:pt>
                  <c:pt idx="5">
                    <c:v>Labour Tahoua</c:v>
                  </c:pt>
                  <c:pt idx="6">
                    <c:v>Labour Tillabéri</c:v>
                  </c:pt>
                  <c:pt idx="7">
                    <c:v>Labour Zinder</c:v>
                  </c:pt>
                  <c:pt idx="8">
                    <c:v>Labour Agadez</c:v>
                  </c:pt>
                  <c:pt idx="9">
                    <c:v>Labour Diffa</c:v>
                  </c:pt>
                  <c:pt idx="10">
                    <c:v>Labour Dosso</c:v>
                  </c:pt>
                  <c:pt idx="11">
                    <c:v>Labour Maradi</c:v>
                  </c:pt>
                  <c:pt idx="12">
                    <c:v>Labour Niamey</c:v>
                  </c:pt>
                  <c:pt idx="13">
                    <c:v>Labour Tahoua</c:v>
                  </c:pt>
                  <c:pt idx="14">
                    <c:v>Labour Tillabéri</c:v>
                  </c:pt>
                  <c:pt idx="15">
                    <c:v>Labour Zinder</c:v>
                  </c:pt>
                </c:lvl>
                <c:lvl>
                  <c:pt idx="0">
                    <c:v>Masculin</c:v>
                  </c:pt>
                  <c:pt idx="8">
                    <c:v>Feminin</c:v>
                  </c:pt>
                </c:lvl>
              </c:multiLvlStrCache>
            </c:multiLvlStrRef>
          </c:cat>
          <c:val>
            <c:numRef>
              <c:f>Feuil4!$BW$18:$BW$33</c:f>
              <c:numCache>
                <c:formatCode>0.00</c:formatCode>
                <c:ptCount val="16"/>
                <c:pt idx="0">
                  <c:v>0.213175884763498</c:v>
                </c:pt>
                <c:pt idx="1">
                  <c:v>0.24553166677469926</c:v>
                </c:pt>
                <c:pt idx="2">
                  <c:v>0.27157690508336774</c:v>
                </c:pt>
                <c:pt idx="3">
                  <c:v>0.24242525751866525</c:v>
                </c:pt>
                <c:pt idx="4">
                  <c:v>0.22920164811449351</c:v>
                </c:pt>
                <c:pt idx="5">
                  <c:v>0.27153710512975249</c:v>
                </c:pt>
                <c:pt idx="6">
                  <c:v>0.27512497187081675</c:v>
                </c:pt>
                <c:pt idx="7">
                  <c:v>0.23956728584292025</c:v>
                </c:pt>
                <c:pt idx="8">
                  <c:v>0.21663185854698599</c:v>
                </c:pt>
                <c:pt idx="9">
                  <c:v>0.20748859044374032</c:v>
                </c:pt>
                <c:pt idx="10">
                  <c:v>0.21182927897881501</c:v>
                </c:pt>
                <c:pt idx="11">
                  <c:v>0.22031105452177266</c:v>
                </c:pt>
                <c:pt idx="12">
                  <c:v>0.2030515055239305</c:v>
                </c:pt>
                <c:pt idx="13">
                  <c:v>0.25555475551326251</c:v>
                </c:pt>
                <c:pt idx="14">
                  <c:v>0.20917141140439474</c:v>
                </c:pt>
                <c:pt idx="15">
                  <c:v>0.20902367571868674</c:v>
                </c:pt>
              </c:numCache>
            </c:numRef>
          </c:val>
          <c:extLst>
            <c:ext xmlns:c16="http://schemas.microsoft.com/office/drawing/2014/chart" uri="{C3380CC4-5D6E-409C-BE32-E72D297353CC}">
              <c16:uniqueId val="{00000000-68E0-43AC-BC93-49922250FC38}"/>
            </c:ext>
          </c:extLst>
        </c:ser>
        <c:ser>
          <c:idx val="1"/>
          <c:order val="1"/>
          <c:tx>
            <c:strRef>
              <c:f>Feuil4!$BX$1</c:f>
              <c:strCache>
                <c:ptCount val="1"/>
                <c:pt idx="0">
                  <c:v>GovSpend</c:v>
                </c:pt>
              </c:strCache>
            </c:strRef>
          </c:tx>
          <c:spPr>
            <a:solidFill>
              <a:schemeClr val="accent2"/>
            </a:solidFill>
            <a:ln>
              <a:noFill/>
            </a:ln>
            <a:effectLst/>
          </c:spPr>
          <c:invertIfNegative val="0"/>
          <c:cat>
            <c:multiLvlStrRef>
              <c:f>Feuil4!$BU$18:$BV$33</c:f>
              <c:multiLvlStrCache>
                <c:ptCount val="16"/>
                <c:lvl>
                  <c:pt idx="0">
                    <c:v>Labour Agadez</c:v>
                  </c:pt>
                  <c:pt idx="1">
                    <c:v>Labour Diffa</c:v>
                  </c:pt>
                  <c:pt idx="2">
                    <c:v>Labour Dosso</c:v>
                  </c:pt>
                  <c:pt idx="3">
                    <c:v>Labour Maradi</c:v>
                  </c:pt>
                  <c:pt idx="4">
                    <c:v>Labour Niamey</c:v>
                  </c:pt>
                  <c:pt idx="5">
                    <c:v>Labour Tahoua</c:v>
                  </c:pt>
                  <c:pt idx="6">
                    <c:v>Labour Tillabéri</c:v>
                  </c:pt>
                  <c:pt idx="7">
                    <c:v>Labour Zinder</c:v>
                  </c:pt>
                  <c:pt idx="8">
                    <c:v>Labour Agadez</c:v>
                  </c:pt>
                  <c:pt idx="9">
                    <c:v>Labour Diffa</c:v>
                  </c:pt>
                  <c:pt idx="10">
                    <c:v>Labour Dosso</c:v>
                  </c:pt>
                  <c:pt idx="11">
                    <c:v>Labour Maradi</c:v>
                  </c:pt>
                  <c:pt idx="12">
                    <c:v>Labour Niamey</c:v>
                  </c:pt>
                  <c:pt idx="13">
                    <c:v>Labour Tahoua</c:v>
                  </c:pt>
                  <c:pt idx="14">
                    <c:v>Labour Tillabéri</c:v>
                  </c:pt>
                  <c:pt idx="15">
                    <c:v>Labour Zinder</c:v>
                  </c:pt>
                </c:lvl>
                <c:lvl>
                  <c:pt idx="0">
                    <c:v>Masculin</c:v>
                  </c:pt>
                  <c:pt idx="8">
                    <c:v>Feminin</c:v>
                  </c:pt>
                </c:lvl>
              </c:multiLvlStrCache>
            </c:multiLvlStrRef>
          </c:cat>
          <c:val>
            <c:numRef>
              <c:f>Feuil4!$BX$18:$BX$33</c:f>
              <c:numCache>
                <c:formatCode>0.00</c:formatCode>
                <c:ptCount val="16"/>
                <c:pt idx="0">
                  <c:v>4.1564447700100246E-2</c:v>
                </c:pt>
                <c:pt idx="1">
                  <c:v>0.39280597722539651</c:v>
                </c:pt>
                <c:pt idx="2">
                  <c:v>0.11422897850613742</c:v>
                </c:pt>
                <c:pt idx="3">
                  <c:v>-0.15944953931449024</c:v>
                </c:pt>
                <c:pt idx="4">
                  <c:v>-1.6886388282604012E-2</c:v>
                </c:pt>
                <c:pt idx="5">
                  <c:v>0.118906539211395</c:v>
                </c:pt>
                <c:pt idx="6">
                  <c:v>0.32302862138278249</c:v>
                </c:pt>
                <c:pt idx="7">
                  <c:v>8.0345920609840332E-2</c:v>
                </c:pt>
                <c:pt idx="8">
                  <c:v>-0.28272771750434333</c:v>
                </c:pt>
                <c:pt idx="9">
                  <c:v>5.9218901118536331E-2</c:v>
                </c:pt>
                <c:pt idx="10">
                  <c:v>-0.17166679255852202</c:v>
                </c:pt>
                <c:pt idx="11">
                  <c:v>-1.9949700510446994E-2</c:v>
                </c:pt>
                <c:pt idx="12">
                  <c:v>-0.30441479927292647</c:v>
                </c:pt>
                <c:pt idx="13">
                  <c:v>9.3670500179790506E-2</c:v>
                </c:pt>
                <c:pt idx="14">
                  <c:v>-0.22545460718669824</c:v>
                </c:pt>
                <c:pt idx="15">
                  <c:v>4.8610054394838752E-2</c:v>
                </c:pt>
              </c:numCache>
            </c:numRef>
          </c:val>
          <c:extLst>
            <c:ext xmlns:c16="http://schemas.microsoft.com/office/drawing/2014/chart" uri="{C3380CC4-5D6E-409C-BE32-E72D297353CC}">
              <c16:uniqueId val="{00000001-68E0-43AC-BC93-49922250FC38}"/>
            </c:ext>
          </c:extLst>
        </c:ser>
        <c:ser>
          <c:idx val="2"/>
          <c:order val="2"/>
          <c:tx>
            <c:strRef>
              <c:f>Feuil4!$BY$1</c:f>
              <c:strCache>
                <c:ptCount val="1"/>
                <c:pt idx="0">
                  <c:v>ExtBorrowing</c:v>
                </c:pt>
              </c:strCache>
            </c:strRef>
          </c:tx>
          <c:spPr>
            <a:solidFill>
              <a:schemeClr val="accent3"/>
            </a:solidFill>
            <a:ln>
              <a:noFill/>
            </a:ln>
            <a:effectLst/>
          </c:spPr>
          <c:invertIfNegative val="0"/>
          <c:cat>
            <c:multiLvlStrRef>
              <c:f>Feuil4!$BU$18:$BV$33</c:f>
              <c:multiLvlStrCache>
                <c:ptCount val="16"/>
                <c:lvl>
                  <c:pt idx="0">
                    <c:v>Labour Agadez</c:v>
                  </c:pt>
                  <c:pt idx="1">
                    <c:v>Labour Diffa</c:v>
                  </c:pt>
                  <c:pt idx="2">
                    <c:v>Labour Dosso</c:v>
                  </c:pt>
                  <c:pt idx="3">
                    <c:v>Labour Maradi</c:v>
                  </c:pt>
                  <c:pt idx="4">
                    <c:v>Labour Niamey</c:v>
                  </c:pt>
                  <c:pt idx="5">
                    <c:v>Labour Tahoua</c:v>
                  </c:pt>
                  <c:pt idx="6">
                    <c:v>Labour Tillabéri</c:v>
                  </c:pt>
                  <c:pt idx="7">
                    <c:v>Labour Zinder</c:v>
                  </c:pt>
                  <c:pt idx="8">
                    <c:v>Labour Agadez</c:v>
                  </c:pt>
                  <c:pt idx="9">
                    <c:v>Labour Diffa</c:v>
                  </c:pt>
                  <c:pt idx="10">
                    <c:v>Labour Dosso</c:v>
                  </c:pt>
                  <c:pt idx="11">
                    <c:v>Labour Maradi</c:v>
                  </c:pt>
                  <c:pt idx="12">
                    <c:v>Labour Niamey</c:v>
                  </c:pt>
                  <c:pt idx="13">
                    <c:v>Labour Tahoua</c:v>
                  </c:pt>
                  <c:pt idx="14">
                    <c:v>Labour Tillabéri</c:v>
                  </c:pt>
                  <c:pt idx="15">
                    <c:v>Labour Zinder</c:v>
                  </c:pt>
                </c:lvl>
                <c:lvl>
                  <c:pt idx="0">
                    <c:v>Masculin</c:v>
                  </c:pt>
                  <c:pt idx="8">
                    <c:v>Feminin</c:v>
                  </c:pt>
                </c:lvl>
              </c:multiLvlStrCache>
            </c:multiLvlStrRef>
          </c:cat>
          <c:val>
            <c:numRef>
              <c:f>Feuil4!$BY$18:$BY$33</c:f>
              <c:numCache>
                <c:formatCode>0.00</c:formatCode>
                <c:ptCount val="16"/>
                <c:pt idx="0">
                  <c:v>0.213175884763498</c:v>
                </c:pt>
                <c:pt idx="1">
                  <c:v>0.24553166677469926</c:v>
                </c:pt>
                <c:pt idx="2">
                  <c:v>0.27157690508336774</c:v>
                </c:pt>
                <c:pt idx="3">
                  <c:v>0.24242525751866525</c:v>
                </c:pt>
                <c:pt idx="4">
                  <c:v>0.22920164811449351</c:v>
                </c:pt>
                <c:pt idx="5">
                  <c:v>0.27153710512975249</c:v>
                </c:pt>
                <c:pt idx="6">
                  <c:v>0.27512497187081675</c:v>
                </c:pt>
                <c:pt idx="7">
                  <c:v>0.23956728584292025</c:v>
                </c:pt>
                <c:pt idx="8">
                  <c:v>0.21663185854698599</c:v>
                </c:pt>
                <c:pt idx="9">
                  <c:v>0.20748859044374032</c:v>
                </c:pt>
                <c:pt idx="10">
                  <c:v>0.21182927897881501</c:v>
                </c:pt>
                <c:pt idx="11">
                  <c:v>0.22031105452177266</c:v>
                </c:pt>
                <c:pt idx="12">
                  <c:v>0.2030515055239305</c:v>
                </c:pt>
                <c:pt idx="13">
                  <c:v>0.25555475551326251</c:v>
                </c:pt>
                <c:pt idx="14">
                  <c:v>0.20917141140439474</c:v>
                </c:pt>
                <c:pt idx="15">
                  <c:v>0.20902367571868674</c:v>
                </c:pt>
              </c:numCache>
            </c:numRef>
          </c:val>
          <c:extLst>
            <c:ext xmlns:c16="http://schemas.microsoft.com/office/drawing/2014/chart" uri="{C3380CC4-5D6E-409C-BE32-E72D297353CC}">
              <c16:uniqueId val="{00000002-68E0-43AC-BC93-49922250FC38}"/>
            </c:ext>
          </c:extLst>
        </c:ser>
        <c:dLbls>
          <c:showLegendKey val="0"/>
          <c:showVal val="0"/>
          <c:showCatName val="0"/>
          <c:showSerName val="0"/>
          <c:showPercent val="0"/>
          <c:showBubbleSize val="0"/>
        </c:dLbls>
        <c:gapWidth val="219"/>
        <c:overlap val="-27"/>
        <c:axId val="729228048"/>
        <c:axId val="729228408"/>
      </c:barChart>
      <c:catAx>
        <c:axId val="729228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9228408"/>
        <c:crosses val="autoZero"/>
        <c:auto val="1"/>
        <c:lblAlgn val="ctr"/>
        <c:lblOffset val="100"/>
        <c:noMultiLvlLbl val="0"/>
      </c:catAx>
      <c:valAx>
        <c:axId val="729228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1" i="0" u="none" strike="noStrike" kern="1200" baseline="0">
                    <a:solidFill>
                      <a:sysClr val="windowText" lastClr="000000">
                        <a:lumMod val="65000"/>
                        <a:lumOff val="35000"/>
                      </a:sysClr>
                    </a:solidFill>
                    <a:effectLst/>
                  </a:rPr>
                  <a:t>Variation in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9228048"/>
        <c:crosses val="autoZero"/>
        <c:crossBetween val="between"/>
      </c:valAx>
      <c:spPr>
        <a:noFill/>
        <a:ln>
          <a:noFill/>
        </a:ln>
        <a:effectLst/>
      </c:spPr>
    </c:plotArea>
    <c:legend>
      <c:legendPos val="b"/>
      <c:layout>
        <c:manualLayout>
          <c:xMode val="edge"/>
          <c:yMode val="edge"/>
          <c:x val="0.22460803205057117"/>
          <c:y val="0.92187445319335082"/>
          <c:w val="0.54846762904636925"/>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E98CE-4129-4B1D-B123-E677F8949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22</Pages>
  <Words>6163</Words>
  <Characters>33902</Characters>
  <Application>Microsoft Office Word</Application>
  <DocSecurity>0</DocSecurity>
  <Lines>282</Lines>
  <Paragraphs>79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Saadatou Sangaré Sangare</dc:creator>
  <cp:keywords/>
  <dc:description/>
  <cp:lastModifiedBy>Saadatou Sangare</cp:lastModifiedBy>
  <cp:revision>7</cp:revision>
  <dcterms:created xsi:type="dcterms:W3CDTF">2025-06-16T03:58:00Z</dcterms:created>
  <dcterms:modified xsi:type="dcterms:W3CDTF">2025-06-16T06:36:00Z</dcterms:modified>
</cp:coreProperties>
</file>