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1D47E" w14:textId="486C9C4C" w:rsidR="003C3C1D" w:rsidRPr="00D84450" w:rsidRDefault="003C3C1D" w:rsidP="00883C40">
      <w:pPr>
        <w:pStyle w:val="Heading1"/>
        <w:rPr>
          <w:rFonts w:ascii="Garamond" w:hAnsi="Garamond"/>
          <w:sz w:val="24"/>
          <w:szCs w:val="24"/>
        </w:rPr>
      </w:pPr>
      <w:r w:rsidRPr="00D84450">
        <w:rPr>
          <w:rFonts w:ascii="Garamond" w:hAnsi="Garamond"/>
          <w:sz w:val="24"/>
          <w:szCs w:val="24"/>
        </w:rPr>
        <w:t>Recursive-dynamic CGE modeling to assess systemic risks from nature degradation</w:t>
      </w:r>
    </w:p>
    <w:p w14:paraId="6F81A83C" w14:textId="4A3EFB55" w:rsidR="003C3C1D" w:rsidRPr="002D38BD" w:rsidRDefault="005869B9" w:rsidP="0030399E">
      <w:pPr>
        <w:jc w:val="both"/>
        <w:rPr>
          <w:rFonts w:cs="Times New Roman"/>
          <w:szCs w:val="24"/>
        </w:rPr>
      </w:pPr>
      <w:r w:rsidRPr="002D38BD">
        <w:rPr>
          <w:rFonts w:cs="Times New Roman"/>
          <w:b/>
          <w:bCs/>
          <w:szCs w:val="24"/>
        </w:rPr>
        <w:t>Summary</w:t>
      </w:r>
      <w:r w:rsidRPr="002D38BD">
        <w:rPr>
          <w:rFonts w:cs="Times New Roman"/>
          <w:szCs w:val="24"/>
        </w:rPr>
        <w:t xml:space="preserve">. </w:t>
      </w:r>
      <w:r w:rsidR="003C3C1D" w:rsidRPr="002D38BD">
        <w:rPr>
          <w:rFonts w:cs="Times New Roman"/>
          <w:szCs w:val="24"/>
        </w:rPr>
        <w:t xml:space="preserve">Biodiversity loss and ecosystem-service degradation pose systemic risks to the global economy </w:t>
      </w:r>
      <w:r w:rsidR="003C3C1D" w:rsidRPr="002D38BD">
        <w:t>that</w:t>
      </w:r>
      <w:r w:rsidR="003C3C1D" w:rsidRPr="002D38BD">
        <w:rPr>
          <w:rFonts w:cs="Times New Roman"/>
          <w:szCs w:val="24"/>
        </w:rPr>
        <w:t xml:space="preserve"> remain largely absent from standard climate–economic scenarios. This paper develops a spatially explicit, recursive-dynamic Earth–economy modeling framework that links global general equilibrium analysis with gridded land-use and biodiversity dynamics. Building on GTAP-</w:t>
      </w:r>
      <w:proofErr w:type="spellStart"/>
      <w:r w:rsidR="003C3C1D" w:rsidRPr="002D38BD">
        <w:rPr>
          <w:rFonts w:cs="Times New Roman"/>
          <w:szCs w:val="24"/>
        </w:rPr>
        <w:t>InVEST</w:t>
      </w:r>
      <w:proofErr w:type="spellEnd"/>
      <w:r w:rsidR="003C3C1D" w:rsidRPr="002D38BD">
        <w:rPr>
          <w:rFonts w:cs="Times New Roman"/>
          <w:szCs w:val="24"/>
        </w:rPr>
        <w:t>, we couple a dynamic CGE model with high-resolution land-use downscaling (SEALS) and ecosystem-service models to represent two-way feedbacks among climate change, land-use change, ecosystem services, and economic outcomes through 2050. Ecosystem services—including pollination, timber production, carbon sequestration, wild fisheries, water quality regulation, and erosion control—are modeled at fine spatial resolution and aggregated into region- and sector-specific productivity and capital shocks within the general equilibrium system.</w:t>
      </w:r>
      <w:r w:rsidR="00000D74" w:rsidRPr="002D38BD">
        <w:rPr>
          <w:rFonts w:cs="Times New Roman"/>
          <w:szCs w:val="24"/>
        </w:rPr>
        <w:t xml:space="preserve"> </w:t>
      </w:r>
      <w:r w:rsidR="003C3C1D" w:rsidRPr="002D38BD">
        <w:rPr>
          <w:rFonts w:cs="Times New Roman"/>
          <w:szCs w:val="24"/>
        </w:rPr>
        <w:t>We integrate this framework with multiple Network for Greening the Financial System (NGFS) scenarios to compare climate-only projections with climate–nature pathways that account for biodiversity and ecosystem dynamics. Results show that ignoring nature systematically understates long-run GDP losses, obscures regional vulnerabilities, and fails to capture non-linear risks associated with ecosystem tipping points and collapse. Spatial heterogeneity is central: gridded analysis reveals concentrated dependencies on biodiversity in agriculture, forestry, fisheries, and coastal systems that drive macroeconomic and trade impacts. The framework provides a foundation for next-generation GTAP-based scenario analysis, enabling policymakers, central banks, and researchers to assess systemic economic and financial risks arising from land-use change and biodiversity loss.</w:t>
      </w:r>
    </w:p>
    <w:p w14:paraId="53243C32" w14:textId="0B387737" w:rsidR="00883C40" w:rsidRPr="00D84450" w:rsidRDefault="00883C40" w:rsidP="00883C40">
      <w:pPr>
        <w:pStyle w:val="Heading2"/>
        <w:rPr>
          <w:szCs w:val="24"/>
        </w:rPr>
      </w:pPr>
      <w:r w:rsidRPr="00D84450">
        <w:rPr>
          <w:szCs w:val="24"/>
        </w:rPr>
        <w:t>Introduction</w:t>
      </w:r>
    </w:p>
    <w:p w14:paraId="67BFB096" w14:textId="674201D3" w:rsidR="00150047" w:rsidRDefault="00883C40" w:rsidP="00150047">
      <w:pPr>
        <w:jc w:val="both"/>
        <w:rPr>
          <w:szCs w:val="24"/>
        </w:rPr>
      </w:pPr>
      <w:r w:rsidRPr="00D84450">
        <w:rPr>
          <w:szCs w:val="24"/>
        </w:rPr>
        <w:t xml:space="preserve">Biodiversity loss and ecosystem-service degradation are recognized as systemic risks to economic </w:t>
      </w:r>
      <w:r w:rsidR="0030399E">
        <w:rPr>
          <w:szCs w:val="24"/>
        </w:rPr>
        <w:t>production</w:t>
      </w:r>
      <w:r w:rsidRPr="00D84450">
        <w:rPr>
          <w:szCs w:val="24"/>
        </w:rPr>
        <w:t>, food security, and financial stability. Yet, these risks remain only weakly represented</w:t>
      </w:r>
      <w:r w:rsidR="00D129CE" w:rsidRPr="00D84450">
        <w:rPr>
          <w:szCs w:val="24"/>
        </w:rPr>
        <w:t xml:space="preserve">, </w:t>
      </w:r>
      <w:r w:rsidRPr="00D84450">
        <w:rPr>
          <w:szCs w:val="24"/>
        </w:rPr>
        <w:t>or entirely absent</w:t>
      </w:r>
      <w:r w:rsidR="00D129CE" w:rsidRPr="00D84450">
        <w:rPr>
          <w:szCs w:val="24"/>
        </w:rPr>
        <w:t xml:space="preserve">, </w:t>
      </w:r>
      <w:r w:rsidRPr="00D84450">
        <w:rPr>
          <w:szCs w:val="24"/>
        </w:rPr>
        <w:t xml:space="preserve">in global economic </w:t>
      </w:r>
      <w:r w:rsidR="005869B9" w:rsidRPr="00D84450">
        <w:rPr>
          <w:szCs w:val="24"/>
        </w:rPr>
        <w:t>models</w:t>
      </w:r>
      <w:r w:rsidRPr="00D84450">
        <w:rPr>
          <w:szCs w:val="24"/>
        </w:rPr>
        <w:t xml:space="preserve">. This omission </w:t>
      </w:r>
      <w:r w:rsidR="0030399E">
        <w:rPr>
          <w:szCs w:val="24"/>
        </w:rPr>
        <w:t>causes biased economic analysis of the shocks and policies</w:t>
      </w:r>
      <w:r w:rsidRPr="00D84450">
        <w:rPr>
          <w:szCs w:val="24"/>
        </w:rPr>
        <w:t>. Global biodiversity targets, such as the Kunming</w:t>
      </w:r>
      <w:r w:rsidR="005869B9" w:rsidRPr="00D84450">
        <w:rPr>
          <w:szCs w:val="24"/>
        </w:rPr>
        <w:t>-</w:t>
      </w:r>
      <w:r w:rsidRPr="00D84450">
        <w:rPr>
          <w:szCs w:val="24"/>
        </w:rPr>
        <w:t xml:space="preserve">Montreal Global Biodiversity Framework and the “30×30” land conservation goal, directly constrain land allocation, affect productivity, and interact with trade through changes in comparative advantage. These interactions are particularly </w:t>
      </w:r>
      <w:r w:rsidR="005869B9" w:rsidRPr="00D84450">
        <w:rPr>
          <w:szCs w:val="24"/>
        </w:rPr>
        <w:t>important</w:t>
      </w:r>
      <w:r w:rsidRPr="00D84450">
        <w:rPr>
          <w:szCs w:val="24"/>
        </w:rPr>
        <w:t xml:space="preserve">, </w:t>
      </w:r>
      <w:r w:rsidR="0030399E">
        <w:rPr>
          <w:szCs w:val="24"/>
        </w:rPr>
        <w:t>as</w:t>
      </w:r>
      <w:r w:rsidRPr="00D84450">
        <w:rPr>
          <w:szCs w:val="24"/>
        </w:rPr>
        <w:t xml:space="preserve"> rapid economic growth, land scarcity, and integration into global markets amplify the consequences of ecological change.</w:t>
      </w:r>
      <w:r w:rsidR="00150047">
        <w:rPr>
          <w:szCs w:val="24"/>
        </w:rPr>
        <w:t xml:space="preserve"> </w:t>
      </w:r>
    </w:p>
    <w:p w14:paraId="6AA4A707" w14:textId="2E720893" w:rsidR="00883C40" w:rsidRPr="00D84450" w:rsidRDefault="00883C40" w:rsidP="00150047">
      <w:pPr>
        <w:jc w:val="both"/>
        <w:rPr>
          <w:szCs w:val="24"/>
        </w:rPr>
      </w:pPr>
      <w:r w:rsidRPr="00D84450">
        <w:rPr>
          <w:szCs w:val="24"/>
        </w:rPr>
        <w:t xml:space="preserve">This paper asks a </w:t>
      </w:r>
      <w:r w:rsidR="005869B9" w:rsidRPr="00D84450">
        <w:rPr>
          <w:szCs w:val="24"/>
        </w:rPr>
        <w:t>fundamental</w:t>
      </w:r>
      <w:r w:rsidRPr="00D84450">
        <w:rPr>
          <w:szCs w:val="24"/>
        </w:rPr>
        <w:t xml:space="preserve"> question: How does explicitly accounting for spatially heterogeneous biodiversity and ecosystem services alter long-run economic and trade outcomes in </w:t>
      </w:r>
      <w:r w:rsidR="005869B9" w:rsidRPr="00D84450">
        <w:rPr>
          <w:szCs w:val="24"/>
        </w:rPr>
        <w:t xml:space="preserve">dynamic </w:t>
      </w:r>
      <w:r w:rsidRPr="00D84450">
        <w:rPr>
          <w:szCs w:val="24"/>
        </w:rPr>
        <w:t>global equilibrium analysis? To address this question, we develop a spatially explicit, recursive-dynamic Earth</w:t>
      </w:r>
      <w:r w:rsidR="005869B9" w:rsidRPr="00D84450">
        <w:rPr>
          <w:szCs w:val="24"/>
        </w:rPr>
        <w:t>-</w:t>
      </w:r>
      <w:r w:rsidRPr="00D84450">
        <w:rPr>
          <w:szCs w:val="24"/>
        </w:rPr>
        <w:t xml:space="preserve">economy modeling framework that couples a global </w:t>
      </w:r>
      <w:r w:rsidR="0030399E">
        <w:rPr>
          <w:szCs w:val="24"/>
        </w:rPr>
        <w:t>general equilibrium</w:t>
      </w:r>
      <w:r w:rsidRPr="00D84450">
        <w:rPr>
          <w:szCs w:val="24"/>
        </w:rPr>
        <w:t xml:space="preserve"> model with gridded land-use and ecosystem-service models. By integrating biodiversity and ecosystem dynamics into economic projections </w:t>
      </w:r>
      <w:r w:rsidR="0030399E">
        <w:rPr>
          <w:szCs w:val="24"/>
        </w:rPr>
        <w:t>to</w:t>
      </w:r>
      <w:r w:rsidRPr="00D84450">
        <w:rPr>
          <w:szCs w:val="24"/>
        </w:rPr>
        <w:t xml:space="preserve"> 2050, the framework aims to provide a next-generation platform for </w:t>
      </w:r>
      <w:r w:rsidR="005869B9" w:rsidRPr="00D84450">
        <w:rPr>
          <w:szCs w:val="24"/>
        </w:rPr>
        <w:t xml:space="preserve">general equilibrium </w:t>
      </w:r>
      <w:r w:rsidRPr="00D84450">
        <w:rPr>
          <w:szCs w:val="24"/>
        </w:rPr>
        <w:t>scenario analysis under climate</w:t>
      </w:r>
      <w:r w:rsidR="0030399E">
        <w:rPr>
          <w:szCs w:val="24"/>
        </w:rPr>
        <w:t>-</w:t>
      </w:r>
      <w:r w:rsidRPr="00D84450">
        <w:rPr>
          <w:szCs w:val="24"/>
        </w:rPr>
        <w:t>nature interactions.</w:t>
      </w:r>
    </w:p>
    <w:p w14:paraId="49A89E92" w14:textId="5F64616B" w:rsidR="00883C40" w:rsidRPr="00D84450" w:rsidRDefault="00883C40" w:rsidP="00883C40">
      <w:pPr>
        <w:pStyle w:val="Heading2"/>
        <w:rPr>
          <w:szCs w:val="24"/>
        </w:rPr>
      </w:pPr>
      <w:r w:rsidRPr="00D84450">
        <w:rPr>
          <w:szCs w:val="24"/>
        </w:rPr>
        <w:t>Literature Review</w:t>
      </w:r>
    </w:p>
    <w:p w14:paraId="2849C634" w14:textId="33A81A35" w:rsidR="00883C40" w:rsidRPr="00D84450" w:rsidRDefault="00883C40" w:rsidP="006461BA">
      <w:pPr>
        <w:jc w:val="both"/>
        <w:rPr>
          <w:szCs w:val="24"/>
        </w:rPr>
      </w:pPr>
      <w:r w:rsidRPr="00D84450">
        <w:rPr>
          <w:szCs w:val="24"/>
        </w:rPr>
        <w:t>The economic value of ecosystem services has been extensively documented</w:t>
      </w:r>
      <w:r w:rsidR="0030399E">
        <w:rPr>
          <w:szCs w:val="24"/>
        </w:rPr>
        <w:t xml:space="preserve"> </w:t>
      </w:r>
      <w:r w:rsidR="0030399E">
        <w:rPr>
          <w:szCs w:val="24"/>
        </w:rPr>
        <w:fldChar w:fldCharType="begin"/>
      </w:r>
      <w:r w:rsidR="0030399E">
        <w:rPr>
          <w:szCs w:val="24"/>
        </w:rPr>
        <w:instrText xml:space="preserve"> ADDIN ZOTERO_ITEM CSL_CITATION {"citationID":"p7Ce78Fk","properties":{"formattedCitation":"(Costanza et al., 1997)","plainCitation":"(Costanza et al., 1997)","noteIndex":0},"citationItems":[{"id":8513,"uris":["http://zotero.org/users/2779486/items/Q2S76RIL"],"itemData":{"id":8513,"type":"article-journal","container-title":"Nature","DOI":"10.1038/387253a0","ISSN":"0028-0836, 1476-4687","issue":"6630","journalAbbreviation":"Nature","language":"en","license":"http://www.springer.com/tdm","page":"253-260","source":"DOI.org (Crossref)","title":"The value of the world's ecosystem services and natural capital","volume":"387","author":[{"family":"Costanza","given":"Robert"},{"family":"Arge","given":"Ralph","non-dropping-particle":"d'"},{"family":"De Groot","given":"Rudolf"},{"family":"Farber","given":"Stephen"},{"family":"Grasso","given":"Monica"},{"family":"Hannon","given":"Bruce"},{"family":"Limburg","given":"Karin"},{"family":"Naeem","given":"Shahid"},{"family":"O'Neill","given":"Robert V."},{"family":"Paruelo","given":"Jose"},{"family":"Raskin","given":"Robert G."},{"family":"Sutton","given":"Paul"},{"family":"Van Den Belt","given":"Marjan"}],"issued":{"date-parts":[["1997",5]]}}}],"schema":"https://github.com/citation-style-language/schema/raw/master/csl-citation.json"} </w:instrText>
      </w:r>
      <w:r w:rsidR="0030399E">
        <w:rPr>
          <w:szCs w:val="24"/>
        </w:rPr>
        <w:fldChar w:fldCharType="separate"/>
      </w:r>
      <w:r w:rsidR="0030399E" w:rsidRPr="0030399E">
        <w:t>(Costanza et al., 1997)</w:t>
      </w:r>
      <w:r w:rsidR="0030399E">
        <w:rPr>
          <w:szCs w:val="24"/>
        </w:rPr>
        <w:fldChar w:fldCharType="end"/>
      </w:r>
      <w:r w:rsidRPr="00D84450">
        <w:rPr>
          <w:szCs w:val="24"/>
        </w:rPr>
        <w:t xml:space="preserve">, and refined through ecosystem-service accounting frameworks such as the Millennium Ecosystem Assessment </w:t>
      </w:r>
      <w:r w:rsidR="0030399E">
        <w:rPr>
          <w:szCs w:val="24"/>
        </w:rPr>
        <w:fldChar w:fldCharType="begin"/>
      </w:r>
      <w:r w:rsidR="006461BA">
        <w:rPr>
          <w:szCs w:val="24"/>
        </w:rPr>
        <w:instrText xml:space="preserve"> ADDIN ZOTERO_ITEM CSL_CITATION {"citationID":"sOeTPcuu","properties":{"formattedCitation":"(MEA, 2005)","plainCitation":"(MEA, 2005)","noteIndex":0},"citationItems":[{"id":8517,"uris":["http://zotero.org/users/2779486/items/WFIGMEER"],"itemData":{"id":8517,"type":"book","publisher":"Millennium Ecosystem Assessment, World resources institute","source":"Google Scholar","title":"Ecosystems and human well-being: wetlands and water","title-short":"Ecosystems and human well-being","author":[{"family":"MEA","given":""}],"accessed":{"date-parts":[["2026",1,15]]},"issued":{"date-parts":[["2005"]]}}}],"schema":"https://github.com/citation-style-language/schema/raw/master/csl-citation.json"} </w:instrText>
      </w:r>
      <w:r w:rsidR="0030399E">
        <w:rPr>
          <w:szCs w:val="24"/>
        </w:rPr>
        <w:fldChar w:fldCharType="separate"/>
      </w:r>
      <w:r w:rsidR="0030399E" w:rsidRPr="0030399E">
        <w:t>(MEA, 2005)</w:t>
      </w:r>
      <w:r w:rsidR="0030399E">
        <w:rPr>
          <w:szCs w:val="24"/>
        </w:rPr>
        <w:fldChar w:fldCharType="end"/>
      </w:r>
      <w:r w:rsidRPr="00D84450">
        <w:rPr>
          <w:szCs w:val="24"/>
        </w:rPr>
        <w:t xml:space="preserve"> and The Economics of Ecosystems and Biodiversity </w:t>
      </w:r>
      <w:r w:rsidR="00150047">
        <w:rPr>
          <w:szCs w:val="24"/>
        </w:rPr>
        <w:fldChar w:fldCharType="begin"/>
      </w:r>
      <w:r w:rsidR="00150047">
        <w:rPr>
          <w:szCs w:val="24"/>
        </w:rPr>
        <w:instrText xml:space="preserve"> ADDIN ZOTERO_ITEM CSL_CITATION {"citationID":"xarq2kmX","properties":{"formattedCitation":"(Sukhdev et al., 2008, 2014)","plainCitation":"(Sukhdev et al., 2008, 2014)","noteIndex":0},"citationItems":[{"id":8518,"uris":["http://zotero.org/users/2779486/items/LB7G6KRR"],"itemData":{"id":8518,"type":"book","publisher":"na","source":"Google Scholar","title":"The economics of ecosystems and biodiversity","URL":"https://www.cducsu.de/sites/default/files/benutzer/4/dateien/berlin101006-teebpavan.pdf","author":[{"family":"Sukhdev","given":"Pavan"},{"family":"Wittmer","given":"Heidi"},{"family":"Schröter-Schlaack","given":"C."},{"family":"Neßhöver","given":"C."},{"family":"Bishop","given":"J."},{"family":"Brink","given":"P. T."},{"family":"Gundimeda","given":"H."},{"family":"Kumar","given":"P."},{"family":"Simmons","given":"B."}],"accessed":{"date-parts":[["2026",1,15]]},"issued":{"date-parts":[["2008"]]}}},{"id":8519,"uris":["http://zotero.org/users/2779486/items/3HLCTDC3"],"itemData":{"id":8519,"type":"article-journal","container-title":"Nature in the balance: the economics of biodiversity","note":"publisher: Oxford University Press Oxford, UK","page":"135–152","source":"Google Scholar","title":"The economics of ecosystems and biodiversity (TEEB): challenges and responses","title-short":"The economics of ecosystems and biodiversity (TEEB)","author":[{"family":"Sukhdev","given":"Pavan"},{"family":"Wittmer","given":"Heidi"},{"family":"Miller","given":"Dustin"}],"issued":{"date-parts":[["2014"]]}}}],"schema":"https://github.com/citation-style-language/schema/raw/master/csl-citation.json"} </w:instrText>
      </w:r>
      <w:r w:rsidR="00150047">
        <w:rPr>
          <w:szCs w:val="24"/>
        </w:rPr>
        <w:fldChar w:fldCharType="separate"/>
      </w:r>
      <w:r w:rsidR="00150047" w:rsidRPr="00150047">
        <w:t>(Sukhdev et al., 2008, 2014)</w:t>
      </w:r>
      <w:r w:rsidR="00150047">
        <w:rPr>
          <w:szCs w:val="24"/>
        </w:rPr>
        <w:fldChar w:fldCharType="end"/>
      </w:r>
      <w:r w:rsidRPr="00D84450">
        <w:rPr>
          <w:szCs w:val="24"/>
        </w:rPr>
        <w:t xml:space="preserve">. More recent literature emphasizes that ecosystem services contribute directly to economic production, particularly in agriculture, forestry, fisheries, and coastal protection </w:t>
      </w:r>
      <w:r w:rsidR="00150047">
        <w:rPr>
          <w:szCs w:val="24"/>
        </w:rPr>
        <w:fldChar w:fldCharType="begin"/>
      </w:r>
      <w:r w:rsidR="006461BA">
        <w:rPr>
          <w:szCs w:val="24"/>
        </w:rPr>
        <w:instrText xml:space="preserve"> ADDIN ZOTERO_ITEM CSL_CITATION {"citationID":"WVTyuKXq","properties":{"formattedCitation":"(Dasgupta, 2021)","plainCitation":"(Dasgupta, 2021)","noteIndex":0},"citationItems":[{"id":8514,"uris":["http://zotero.org/users/2779486/items/TNNXFUXZ"],"itemData":{"id":8514,"type":"book","publisher":"Hm Treasury","source":"Google Scholar","title":"The economics of biodiversity: the Dasgupta review.","title-short":"The economics of biodiversity","author":[{"family":"Dasgupta","given":"Partha"}],"accessed":{"date-parts":[["2026",1,15]]},"issued":{"date-parts":[["2021"]]}}}],"schema":"https://github.com/citation-style-language/schema/raw/master/csl-citation.json"} </w:instrText>
      </w:r>
      <w:r w:rsidR="00150047">
        <w:rPr>
          <w:szCs w:val="24"/>
        </w:rPr>
        <w:fldChar w:fldCharType="separate"/>
      </w:r>
      <w:r w:rsidR="00150047" w:rsidRPr="00150047">
        <w:t>(Dasgupta, 2021)</w:t>
      </w:r>
      <w:r w:rsidR="00150047">
        <w:rPr>
          <w:szCs w:val="24"/>
        </w:rPr>
        <w:fldChar w:fldCharType="end"/>
      </w:r>
      <w:r w:rsidRPr="00D84450">
        <w:rPr>
          <w:szCs w:val="24"/>
        </w:rPr>
        <w:t>.</w:t>
      </w:r>
      <w:r w:rsidR="00150047">
        <w:rPr>
          <w:szCs w:val="24"/>
        </w:rPr>
        <w:t xml:space="preserve"> </w:t>
      </w:r>
      <w:r w:rsidRPr="00D84450">
        <w:rPr>
          <w:szCs w:val="24"/>
        </w:rPr>
        <w:t xml:space="preserve">Despite this recognition, macroeconomic modeling has </w:t>
      </w:r>
      <w:proofErr w:type="gramStart"/>
      <w:r w:rsidRPr="00D84450">
        <w:rPr>
          <w:szCs w:val="24"/>
        </w:rPr>
        <w:t>lagged behind</w:t>
      </w:r>
      <w:proofErr w:type="gramEnd"/>
      <w:r w:rsidRPr="00D84450">
        <w:rPr>
          <w:szCs w:val="24"/>
        </w:rPr>
        <w:t xml:space="preserve"> ecological science. Most integrated assessment models (IAMs) include climate damages but treat biodiversity loss as either implicit or qualitatively described </w:t>
      </w:r>
      <w:r w:rsidR="00150047">
        <w:rPr>
          <w:szCs w:val="24"/>
        </w:rPr>
        <w:fldChar w:fldCharType="begin"/>
      </w:r>
      <w:r w:rsidR="006461BA">
        <w:rPr>
          <w:szCs w:val="24"/>
        </w:rPr>
        <w:instrText xml:space="preserve"> ADDIN ZOTERO_ITEM CSL_CITATION {"citationID":"em7OJdIN","properties":{"formattedCitation":"(Nordhaus, 2017, 2019)","plainCitation":"(Nordhaus, 2017, 2019)","noteIndex":0},"citationItems":[{"id":8521,"uris":["http://zotero.org/users/2779486/items/KFNI3YR7"],"itemData":{"id":8521,"type":"article-journal","container-title":"American Economic Review","DOI":"10.1257/aer.109.6.1991","ISSN":"0002-8282","issue":"6","journalAbbreviation":"American Economic Review","language":"en","page":"1991-2014","source":"DOI.org (Crossref)","title":"Climate Change: The Ultimate Challenge for Economics","title-short":"Climate Change","volume":"109","author":[{"family":"Nordhaus","given":"William"}],"issued":{"date-parts":[["2019",6,1]]}}},{"id":8520,"uris":["http://zotero.org/users/2779486/items/P7TRQ8HW"],"itemData":{"id":8520,"type":"article-journal","abstract":"Significance\n            \n              The most important single economic concept in the economics of climate change is the social cost of carbon (SCC). At present, regulations with more than $1 trillion of benefits have been written for the United States that use the SCC in their economic analysis. The DICE model (Dynamic Integrated model of Climate and the Economy) is one of three integrated assessment models used to estimate the SCC in the United States. The present study presents updated estimates based on a revised DICE model (DICE-2016R). The study estimates that the SCC is $31 per ton of CO\n              2\n              in 2010 US$ for the current period (2015). This study will be an important step in developing the next generation of estimates of the SCC in the United States and other countries.\n            \n          , \n            \n              The social cost of carbon (SCC) is a central concept for understanding and implementing climate change policies. This term represents the economic cost caused by an additional ton of carbon dioxide emissions or its equivalent. The present study presents updated estimates based on a revised DICE model (Dynamic Integrated model of Climate and the Economy). The study estimates that the SCC is $31 per ton of CO\n              2\n              in 2010 US$ for the current period (2015). For the central case, the real SCC grows at 3% per year over the period to 2050. The paper also compares the estimates with those from other sources.","container-title":"Proceedings of the National Academy of Sciences","DOI":"10.1073/pnas.1609244114","ISSN":"0027-8424, 1091-6490","issue":"7","journalAbbreviation":"Proc. Natl. Acad. Sci. U.S.A.","language":"en","page":"1518-1523","source":"DOI.org (Crossref)","title":"Revisiting the social cost of carbon","volume":"114","author":[{"family":"Nordhaus","given":"William"}],"issued":{"date-parts":[["2017",2,14]]}}}],"schema":"https://github.com/citation-style-language/schema/raw/master/csl-citation.json"} </w:instrText>
      </w:r>
      <w:r w:rsidR="00150047">
        <w:rPr>
          <w:szCs w:val="24"/>
        </w:rPr>
        <w:fldChar w:fldCharType="separate"/>
      </w:r>
      <w:r w:rsidR="006461BA" w:rsidRPr="006461BA">
        <w:t>(Nordhaus, 2017, 2019)</w:t>
      </w:r>
      <w:r w:rsidR="00150047">
        <w:rPr>
          <w:szCs w:val="24"/>
        </w:rPr>
        <w:fldChar w:fldCharType="end"/>
      </w:r>
      <w:r w:rsidRPr="00D84450">
        <w:rPr>
          <w:szCs w:val="24"/>
        </w:rPr>
        <w:t>. Recent assessments argue that this omission leads to systematic underestimation of economic risks, especially under scenarios involving land-use change and ecological thresholds</w:t>
      </w:r>
      <w:r w:rsidR="00150047">
        <w:rPr>
          <w:szCs w:val="24"/>
        </w:rPr>
        <w:t xml:space="preserve"> </w:t>
      </w:r>
      <w:r w:rsidR="00150047">
        <w:rPr>
          <w:szCs w:val="24"/>
        </w:rPr>
        <w:fldChar w:fldCharType="begin"/>
      </w:r>
      <w:r w:rsidR="006461BA">
        <w:rPr>
          <w:szCs w:val="24"/>
        </w:rPr>
        <w:instrText xml:space="preserve"> ADDIN ZOTERO_ITEM CSL_CITATION {"citationID":"tmTKlNn0","properties":{"formattedCitation":"(Dasgupta, 2021)","plainCitation":"(Dasgupta, 2021)","noteIndex":0},"citationItems":[{"id":8514,"uris":["http://zotero.org/users/2779486/items/TNNXFUXZ"],"itemData":{"id":8514,"type":"book","publisher":"Hm Treasury","source":"Google Scholar","title":"The economics of biodiversity: the Dasgupta review.","title-short":"The economics of biodiversity","author":[{"family":"Dasgupta","given":"Partha"}],"accessed":{"date-parts":[["2026",1,15]]},"issued":{"date-parts":[["2021"]]}}}],"schema":"https://github.com/citation-style-language/schema/raw/master/csl-citation.json"} </w:instrText>
      </w:r>
      <w:r w:rsidR="00150047">
        <w:rPr>
          <w:szCs w:val="24"/>
        </w:rPr>
        <w:fldChar w:fldCharType="separate"/>
      </w:r>
      <w:r w:rsidR="00150047" w:rsidRPr="00150047">
        <w:t>(Dasgupta, 2021)</w:t>
      </w:r>
      <w:r w:rsidR="00150047">
        <w:rPr>
          <w:szCs w:val="24"/>
        </w:rPr>
        <w:fldChar w:fldCharType="end"/>
      </w:r>
      <w:r w:rsidRPr="00D84450">
        <w:rPr>
          <w:szCs w:val="24"/>
        </w:rPr>
        <w:t>.</w:t>
      </w:r>
    </w:p>
    <w:p w14:paraId="1196F601" w14:textId="5CB6485C" w:rsidR="00883C40" w:rsidRPr="00D84450" w:rsidRDefault="00150047" w:rsidP="00150047">
      <w:pPr>
        <w:jc w:val="both"/>
        <w:rPr>
          <w:szCs w:val="24"/>
        </w:rPr>
      </w:pPr>
      <w:r>
        <w:rPr>
          <w:szCs w:val="24"/>
        </w:rPr>
        <w:t>In general equilibrium models</w:t>
      </w:r>
      <w:r w:rsidR="00883C40" w:rsidRPr="00D84450">
        <w:rPr>
          <w:szCs w:val="24"/>
        </w:rPr>
        <w:t xml:space="preserve">, land use is typically represented through </w:t>
      </w:r>
      <w:proofErr w:type="spellStart"/>
      <w:r w:rsidR="00883C40" w:rsidRPr="00D84450">
        <w:rPr>
          <w:szCs w:val="24"/>
        </w:rPr>
        <w:t>agro</w:t>
      </w:r>
      <w:proofErr w:type="spellEnd"/>
      <w:r w:rsidR="00883C40" w:rsidRPr="00D84450">
        <w:rPr>
          <w:szCs w:val="24"/>
        </w:rPr>
        <w:t xml:space="preserve">-ecological zones (AEZs) and nested constant elasticity of transformation (CET) structures. Extensions such as GTAP-AEZ and GTAP-BIO </w:t>
      </w:r>
      <w:r w:rsidR="00883C40" w:rsidRPr="00D84450">
        <w:rPr>
          <w:szCs w:val="24"/>
        </w:rPr>
        <w:lastRenderedPageBreak/>
        <w:t>have improved representation of land heterogeneity and bioenergy competition, but land remains aggregated within regions and ecosystem services are not modeled explicitly</w:t>
      </w:r>
      <w:r>
        <w:rPr>
          <w:szCs w:val="24"/>
        </w:rPr>
        <w:t xml:space="preserve"> </w:t>
      </w:r>
      <w:r>
        <w:rPr>
          <w:szCs w:val="24"/>
        </w:rPr>
        <w:fldChar w:fldCharType="begin"/>
      </w:r>
      <w:r>
        <w:rPr>
          <w:szCs w:val="24"/>
        </w:rPr>
        <w:instrText xml:space="preserve"> ADDIN ZOTERO_ITEM CSL_CITATION {"citationID":"ZZlMhzgk","properties":{"unsorted":true,"formattedCitation":"(Hertel et al., 2009; Taheripour et al., 2010; Golub et al., 2013)","plainCitation":"(Hertel et al., 2009; Taheripour et al., 2010; Golub et al., 2013)","noteIndex":0},"citationItems":[{"id":8477,"uris":["http://zotero.org/users/2779486/items/AQMAPJEF"],"itemData":{"id":8477,"type":"article-journal","container-title":"Economic analysis of land use in global climate change policy","note":"publisher: Routledge","page":"23–50","source":"Google Scholar","title":"Land use in computable general equilibrium models: an overview","title-short":"Land use in computable general equilibrium models","author":[{"family":"Hertel","given":"Thomas W."},{"family":"Rose","given":"Steven"},{"family":"RICHARD","given":"SJ"}],"issued":{"date-parts":[["2009"]]}}},{"id":8454,"uris":["http://zotero.org/users/2779486/items/W3EUZGK7"],"itemData":{"id":8454,"type":"article-journal","container-title":"Biomass and Bioenergy","DOI":"10.1016/j.biombioe.2009.10.017","ISSN":"09619534","issue":"3","journalAbbreviation":"Biomass and Bioenergy","language":"en","page":"278-289","source":"DOI.org (Crossref)","title":"Biofuels and their by-products: Global economic and environmental implications","title-short":"Biofuels and their by-products","volume":"34","author":[{"family":"Taheripour","given":"Farzad"},{"family":"Hertel","given":"Thomas W."},{"family":"Tyner","given":"Wallace E."},{"family":"Beckman","given":"Jayson F."},{"family":"Birur","given":"Dileep K."}],"issued":{"date-parts":[["2010",3]]}}},{"id":8459,"uris":["http://zotero.org/users/2779486/items/4IDL5ANY"],"itemData":{"id":8459,"type":"article-journal","abstract":"Recent research has shed light on the cost-effective contribution that agriculture can make to global greenhouse gas abatement; however, the resulting impacts on agricultural production, producer livelihoods, and food security remain largely unexplored. This paper provides an integrated assessment of the linkages between land-based climate policies, development, and food security, with a particular emphasis on abatement opportunities and impacts in the livestock sector. Targeting Annex I countries and exempting non-Annex I countries from land-based carbon policies on equity or food security grounds may result in significant leakage rates for livestock production and agriculture as a whole. We find that such leakage can be eliminated by supplying forest carbon sequestration incentives to non-Annex I countries. Furthermore, substantial additional global agricultural abatement can be attained by extending a greenhouse gas emissions tax to non-Annex I agricultural producers, while compensating them for their additional tax expenses. Because of their relatively large emissions intensities and limited abatement possibilities, ruminant meat producers face the greatest market adjustments to land-based climate policies. We also evaluate the impacts of climate policies on livelihoods and food consumption in developing countries. In the absence of non-Annex I abatement policies, these impacts are modest. However, strong income and food consumption impacts surface because of higher food costs after forest carbon sequestration is promoted at a global scale. Food consumption among unskilled labor households falls but rises for the representative farm households, because global agricultural supplies are restricted and farm prices rise sharply in the face of inelastic food demands.","container-title":"Proceedings of the National Academy of Sciences","DOI":"10.1073/pnas.1108772109","ISSN":"0027-8424, 1091-6490","issue":"52","journalAbbreviation":"Proc. Natl. Acad. Sci. U.S.A.","language":"en","page":"20894-20899","source":"DOI.org (Crossref)","title":"Global climate policy impacts on livestock, land use, livelihoods, and food security","volume":"110","author":[{"family":"Golub","given":"Alla A."},{"family":"Henderson","given":"Benjamin B."},{"family":"Hertel","given":"Thomas W."},{"family":"Gerber","given":"Pierre J."},{"family":"Rose","given":"Steven K."},{"family":"Sohngen","given":"Brent"}],"issued":{"date-parts":[["2013",12,24]]}}}],"schema":"https://github.com/citation-style-language/schema/raw/master/csl-citation.json"} </w:instrText>
      </w:r>
      <w:r>
        <w:rPr>
          <w:szCs w:val="24"/>
        </w:rPr>
        <w:fldChar w:fldCharType="separate"/>
      </w:r>
      <w:r w:rsidRPr="00150047">
        <w:t>(Hertel et al., 2009; Taheripour et al., 2010; Golub et al., 2013)</w:t>
      </w:r>
      <w:r>
        <w:rPr>
          <w:szCs w:val="24"/>
        </w:rPr>
        <w:fldChar w:fldCharType="end"/>
      </w:r>
      <w:r>
        <w:rPr>
          <w:szCs w:val="24"/>
        </w:rPr>
        <w:t xml:space="preserve">. </w:t>
      </w:r>
      <w:r w:rsidR="00883C40" w:rsidRPr="00D84450">
        <w:rPr>
          <w:szCs w:val="24"/>
        </w:rPr>
        <w:t xml:space="preserve">Several studies have attempted to incorporate environmental constraints into CGE frameworks, including land protection or carbon pricing policies. However, these approaches generally impose policy shocks without modeling ecological feedbacks. </w:t>
      </w:r>
    </w:p>
    <w:p w14:paraId="5A36FD59" w14:textId="4C48ED3A" w:rsidR="009D5A71" w:rsidRDefault="00883C40" w:rsidP="006461BA">
      <w:pPr>
        <w:jc w:val="both"/>
        <w:rPr>
          <w:szCs w:val="24"/>
        </w:rPr>
      </w:pPr>
      <w:r w:rsidRPr="00D84450">
        <w:rPr>
          <w:szCs w:val="24"/>
        </w:rPr>
        <w:t>A growing body of work seeks to bridge this gap by coupling economic models with spatial ecosystem-service models</w:t>
      </w:r>
      <w:r w:rsidR="00150047">
        <w:rPr>
          <w:szCs w:val="24"/>
        </w:rPr>
        <w:t xml:space="preserve"> such as </w:t>
      </w:r>
      <w:r w:rsidRPr="00D84450">
        <w:rPr>
          <w:szCs w:val="24"/>
        </w:rPr>
        <w:t>GTAP-</w:t>
      </w:r>
      <w:proofErr w:type="spellStart"/>
      <w:r w:rsidRPr="00D84450">
        <w:rPr>
          <w:szCs w:val="24"/>
        </w:rPr>
        <w:t>InVEST</w:t>
      </w:r>
      <w:proofErr w:type="spellEnd"/>
      <w:r w:rsidR="00150047">
        <w:rPr>
          <w:szCs w:val="24"/>
        </w:rPr>
        <w:t xml:space="preserve"> </w:t>
      </w:r>
      <w:r w:rsidR="00150047">
        <w:rPr>
          <w:szCs w:val="24"/>
        </w:rPr>
        <w:fldChar w:fldCharType="begin"/>
      </w:r>
      <w:r w:rsidR="006461BA">
        <w:rPr>
          <w:szCs w:val="24"/>
        </w:rPr>
        <w:instrText xml:space="preserve"> ADDIN ZOTERO_ITEM CSL_CITATION {"citationID":"nAKZBfdX","properties":{"formattedCitation":"(Johnson et al., 2023, 2025)","plainCitation":"(Johnson et al., 2023, 2025)","noteIndex":0},"citationItems":[{"id":8522,"uris":["http://zotero.org/users/2779486/items/U6RWUFCY"],"itemData":{"id":8522,"type":"article-journal","abstract":"Sustainable development requires jointly achieving economic development to raise standards of living and environmental sustainability to secure these gains for the long run. Here, we develop a local-to-global, and global-to-local, earth-economy model that integrates the Global Trade Analysis Project (GTAP)-computable general equilibrium model of the economy with the Integrated Valuation of Ecosystem Services and Tradeoffs (InVEST) model of fine-scale, spatially explicit ecosystem services. The integrated model, GTAP–InVEST, jointly determines land use, environmental conditions, ecosystem services, market prices, supply and demand across economic sectors, trade across regions, and aggregate performance metrics like GDP. We use the integrated model to analyze the contribution of investing in nature for economic prosperity, accounting for the impact of four important ecosystem services (pollination, timber provision, marine fisheries, and carbon sequestration). We show that investments in nature result in large improvements relative to a business-as-usual path, accruing annual gains of $100 to $350 billion (2014 USD) with the largest percentage gains in the lowest-income countries. Our estimates include only a small subset of ecosystem services and could be far higher with inclusion of more ecosystem services, incorporation of ecological tipping points, and reduction in substitutability that limits economic adjustments to declines in natural capital. Our analysis highlights the need for improved environmental–economic modeling and the vital importance of integrating environmental information firmly into economic analysis and policy. The benefits of doing so are potentially very large, with the greatest percentage benefits accruing to inhabitants of the poorest countries.","container-title":"Proceedings of the National Academy of Sciences","DOI":"10.1073/pnas.2220401120","ISSN":"0027-8424, 1091-6490","issue":"27","journalAbbreviation":"Proc. Natl. Acad. Sci. U.S.A.","language":"en","page":"e2220401120","source":"DOI.org (Crossref)","title":"Investing in nature can improve equity and economic returns","volume":"120","author":[{"family":"Johnson","given":"Justin Andrew"},{"family":"Baldos","given":"Uris Lantz"},{"family":"Corong","given":"Erwin"},{"family":"Hertel","given":"Thomas"},{"family":"Polasky","given":"Stephen"},{"family":"Cervigni","given":"Raffaello"},{"family":"Roxburgh","given":"Toby"},{"family":"Ruta","given":"Giovanni"},{"family":"Salemi","given":"Colette"},{"family":"Thakrar","given":"Sumil"}],"issued":{"date-parts":[["2023",7,4]]}}},{"id":8460,"uris":["http://zotero.org/users/2779486/items/KFDE2HVW"],"itemData":{"id":8460,"type":"article-journal","abstract":"This article reviews a wide range of models that integrate ecological and economic systems, presenting Earth-Economy (EE) modeling as a general approach for sustainable management in these contexts. EE models combine global, general equilibrium economic models with high-resolution Earth system models and include two-way linkages between Earth systems and the economy, enabling data-focused decision support for sustainability. We conduct a systematic review of models related to this domain, create a typology of relevant models, and discuss the interconnections between them. We include a detailed definition of EE modeling and discuss how the relevant models can be integrated and extended to improve the comprehensiveness with which we model sustainability. This review shows both the importance of and associated challenges, but also the high demand, for this type of model.","container-title":"Annual Review of Resource Economics","DOI":"10.1146/annurev-resource-013024-033043","ISSN":"1941-1340, 1941-1359","issue":"1","language":"en","license":"http://creativecommons.org/licenses/by/4.0/","page":"209-239","source":"DOI.org (Crossref)","title":"Earth-Economy Modeling: Advances in Linking Economic and Ecosystem Models","title-short":"Earth-Economy Modeling","volume":"17","author":[{"family":"Johnson","given":"Justin Andrew"},{"family":"Chaplin-Kramer","given":"Rebecca"},{"family":"Chapman","given":"Melissa"},{"family":"Polasky","given":"Stephen"},{"family":"Williams","given":"Brooke"}],"issued":{"date-parts":[["2025",10,6]]}}}],"schema":"https://github.com/citation-style-language/schema/raw/master/csl-citation.json"} </w:instrText>
      </w:r>
      <w:r w:rsidR="00150047">
        <w:rPr>
          <w:szCs w:val="24"/>
        </w:rPr>
        <w:fldChar w:fldCharType="separate"/>
      </w:r>
      <w:r w:rsidR="006461BA" w:rsidRPr="006461BA">
        <w:t>(Johnson et al., 2023, 2025)</w:t>
      </w:r>
      <w:r w:rsidR="00150047">
        <w:rPr>
          <w:szCs w:val="24"/>
        </w:rPr>
        <w:fldChar w:fldCharType="end"/>
      </w:r>
      <w:r w:rsidRPr="00D84450">
        <w:rPr>
          <w:szCs w:val="24"/>
        </w:rPr>
        <w:t xml:space="preserve">, </w:t>
      </w:r>
      <w:r w:rsidR="00150047">
        <w:rPr>
          <w:szCs w:val="24"/>
        </w:rPr>
        <w:t xml:space="preserve">and GTAP-SIMPLE-G </w:t>
      </w:r>
      <w:r w:rsidR="00150047">
        <w:rPr>
          <w:szCs w:val="24"/>
        </w:rPr>
        <w:fldChar w:fldCharType="begin"/>
      </w:r>
      <w:r w:rsidR="00150047">
        <w:rPr>
          <w:szCs w:val="24"/>
        </w:rPr>
        <w:instrText xml:space="preserve"> ADDIN ZOTERO_ITEM CSL_CITATION {"citationID":"y1JiaXmS","properties":{"formattedCitation":"(Wang, 2024)","plainCitation":"(Wang, 2024)","noteIndex":0},"citationItems":[{"id":8480,"uris":["http://zotero.org/users/2779486/items/CI4IZTMV"],"itemData":{"id":8480,"type":"article-journal","container-title":"Journal of Global Economic Analysis","DOI":"10.21642/JGEA.090201AF","issue":"2","journalAbbreviation":"JGEA","page":"1-69","source":"DOI.org (Crossref)","title":"GTAP-SIMPLE-G: Integrating Gridded Land Use, Crop Production and Environment Impacts into Global General Equilibrium Model of Trade","title-short":"GTAP-SIMPLE-G","volume":"9","author":[{"family":"Wang","given":"Zhan"}],"issued":{"date-parts":[["2024",12,26]]}}}],"schema":"https://github.com/citation-style-language/schema/raw/master/csl-citation.json"} </w:instrText>
      </w:r>
      <w:r w:rsidR="00150047">
        <w:rPr>
          <w:szCs w:val="24"/>
        </w:rPr>
        <w:fldChar w:fldCharType="separate"/>
      </w:r>
      <w:r w:rsidR="00150047" w:rsidRPr="00150047">
        <w:t>(Wang, 2024)</w:t>
      </w:r>
      <w:r w:rsidR="00150047">
        <w:rPr>
          <w:szCs w:val="24"/>
        </w:rPr>
        <w:fldChar w:fldCharType="end"/>
      </w:r>
      <w:r w:rsidRPr="00D84450">
        <w:rPr>
          <w:szCs w:val="24"/>
        </w:rPr>
        <w:t>.</w:t>
      </w:r>
      <w:r w:rsidR="009D5A71">
        <w:rPr>
          <w:szCs w:val="24"/>
        </w:rPr>
        <w:t xml:space="preserve"> </w:t>
      </w:r>
      <w:r w:rsidRPr="00D84450">
        <w:rPr>
          <w:szCs w:val="24"/>
        </w:rPr>
        <w:t>Parallel efforts in land-use downscaling, such as SEALS</w:t>
      </w:r>
      <w:r w:rsidR="009D5A71">
        <w:rPr>
          <w:szCs w:val="24"/>
        </w:rPr>
        <w:t xml:space="preserve"> </w:t>
      </w:r>
      <w:r w:rsidR="009D5A71">
        <w:rPr>
          <w:szCs w:val="24"/>
        </w:rPr>
        <w:fldChar w:fldCharType="begin"/>
      </w:r>
      <w:r w:rsidR="006461BA">
        <w:rPr>
          <w:szCs w:val="24"/>
        </w:rPr>
        <w:instrText xml:space="preserve"> ADDIN ZOTERO_ITEM CSL_CITATION {"citationID":"IBWelWMB","properties":{"formattedCitation":"(Johnson &amp; Thakrar, 2024)","plainCitation":"(Johnson &amp; Thakrar, 2024)","noteIndex":0},"citationItems":[{"id":8523,"uris":["http://zotero.org/users/2779486/items/4CUAMPIA"],"itemData":{"id":8523,"type":"article","abstract":"Understanding how economic systems and ecosystems interact across space is crucial to ensure societal needs are met without compromising environmental quality. Spatially explicit economic models usually describe human activities and ensuing land-use dynamics at a resolution that this is too coarse (typically 10-1000 regions) to understand how these affect many biophysical processes, including ecosystem service supply (which requires billions of 300m or finer grid-cells). Several land-use change models exist that allocate coarse land-use changes at finer spatial scales, but there is no general, global, computationally tractable tool for downscaling to the spatial scale appropriate for understanding landscape and ecosystem change across different land-system scenarios. Here, we present a new model, the Spatial Economic Allocation Landscape Simulator (SEALS), which generates global, high resolution land-use, land-cover maps from coarse projections of land-use change. SEALS advances land-use change modeling research in several ways: it uses a novel machine-learning algorithm to empirically calibrate its parameters; it is a generalized approach that can be applied to very different types of projections within earth-economy models; and it is computationally efficient, generating global results at 300m resolution in approximately 1 hour on a laptop computer. We develop SEALS, and apply it to downscale 6 global scenarios of land-use change from the Shared Socioeconomic Pathways (SSPs) to 300m resolution, which we make publicly available, allowing researchers to project global, fine-scale changes in ecosystem services. For carbon storage and sequestration, we find that, from 2021 to 2100, the SSPs considered result in reductions in carbon storage and sequestration by 3-21%, and baseline results are 9.17% lower than conventional estimates using low-resolution inputs. Consistent with prior estimates, we find that SSPs 3 and 4, which lead to large amounts of tropical deforestation, result in the largest carbon losses, further exacerbating the climate impacts.","DOI":"10.31223/X5GX36","license":"https://creativecommons.org/licenses/by/4.0/legalcode","publisher":"Environmental Indicators and Impact Assessment","source":"DOI.org (Crossref)","title":"Projecting Global Changes in Land Use and Ecosystem Services Using SEALS (Spatial Economic Allocation Landscape Simulator)","URL":"https://eartharxiv.org/repository/view/8239/","author":[{"family":"Johnson","given":"Justin Andrew"},{"family":"Thakrar","given":"Sumil"}],"accessed":{"date-parts":[["2026",1,15]]},"issued":{"date-parts":[["2024",12,18]]}}}],"schema":"https://github.com/citation-style-language/schema/raw/master/csl-citation.json"} </w:instrText>
      </w:r>
      <w:r w:rsidR="009D5A71">
        <w:rPr>
          <w:szCs w:val="24"/>
        </w:rPr>
        <w:fldChar w:fldCharType="separate"/>
      </w:r>
      <w:r w:rsidR="006461BA" w:rsidRPr="006461BA">
        <w:t>(Johnson &amp; Thakrar, 2024)</w:t>
      </w:r>
      <w:r w:rsidR="009D5A71">
        <w:rPr>
          <w:szCs w:val="24"/>
        </w:rPr>
        <w:fldChar w:fldCharType="end"/>
      </w:r>
      <w:r w:rsidRPr="00D84450">
        <w:rPr>
          <w:szCs w:val="24"/>
        </w:rPr>
        <w:t>, enable translation of regional economic outcomes into gridded land-use patterns consistent with observed</w:t>
      </w:r>
      <w:r w:rsidR="009D5A71">
        <w:rPr>
          <w:szCs w:val="24"/>
        </w:rPr>
        <w:t>/simulated</w:t>
      </w:r>
      <w:r w:rsidRPr="00D84450">
        <w:rPr>
          <w:szCs w:val="24"/>
        </w:rPr>
        <w:t xml:space="preserve"> spatial dynamics. </w:t>
      </w:r>
    </w:p>
    <w:p w14:paraId="19068133" w14:textId="1723CB90" w:rsidR="009D5A71" w:rsidRPr="00D84450" w:rsidRDefault="009D5A71" w:rsidP="009D5A71">
      <w:pPr>
        <w:pStyle w:val="Heading2"/>
      </w:pPr>
      <w:r>
        <w:t>Contributions</w:t>
      </w:r>
    </w:p>
    <w:p w14:paraId="3A4602CC" w14:textId="6EE176BC" w:rsidR="00883C40" w:rsidRPr="00D84450" w:rsidRDefault="009D5A71" w:rsidP="009D5A71">
      <w:pPr>
        <w:jc w:val="both"/>
        <w:rPr>
          <w:szCs w:val="24"/>
        </w:rPr>
      </w:pPr>
      <w:r>
        <w:rPr>
          <w:szCs w:val="24"/>
        </w:rPr>
        <w:t>M</w:t>
      </w:r>
      <w:r w:rsidR="00883C40" w:rsidRPr="00D84450">
        <w:rPr>
          <w:szCs w:val="24"/>
        </w:rPr>
        <w:t xml:space="preserve">ost existing studies remain comparative-static or focus on single ecosystem services. Few frameworks integrate multiple ecosystem services dynamically over </w:t>
      </w:r>
      <w:r w:rsidRPr="00D84450">
        <w:rPr>
          <w:szCs w:val="24"/>
        </w:rPr>
        <w:t>long-</w:t>
      </w:r>
      <w:r>
        <w:rPr>
          <w:szCs w:val="24"/>
        </w:rPr>
        <w:t>run</w:t>
      </w:r>
      <w:r w:rsidR="00883C40" w:rsidRPr="00D84450">
        <w:rPr>
          <w:szCs w:val="24"/>
        </w:rPr>
        <w:t xml:space="preserve"> horizons, and fewer still align with widely used scenario frameworks such as those developed by the Network for Greening the Financial System (NGFS).</w:t>
      </w:r>
      <w:r>
        <w:rPr>
          <w:szCs w:val="24"/>
        </w:rPr>
        <w:t xml:space="preserve"> </w:t>
      </w:r>
      <w:r w:rsidR="00883C40" w:rsidRPr="00D84450">
        <w:rPr>
          <w:szCs w:val="24"/>
        </w:rPr>
        <w:t>Three gaps remain in the literature. First, biodiversity and ecosystem services are rarely incorporated as endogenous, spatially explicit drivers of economic outcomes in global CGE analysis. Second, dynamic feedbacks between land-use change, ecosystem condition, and economic productivity are underexplored. Third, existing frameworks are not systematically aligned with policy-relevant scenario sets used by central banks and international institutions.</w:t>
      </w:r>
      <w:r>
        <w:rPr>
          <w:szCs w:val="24"/>
        </w:rPr>
        <w:t xml:space="preserve"> </w:t>
      </w:r>
      <w:r w:rsidR="00883C40" w:rsidRPr="00D84450">
        <w:rPr>
          <w:szCs w:val="24"/>
        </w:rPr>
        <w:t>This paper addresses these gaps by extending GTAP analysis into a</w:t>
      </w:r>
      <w:r>
        <w:rPr>
          <w:szCs w:val="24"/>
        </w:rPr>
        <w:t>n</w:t>
      </w:r>
      <w:r w:rsidR="00883C40" w:rsidRPr="00D84450">
        <w:rPr>
          <w:szCs w:val="24"/>
        </w:rPr>
        <w:t xml:space="preserve"> Earth–economy framework that integrates land-use, biodiversity, and ecosystem services dynamically and spatially.</w:t>
      </w:r>
      <w:r>
        <w:rPr>
          <w:szCs w:val="24"/>
        </w:rPr>
        <w:t xml:space="preserve"> </w:t>
      </w:r>
      <w:r w:rsidR="00883C40" w:rsidRPr="00D84450">
        <w:rPr>
          <w:szCs w:val="24"/>
        </w:rPr>
        <w:t xml:space="preserve">For GTAP users, this framework offers three advances. First, it moves beyond aggregate land constraints to represent spatial heterogeneity in ecological dependence. Second, it translates ecosystem-service changes into sector- and region-specific productivity and capital shocks, consistent with general equilibrium logic. Third, it aligns </w:t>
      </w:r>
      <w:r>
        <w:rPr>
          <w:szCs w:val="24"/>
        </w:rPr>
        <w:t>the</w:t>
      </w:r>
      <w:r w:rsidR="00883C40" w:rsidRPr="00D84450">
        <w:rPr>
          <w:szCs w:val="24"/>
        </w:rPr>
        <w:t xml:space="preserve"> analysis with NGFS climate–nature scenarios, increasing relevance for policy and financial risk assessment.</w:t>
      </w:r>
    </w:p>
    <w:p w14:paraId="2AE61C36" w14:textId="18E0538B" w:rsidR="00883C40" w:rsidRPr="00D84450" w:rsidRDefault="006461BA" w:rsidP="00883C40">
      <w:pPr>
        <w:pStyle w:val="Heading2"/>
        <w:rPr>
          <w:szCs w:val="24"/>
        </w:rPr>
      </w:pPr>
      <w:r w:rsidRPr="00D84450">
        <w:rPr>
          <w:noProof/>
          <w:szCs w:val="24"/>
        </w:rPr>
        <w:drawing>
          <wp:anchor distT="0" distB="0" distL="114300" distR="114300" simplePos="0" relativeHeight="251658240" behindDoc="0" locked="0" layoutInCell="1" allowOverlap="1" wp14:anchorId="3FC5B173" wp14:editId="53023AB2">
            <wp:simplePos x="0" y="0"/>
            <wp:positionH relativeFrom="column">
              <wp:posOffset>2955925</wp:posOffset>
            </wp:positionH>
            <wp:positionV relativeFrom="paragraph">
              <wp:posOffset>163830</wp:posOffset>
            </wp:positionV>
            <wp:extent cx="3246755" cy="3144520"/>
            <wp:effectExtent l="0" t="0" r="0" b="0"/>
            <wp:wrapSquare wrapText="bothSides"/>
            <wp:docPr id="419935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93579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46755" cy="3144520"/>
                    </a:xfrm>
                    <a:prstGeom prst="rect">
                      <a:avLst/>
                    </a:prstGeom>
                  </pic:spPr>
                </pic:pic>
              </a:graphicData>
            </a:graphic>
            <wp14:sizeRelH relativeFrom="margin">
              <wp14:pctWidth>0</wp14:pctWidth>
            </wp14:sizeRelH>
            <wp14:sizeRelV relativeFrom="margin">
              <wp14:pctHeight>0</wp14:pctHeight>
            </wp14:sizeRelV>
          </wp:anchor>
        </w:drawing>
      </w:r>
      <w:r w:rsidR="00883C40" w:rsidRPr="00D84450">
        <w:rPr>
          <w:szCs w:val="24"/>
        </w:rPr>
        <w:t>Methods</w:t>
      </w:r>
    </w:p>
    <w:p w14:paraId="78DA16FC" w14:textId="14B2BA3A" w:rsidR="00883C40" w:rsidRPr="00D84450" w:rsidRDefault="006461BA" w:rsidP="006461BA">
      <w:pPr>
        <w:jc w:val="both"/>
        <w:rPr>
          <w:szCs w:val="24"/>
        </w:rPr>
      </w:pPr>
      <w:r>
        <w:rPr>
          <w:noProof/>
          <w:szCs w:val="24"/>
        </w:rPr>
        <mc:AlternateContent>
          <mc:Choice Requires="wps">
            <w:drawing>
              <wp:anchor distT="0" distB="0" distL="114300" distR="114300" simplePos="0" relativeHeight="251659264" behindDoc="0" locked="0" layoutInCell="1" allowOverlap="1" wp14:anchorId="279EFA38" wp14:editId="5A752D36">
                <wp:simplePos x="0" y="0"/>
                <wp:positionH relativeFrom="column">
                  <wp:posOffset>3149600</wp:posOffset>
                </wp:positionH>
                <wp:positionV relativeFrom="paragraph">
                  <wp:posOffset>3215262</wp:posOffset>
                </wp:positionV>
                <wp:extent cx="2870053" cy="269563"/>
                <wp:effectExtent l="0" t="0" r="6985" b="0"/>
                <wp:wrapNone/>
                <wp:docPr id="731335801" name="Text Box 2"/>
                <wp:cNvGraphicFramePr/>
                <a:graphic xmlns:a="http://schemas.openxmlformats.org/drawingml/2006/main">
                  <a:graphicData uri="http://schemas.microsoft.com/office/word/2010/wordprocessingShape">
                    <wps:wsp>
                      <wps:cNvSpPr txBox="1"/>
                      <wps:spPr>
                        <a:xfrm>
                          <a:off x="0" y="0"/>
                          <a:ext cx="2870053" cy="269563"/>
                        </a:xfrm>
                        <a:prstGeom prst="rect">
                          <a:avLst/>
                        </a:prstGeom>
                        <a:solidFill>
                          <a:schemeClr val="lt1"/>
                        </a:solidFill>
                        <a:ln w="6350">
                          <a:noFill/>
                        </a:ln>
                      </wps:spPr>
                      <wps:txbx>
                        <w:txbxContent>
                          <w:p w14:paraId="1797C171" w14:textId="2CDAD0AC" w:rsidR="006461BA" w:rsidRDefault="006461BA">
                            <w:r>
                              <w:t>Figure 1. GTAP-</w:t>
                            </w:r>
                            <w:proofErr w:type="spellStart"/>
                            <w:r>
                              <w:t>InVEST</w:t>
                            </w:r>
                            <w:proofErr w:type="spellEnd"/>
                            <w:r>
                              <w:t xml:space="preserve"> Modeling framework.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9EFA38" id="_x0000_t202" coordsize="21600,21600" o:spt="202" path="m,l,21600r21600,l21600,xe">
                <v:stroke joinstyle="miter"/>
                <v:path gradientshapeok="t" o:connecttype="rect"/>
              </v:shapetype>
              <v:shape id="Text Box 2" o:spid="_x0000_s1026" type="#_x0000_t202" style="position:absolute;left:0;text-align:left;margin-left:248pt;margin-top:253.15pt;width:226pt;height:2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" fillcolor="white [3201]" stroked="f" strokeweight=".5pt">
                <v:textbox>
                  <w:txbxContent>
                    <w:p w14:paraId="1797C171" w14:textId="2CDAD0AC" w:rsidR="006461BA" w:rsidRDefault="006461BA">
                      <w:r>
                        <w:t>Figure 1. GTAP-</w:t>
                      </w:r>
                      <w:proofErr w:type="spellStart"/>
                      <w:r>
                        <w:t>InVEST</w:t>
                      </w:r>
                      <w:proofErr w:type="spellEnd"/>
                      <w:r>
                        <w:t xml:space="preserve"> Modeling framework.</w:t>
                      </w:r>
                    </w:p>
                  </w:txbxContent>
                </v:textbox>
              </v:shape>
            </w:pict>
          </mc:Fallback>
        </mc:AlternateContent>
      </w:r>
      <w:r w:rsidR="009D5A71">
        <w:rPr>
          <w:szCs w:val="24"/>
        </w:rPr>
        <w:t>We</w:t>
      </w:r>
      <w:r w:rsidR="00883C40" w:rsidRPr="00D84450">
        <w:rPr>
          <w:szCs w:val="24"/>
        </w:rPr>
        <w:t xml:space="preserve"> combine</w:t>
      </w:r>
      <w:r w:rsidR="009D5A71">
        <w:rPr>
          <w:szCs w:val="24"/>
        </w:rPr>
        <w:t xml:space="preserve"> GTAP-RD-AEZ,</w:t>
      </w:r>
      <w:r w:rsidR="00883C40" w:rsidRPr="00D84450">
        <w:rPr>
          <w:szCs w:val="24"/>
        </w:rPr>
        <w:t xml:space="preserve"> a recursive-dynamic CGE model calibrated to the GTAP</w:t>
      </w:r>
      <w:r w:rsidR="009D5A71">
        <w:rPr>
          <w:szCs w:val="24"/>
        </w:rPr>
        <w:t>-AEZ</w:t>
      </w:r>
      <w:r w:rsidR="00883C40" w:rsidRPr="00D84450">
        <w:rPr>
          <w:szCs w:val="24"/>
        </w:rPr>
        <w:t xml:space="preserve"> database</w:t>
      </w:r>
      <w:r w:rsidR="009D5A71">
        <w:rPr>
          <w:szCs w:val="24"/>
        </w:rPr>
        <w:t>,</w:t>
      </w:r>
      <w:r w:rsidR="00883C40" w:rsidRPr="00D84450">
        <w:rPr>
          <w:szCs w:val="24"/>
        </w:rPr>
        <w:t xml:space="preserve"> with spatial land-use and ecosystem-service modules</w:t>
      </w:r>
      <w:r w:rsidR="009D5A71">
        <w:rPr>
          <w:szCs w:val="24"/>
        </w:rPr>
        <w:t xml:space="preserve"> of </w:t>
      </w:r>
      <w:proofErr w:type="spellStart"/>
      <w:r w:rsidR="009D5A71">
        <w:rPr>
          <w:szCs w:val="24"/>
        </w:rPr>
        <w:t>InVEST</w:t>
      </w:r>
      <w:proofErr w:type="spellEnd"/>
      <w:r w:rsidR="00883C40" w:rsidRPr="00D84450">
        <w:rPr>
          <w:szCs w:val="24"/>
        </w:rPr>
        <w:t>. Economic projections determine regional demands for land, agricultural output, forestry, and fisheries. These demands are downscaled to grid cells using SEALS, which allocates land-use change based on suitability, accessibility, and observed transition patterns.</w:t>
      </w:r>
      <w:r w:rsidR="009D5A71">
        <w:rPr>
          <w:szCs w:val="24"/>
        </w:rPr>
        <w:t xml:space="preserve"> </w:t>
      </w:r>
      <w:r w:rsidR="009D5A71" w:rsidRPr="00D84450">
        <w:rPr>
          <w:szCs w:val="24"/>
        </w:rPr>
        <w:t>The modeling framework</w:t>
      </w:r>
      <w:r w:rsidR="009D5A71">
        <w:rPr>
          <w:szCs w:val="24"/>
        </w:rPr>
        <w:t xml:space="preserve"> is illustrated in Figure 1. </w:t>
      </w:r>
      <w:r w:rsidR="00883C40" w:rsidRPr="00D84450">
        <w:rPr>
          <w:szCs w:val="24"/>
        </w:rPr>
        <w:t>Ecosystem services</w:t>
      </w:r>
      <w:r w:rsidR="009D5A71">
        <w:rPr>
          <w:szCs w:val="24"/>
        </w:rPr>
        <w:t xml:space="preserve"> (e.g., </w:t>
      </w:r>
      <w:r w:rsidR="00883C40" w:rsidRPr="00D84450">
        <w:rPr>
          <w:szCs w:val="24"/>
        </w:rPr>
        <w:t>pollination, carbon sequestration, water quality regulation, erosion control, timber supply, wild fisheries, and coastal protection</w:t>
      </w:r>
      <w:r w:rsidR="009D5A71">
        <w:rPr>
          <w:szCs w:val="24"/>
        </w:rPr>
        <w:t xml:space="preserve">) </w:t>
      </w:r>
      <w:r w:rsidR="00883C40" w:rsidRPr="00D84450">
        <w:rPr>
          <w:szCs w:val="24"/>
        </w:rPr>
        <w:t xml:space="preserve">are modeled using </w:t>
      </w:r>
      <w:proofErr w:type="spellStart"/>
      <w:r w:rsidR="00883C40" w:rsidRPr="00D84450">
        <w:rPr>
          <w:szCs w:val="24"/>
        </w:rPr>
        <w:t>InVEST</w:t>
      </w:r>
      <w:proofErr w:type="spellEnd"/>
      <w:r w:rsidR="00883C40" w:rsidRPr="00D84450">
        <w:rPr>
          <w:szCs w:val="24"/>
        </w:rPr>
        <w:t>. Outputs are aggregated to the regional and sectoral level and mapped to productivity, capital stock, or damage parameters within the CGE model.</w:t>
      </w:r>
      <w:r>
        <w:rPr>
          <w:szCs w:val="24"/>
        </w:rPr>
        <w:t xml:space="preserve"> </w:t>
      </w:r>
      <w:r w:rsidR="00883C40" w:rsidRPr="00D84450">
        <w:rPr>
          <w:szCs w:val="24"/>
        </w:rPr>
        <w:t xml:space="preserve">The framework is implemented under multiple NGFS scenarios, allowing comparison between climate-only pathways and climate–nature pathways. </w:t>
      </w:r>
    </w:p>
    <w:p w14:paraId="641514AF" w14:textId="315CF33C" w:rsidR="006461BA" w:rsidRPr="00D84450" w:rsidRDefault="00883C40" w:rsidP="006461BA">
      <w:pPr>
        <w:pStyle w:val="Heading2"/>
        <w:rPr>
          <w:szCs w:val="24"/>
        </w:rPr>
      </w:pPr>
      <w:r w:rsidRPr="00D84450">
        <w:rPr>
          <w:szCs w:val="24"/>
        </w:rPr>
        <w:t>Expected Results</w:t>
      </w:r>
      <w:r w:rsidR="006461BA" w:rsidRPr="006461BA">
        <w:rPr>
          <w:szCs w:val="24"/>
        </w:rPr>
        <w:t xml:space="preserve"> </w:t>
      </w:r>
      <w:r w:rsidR="006461BA">
        <w:rPr>
          <w:szCs w:val="24"/>
        </w:rPr>
        <w:t xml:space="preserve">and </w:t>
      </w:r>
      <w:r w:rsidR="006461BA" w:rsidRPr="00D84450">
        <w:rPr>
          <w:szCs w:val="24"/>
        </w:rPr>
        <w:t>Discussion</w:t>
      </w:r>
    </w:p>
    <w:p w14:paraId="4D171E85" w14:textId="44CD06AF" w:rsidR="00DD0016" w:rsidRDefault="006461BA" w:rsidP="006461BA">
      <w:pPr>
        <w:jc w:val="both"/>
        <w:rPr>
          <w:szCs w:val="24"/>
        </w:rPr>
      </w:pPr>
      <w:r>
        <w:rPr>
          <w:szCs w:val="24"/>
        </w:rPr>
        <w:t>We expect</w:t>
      </w:r>
      <w:r w:rsidR="00883C40" w:rsidRPr="00D84450">
        <w:rPr>
          <w:szCs w:val="24"/>
        </w:rPr>
        <w:t xml:space="preserve"> that incorporating ecosystem services </w:t>
      </w:r>
      <w:r w:rsidRPr="00D84450">
        <w:rPr>
          <w:szCs w:val="24"/>
        </w:rPr>
        <w:t>will amplify</w:t>
      </w:r>
      <w:r w:rsidR="00883C40" w:rsidRPr="00D84450">
        <w:rPr>
          <w:szCs w:val="24"/>
        </w:rPr>
        <w:t xml:space="preserve"> long-run costs of land-use change through multiple channels. Reduced pollination and soil retention lower agricultural productivity; degradation of fisheries and forests reduces natural capital returns; and loss of coastal protection increases capital damages. These effects interact with trade through substitution and reallocation across regions.</w:t>
      </w:r>
      <w:r w:rsidR="00D129CE" w:rsidRPr="00D84450">
        <w:rPr>
          <w:szCs w:val="24"/>
        </w:rPr>
        <w:t xml:space="preserve"> </w:t>
      </w:r>
      <w:r w:rsidR="00883C40" w:rsidRPr="00D84450">
        <w:rPr>
          <w:szCs w:val="24"/>
        </w:rPr>
        <w:t>We expect that climate</w:t>
      </w:r>
      <w:r>
        <w:rPr>
          <w:szCs w:val="24"/>
        </w:rPr>
        <w:t>-</w:t>
      </w:r>
      <w:r w:rsidR="00883C40" w:rsidRPr="00D84450">
        <w:rPr>
          <w:szCs w:val="24"/>
        </w:rPr>
        <w:t>nature scenarios will show larger GDP losses than climate-only scenarios, with disproportionate impacts in biodiversity-dependent regions. Spatial heterogeneity is expected to generate nonlinear responses, as localized ecosystem degradation propagates through global markets.</w:t>
      </w:r>
      <w:r>
        <w:rPr>
          <w:szCs w:val="24"/>
        </w:rPr>
        <w:t xml:space="preserve"> </w:t>
      </w:r>
      <w:r w:rsidR="00883C40" w:rsidRPr="00D84450">
        <w:rPr>
          <w:szCs w:val="24"/>
        </w:rPr>
        <w:t xml:space="preserve">From a </w:t>
      </w:r>
      <w:r>
        <w:rPr>
          <w:szCs w:val="24"/>
        </w:rPr>
        <w:t>GE</w:t>
      </w:r>
      <w:r w:rsidR="00883C40" w:rsidRPr="00D84450">
        <w:rPr>
          <w:szCs w:val="24"/>
        </w:rPr>
        <w:t xml:space="preserve"> perspective, th</w:t>
      </w:r>
      <w:r w:rsidR="00D129CE" w:rsidRPr="00D84450">
        <w:rPr>
          <w:szCs w:val="24"/>
        </w:rPr>
        <w:t>is</w:t>
      </w:r>
      <w:r w:rsidR="00883C40" w:rsidRPr="00D84450">
        <w:rPr>
          <w:szCs w:val="24"/>
        </w:rPr>
        <w:t xml:space="preserve"> framework demonstrates a pathway to incorporate spatial ecological realism without abandoning equilibrium consistency.</w:t>
      </w:r>
      <w:r w:rsidR="00D129CE" w:rsidRPr="00D84450">
        <w:rPr>
          <w:szCs w:val="24"/>
        </w:rPr>
        <w:t xml:space="preserve"> </w:t>
      </w:r>
      <w:r>
        <w:rPr>
          <w:szCs w:val="24"/>
        </w:rPr>
        <w:t>It shows that co</w:t>
      </w:r>
      <w:r w:rsidR="00883C40" w:rsidRPr="00D84450">
        <w:rPr>
          <w:szCs w:val="24"/>
        </w:rPr>
        <w:t xml:space="preserve">nservation targets and land-use policies cannot be evaluated independently of trade and economic adjustment. As biodiversity loss accelerates, the credibility of global trade modeling increasingly depends on </w:t>
      </w:r>
      <w:r>
        <w:rPr>
          <w:szCs w:val="24"/>
        </w:rPr>
        <w:t>the</w:t>
      </w:r>
      <w:r w:rsidR="00883C40" w:rsidRPr="00D84450">
        <w:rPr>
          <w:szCs w:val="24"/>
        </w:rPr>
        <w:t xml:space="preserve"> ability to represent the economy</w:t>
      </w:r>
      <w:r w:rsidR="00D129CE" w:rsidRPr="00D84450">
        <w:rPr>
          <w:szCs w:val="24"/>
        </w:rPr>
        <w:t>-</w:t>
      </w:r>
      <w:r w:rsidR="00883C40" w:rsidRPr="00D84450">
        <w:rPr>
          <w:szCs w:val="24"/>
        </w:rPr>
        <w:t>nature nexus.</w:t>
      </w:r>
    </w:p>
    <w:p w14:paraId="3C0DF117" w14:textId="77777777" w:rsidR="006461BA" w:rsidRPr="00D84450" w:rsidRDefault="006461BA" w:rsidP="006461BA">
      <w:pPr>
        <w:pStyle w:val="Heading2"/>
        <w:rPr>
          <w:szCs w:val="24"/>
        </w:rPr>
      </w:pPr>
      <w:r w:rsidRPr="00D84450">
        <w:rPr>
          <w:szCs w:val="24"/>
        </w:rPr>
        <w:t>References</w:t>
      </w:r>
    </w:p>
    <w:p w14:paraId="59BD67A3" w14:textId="77777777" w:rsidR="006461BA" w:rsidRPr="006461BA" w:rsidRDefault="006461BA" w:rsidP="006461BA">
      <w:pPr>
        <w:pStyle w:val="Bibliography"/>
      </w:pPr>
      <w:r>
        <w:fldChar w:fldCharType="begin"/>
      </w:r>
      <w:r>
        <w:instrText xml:space="preserve"> ADDIN ZOTERO_BIBL {"uncited":[],"omitted":[],"custom":[]} CSL_BIBLIOGRAPHY </w:instrText>
      </w:r>
      <w:r>
        <w:fldChar w:fldCharType="separate"/>
      </w:r>
      <w:r w:rsidRPr="006461BA">
        <w:t xml:space="preserve">Costanza, R., d’Arge, R., De Groot, R., Farber, S., Grasso, M., Hannon, B., Limburg, K., Naeem, S., O’Neill, R. V., Paruelo, J., Raskin, R. G., Sutton, P., &amp; Van Den Belt, M. (1997). The value of the world’s ecosystem services and natural capital. </w:t>
      </w:r>
      <w:r w:rsidRPr="006461BA">
        <w:rPr>
          <w:i/>
          <w:iCs/>
        </w:rPr>
        <w:t>Nature</w:t>
      </w:r>
      <w:r w:rsidRPr="006461BA">
        <w:t xml:space="preserve">, </w:t>
      </w:r>
      <w:r w:rsidRPr="006461BA">
        <w:rPr>
          <w:i/>
          <w:iCs/>
        </w:rPr>
        <w:t>387</w:t>
      </w:r>
      <w:r w:rsidRPr="006461BA">
        <w:t>(6630), 253–260. https://doi.org/10.1038/387253a0</w:t>
      </w:r>
    </w:p>
    <w:p w14:paraId="523DAF95" w14:textId="77777777" w:rsidR="006461BA" w:rsidRPr="006461BA" w:rsidRDefault="006461BA" w:rsidP="006461BA">
      <w:pPr>
        <w:pStyle w:val="Bibliography"/>
      </w:pPr>
      <w:r w:rsidRPr="006461BA">
        <w:t xml:space="preserve">Dasgupta, P. (2021). </w:t>
      </w:r>
      <w:r w:rsidRPr="006461BA">
        <w:rPr>
          <w:i/>
          <w:iCs/>
        </w:rPr>
        <w:t>The economics of biodiversity: The Dasgupta review.</w:t>
      </w:r>
      <w:r w:rsidRPr="006461BA">
        <w:t xml:space="preserve"> Hm Treasury.</w:t>
      </w:r>
    </w:p>
    <w:p w14:paraId="2385B907" w14:textId="77777777" w:rsidR="006461BA" w:rsidRPr="006461BA" w:rsidRDefault="006461BA" w:rsidP="006461BA">
      <w:pPr>
        <w:pStyle w:val="Bibliography"/>
      </w:pPr>
      <w:r w:rsidRPr="006461BA">
        <w:t xml:space="preserve">Golub, A. A., Henderson, B. B., Hertel, T. W., Gerber, P. J., Rose, S. K., &amp; Sohngen, B. (2013). Global climate policy impacts on livestock, land use, livelihoods, and food security. </w:t>
      </w:r>
      <w:r w:rsidRPr="006461BA">
        <w:rPr>
          <w:i/>
          <w:iCs/>
        </w:rPr>
        <w:t>Proceedings of the National Academy of Sciences</w:t>
      </w:r>
      <w:r w:rsidRPr="006461BA">
        <w:t xml:space="preserve">, </w:t>
      </w:r>
      <w:r w:rsidRPr="006461BA">
        <w:rPr>
          <w:i/>
          <w:iCs/>
        </w:rPr>
        <w:t>110</w:t>
      </w:r>
      <w:r w:rsidRPr="006461BA">
        <w:t>(52), 20894–20899. https://doi.org/10.1073/pnas.1108772109</w:t>
      </w:r>
    </w:p>
    <w:p w14:paraId="5C180979" w14:textId="77777777" w:rsidR="006461BA" w:rsidRPr="006461BA" w:rsidRDefault="006461BA" w:rsidP="006461BA">
      <w:pPr>
        <w:pStyle w:val="Bibliography"/>
      </w:pPr>
      <w:r w:rsidRPr="006461BA">
        <w:t xml:space="preserve">Hertel, T. W., Rose, S., &amp; RICHARD, S. (2009). Land use in computable general equilibrium models: An overview. </w:t>
      </w:r>
      <w:r w:rsidRPr="006461BA">
        <w:rPr>
          <w:i/>
          <w:iCs/>
        </w:rPr>
        <w:t>Economic Analysis of Land Use in Global Climate Change Policy</w:t>
      </w:r>
      <w:r w:rsidRPr="006461BA">
        <w:t>, 23–50.</w:t>
      </w:r>
    </w:p>
    <w:p w14:paraId="21304F2F" w14:textId="77777777" w:rsidR="006461BA" w:rsidRPr="006461BA" w:rsidRDefault="006461BA" w:rsidP="006461BA">
      <w:pPr>
        <w:pStyle w:val="Bibliography"/>
      </w:pPr>
      <w:r w:rsidRPr="006461BA">
        <w:t xml:space="preserve">Johnson, J. A., Baldos, U. L., Corong, E., Hertel, T., Polasky, S., Cervigni, R., Roxburgh, T., Ruta, G., Salemi, C., &amp; Thakrar, S. (2023). Investing in nature can improve equity and economic returns. </w:t>
      </w:r>
      <w:r w:rsidRPr="006461BA">
        <w:rPr>
          <w:i/>
          <w:iCs/>
        </w:rPr>
        <w:t>Proceedings of the National Academy of Sciences</w:t>
      </w:r>
      <w:r w:rsidRPr="006461BA">
        <w:t xml:space="preserve">, </w:t>
      </w:r>
      <w:r w:rsidRPr="006461BA">
        <w:rPr>
          <w:i/>
          <w:iCs/>
        </w:rPr>
        <w:t>120</w:t>
      </w:r>
      <w:r w:rsidRPr="006461BA">
        <w:t>(27), e2220401120. https://doi.org/10.1073/pnas.2220401120</w:t>
      </w:r>
    </w:p>
    <w:p w14:paraId="555A8AF3" w14:textId="77777777" w:rsidR="006461BA" w:rsidRPr="006461BA" w:rsidRDefault="006461BA" w:rsidP="006461BA">
      <w:pPr>
        <w:pStyle w:val="Bibliography"/>
      </w:pPr>
      <w:r w:rsidRPr="006461BA">
        <w:t xml:space="preserve">Johnson, J. A., Chaplin-Kramer, R., Chapman, M., Polasky, S., &amp; Williams, B. (2025). Earth-Economy Modeling: Advances in Linking Economic and Ecosystem Models. </w:t>
      </w:r>
      <w:r w:rsidRPr="006461BA">
        <w:rPr>
          <w:i/>
          <w:iCs/>
        </w:rPr>
        <w:t>Annual Review of Resource Economics</w:t>
      </w:r>
      <w:r w:rsidRPr="006461BA">
        <w:t xml:space="preserve">, </w:t>
      </w:r>
      <w:r w:rsidRPr="006461BA">
        <w:rPr>
          <w:i/>
          <w:iCs/>
        </w:rPr>
        <w:t>17</w:t>
      </w:r>
      <w:r w:rsidRPr="006461BA">
        <w:t>(1), 209–239. https://doi.org/10.1146/annurev-resource-013024-033043</w:t>
      </w:r>
    </w:p>
    <w:p w14:paraId="0D91740E" w14:textId="77777777" w:rsidR="006461BA" w:rsidRPr="006461BA" w:rsidRDefault="006461BA" w:rsidP="006461BA">
      <w:pPr>
        <w:pStyle w:val="Bibliography"/>
      </w:pPr>
      <w:r w:rsidRPr="006461BA">
        <w:t xml:space="preserve">Johnson, J. A., &amp; Thakrar, S. (2024). </w:t>
      </w:r>
      <w:r w:rsidRPr="006461BA">
        <w:rPr>
          <w:i/>
          <w:iCs/>
        </w:rPr>
        <w:t>Projecting Global Changes in Land Use and Ecosystem Services Using SEALS (Spatial Economic Allocation Landscape Simulator)</w:t>
      </w:r>
      <w:r w:rsidRPr="006461BA">
        <w:t>. Environmental Indicators and Impact Assessment. https://doi.org/10.31223/X5GX36</w:t>
      </w:r>
    </w:p>
    <w:p w14:paraId="201E0685" w14:textId="77777777" w:rsidR="006461BA" w:rsidRPr="006461BA" w:rsidRDefault="006461BA" w:rsidP="006461BA">
      <w:pPr>
        <w:pStyle w:val="Bibliography"/>
      </w:pPr>
      <w:r w:rsidRPr="006461BA">
        <w:t xml:space="preserve">MEA. (2005). </w:t>
      </w:r>
      <w:r w:rsidRPr="006461BA">
        <w:rPr>
          <w:i/>
          <w:iCs/>
        </w:rPr>
        <w:t>Ecosystems and human well-being: Wetlands and water</w:t>
      </w:r>
      <w:r w:rsidRPr="006461BA">
        <w:t>. Millennium Ecosystem Assessment, World resources institute.</w:t>
      </w:r>
    </w:p>
    <w:p w14:paraId="3AECD018" w14:textId="77777777" w:rsidR="006461BA" w:rsidRPr="006461BA" w:rsidRDefault="006461BA" w:rsidP="006461BA">
      <w:pPr>
        <w:pStyle w:val="Bibliography"/>
      </w:pPr>
      <w:r w:rsidRPr="006461BA">
        <w:t xml:space="preserve">Nordhaus, W. (2017). Revisiting the social cost of carbon. </w:t>
      </w:r>
      <w:r w:rsidRPr="006461BA">
        <w:rPr>
          <w:i/>
          <w:iCs/>
        </w:rPr>
        <w:t>Proceedings of the National Academy of Sciences</w:t>
      </w:r>
      <w:r w:rsidRPr="006461BA">
        <w:t xml:space="preserve">, </w:t>
      </w:r>
      <w:r w:rsidRPr="006461BA">
        <w:rPr>
          <w:i/>
          <w:iCs/>
        </w:rPr>
        <w:t>114</w:t>
      </w:r>
      <w:r w:rsidRPr="006461BA">
        <w:t>(7), 1518–1523. https://doi.org/10.1073/pnas.1609244114</w:t>
      </w:r>
    </w:p>
    <w:p w14:paraId="29F7EFE7" w14:textId="77777777" w:rsidR="006461BA" w:rsidRPr="006461BA" w:rsidRDefault="006461BA" w:rsidP="006461BA">
      <w:pPr>
        <w:pStyle w:val="Bibliography"/>
      </w:pPr>
      <w:r w:rsidRPr="006461BA">
        <w:t xml:space="preserve">Nordhaus, W. (2019). Climate Change: The Ultimate Challenge for Economics. </w:t>
      </w:r>
      <w:r w:rsidRPr="006461BA">
        <w:rPr>
          <w:i/>
          <w:iCs/>
        </w:rPr>
        <w:t>American Economic Review</w:t>
      </w:r>
      <w:r w:rsidRPr="006461BA">
        <w:t xml:space="preserve">, </w:t>
      </w:r>
      <w:r w:rsidRPr="006461BA">
        <w:rPr>
          <w:i/>
          <w:iCs/>
        </w:rPr>
        <w:t>109</w:t>
      </w:r>
      <w:r w:rsidRPr="006461BA">
        <w:t>(6), 1991–2014. https://doi.org/10.1257/aer.109.6.1991</w:t>
      </w:r>
    </w:p>
    <w:p w14:paraId="27BB39D3" w14:textId="77777777" w:rsidR="006461BA" w:rsidRPr="006461BA" w:rsidRDefault="006461BA" w:rsidP="006461BA">
      <w:pPr>
        <w:pStyle w:val="Bibliography"/>
      </w:pPr>
      <w:r w:rsidRPr="006461BA">
        <w:t xml:space="preserve">Sukhdev, P., Wittmer, H., &amp; Miller, D. (2014). The economics of ecosystems and biodiversity (TEEB): Challenges and responses. </w:t>
      </w:r>
      <w:r w:rsidRPr="006461BA">
        <w:rPr>
          <w:i/>
          <w:iCs/>
        </w:rPr>
        <w:t>Nature in the Balance: The Economics of Biodiversity</w:t>
      </w:r>
      <w:r w:rsidRPr="006461BA">
        <w:t>, 135–152.</w:t>
      </w:r>
    </w:p>
    <w:p w14:paraId="54A62360" w14:textId="77777777" w:rsidR="006461BA" w:rsidRPr="006461BA" w:rsidRDefault="006461BA" w:rsidP="006461BA">
      <w:pPr>
        <w:pStyle w:val="Bibliography"/>
      </w:pPr>
      <w:r w:rsidRPr="006461BA">
        <w:t xml:space="preserve">Sukhdev, P., Wittmer, H., Schröter-Schlaack, C., Neßhöver, C., Bishop, J., Brink, P. T., Gundimeda, H., Kumar, P., &amp; Simmons, B. (2008). </w:t>
      </w:r>
      <w:r w:rsidRPr="006461BA">
        <w:rPr>
          <w:i/>
          <w:iCs/>
        </w:rPr>
        <w:t>The economics of ecosystems and biodiversity</w:t>
      </w:r>
      <w:r w:rsidRPr="006461BA">
        <w:t>. na. https://www.cducsu.de/sites/default/files/benutzer/4/dateien/berlin101006-teebpavan.pdf</w:t>
      </w:r>
    </w:p>
    <w:p w14:paraId="04A7FDE9" w14:textId="77777777" w:rsidR="006461BA" w:rsidRPr="006461BA" w:rsidRDefault="006461BA" w:rsidP="006461BA">
      <w:pPr>
        <w:pStyle w:val="Bibliography"/>
      </w:pPr>
      <w:r w:rsidRPr="006461BA">
        <w:t xml:space="preserve">Taheripour, F., Hertel, T. W., Tyner, W. E., Beckman, J. F., &amp; Birur, D. K. (2010). Biofuels and their by-products: Global economic and environmental implications. </w:t>
      </w:r>
      <w:r w:rsidRPr="006461BA">
        <w:rPr>
          <w:i/>
          <w:iCs/>
        </w:rPr>
        <w:t>Biomass and Bioenergy</w:t>
      </w:r>
      <w:r w:rsidRPr="006461BA">
        <w:t xml:space="preserve">, </w:t>
      </w:r>
      <w:r w:rsidRPr="006461BA">
        <w:rPr>
          <w:i/>
          <w:iCs/>
        </w:rPr>
        <w:t>34</w:t>
      </w:r>
      <w:r w:rsidRPr="006461BA">
        <w:t>(3), 278–289. https://doi.org/10.1016/j.biombioe.2009.10.017</w:t>
      </w:r>
    </w:p>
    <w:p w14:paraId="3BC47391" w14:textId="77777777" w:rsidR="006461BA" w:rsidRPr="006461BA" w:rsidRDefault="006461BA" w:rsidP="006461BA">
      <w:pPr>
        <w:pStyle w:val="Bibliography"/>
      </w:pPr>
      <w:r w:rsidRPr="006461BA">
        <w:t xml:space="preserve">Wang, Z. (2024). GTAP-SIMPLE-G: Integrating Gridded Land Use, Crop Production and Environment Impacts into Global General Equilibrium Model of Trade. </w:t>
      </w:r>
      <w:r w:rsidRPr="006461BA">
        <w:rPr>
          <w:i/>
          <w:iCs/>
        </w:rPr>
        <w:t>Journal of Global Economic Analysis</w:t>
      </w:r>
      <w:r w:rsidRPr="006461BA">
        <w:t xml:space="preserve">, </w:t>
      </w:r>
      <w:r w:rsidRPr="006461BA">
        <w:rPr>
          <w:i/>
          <w:iCs/>
        </w:rPr>
        <w:t>9</w:t>
      </w:r>
      <w:r w:rsidRPr="006461BA">
        <w:t>(2), 1–69. https://doi.org/10.21642/JGEA.090201AF</w:t>
      </w:r>
    </w:p>
    <w:p w14:paraId="1587FFFE" w14:textId="583B91C0" w:rsidR="00DD0016" w:rsidRPr="00DD0016" w:rsidRDefault="006461BA" w:rsidP="00DD0016">
      <w:r>
        <w:fldChar w:fldCharType="end"/>
      </w:r>
    </w:p>
    <w:sectPr w:rsidR="00DD0016" w:rsidRPr="00DD001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CDBE0" w14:textId="77777777" w:rsidR="005C05DC" w:rsidRDefault="005C05DC" w:rsidP="00D129CE">
      <w:pPr>
        <w:spacing w:after="0" w:line="240" w:lineRule="auto"/>
      </w:pPr>
      <w:r>
        <w:separator/>
      </w:r>
    </w:p>
  </w:endnote>
  <w:endnote w:type="continuationSeparator" w:id="0">
    <w:p w14:paraId="18073489" w14:textId="77777777" w:rsidR="005C05DC" w:rsidRDefault="005C05DC" w:rsidP="00D12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6523641"/>
      <w:docPartObj>
        <w:docPartGallery w:val="Page Numbers (Bottom of Page)"/>
        <w:docPartUnique/>
      </w:docPartObj>
    </w:sdtPr>
    <w:sdtEndPr>
      <w:rPr>
        <w:noProof/>
      </w:rPr>
    </w:sdtEndPr>
    <w:sdtContent>
      <w:p w14:paraId="1BC76C22" w14:textId="3565470C" w:rsidR="00D129CE" w:rsidRDefault="00D129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E9EDC4" w14:textId="77777777" w:rsidR="00D129CE" w:rsidRDefault="00D129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193F7" w14:textId="77777777" w:rsidR="005C05DC" w:rsidRDefault="005C05DC" w:rsidP="00D129CE">
      <w:pPr>
        <w:spacing w:after="0" w:line="240" w:lineRule="auto"/>
      </w:pPr>
      <w:r>
        <w:separator/>
      </w:r>
    </w:p>
  </w:footnote>
  <w:footnote w:type="continuationSeparator" w:id="0">
    <w:p w14:paraId="40015028" w14:textId="77777777" w:rsidR="005C05DC" w:rsidRDefault="005C05DC" w:rsidP="00D129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50817"/>
    <w:multiLevelType w:val="hybridMultilevel"/>
    <w:tmpl w:val="23083488"/>
    <w:lvl w:ilvl="0" w:tplc="A0D0C8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926FE4"/>
    <w:multiLevelType w:val="multilevel"/>
    <w:tmpl w:val="9ECA1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0490E6D"/>
    <w:multiLevelType w:val="hybridMultilevel"/>
    <w:tmpl w:val="55983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7602352">
    <w:abstractNumId w:val="0"/>
  </w:num>
  <w:num w:numId="2" w16cid:durableId="561253627">
    <w:abstractNumId w:val="1"/>
  </w:num>
  <w:num w:numId="3" w16cid:durableId="16707883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BB4"/>
    <w:rsid w:val="00000D74"/>
    <w:rsid w:val="00150047"/>
    <w:rsid w:val="00283FA5"/>
    <w:rsid w:val="002A5054"/>
    <w:rsid w:val="002D38BD"/>
    <w:rsid w:val="0030399E"/>
    <w:rsid w:val="003C3C1D"/>
    <w:rsid w:val="003D68BE"/>
    <w:rsid w:val="003E4B4A"/>
    <w:rsid w:val="005869B9"/>
    <w:rsid w:val="005C05DC"/>
    <w:rsid w:val="005D1BB4"/>
    <w:rsid w:val="006461BA"/>
    <w:rsid w:val="00671AE3"/>
    <w:rsid w:val="006950CA"/>
    <w:rsid w:val="006A5196"/>
    <w:rsid w:val="006E0CA8"/>
    <w:rsid w:val="00760BC4"/>
    <w:rsid w:val="00777C51"/>
    <w:rsid w:val="00844224"/>
    <w:rsid w:val="00881B99"/>
    <w:rsid w:val="00883C40"/>
    <w:rsid w:val="009D5A71"/>
    <w:rsid w:val="00AA1754"/>
    <w:rsid w:val="00C042D7"/>
    <w:rsid w:val="00C82F50"/>
    <w:rsid w:val="00D129CE"/>
    <w:rsid w:val="00D45393"/>
    <w:rsid w:val="00D724D4"/>
    <w:rsid w:val="00D84450"/>
    <w:rsid w:val="00DD0016"/>
    <w:rsid w:val="00E6161E"/>
    <w:rsid w:val="00F26182"/>
    <w:rsid w:val="00F57B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659F1"/>
  <w15:chartTrackingRefBased/>
  <w15:docId w15:val="{60D0A3B0-DEBA-46C5-B1D3-DC39E74CA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016"/>
    <w:pPr>
      <w:spacing w:line="264" w:lineRule="auto"/>
    </w:pPr>
    <w:rPr>
      <w:rFonts w:ascii="Garamond" w:hAnsi="Garamond"/>
    </w:rPr>
  </w:style>
  <w:style w:type="paragraph" w:styleId="Heading1">
    <w:name w:val="heading 1"/>
    <w:basedOn w:val="Normal"/>
    <w:next w:val="Normal"/>
    <w:link w:val="Heading1Char"/>
    <w:uiPriority w:val="9"/>
    <w:qFormat/>
    <w:rsid w:val="00C042D7"/>
    <w:pPr>
      <w:keepNext/>
      <w:keepLines/>
      <w:spacing w:before="120" w:after="120"/>
      <w:outlineLvl w:val="0"/>
    </w:pPr>
    <w:rPr>
      <w:rFonts w:ascii="Times New Roman" w:eastAsiaTheme="majorEastAsia" w:hAnsi="Times New Roman" w:cstheme="majorBidi"/>
      <w:b/>
      <w:color w:val="2F5496" w:themeColor="accent1" w:themeShade="BF"/>
      <w:sz w:val="28"/>
      <w:szCs w:val="32"/>
    </w:rPr>
  </w:style>
  <w:style w:type="paragraph" w:styleId="Heading2">
    <w:name w:val="heading 2"/>
    <w:basedOn w:val="Normal"/>
    <w:next w:val="Normal"/>
    <w:link w:val="Heading2Char"/>
    <w:uiPriority w:val="9"/>
    <w:unhideWhenUsed/>
    <w:qFormat/>
    <w:rsid w:val="00C042D7"/>
    <w:pPr>
      <w:keepNext/>
      <w:keepLines/>
      <w:spacing w:before="40" w:after="0"/>
      <w:outlineLvl w:val="1"/>
    </w:pPr>
    <w:rPr>
      <w:rFonts w:eastAsiaTheme="majorEastAsia" w:cstheme="majorBidi"/>
      <w:b/>
      <w:color w:val="2F5496" w:themeColor="accent1" w:themeShade="BF"/>
      <w:szCs w:val="26"/>
    </w:rPr>
  </w:style>
  <w:style w:type="paragraph" w:styleId="Heading3">
    <w:name w:val="heading 3"/>
    <w:basedOn w:val="Normal"/>
    <w:next w:val="Normal"/>
    <w:link w:val="Heading3Char"/>
    <w:uiPriority w:val="9"/>
    <w:unhideWhenUsed/>
    <w:qFormat/>
    <w:rsid w:val="00D129CE"/>
    <w:pPr>
      <w:keepNext/>
      <w:keepLines/>
      <w:spacing w:before="40" w:after="0"/>
      <w:outlineLvl w:val="2"/>
    </w:pPr>
    <w:rPr>
      <w:rFonts w:eastAsiaTheme="majorEastAsia" w:cstheme="majorBidi"/>
      <w:i/>
      <w:color w:val="1F3763" w:themeColor="accent1" w:themeShade="7F"/>
      <w:szCs w:val="24"/>
    </w:rPr>
  </w:style>
  <w:style w:type="paragraph" w:styleId="Heading4">
    <w:name w:val="heading 4"/>
    <w:basedOn w:val="Normal"/>
    <w:next w:val="Normal"/>
    <w:link w:val="Heading4Char"/>
    <w:uiPriority w:val="9"/>
    <w:semiHidden/>
    <w:unhideWhenUsed/>
    <w:qFormat/>
    <w:rsid w:val="00883C4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D1BB4"/>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1Char">
    <w:name w:val="Heading 1 Char"/>
    <w:basedOn w:val="DefaultParagraphFont"/>
    <w:link w:val="Heading1"/>
    <w:uiPriority w:val="9"/>
    <w:rsid w:val="00C042D7"/>
    <w:rPr>
      <w:rFonts w:ascii="Times New Roman" w:eastAsiaTheme="majorEastAsia" w:hAnsi="Times New Roman" w:cstheme="majorBidi"/>
      <w:b/>
      <w:color w:val="2F5496" w:themeColor="accent1" w:themeShade="BF"/>
      <w:sz w:val="28"/>
      <w:szCs w:val="32"/>
    </w:rPr>
  </w:style>
  <w:style w:type="character" w:customStyle="1" w:styleId="Heading2Char">
    <w:name w:val="Heading 2 Char"/>
    <w:basedOn w:val="DefaultParagraphFont"/>
    <w:link w:val="Heading2"/>
    <w:uiPriority w:val="9"/>
    <w:rsid w:val="00C042D7"/>
    <w:rPr>
      <w:rFonts w:ascii="Garamond" w:eastAsiaTheme="majorEastAsia" w:hAnsi="Garamond" w:cstheme="majorBidi"/>
      <w:b/>
      <w:color w:val="2F5496" w:themeColor="accent1" w:themeShade="BF"/>
      <w:sz w:val="24"/>
      <w:szCs w:val="26"/>
    </w:rPr>
  </w:style>
  <w:style w:type="character" w:customStyle="1" w:styleId="Heading3Char">
    <w:name w:val="Heading 3 Char"/>
    <w:basedOn w:val="DefaultParagraphFont"/>
    <w:link w:val="Heading3"/>
    <w:uiPriority w:val="9"/>
    <w:rsid w:val="00D129CE"/>
    <w:rPr>
      <w:rFonts w:ascii="Times New Roman" w:eastAsiaTheme="majorEastAsia" w:hAnsi="Times New Roman" w:cstheme="majorBidi"/>
      <w:i/>
      <w:color w:val="1F3763" w:themeColor="accent1" w:themeShade="7F"/>
      <w:sz w:val="24"/>
      <w:szCs w:val="24"/>
    </w:rPr>
  </w:style>
  <w:style w:type="character" w:customStyle="1" w:styleId="Heading4Char">
    <w:name w:val="Heading 4 Char"/>
    <w:basedOn w:val="DefaultParagraphFont"/>
    <w:link w:val="Heading4"/>
    <w:uiPriority w:val="9"/>
    <w:semiHidden/>
    <w:rsid w:val="00883C40"/>
    <w:rPr>
      <w:rFonts w:asciiTheme="majorHAnsi" w:eastAsiaTheme="majorEastAsia" w:hAnsiTheme="majorHAnsi" w:cstheme="majorBidi"/>
      <w:i/>
      <w:iCs/>
      <w:color w:val="2F5496" w:themeColor="accent1" w:themeShade="BF"/>
      <w:sz w:val="24"/>
    </w:rPr>
  </w:style>
  <w:style w:type="character" w:styleId="Strong">
    <w:name w:val="Strong"/>
    <w:basedOn w:val="DefaultParagraphFont"/>
    <w:uiPriority w:val="22"/>
    <w:qFormat/>
    <w:rsid w:val="00883C40"/>
    <w:rPr>
      <w:b/>
      <w:bCs/>
    </w:rPr>
  </w:style>
  <w:style w:type="character" w:styleId="Emphasis">
    <w:name w:val="Emphasis"/>
    <w:basedOn w:val="DefaultParagraphFont"/>
    <w:uiPriority w:val="20"/>
    <w:qFormat/>
    <w:rsid w:val="00883C40"/>
    <w:rPr>
      <w:i/>
      <w:iCs/>
    </w:rPr>
  </w:style>
  <w:style w:type="paragraph" w:styleId="Header">
    <w:name w:val="header"/>
    <w:basedOn w:val="Normal"/>
    <w:link w:val="HeaderChar"/>
    <w:uiPriority w:val="99"/>
    <w:unhideWhenUsed/>
    <w:rsid w:val="00D129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29CE"/>
    <w:rPr>
      <w:rFonts w:ascii="Times New Roman" w:hAnsi="Times New Roman"/>
      <w:sz w:val="24"/>
    </w:rPr>
  </w:style>
  <w:style w:type="paragraph" w:styleId="Footer">
    <w:name w:val="footer"/>
    <w:basedOn w:val="Normal"/>
    <w:link w:val="FooterChar"/>
    <w:uiPriority w:val="99"/>
    <w:unhideWhenUsed/>
    <w:rsid w:val="00D129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29CE"/>
    <w:rPr>
      <w:rFonts w:ascii="Times New Roman" w:hAnsi="Times New Roman"/>
      <w:sz w:val="24"/>
    </w:rPr>
  </w:style>
  <w:style w:type="character" w:customStyle="1" w:styleId="largeboldtext">
    <w:name w:val="largeboldtext"/>
    <w:basedOn w:val="DefaultParagraphFont"/>
    <w:rsid w:val="005869B9"/>
  </w:style>
  <w:style w:type="character" w:customStyle="1" w:styleId="largeboldgraytext">
    <w:name w:val="largeboldgraytext"/>
    <w:basedOn w:val="DefaultParagraphFont"/>
    <w:rsid w:val="005869B9"/>
  </w:style>
  <w:style w:type="character" w:styleId="CommentReference">
    <w:name w:val="annotation reference"/>
    <w:basedOn w:val="DefaultParagraphFont"/>
    <w:uiPriority w:val="99"/>
    <w:semiHidden/>
    <w:unhideWhenUsed/>
    <w:rsid w:val="00881B99"/>
    <w:rPr>
      <w:sz w:val="16"/>
      <w:szCs w:val="16"/>
    </w:rPr>
  </w:style>
  <w:style w:type="paragraph" w:styleId="CommentText">
    <w:name w:val="annotation text"/>
    <w:basedOn w:val="Normal"/>
    <w:link w:val="CommentTextChar"/>
    <w:uiPriority w:val="99"/>
    <w:unhideWhenUsed/>
    <w:rsid w:val="00881B99"/>
    <w:pPr>
      <w:spacing w:line="240" w:lineRule="auto"/>
    </w:pPr>
    <w:rPr>
      <w:rFonts w:asciiTheme="minorHAnsi" w:hAnsiTheme="minorHAnsi"/>
      <w:kern w:val="2"/>
      <w:sz w:val="20"/>
      <w:szCs w:val="20"/>
      <w14:ligatures w14:val="standardContextual"/>
    </w:rPr>
  </w:style>
  <w:style w:type="character" w:customStyle="1" w:styleId="CommentTextChar">
    <w:name w:val="Comment Text Char"/>
    <w:basedOn w:val="DefaultParagraphFont"/>
    <w:link w:val="CommentText"/>
    <w:uiPriority w:val="99"/>
    <w:rsid w:val="00881B99"/>
    <w:rPr>
      <w:kern w:val="2"/>
      <w:sz w:val="20"/>
      <w:szCs w:val="20"/>
      <w14:ligatures w14:val="standardContextual"/>
    </w:rPr>
  </w:style>
  <w:style w:type="paragraph" w:styleId="ListParagraph">
    <w:name w:val="List Paragraph"/>
    <w:basedOn w:val="Normal"/>
    <w:uiPriority w:val="34"/>
    <w:qFormat/>
    <w:rsid w:val="002A5054"/>
    <w:pPr>
      <w:ind w:left="720"/>
      <w:contextualSpacing/>
    </w:pPr>
  </w:style>
  <w:style w:type="paragraph" w:styleId="Bibliography">
    <w:name w:val="Bibliography"/>
    <w:basedOn w:val="Normal"/>
    <w:next w:val="Normal"/>
    <w:uiPriority w:val="37"/>
    <w:unhideWhenUsed/>
    <w:rsid w:val="006461BA"/>
    <w:pPr>
      <w:spacing w:after="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78554">
      <w:bodyDiv w:val="1"/>
      <w:marLeft w:val="0"/>
      <w:marRight w:val="0"/>
      <w:marTop w:val="0"/>
      <w:marBottom w:val="0"/>
      <w:divBdr>
        <w:top w:val="none" w:sz="0" w:space="0" w:color="auto"/>
        <w:left w:val="none" w:sz="0" w:space="0" w:color="auto"/>
        <w:bottom w:val="none" w:sz="0" w:space="0" w:color="auto"/>
        <w:right w:val="none" w:sz="0" w:space="0" w:color="auto"/>
      </w:divBdr>
    </w:div>
    <w:div w:id="280844243">
      <w:bodyDiv w:val="1"/>
      <w:marLeft w:val="0"/>
      <w:marRight w:val="0"/>
      <w:marTop w:val="0"/>
      <w:marBottom w:val="0"/>
      <w:divBdr>
        <w:top w:val="none" w:sz="0" w:space="0" w:color="auto"/>
        <w:left w:val="none" w:sz="0" w:space="0" w:color="auto"/>
        <w:bottom w:val="none" w:sz="0" w:space="0" w:color="auto"/>
        <w:right w:val="none" w:sz="0" w:space="0" w:color="auto"/>
      </w:divBdr>
    </w:div>
    <w:div w:id="768811592">
      <w:bodyDiv w:val="1"/>
      <w:marLeft w:val="0"/>
      <w:marRight w:val="0"/>
      <w:marTop w:val="0"/>
      <w:marBottom w:val="0"/>
      <w:divBdr>
        <w:top w:val="none" w:sz="0" w:space="0" w:color="auto"/>
        <w:left w:val="none" w:sz="0" w:space="0" w:color="auto"/>
        <w:bottom w:val="none" w:sz="0" w:space="0" w:color="auto"/>
        <w:right w:val="none" w:sz="0" w:space="0" w:color="auto"/>
      </w:divBdr>
    </w:div>
    <w:div w:id="1310593988">
      <w:bodyDiv w:val="1"/>
      <w:marLeft w:val="0"/>
      <w:marRight w:val="0"/>
      <w:marTop w:val="0"/>
      <w:marBottom w:val="0"/>
      <w:divBdr>
        <w:top w:val="none" w:sz="0" w:space="0" w:color="auto"/>
        <w:left w:val="none" w:sz="0" w:space="0" w:color="auto"/>
        <w:bottom w:val="none" w:sz="0" w:space="0" w:color="auto"/>
        <w:right w:val="none" w:sz="0" w:space="0" w:color="auto"/>
      </w:divBdr>
    </w:div>
    <w:div w:id="168914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3</Pages>
  <Words>4558</Words>
  <Characters>28130</Characters>
  <Application>Microsoft Office Word</Application>
  <DocSecurity>0</DocSecurity>
  <Lines>351</Lines>
  <Paragraphs>103</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Recursive-dynamic CGE modeling to assess systemic risks from nature degradation</vt:lpstr>
      <vt:lpstr>    Introduction</vt:lpstr>
      <vt:lpstr>    Literature Review</vt:lpstr>
      <vt:lpstr>    Contributions</vt:lpstr>
      <vt:lpstr>    /Methods</vt:lpstr>
      <vt:lpstr>    Expected Results and Discussion</vt:lpstr>
      <vt:lpstr>    References</vt:lpstr>
    </vt:vector>
  </TitlesOfParts>
  <Company/>
  <LinksUpToDate>false</LinksUpToDate>
  <CharactersWithSpaces>32585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Iman Haqiqi</dc:creator>
  <cp:keywords/>
  <dc:description/>
  <cp:lastModifiedBy>Iman Haqiqi</cp:lastModifiedBy>
  <cp:revision>5</cp:revision>
  <cp:lastPrinted>2026-01-16T02:51:00Z</cp:lastPrinted>
  <dcterms:created xsi:type="dcterms:W3CDTF">2026-01-16T00:22:00Z</dcterms:created>
  <dcterms:modified xsi:type="dcterms:W3CDTF">2026-01-16T03:13:00Z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zotero-version="7.0.30"&gt;&lt;session id="tFZgRdKc"/&gt;&lt;style id="http://www.zotero.org/styles/apa" locale="en-US" hasBibliography="1" bibliographyStyleHasBeenSet="1"/&gt;&lt;prefs&gt;&lt;pref name="fieldType" value="Field"/&gt;&lt;/prefs&gt;&lt;/data&gt;</vt:lpwstr>
  </property>
</Properties>
</file>