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63DA2" w14:textId="1BE33D71" w:rsidR="00EB3B8B" w:rsidRPr="00D37141" w:rsidRDefault="00297214">
      <w:pPr>
        <w:rPr>
          <w:b/>
          <w:bCs/>
          <w:sz w:val="24"/>
          <w:szCs w:val="28"/>
        </w:rPr>
      </w:pPr>
      <w:r w:rsidRPr="00D37141">
        <w:rPr>
          <w:b/>
          <w:bCs/>
          <w:sz w:val="24"/>
          <w:szCs w:val="28"/>
        </w:rPr>
        <w:t>Enhancing the Carbon Border Adjustment Mechanism through Endogenized Value-Added Inputs</w:t>
      </w:r>
    </w:p>
    <w:p w14:paraId="6565D194" w14:textId="387ABD57" w:rsidR="00070CF0" w:rsidRDefault="00070CF0"/>
    <w:p w14:paraId="088D7ADA" w14:textId="555F3485" w:rsidR="00C9484C" w:rsidRPr="00D37141" w:rsidRDefault="00C9484C" w:rsidP="00710F5E">
      <w:pPr>
        <w:tabs>
          <w:tab w:val="left" w:pos="7874"/>
          <w:tab w:val="left" w:pos="8040"/>
        </w:tabs>
        <w:rPr>
          <w:b/>
          <w:bCs/>
          <w:sz w:val="24"/>
          <w:szCs w:val="28"/>
        </w:rPr>
      </w:pPr>
      <w:r w:rsidRPr="00D37141">
        <w:rPr>
          <w:rFonts w:hint="eastAsia"/>
          <w:b/>
          <w:bCs/>
          <w:sz w:val="24"/>
          <w:szCs w:val="28"/>
        </w:rPr>
        <w:t>Abstract</w:t>
      </w:r>
      <w:r w:rsidR="00DF62CD" w:rsidRPr="00D37141">
        <w:rPr>
          <w:b/>
          <w:bCs/>
          <w:sz w:val="24"/>
          <w:szCs w:val="28"/>
        </w:rPr>
        <w:tab/>
      </w:r>
      <w:r w:rsidR="00710F5E" w:rsidRPr="00D37141">
        <w:rPr>
          <w:b/>
          <w:bCs/>
          <w:sz w:val="24"/>
          <w:szCs w:val="28"/>
        </w:rPr>
        <w:tab/>
      </w:r>
    </w:p>
    <w:p w14:paraId="31FCF461" w14:textId="79EA30DB" w:rsidR="00C9484C" w:rsidRPr="00D37141" w:rsidRDefault="00753EB1" w:rsidP="00D37141">
      <w:pPr>
        <w:rPr>
          <w:sz w:val="20"/>
          <w:szCs w:val="22"/>
        </w:rPr>
      </w:pPr>
      <w:r w:rsidRPr="00D37141">
        <w:rPr>
          <w:sz w:val="20"/>
          <w:szCs w:val="22"/>
        </w:rPr>
        <w:t xml:space="preserve">This study proposes an enhanced framework for the Carbon Border Adjustment Mechanism (CBAM) by internalizing value-added inputs—specifically capital, and </w:t>
      </w:r>
      <w:r w:rsidR="002609A0" w:rsidRPr="00D37141">
        <w:rPr>
          <w:rFonts w:hint="eastAsia"/>
          <w:sz w:val="20"/>
          <w:szCs w:val="22"/>
        </w:rPr>
        <w:t xml:space="preserve">government </w:t>
      </w:r>
      <w:r w:rsidRPr="00D37141">
        <w:rPr>
          <w:sz w:val="20"/>
          <w:szCs w:val="22"/>
        </w:rPr>
        <w:t>taxes—which are traditionally treated as exogenous in carbon accounting. Utilizing GTAP</w:t>
      </w:r>
      <w:r w:rsidR="002609A0" w:rsidRPr="00D37141">
        <w:rPr>
          <w:rFonts w:hint="eastAsia"/>
          <w:sz w:val="20"/>
          <w:szCs w:val="22"/>
        </w:rPr>
        <w:t xml:space="preserve"> 12</w:t>
      </w:r>
      <w:r w:rsidRPr="00D37141">
        <w:rPr>
          <w:sz w:val="20"/>
          <w:szCs w:val="22"/>
        </w:rPr>
        <w:t xml:space="preserve"> 20</w:t>
      </w:r>
      <w:r w:rsidR="002609A0" w:rsidRPr="00D37141">
        <w:rPr>
          <w:rFonts w:hint="eastAsia"/>
          <w:sz w:val="20"/>
          <w:szCs w:val="22"/>
        </w:rPr>
        <w:t>23</w:t>
      </w:r>
      <w:r w:rsidRPr="00D37141">
        <w:rPr>
          <w:sz w:val="20"/>
          <w:szCs w:val="22"/>
        </w:rPr>
        <w:t xml:space="preserve"> input-output tables and a closed input-output model, the research quantifies carbon emissions across </w:t>
      </w:r>
      <w:r w:rsidR="002609A0" w:rsidRPr="00D37141">
        <w:rPr>
          <w:rFonts w:hint="eastAsia"/>
          <w:sz w:val="20"/>
          <w:szCs w:val="22"/>
        </w:rPr>
        <w:t>three</w:t>
      </w:r>
      <w:r w:rsidRPr="00D37141">
        <w:rPr>
          <w:sz w:val="20"/>
          <w:szCs w:val="22"/>
        </w:rPr>
        <w:t xml:space="preserve"> accounting scenarios, ranging from a standard intermediate consumption approach to a closed model</w:t>
      </w:r>
      <w:r w:rsidR="00920AD4" w:rsidRPr="00D37141">
        <w:rPr>
          <w:rFonts w:hint="eastAsia"/>
          <w:sz w:val="20"/>
          <w:szCs w:val="22"/>
        </w:rPr>
        <w:t xml:space="preserve"> with endogenized investment and </w:t>
      </w:r>
      <w:r w:rsidR="00920AD4" w:rsidRPr="00D37141">
        <w:rPr>
          <w:sz w:val="20"/>
          <w:szCs w:val="22"/>
        </w:rPr>
        <w:t>government</w:t>
      </w:r>
      <w:r w:rsidR="00920AD4" w:rsidRPr="00D37141">
        <w:rPr>
          <w:rFonts w:hint="eastAsia"/>
          <w:sz w:val="20"/>
          <w:szCs w:val="22"/>
        </w:rPr>
        <w:t xml:space="preserve"> expenditure</w:t>
      </w:r>
      <w:r w:rsidRPr="00D37141">
        <w:rPr>
          <w:sz w:val="20"/>
          <w:szCs w:val="22"/>
        </w:rPr>
        <w:t>.</w:t>
      </w:r>
      <w:r w:rsidR="000A71D7" w:rsidRPr="00D37141">
        <w:rPr>
          <w:rFonts w:hint="eastAsia"/>
          <w:sz w:val="20"/>
          <w:szCs w:val="22"/>
        </w:rPr>
        <w:t xml:space="preserve"> </w:t>
      </w:r>
      <w:r w:rsidRPr="00D37141">
        <w:rPr>
          <w:sz w:val="20"/>
          <w:szCs w:val="22"/>
        </w:rPr>
        <w:t>Key findings indicate:</w:t>
      </w:r>
      <w:r w:rsidR="000A71D7" w:rsidRPr="00D37141">
        <w:rPr>
          <w:rFonts w:hint="eastAsia"/>
          <w:sz w:val="20"/>
          <w:szCs w:val="22"/>
        </w:rPr>
        <w:t xml:space="preserve"> </w:t>
      </w:r>
      <w:r w:rsidRPr="00D37141">
        <w:rPr>
          <w:sz w:val="20"/>
          <w:szCs w:val="22"/>
        </w:rPr>
        <w:t xml:space="preserve">Expanding the accounting scope significantly shifts the perceived flow of embodied carbon. </w:t>
      </w:r>
      <w:r w:rsidR="0059530F" w:rsidRPr="00D37141">
        <w:rPr>
          <w:sz w:val="20"/>
          <w:szCs w:val="22"/>
        </w:rPr>
        <w:t>Under a closed model with endogenous investment and government expenditure, the net transfer of CO2 from developing to industrialized regions increases from 2,148 MtCO2 under the standard consumption-based approach to 3,450 MtCO2, around 60% higher.</w:t>
      </w:r>
      <w:r w:rsidR="0059530F" w:rsidRPr="00D37141">
        <w:rPr>
          <w:rFonts w:hint="eastAsia"/>
          <w:sz w:val="20"/>
          <w:szCs w:val="22"/>
        </w:rPr>
        <w:t xml:space="preserve"> </w:t>
      </w:r>
      <w:r w:rsidR="0059530F" w:rsidRPr="00D37141">
        <w:rPr>
          <w:sz w:val="20"/>
          <w:szCs w:val="22"/>
        </w:rPr>
        <w:t>While unilateral reduction by industrialized regions results in carbon leakage, implementing a CBAM that includes endogenized investment and government services reduces this leakage to near zero or below.</w:t>
      </w:r>
      <w:r w:rsidR="0059530F" w:rsidRPr="00D37141">
        <w:rPr>
          <w:rFonts w:hint="eastAsia"/>
          <w:sz w:val="20"/>
          <w:szCs w:val="22"/>
        </w:rPr>
        <w:t xml:space="preserve"> </w:t>
      </w:r>
      <w:r w:rsidRPr="00D37141">
        <w:rPr>
          <w:sz w:val="20"/>
          <w:szCs w:val="22"/>
        </w:rPr>
        <w:t>Although a wider CBAM boundary increases environmental efficacy and drives higher emission reductions in developing regions, it leads to a greater global GDP loss and places a disproportionate economic burden on non-regulated developing nations.</w:t>
      </w:r>
      <w:r w:rsidR="000A71D7" w:rsidRPr="00D37141">
        <w:rPr>
          <w:rFonts w:hint="eastAsia"/>
          <w:sz w:val="20"/>
          <w:szCs w:val="22"/>
        </w:rPr>
        <w:t xml:space="preserve"> </w:t>
      </w:r>
      <w:r w:rsidRPr="00D37141">
        <w:rPr>
          <w:sz w:val="20"/>
          <w:szCs w:val="22"/>
        </w:rPr>
        <w:t>The paper concludes that while endogenizing value-added inputs provides a more comprehensive representation of global carbon flows, policymakers must balance these environmental gains against the escalating economic costs for developing regions.</w:t>
      </w:r>
    </w:p>
    <w:p w14:paraId="0E88D20E" w14:textId="722314D1" w:rsidR="00C9484C" w:rsidRDefault="00C9484C">
      <w:r w:rsidRPr="008C49EF">
        <w:rPr>
          <w:rFonts w:hint="eastAsia"/>
          <w:b/>
          <w:bCs/>
        </w:rPr>
        <w:t>Keywords</w:t>
      </w:r>
      <w:r>
        <w:rPr>
          <w:rFonts w:hint="eastAsia"/>
        </w:rPr>
        <w:t>:</w:t>
      </w:r>
      <w:r w:rsidR="008C49EF">
        <w:rPr>
          <w:rFonts w:hint="eastAsia"/>
        </w:rPr>
        <w:t xml:space="preserve"> GHG mitigation,</w:t>
      </w:r>
      <w:r>
        <w:rPr>
          <w:rFonts w:hint="eastAsia"/>
        </w:rPr>
        <w:t xml:space="preserve"> </w:t>
      </w:r>
      <w:r w:rsidR="008C49EF">
        <w:rPr>
          <w:rFonts w:hint="eastAsia"/>
        </w:rPr>
        <w:t>Consumption-based emission, Carbon tariff, E</w:t>
      </w:r>
      <w:r w:rsidR="008C49EF">
        <w:t>ndogenized</w:t>
      </w:r>
      <w:r w:rsidR="008C49EF">
        <w:rPr>
          <w:rFonts w:hint="eastAsia"/>
        </w:rPr>
        <w:t xml:space="preserve"> investment, Closed input-output model</w:t>
      </w:r>
    </w:p>
    <w:p w14:paraId="662FAE7E" w14:textId="77777777" w:rsidR="00C9484C" w:rsidRDefault="00C9484C"/>
    <w:p w14:paraId="2AF44E60" w14:textId="77777777" w:rsidR="003A0727" w:rsidRPr="00D37141" w:rsidRDefault="003A0727" w:rsidP="003A0727">
      <w:pPr>
        <w:rPr>
          <w:b/>
          <w:bCs/>
          <w:sz w:val="24"/>
          <w:szCs w:val="28"/>
        </w:rPr>
      </w:pPr>
      <w:r w:rsidRPr="00D37141">
        <w:rPr>
          <w:b/>
          <w:bCs/>
          <w:sz w:val="24"/>
          <w:szCs w:val="28"/>
        </w:rPr>
        <w:t>Background and Methodology</w:t>
      </w:r>
    </w:p>
    <w:p w14:paraId="796F8573" w14:textId="374205D2" w:rsidR="003A0727" w:rsidRDefault="003A0727" w:rsidP="003A0727">
      <w:r>
        <w:t>Traditional carbon accounting often treats investment as an exogenous final demand, failing to account for capital goods as emission-intensive production inputs. This study utilizes GTAP</w:t>
      </w:r>
      <w:r w:rsidR="00FE4307">
        <w:rPr>
          <w:rFonts w:hint="eastAsia"/>
        </w:rPr>
        <w:t>12</w:t>
      </w:r>
      <w:r>
        <w:t xml:space="preserve"> 20</w:t>
      </w:r>
      <w:r w:rsidR="00FE4307">
        <w:rPr>
          <w:rFonts w:hint="eastAsia"/>
        </w:rPr>
        <w:t>23</w:t>
      </w:r>
      <w:r>
        <w:t xml:space="preserve"> input-output tables to quantify carbon emissions by internalizing investment flows and endogenizing value-added inputs—specifically capital</w:t>
      </w:r>
      <w:r w:rsidR="0059530F">
        <w:rPr>
          <w:rFonts w:hint="eastAsia"/>
        </w:rPr>
        <w:t xml:space="preserve"> </w:t>
      </w:r>
      <w:r>
        <w:t xml:space="preserve">and taxes. </w:t>
      </w:r>
    </w:p>
    <w:p w14:paraId="465F7F0B" w14:textId="06A5BF10" w:rsidR="003A0727" w:rsidRDefault="003A0727" w:rsidP="003A0727">
      <w:r>
        <w:t>By building upon the equations developed by Bo</w:t>
      </w:r>
      <w:r w:rsidR="00DD0ADD">
        <w:rPr>
          <w:rFonts w:hint="eastAsia"/>
        </w:rPr>
        <w:t>h</w:t>
      </w:r>
      <w:r>
        <w:t>ringer et al. (2018)</w:t>
      </w:r>
      <w:r w:rsidR="007E39B8">
        <w:rPr>
          <w:rStyle w:val="FootnoteReference"/>
        </w:rPr>
        <w:footnoteReference w:id="1"/>
      </w:r>
      <w:r>
        <w:t xml:space="preserve">, we </w:t>
      </w:r>
      <w:r w:rsidR="0059530F">
        <w:rPr>
          <w:rFonts w:hint="eastAsia"/>
        </w:rPr>
        <w:t xml:space="preserve">construct the </w:t>
      </w:r>
      <w:r w:rsidR="0059530F">
        <w:rPr>
          <w:rFonts w:hint="eastAsia"/>
        </w:rPr>
        <w:lastRenderedPageBreak/>
        <w:t>following system of equations</w:t>
      </w:r>
      <w:r>
        <w:t>:</w:t>
      </w:r>
    </w:p>
    <w:p w14:paraId="7CCB6DF2" w14:textId="5FE25E4C" w:rsidR="00D05DD5" w:rsidRDefault="00D05DD5" w:rsidP="005571E9">
      <w:pPr>
        <w:jc w:val="center"/>
      </w:pPr>
      <m:oMath>
        <m:r>
          <w:rPr>
            <w:rFonts w:ascii="Cambria Math" w:hAnsi="Cambria Math"/>
          </w:rPr>
          <m:t>c</m:t>
        </m:r>
        <m:sSubSup>
          <m:sSubSupPr>
            <m:ctrlPr>
              <w:rPr>
                <w:rFonts w:ascii="Cambria Math" w:hAnsi="Cambria Math"/>
                <w:i/>
              </w:rPr>
            </m:ctrlPr>
          </m:sSubSupPr>
          <m:e>
            <m:r>
              <w:rPr>
                <w:rFonts w:ascii="Cambria Math" w:hAnsi="Cambria Math"/>
              </w:rPr>
              <m:t>c</m:t>
            </m:r>
          </m:e>
          <m:sub>
            <m:r>
              <w:rPr>
                <w:rFonts w:ascii="Cambria Math" w:hAnsi="Cambria Math"/>
              </w:rPr>
              <m:t>gr</m:t>
            </m:r>
          </m:sub>
          <m:sup>
            <m:r>
              <w:rPr>
                <w:rFonts w:ascii="Cambria Math" w:hAnsi="Cambria Math"/>
              </w:rPr>
              <m:t>Y</m:t>
            </m:r>
          </m:sup>
        </m:sSubSup>
        <m:sSub>
          <m:sSubPr>
            <m:ctrlPr>
              <w:rPr>
                <w:rFonts w:ascii="Cambria Math" w:hAnsi="Cambria Math"/>
                <w:i/>
              </w:rPr>
            </m:ctrlPr>
          </m:sSubPr>
          <m:e>
            <m:r>
              <w:rPr>
                <w:rFonts w:ascii="Cambria Math" w:hAnsi="Cambria Math"/>
              </w:rPr>
              <m:t>Y</m:t>
            </m:r>
          </m:e>
          <m:sub>
            <m:r>
              <w:rPr>
                <w:rFonts w:ascii="Cambria Math" w:hAnsi="Cambria Math"/>
              </w:rPr>
              <m:t>gr</m:t>
            </m:r>
          </m:sub>
        </m:sSub>
        <m:r>
          <w:rPr>
            <w:rFonts w:ascii="Cambria Math" w:hAnsi="Cambria Math"/>
          </w:rPr>
          <m:t>=</m:t>
        </m:r>
        <m:nary>
          <m:naryPr>
            <m:chr m:val="∑"/>
            <m:supHide m:val="1"/>
            <m:ctrlPr>
              <w:rPr>
                <w:rFonts w:ascii="Cambria Math" w:hAnsi="Cambria Math"/>
              </w:rPr>
            </m:ctrlPr>
          </m:naryPr>
          <m:sub>
            <m:r>
              <w:rPr>
                <w:rFonts w:ascii="Cambria Math" w:hAnsi="Cambria Math"/>
              </w:rPr>
              <m:t>j</m:t>
            </m:r>
            <m:ctrlPr>
              <w:rPr>
                <w:rFonts w:ascii="Cambria Math" w:hAnsi="Cambria Math"/>
                <w:i/>
              </w:rPr>
            </m:ctrlPr>
          </m:sub>
          <m:sup>
            <m:ctrlPr>
              <w:rPr>
                <w:rFonts w:ascii="Cambria Math" w:hAnsi="Cambria Math"/>
                <w:i/>
              </w:rPr>
            </m:ctrlPr>
          </m:sup>
          <m:e>
            <m:r>
              <w:rPr>
                <w:rFonts w:ascii="Cambria Math" w:hAnsi="Cambria Math"/>
              </w:rPr>
              <m:t>(c</m:t>
            </m:r>
            <m:sSubSup>
              <m:sSubSupPr>
                <m:ctrlPr>
                  <w:rPr>
                    <w:rFonts w:ascii="Cambria Math" w:hAnsi="Cambria Math"/>
                    <w:i/>
                  </w:rPr>
                </m:ctrlPr>
              </m:sSubSupPr>
              <m:e>
                <m:r>
                  <w:rPr>
                    <w:rFonts w:ascii="Cambria Math" w:hAnsi="Cambria Math"/>
                  </w:rPr>
                  <m:t>c</m:t>
                </m:r>
              </m:e>
              <m:sub>
                <m:r>
                  <w:rPr>
                    <w:rFonts w:ascii="Cambria Math" w:hAnsi="Cambria Math"/>
                  </w:rPr>
                  <m:t>jr</m:t>
                </m:r>
              </m:sub>
              <m:sup>
                <m:r>
                  <w:rPr>
                    <w:rFonts w:ascii="Cambria Math" w:hAnsi="Cambria Math"/>
                  </w:rPr>
                  <m:t>M</m:t>
                </m:r>
              </m:sup>
            </m:sSubSup>
            <m:r>
              <w:rPr>
                <w:rFonts w:ascii="Cambria Math" w:hAnsi="Cambria Math"/>
              </w:rPr>
              <m:t>+c</m:t>
            </m:r>
            <m:sSubSup>
              <m:sSubSupPr>
                <m:ctrlPr>
                  <w:rPr>
                    <w:rFonts w:ascii="Cambria Math" w:hAnsi="Cambria Math"/>
                    <w:i/>
                  </w:rPr>
                </m:ctrlPr>
              </m:sSubSupPr>
              <m:e>
                <m:r>
                  <w:rPr>
                    <w:rFonts w:ascii="Cambria Math" w:hAnsi="Cambria Math"/>
                  </w:rPr>
                  <m:t>o2</m:t>
                </m:r>
              </m:e>
              <m:sub>
                <m:r>
                  <w:rPr>
                    <w:rFonts w:ascii="Cambria Math" w:hAnsi="Cambria Math"/>
                  </w:rPr>
                  <m:t>jgr</m:t>
                </m:r>
              </m:sub>
              <m:sup>
                <m:r>
                  <w:rPr>
                    <w:rFonts w:ascii="Cambria Math" w:hAnsi="Cambria Math"/>
                  </w:rPr>
                  <m:t>M</m:t>
                </m:r>
              </m:sup>
            </m:sSubSup>
            <m:r>
              <w:rPr>
                <w:rFonts w:ascii="Cambria Math" w:hAnsi="Cambria Math"/>
              </w:rPr>
              <m:t>)</m:t>
            </m:r>
            <m:sSubSup>
              <m:sSubSupPr>
                <m:ctrlPr>
                  <w:rPr>
                    <w:rFonts w:ascii="Cambria Math" w:hAnsi="Cambria Math"/>
                    <w:i/>
                  </w:rPr>
                </m:ctrlPr>
              </m:sSubSupPr>
              <m:e>
                <m:r>
                  <w:rPr>
                    <w:rFonts w:ascii="Cambria Math" w:hAnsi="Cambria Math"/>
                  </w:rPr>
                  <m:t>Z</m:t>
                </m:r>
              </m:e>
              <m:sub>
                <m:r>
                  <w:rPr>
                    <w:rFonts w:ascii="Cambria Math" w:hAnsi="Cambria Math"/>
                  </w:rPr>
                  <m:t>jgr</m:t>
                </m:r>
              </m:sub>
              <m:sup>
                <m:r>
                  <w:rPr>
                    <w:rFonts w:ascii="Cambria Math" w:hAnsi="Cambria Math"/>
                  </w:rPr>
                  <m:t>M</m:t>
                </m:r>
              </m:sup>
            </m:sSubSup>
            <m:ctrlPr>
              <w:rPr>
                <w:rFonts w:ascii="Cambria Math" w:hAnsi="Cambria Math"/>
                <w:i/>
              </w:rPr>
            </m:ctrlPr>
          </m:e>
        </m:nary>
        <m:r>
          <w:rPr>
            <w:rFonts w:ascii="Cambria Math" w:hAnsi="Cambria Math"/>
          </w:rPr>
          <m:t>+</m:t>
        </m:r>
        <m:nary>
          <m:naryPr>
            <m:chr m:val="∑"/>
            <m:supHide m:val="1"/>
            <m:ctrlPr>
              <w:rPr>
                <w:rFonts w:ascii="Cambria Math" w:hAnsi="Cambria Math"/>
              </w:rPr>
            </m:ctrlPr>
          </m:naryPr>
          <m:sub>
            <m:r>
              <w:rPr>
                <w:rFonts w:ascii="Cambria Math" w:hAnsi="Cambria Math"/>
              </w:rPr>
              <m:t>g'</m:t>
            </m:r>
            <m:ctrlPr>
              <w:rPr>
                <w:rFonts w:ascii="Cambria Math" w:hAnsi="Cambria Math"/>
                <w:i/>
              </w:rPr>
            </m:ctrlPr>
          </m:sub>
          <m:sup>
            <m:ctrlPr>
              <w:rPr>
                <w:rFonts w:ascii="Cambria Math" w:hAnsi="Cambria Math"/>
                <w:i/>
              </w:rPr>
            </m:ctrlPr>
          </m:sup>
          <m:e>
            <m:r>
              <w:rPr>
                <w:rFonts w:ascii="Cambria Math" w:hAnsi="Cambria Math"/>
              </w:rPr>
              <m:t>(c</m:t>
            </m:r>
            <m:sSubSup>
              <m:sSubSupPr>
                <m:ctrlPr>
                  <w:rPr>
                    <w:rFonts w:ascii="Cambria Math" w:hAnsi="Cambria Math"/>
                    <w:i/>
                  </w:rPr>
                </m:ctrlPr>
              </m:sSubSupPr>
              <m:e>
                <m:r>
                  <w:rPr>
                    <w:rFonts w:ascii="Cambria Math" w:hAnsi="Cambria Math"/>
                  </w:rPr>
                  <m:t>c</m:t>
                </m:r>
              </m:e>
              <m:sub>
                <m:r>
                  <w:rPr>
                    <w:rFonts w:ascii="Cambria Math" w:hAnsi="Cambria Math"/>
                  </w:rPr>
                  <m:t>g'r</m:t>
                </m:r>
              </m:sub>
              <m:sup>
                <m:r>
                  <w:rPr>
                    <w:rFonts w:ascii="Cambria Math" w:hAnsi="Cambria Math"/>
                  </w:rPr>
                  <m:t>Y</m:t>
                </m:r>
              </m:sup>
            </m:sSubSup>
            <m:r>
              <w:rPr>
                <w:rFonts w:ascii="Cambria Math" w:hAnsi="Cambria Math"/>
              </w:rPr>
              <m:t>+c</m:t>
            </m:r>
            <m:sSubSup>
              <m:sSubSupPr>
                <m:ctrlPr>
                  <w:rPr>
                    <w:rFonts w:ascii="Cambria Math" w:hAnsi="Cambria Math"/>
                    <w:i/>
                  </w:rPr>
                </m:ctrlPr>
              </m:sSubSupPr>
              <m:e>
                <m:r>
                  <w:rPr>
                    <w:rFonts w:ascii="Cambria Math" w:hAnsi="Cambria Math"/>
                  </w:rPr>
                  <m:t>o2</m:t>
                </m:r>
              </m:e>
              <m:sub>
                <m:r>
                  <w:rPr>
                    <w:rFonts w:ascii="Cambria Math" w:hAnsi="Cambria Math"/>
                  </w:rPr>
                  <m:t>g'gr</m:t>
                </m:r>
              </m:sub>
              <m:sup>
                <m:r>
                  <w:rPr>
                    <w:rFonts w:ascii="Cambria Math" w:hAnsi="Cambria Math"/>
                  </w:rPr>
                  <m:t>D</m:t>
                </m:r>
              </m:sup>
            </m:sSubSup>
            <m:r>
              <w:rPr>
                <w:rFonts w:ascii="Cambria Math" w:hAnsi="Cambria Math"/>
              </w:rPr>
              <m:t>)</m:t>
            </m:r>
            <m:sSubSup>
              <m:sSubSupPr>
                <m:ctrlPr>
                  <w:rPr>
                    <w:rFonts w:ascii="Cambria Math" w:hAnsi="Cambria Math"/>
                    <w:i/>
                  </w:rPr>
                </m:ctrlPr>
              </m:sSubSupPr>
              <m:e>
                <m:r>
                  <w:rPr>
                    <w:rFonts w:ascii="Cambria Math" w:hAnsi="Cambria Math"/>
                  </w:rPr>
                  <m:t>Z</m:t>
                </m:r>
              </m:e>
              <m:sub>
                <m:r>
                  <w:rPr>
                    <w:rFonts w:ascii="Cambria Math" w:hAnsi="Cambria Math"/>
                  </w:rPr>
                  <m:t>g'gr</m:t>
                </m:r>
              </m:sub>
              <m:sup>
                <m:r>
                  <w:rPr>
                    <w:rFonts w:ascii="Cambria Math" w:hAnsi="Cambria Math"/>
                  </w:rPr>
                  <m:t>D</m:t>
                </m:r>
              </m:sup>
            </m:sSubSup>
            <m:ctrlPr>
              <w:rPr>
                <w:rFonts w:ascii="Cambria Math" w:hAnsi="Cambria Math"/>
                <w:i/>
              </w:rPr>
            </m:ctrlPr>
          </m:e>
        </m:nary>
      </m:oMath>
      <w:r w:rsidR="005571E9">
        <w:tab/>
      </w:r>
      <w:r w:rsidR="005571E9">
        <w:rPr>
          <w:rFonts w:hint="eastAsia"/>
        </w:rPr>
        <w:t>(1)</w:t>
      </w:r>
    </w:p>
    <w:p w14:paraId="458049C0" w14:textId="0BFF3053" w:rsidR="00194F4C" w:rsidRPr="00194F4C" w:rsidRDefault="00194F4C" w:rsidP="005571E9">
      <w:pPr>
        <w:jc w:val="center"/>
      </w:pPr>
      <m:oMath>
        <m:r>
          <w:rPr>
            <w:rFonts w:ascii="Cambria Math" w:hAnsi="Cambria Math"/>
          </w:rPr>
          <m:t>c</m:t>
        </m:r>
        <m:sSubSup>
          <m:sSubSupPr>
            <m:ctrlPr>
              <w:rPr>
                <w:rFonts w:ascii="Cambria Math" w:hAnsi="Cambria Math"/>
                <w:i/>
              </w:rPr>
            </m:ctrlPr>
          </m:sSubSupPr>
          <m:e>
            <m:r>
              <w:rPr>
                <w:rFonts w:ascii="Cambria Math" w:hAnsi="Cambria Math"/>
              </w:rPr>
              <m:t>c</m:t>
            </m:r>
          </m:e>
          <m:sub>
            <m:r>
              <w:rPr>
                <w:rFonts w:ascii="Cambria Math" w:hAnsi="Cambria Math"/>
              </w:rPr>
              <m:t>ir</m:t>
            </m:r>
          </m:sub>
          <m:sup>
            <m:r>
              <w:rPr>
                <w:rFonts w:ascii="Cambria Math" w:hAnsi="Cambria Math"/>
              </w:rPr>
              <m:t>M</m:t>
            </m:r>
          </m:sup>
        </m:sSubSup>
        <m:sSub>
          <m:sSubPr>
            <m:ctrlPr>
              <w:rPr>
                <w:rFonts w:ascii="Cambria Math" w:hAnsi="Cambria Math"/>
                <w:i/>
              </w:rPr>
            </m:ctrlPr>
          </m:sSubPr>
          <m:e>
            <m:r>
              <w:rPr>
                <w:rFonts w:ascii="Cambria Math" w:hAnsi="Cambria Math"/>
              </w:rPr>
              <m:t>M</m:t>
            </m:r>
          </m:e>
          <m:sub>
            <m:r>
              <w:rPr>
                <w:rFonts w:ascii="Cambria Math" w:hAnsi="Cambria Math"/>
              </w:rPr>
              <m:t>ir</m:t>
            </m:r>
          </m:sub>
        </m:sSub>
        <m:r>
          <w:rPr>
            <w:rFonts w:ascii="Cambria Math" w:hAnsi="Cambria Math"/>
          </w:rPr>
          <m:t>=</m:t>
        </m:r>
        <m:nary>
          <m:naryPr>
            <m:chr m:val="∑"/>
            <m:supHide m:val="1"/>
            <m:ctrlPr>
              <w:rPr>
                <w:rFonts w:ascii="Cambria Math" w:hAnsi="Cambria Math"/>
              </w:rPr>
            </m:ctrlPr>
          </m:naryPr>
          <m:sub>
            <m:r>
              <w:rPr>
                <w:rFonts w:ascii="Cambria Math" w:hAnsi="Cambria Math"/>
              </w:rPr>
              <m:t>s</m:t>
            </m:r>
            <m:r>
              <m:rPr>
                <m:sty m:val="p"/>
              </m:rPr>
              <w:rPr>
                <w:rFonts w:ascii="Cambria Math" w:hAnsi="Cambria Math" w:hint="eastAsia"/>
              </w:rPr>
              <m:t>∈</m:t>
            </m:r>
            <m:r>
              <w:rPr>
                <w:rFonts w:ascii="Cambria Math" w:hAnsi="Cambria Math"/>
              </w:rPr>
              <m:t>R</m:t>
            </m:r>
            <m:ctrlPr>
              <w:rPr>
                <w:rFonts w:ascii="Cambria Math" w:hAnsi="Cambria Math"/>
                <w:i/>
              </w:rPr>
            </m:ctrlPr>
          </m:sub>
          <m:sup>
            <m:ctrlPr>
              <w:rPr>
                <w:rFonts w:ascii="Cambria Math" w:hAnsi="Cambria Math"/>
                <w:i/>
              </w:rPr>
            </m:ctrlPr>
          </m:sup>
          <m:e>
            <m:d>
              <m:dPr>
                <m:ctrlPr>
                  <w:rPr>
                    <w:rFonts w:ascii="Cambria Math" w:hAnsi="Cambria Math"/>
                    <w:i/>
                  </w:rPr>
                </m:ctrlPr>
              </m:dPr>
              <m:e>
                <m:r>
                  <w:rPr>
                    <w:rFonts w:ascii="Cambria Math" w:hAnsi="Cambria Math"/>
                  </w:rPr>
                  <m:t>c</m:t>
                </m:r>
                <m:sSubSup>
                  <m:sSubSupPr>
                    <m:ctrlPr>
                      <w:rPr>
                        <w:rFonts w:ascii="Cambria Math" w:hAnsi="Cambria Math"/>
                        <w:i/>
                      </w:rPr>
                    </m:ctrlPr>
                  </m:sSubSupPr>
                  <m:e>
                    <m:r>
                      <w:rPr>
                        <w:rFonts w:ascii="Cambria Math" w:hAnsi="Cambria Math"/>
                      </w:rPr>
                      <m:t>c</m:t>
                    </m:r>
                  </m:e>
                  <m:sub>
                    <m:r>
                      <w:rPr>
                        <w:rFonts w:ascii="Cambria Math" w:hAnsi="Cambria Math"/>
                      </w:rPr>
                      <m:t>is</m:t>
                    </m:r>
                  </m:sub>
                  <m:sup>
                    <m:r>
                      <w:rPr>
                        <w:rFonts w:ascii="Cambria Math" w:hAnsi="Cambria Math"/>
                      </w:rPr>
                      <m:t>Y</m:t>
                    </m:r>
                  </m:sup>
                </m:sSubSup>
                <m:sSub>
                  <m:sSubPr>
                    <m:ctrlPr>
                      <w:rPr>
                        <w:rFonts w:ascii="Cambria Math" w:hAnsi="Cambria Math"/>
                        <w:i/>
                      </w:rPr>
                    </m:ctrlPr>
                  </m:sSubPr>
                  <m:e>
                    <m:r>
                      <w:rPr>
                        <w:rFonts w:ascii="Cambria Math" w:hAnsi="Cambria Math"/>
                      </w:rPr>
                      <m:t>X</m:t>
                    </m:r>
                  </m:e>
                  <m:sub>
                    <m:r>
                      <w:rPr>
                        <w:rFonts w:ascii="Cambria Math" w:hAnsi="Cambria Math"/>
                      </w:rPr>
                      <m:t>isr</m:t>
                    </m:r>
                  </m:sub>
                </m:sSub>
                <m:r>
                  <w:rPr>
                    <w:rFonts w:ascii="Cambria Math" w:hAnsi="Cambria Math"/>
                  </w:rPr>
                  <m:t>+</m:t>
                </m:r>
                <m:nary>
                  <m:naryPr>
                    <m:chr m:val="∑"/>
                    <m:supHide m:val="1"/>
                    <m:ctrlPr>
                      <w:rPr>
                        <w:rFonts w:ascii="Cambria Math" w:hAnsi="Cambria Math"/>
                      </w:rPr>
                    </m:ctrlPr>
                  </m:naryPr>
                  <m:sub>
                    <m:r>
                      <w:rPr>
                        <w:rFonts w:ascii="Cambria Math" w:hAnsi="Cambria Math"/>
                      </w:rPr>
                      <m:t>u</m:t>
                    </m:r>
                    <m:r>
                      <m:rPr>
                        <m:sty m:val="p"/>
                      </m:rPr>
                      <w:rPr>
                        <w:rFonts w:ascii="Cambria Math" w:hAnsi="Cambria Math" w:hint="eastAsia"/>
                      </w:rPr>
                      <m:t>∈</m:t>
                    </m:r>
                    <m:r>
                      <w:rPr>
                        <w:rFonts w:ascii="Cambria Math" w:hAnsi="Cambria Math"/>
                      </w:rPr>
                      <m:t>U</m:t>
                    </m:r>
                    <m:ctrlPr>
                      <w:rPr>
                        <w:rFonts w:ascii="Cambria Math" w:hAnsi="Cambria Math"/>
                        <w:i/>
                      </w:rPr>
                    </m:ctrlPr>
                  </m:sub>
                  <m:sup>
                    <m:ctrlPr>
                      <w:rPr>
                        <w:rFonts w:ascii="Cambria Math" w:hAnsi="Cambria Math"/>
                        <w:i/>
                      </w:rPr>
                    </m:ctrlPr>
                  </m:sup>
                  <m:e>
                    <m:r>
                      <w:rPr>
                        <w:rFonts w:ascii="Cambria Math" w:hAnsi="Cambria Math"/>
                      </w:rPr>
                      <m:t>c</m:t>
                    </m:r>
                    <m:sSubSup>
                      <m:sSubSupPr>
                        <m:ctrlPr>
                          <w:rPr>
                            <w:rFonts w:ascii="Cambria Math" w:hAnsi="Cambria Math"/>
                            <w:i/>
                          </w:rPr>
                        </m:ctrlPr>
                      </m:sSubSupPr>
                      <m:e>
                        <m:r>
                          <w:rPr>
                            <w:rFonts w:ascii="Cambria Math" w:hAnsi="Cambria Math"/>
                          </w:rPr>
                          <m:t>c</m:t>
                        </m:r>
                      </m:e>
                      <m:sub>
                        <m:r>
                          <w:rPr>
                            <w:rFonts w:ascii="Cambria Math" w:hAnsi="Cambria Math"/>
                          </w:rPr>
                          <m:t>u</m:t>
                        </m:r>
                      </m:sub>
                      <m:sup>
                        <m:r>
                          <w:rPr>
                            <w:rFonts w:ascii="Cambria Math" w:hAnsi="Cambria Math"/>
                          </w:rPr>
                          <m:t>T</m:t>
                        </m:r>
                      </m:sup>
                    </m:sSubSup>
                    <m:sSub>
                      <m:sSubPr>
                        <m:ctrlPr>
                          <w:rPr>
                            <w:rFonts w:ascii="Cambria Math" w:hAnsi="Cambria Math"/>
                            <w:i/>
                          </w:rPr>
                        </m:ctrlPr>
                      </m:sSubPr>
                      <m:e>
                        <m:r>
                          <w:rPr>
                            <w:rFonts w:ascii="Cambria Math" w:hAnsi="Cambria Math"/>
                          </w:rPr>
                          <m:t>T</m:t>
                        </m:r>
                      </m:e>
                      <m:sub>
                        <m:r>
                          <w:rPr>
                            <w:rFonts w:ascii="Cambria Math" w:hAnsi="Cambria Math"/>
                          </w:rPr>
                          <m:t>uisr</m:t>
                        </m:r>
                      </m:sub>
                    </m:sSub>
                    <m:ctrlPr>
                      <w:rPr>
                        <w:rFonts w:ascii="Cambria Math" w:hAnsi="Cambria Math"/>
                        <w:i/>
                      </w:rPr>
                    </m:ctrlPr>
                  </m:e>
                </m:nary>
              </m:e>
            </m:d>
            <m:ctrlPr>
              <w:rPr>
                <w:rFonts w:ascii="Cambria Math" w:hAnsi="Cambria Math"/>
                <w:i/>
              </w:rPr>
            </m:ctrlPr>
          </m:e>
        </m:nary>
      </m:oMath>
      <w:r w:rsidR="005571E9">
        <w:tab/>
      </w:r>
      <w:r w:rsidR="005571E9">
        <w:tab/>
      </w:r>
      <w:r w:rsidR="005571E9">
        <w:tab/>
      </w:r>
      <w:r w:rsidR="005571E9">
        <w:tab/>
      </w:r>
      <w:r w:rsidR="005571E9">
        <w:rPr>
          <w:rFonts w:hint="eastAsia"/>
        </w:rPr>
        <w:t>(2)</w:t>
      </w:r>
    </w:p>
    <w:p w14:paraId="7EFD8040" w14:textId="57EDA130" w:rsidR="00194F4C" w:rsidRPr="00B765A2" w:rsidRDefault="00B765A2" w:rsidP="005571E9">
      <w:pPr>
        <w:jc w:val="center"/>
      </w:pPr>
      <m:oMath>
        <m:r>
          <w:rPr>
            <w:rFonts w:ascii="Cambria Math" w:hAnsi="Cambria Math"/>
          </w:rPr>
          <m:t>c</m:t>
        </m:r>
        <m:sSubSup>
          <m:sSubSupPr>
            <m:ctrlPr>
              <w:rPr>
                <w:rFonts w:ascii="Cambria Math" w:hAnsi="Cambria Math"/>
                <w:i/>
              </w:rPr>
            </m:ctrlPr>
          </m:sSubSupPr>
          <m:e>
            <m:r>
              <w:rPr>
                <w:rFonts w:ascii="Cambria Math" w:hAnsi="Cambria Math"/>
              </w:rPr>
              <m:t>c</m:t>
            </m:r>
          </m:e>
          <m:sub>
            <m:r>
              <w:rPr>
                <w:rFonts w:ascii="Cambria Math" w:hAnsi="Cambria Math"/>
              </w:rPr>
              <m:t>u</m:t>
            </m:r>
          </m:sub>
          <m:sup>
            <m:r>
              <w:rPr>
                <w:rFonts w:ascii="Cambria Math" w:hAnsi="Cambria Math"/>
              </w:rPr>
              <m:t>T</m:t>
            </m:r>
          </m:sup>
        </m:sSubSup>
        <m:nary>
          <m:naryPr>
            <m:chr m:val="∑"/>
            <m:supHide m:val="1"/>
            <m:ctrlPr>
              <w:rPr>
                <w:rFonts w:ascii="Cambria Math" w:hAnsi="Cambria Math"/>
              </w:rPr>
            </m:ctrlPr>
          </m:naryPr>
          <m:sub>
            <m:r>
              <w:rPr>
                <w:rFonts w:ascii="Cambria Math" w:hAnsi="Cambria Math"/>
              </w:rPr>
              <m:t>r</m:t>
            </m:r>
            <m:r>
              <m:rPr>
                <m:sty m:val="p"/>
              </m:rPr>
              <w:rPr>
                <w:rFonts w:ascii="Cambria Math" w:hAnsi="Cambria Math" w:hint="eastAsia"/>
              </w:rPr>
              <m:t>∈</m:t>
            </m:r>
            <m:r>
              <w:rPr>
                <w:rFonts w:ascii="Cambria Math" w:hAnsi="Cambria Math"/>
              </w:rPr>
              <m:t>R</m:t>
            </m:r>
            <m:ctrlPr>
              <w:rPr>
                <w:rFonts w:ascii="Cambria Math" w:hAnsi="Cambria Math"/>
                <w:i/>
              </w:rPr>
            </m:ctrlPr>
          </m:sub>
          <m:sup>
            <m:ctrlPr>
              <w:rPr>
                <w:rFonts w:ascii="Cambria Math" w:hAnsi="Cambria Math"/>
                <w:i/>
              </w:rPr>
            </m:ctrlPr>
          </m:sup>
          <m:e>
            <m:sSub>
              <m:sSubPr>
                <m:ctrlPr>
                  <w:rPr>
                    <w:rFonts w:ascii="Cambria Math" w:hAnsi="Cambria Math"/>
                    <w:i/>
                  </w:rPr>
                </m:ctrlPr>
              </m:sSubPr>
              <m:e>
                <m:r>
                  <w:rPr>
                    <w:rFonts w:ascii="Cambria Math" w:hAnsi="Cambria Math"/>
                  </w:rPr>
                  <m:t>T</m:t>
                </m:r>
              </m:e>
              <m:sub>
                <m:r>
                  <w:rPr>
                    <w:rFonts w:ascii="Cambria Math" w:hAnsi="Cambria Math"/>
                  </w:rPr>
                  <m:t>ur</m:t>
                </m:r>
              </m:sub>
            </m:sSub>
            <m:ctrlPr>
              <w:rPr>
                <w:rFonts w:ascii="Cambria Math" w:hAnsi="Cambria Math"/>
                <w:i/>
              </w:rPr>
            </m:ctrlPr>
          </m:e>
        </m:nary>
        <m:r>
          <w:rPr>
            <w:rFonts w:ascii="Cambria Math" w:hAnsi="Cambria Math"/>
          </w:rPr>
          <m:t>=</m:t>
        </m:r>
        <m:nary>
          <m:naryPr>
            <m:chr m:val="∑"/>
            <m:supHide m:val="1"/>
            <m:ctrlPr>
              <w:rPr>
                <w:rFonts w:ascii="Cambria Math" w:hAnsi="Cambria Math"/>
              </w:rPr>
            </m:ctrlPr>
          </m:naryPr>
          <m:sub>
            <m:r>
              <w:rPr>
                <w:rFonts w:ascii="Cambria Math" w:hAnsi="Cambria Math"/>
              </w:rPr>
              <m:t>r</m:t>
            </m:r>
            <m:r>
              <m:rPr>
                <m:sty m:val="p"/>
              </m:rPr>
              <w:rPr>
                <w:rFonts w:ascii="Cambria Math" w:hAnsi="Cambria Math" w:hint="eastAsia"/>
              </w:rPr>
              <m:t>∈</m:t>
            </m:r>
            <m:r>
              <w:rPr>
                <w:rFonts w:ascii="Cambria Math" w:hAnsi="Cambria Math"/>
              </w:rPr>
              <m:t>R</m:t>
            </m:r>
            <m:ctrlPr>
              <w:rPr>
                <w:rFonts w:ascii="Cambria Math" w:hAnsi="Cambria Math"/>
                <w:i/>
              </w:rPr>
            </m:ctrlPr>
          </m:sub>
          <m:sup>
            <m:ctrlPr>
              <w:rPr>
                <w:rFonts w:ascii="Cambria Math" w:hAnsi="Cambria Math"/>
                <w:i/>
              </w:rPr>
            </m:ctrlPr>
          </m:sup>
          <m:e>
            <m:r>
              <w:rPr>
                <w:rFonts w:ascii="Cambria Math" w:hAnsi="Cambria Math"/>
              </w:rPr>
              <m:t>c</m:t>
            </m:r>
            <m:sSubSup>
              <m:sSubSupPr>
                <m:ctrlPr>
                  <w:rPr>
                    <w:rFonts w:ascii="Cambria Math" w:hAnsi="Cambria Math"/>
                    <w:i/>
                  </w:rPr>
                </m:ctrlPr>
              </m:sSubSupPr>
              <m:e>
                <m:r>
                  <w:rPr>
                    <w:rFonts w:ascii="Cambria Math" w:hAnsi="Cambria Math"/>
                  </w:rPr>
                  <m:t>c</m:t>
                </m:r>
              </m:e>
              <m:sub>
                <m:r>
                  <w:rPr>
                    <w:rFonts w:ascii="Cambria Math" w:hAnsi="Cambria Math"/>
                  </w:rPr>
                  <m:t>ur</m:t>
                </m:r>
              </m:sub>
              <m:sup>
                <m:r>
                  <w:rPr>
                    <w:rFonts w:ascii="Cambria Math" w:hAnsi="Cambria Math"/>
                  </w:rPr>
                  <m:t>Y</m:t>
                </m:r>
              </m:sup>
            </m:sSubSup>
            <m:sSub>
              <m:sSubPr>
                <m:ctrlPr>
                  <w:rPr>
                    <w:rFonts w:ascii="Cambria Math" w:hAnsi="Cambria Math"/>
                    <w:i/>
                  </w:rPr>
                </m:ctrlPr>
              </m:sSubPr>
              <m:e>
                <m:r>
                  <w:rPr>
                    <w:rFonts w:ascii="Cambria Math" w:hAnsi="Cambria Math"/>
                  </w:rPr>
                  <m:t>T</m:t>
                </m:r>
              </m:e>
              <m:sub>
                <m:r>
                  <w:rPr>
                    <w:rFonts w:ascii="Cambria Math" w:hAnsi="Cambria Math"/>
                  </w:rPr>
                  <m:t>ur</m:t>
                </m:r>
              </m:sub>
            </m:sSub>
            <m:ctrlPr>
              <w:rPr>
                <w:rFonts w:ascii="Cambria Math" w:hAnsi="Cambria Math"/>
                <w:i/>
              </w:rPr>
            </m:ctrlPr>
          </m:e>
        </m:nary>
      </m:oMath>
      <w:r w:rsidR="005571E9">
        <w:tab/>
      </w:r>
      <w:r w:rsidR="005571E9">
        <w:tab/>
      </w:r>
      <w:r w:rsidR="005571E9">
        <w:tab/>
      </w:r>
      <w:r w:rsidR="005571E9">
        <w:tab/>
      </w:r>
      <w:r w:rsidR="005571E9">
        <w:tab/>
      </w:r>
      <w:r w:rsidR="005571E9">
        <w:rPr>
          <w:rFonts w:hint="eastAsia"/>
        </w:rPr>
        <w:t>(3)</w:t>
      </w:r>
    </w:p>
    <w:p w14:paraId="2771D40C" w14:textId="4BDE4E8F" w:rsidR="005050D5" w:rsidRPr="005050D5" w:rsidRDefault="005050D5" w:rsidP="0059530F">
      <w:pPr>
        <w:spacing w:after="0"/>
      </w:pPr>
      <m:oMathPara>
        <m:oMathParaPr>
          <m:jc m:val="left"/>
        </m:oMathParaPr>
        <m:oMath>
          <m:r>
            <w:rPr>
              <w:rFonts w:ascii="Cambria Math" w:hAnsi="Cambria Math"/>
            </w:rPr>
            <m:t>i∈I={1,2,...n},  g∈G=I∪{C,G,I}</m:t>
          </m:r>
        </m:oMath>
      </m:oMathPara>
    </w:p>
    <w:p w14:paraId="785D47E0" w14:textId="7F8B4EFB" w:rsidR="00B765A2" w:rsidRPr="0095361A" w:rsidRDefault="005050D5" w:rsidP="0059530F">
      <w:pPr>
        <w:spacing w:after="0"/>
        <w:rPr>
          <w:rFonts w:asciiTheme="minorEastAsia" w:hAnsiTheme="minorEastAsia"/>
          <w:sz w:val="20"/>
          <w:szCs w:val="22"/>
        </w:rPr>
      </w:pPr>
      <m:oMath>
        <m:r>
          <w:rPr>
            <w:rFonts w:ascii="Cambria Math" w:hAnsi="Cambria Math"/>
            <w:sz w:val="20"/>
            <w:szCs w:val="22"/>
          </w:rPr>
          <m:t>c</m:t>
        </m:r>
        <m:sSubSup>
          <m:sSubSupPr>
            <m:ctrlPr>
              <w:rPr>
                <w:rFonts w:ascii="Cambria Math" w:hAnsi="Cambria Math"/>
                <w:i/>
                <w:sz w:val="20"/>
                <w:szCs w:val="22"/>
              </w:rPr>
            </m:ctrlPr>
          </m:sSubSupPr>
          <m:e>
            <m:r>
              <w:rPr>
                <w:rFonts w:ascii="Cambria Math" w:hAnsi="Cambria Math"/>
                <w:sz w:val="20"/>
                <w:szCs w:val="22"/>
              </w:rPr>
              <m:t>o2</m:t>
            </m:r>
          </m:e>
          <m:sub>
            <m:r>
              <w:rPr>
                <w:rFonts w:ascii="Cambria Math" w:hAnsi="Cambria Math"/>
                <w:sz w:val="20"/>
                <w:szCs w:val="22"/>
              </w:rPr>
              <m:t>g'gr</m:t>
            </m:r>
          </m:sub>
          <m:sup>
            <m:r>
              <w:rPr>
                <w:rFonts w:ascii="Cambria Math" w:hAnsi="Cambria Math"/>
                <w:sz w:val="20"/>
                <w:szCs w:val="22"/>
              </w:rPr>
              <m:t>*</m:t>
            </m:r>
          </m:sup>
        </m:sSubSup>
      </m:oMath>
      <w:r w:rsidRPr="0095361A">
        <w:rPr>
          <w:rFonts w:asciiTheme="minorEastAsia" w:hAnsiTheme="minorEastAsia" w:hint="eastAsia"/>
          <w:sz w:val="20"/>
          <w:szCs w:val="22"/>
        </w:rPr>
        <w:t>: Direct CO2 emission coefficient</w:t>
      </w:r>
      <w:r w:rsidR="00DB013D" w:rsidRPr="0095361A">
        <w:rPr>
          <w:rFonts w:asciiTheme="minorEastAsia" w:hAnsiTheme="minorEastAsia" w:hint="eastAsia"/>
          <w:sz w:val="20"/>
          <w:szCs w:val="22"/>
        </w:rPr>
        <w:t xml:space="preserve"> for input </w:t>
      </w:r>
      <w:r w:rsidR="00DB013D" w:rsidRPr="0095361A">
        <w:rPr>
          <w:rFonts w:asciiTheme="minorEastAsia" w:hAnsiTheme="minorEastAsia" w:hint="eastAsia"/>
          <w:i/>
          <w:iCs/>
          <w:sz w:val="20"/>
          <w:szCs w:val="22"/>
        </w:rPr>
        <w:t>g</w:t>
      </w:r>
      <w:r w:rsidR="00DB013D" w:rsidRPr="0095361A">
        <w:rPr>
          <w:rFonts w:asciiTheme="minorEastAsia" w:hAnsiTheme="minorEastAsia"/>
          <w:i/>
          <w:iCs/>
          <w:sz w:val="20"/>
          <w:szCs w:val="22"/>
        </w:rPr>
        <w:t>’</w:t>
      </w:r>
      <w:r w:rsidR="00DB013D" w:rsidRPr="0095361A">
        <w:rPr>
          <w:rFonts w:asciiTheme="minorEastAsia" w:hAnsiTheme="minorEastAsia" w:hint="eastAsia"/>
          <w:sz w:val="20"/>
          <w:szCs w:val="22"/>
        </w:rPr>
        <w:t xml:space="preserve"> used in sector </w:t>
      </w:r>
      <w:r w:rsidR="00DB013D" w:rsidRPr="0095361A">
        <w:rPr>
          <w:rFonts w:asciiTheme="minorEastAsia" w:hAnsiTheme="minorEastAsia" w:hint="eastAsia"/>
          <w:i/>
          <w:iCs/>
          <w:sz w:val="20"/>
          <w:szCs w:val="22"/>
        </w:rPr>
        <w:t>g</w:t>
      </w:r>
      <w:r w:rsidR="00DB013D" w:rsidRPr="0095361A">
        <w:rPr>
          <w:rFonts w:asciiTheme="minorEastAsia" w:hAnsiTheme="minorEastAsia" w:hint="eastAsia"/>
          <w:sz w:val="20"/>
          <w:szCs w:val="22"/>
        </w:rPr>
        <w:t xml:space="preserve"> in region </w:t>
      </w:r>
      <w:r w:rsidR="00DB013D" w:rsidRPr="0095361A">
        <w:rPr>
          <w:rFonts w:asciiTheme="minorEastAsia" w:hAnsiTheme="minorEastAsia" w:hint="eastAsia"/>
          <w:i/>
          <w:iCs/>
          <w:sz w:val="20"/>
          <w:szCs w:val="22"/>
        </w:rPr>
        <w:t>r</w:t>
      </w:r>
    </w:p>
    <w:p w14:paraId="2FD19A01" w14:textId="6B3AE726" w:rsidR="001937E4" w:rsidRPr="0095361A" w:rsidRDefault="00000000" w:rsidP="0059530F">
      <w:pPr>
        <w:spacing w:after="0"/>
        <w:rPr>
          <w:rFonts w:asciiTheme="minorEastAsia" w:hAnsiTheme="minorEastAsia"/>
          <w:sz w:val="20"/>
          <w:szCs w:val="22"/>
        </w:rPr>
      </w:pPr>
      <m:oMath>
        <m:sSubSup>
          <m:sSubSupPr>
            <m:ctrlPr>
              <w:rPr>
                <w:rFonts w:ascii="Cambria Math" w:hAnsi="Cambria Math"/>
                <w:i/>
                <w:sz w:val="20"/>
                <w:szCs w:val="22"/>
              </w:rPr>
            </m:ctrlPr>
          </m:sSubSupPr>
          <m:e>
            <m:r>
              <w:rPr>
                <w:rFonts w:ascii="Cambria Math" w:hAnsi="Cambria Math"/>
                <w:sz w:val="20"/>
                <w:szCs w:val="22"/>
              </w:rPr>
              <m:t>cc</m:t>
            </m:r>
          </m:e>
          <m:sub>
            <m:r>
              <w:rPr>
                <w:rFonts w:ascii="Cambria Math" w:hAnsi="Cambria Math"/>
                <w:sz w:val="20"/>
                <w:szCs w:val="22"/>
              </w:rPr>
              <m:t>gr</m:t>
            </m:r>
          </m:sub>
          <m:sup>
            <m:r>
              <w:rPr>
                <w:rFonts w:ascii="Cambria Math" w:hAnsi="Cambria Math"/>
                <w:sz w:val="20"/>
                <w:szCs w:val="22"/>
              </w:rPr>
              <m:t>Y</m:t>
            </m:r>
          </m:sup>
        </m:sSubSup>
      </m:oMath>
      <w:r w:rsidR="001937E4" w:rsidRPr="0095361A">
        <w:rPr>
          <w:rFonts w:asciiTheme="minorEastAsia" w:hAnsiTheme="minorEastAsia" w:hint="eastAsia"/>
          <w:sz w:val="20"/>
          <w:szCs w:val="22"/>
        </w:rPr>
        <w:t xml:space="preserve">: </w:t>
      </w:r>
      <w:r w:rsidR="001937E4" w:rsidRPr="0095361A">
        <w:rPr>
          <w:rFonts w:asciiTheme="minorEastAsia" w:hAnsiTheme="minorEastAsia"/>
          <w:sz w:val="20"/>
          <w:szCs w:val="22"/>
        </w:rPr>
        <w:t>C</w:t>
      </w:r>
      <w:r w:rsidR="001937E4" w:rsidRPr="0095361A">
        <w:rPr>
          <w:rFonts w:asciiTheme="minorEastAsia" w:hAnsiTheme="minorEastAsia" w:hint="eastAsia"/>
          <w:sz w:val="20"/>
          <w:szCs w:val="22"/>
        </w:rPr>
        <w:t>arbon content of production activities</w:t>
      </w:r>
    </w:p>
    <w:p w14:paraId="6FD9376A" w14:textId="0E7276D0" w:rsidR="00345111" w:rsidRPr="0095361A" w:rsidRDefault="00000000" w:rsidP="0059530F">
      <w:pPr>
        <w:spacing w:after="0"/>
        <w:rPr>
          <w:rFonts w:asciiTheme="minorEastAsia" w:hAnsiTheme="minorEastAsia"/>
          <w:sz w:val="20"/>
          <w:szCs w:val="22"/>
        </w:rPr>
      </w:pPr>
      <m:oMath>
        <m:sSubSup>
          <m:sSubSupPr>
            <m:ctrlPr>
              <w:rPr>
                <w:rFonts w:ascii="Cambria Math" w:hAnsi="Cambria Math"/>
                <w:i/>
                <w:sz w:val="20"/>
                <w:szCs w:val="22"/>
              </w:rPr>
            </m:ctrlPr>
          </m:sSubSupPr>
          <m:e>
            <m:r>
              <w:rPr>
                <w:rFonts w:ascii="Cambria Math" w:hAnsi="Cambria Math"/>
                <w:sz w:val="20"/>
                <w:szCs w:val="22"/>
              </w:rPr>
              <m:t>Z</m:t>
            </m:r>
          </m:e>
          <m:sub>
            <m:r>
              <w:rPr>
                <w:rFonts w:ascii="Cambria Math" w:hAnsi="Cambria Math"/>
                <w:sz w:val="20"/>
                <w:szCs w:val="22"/>
              </w:rPr>
              <m:t>Igr</m:t>
            </m:r>
          </m:sub>
          <m:sup>
            <m:r>
              <w:rPr>
                <w:rFonts w:ascii="Cambria Math" w:hAnsi="Cambria Math"/>
                <w:sz w:val="20"/>
                <w:szCs w:val="22"/>
              </w:rPr>
              <m:t>D</m:t>
            </m:r>
          </m:sup>
        </m:sSubSup>
        <m:r>
          <w:rPr>
            <w:rFonts w:ascii="Cambria Math" w:hAnsi="Cambria Math"/>
            <w:sz w:val="20"/>
            <w:szCs w:val="22"/>
          </w:rPr>
          <m:t>=</m:t>
        </m:r>
        <m:sSub>
          <m:sSubPr>
            <m:ctrlPr>
              <w:rPr>
                <w:rFonts w:ascii="Cambria Math" w:hAnsi="Cambria Math"/>
                <w:i/>
                <w:sz w:val="20"/>
                <w:szCs w:val="22"/>
              </w:rPr>
            </m:ctrlPr>
          </m:sSubPr>
          <m:e>
            <m:r>
              <w:rPr>
                <w:rFonts w:ascii="Cambria Math" w:hAnsi="Cambria Math"/>
                <w:sz w:val="20"/>
                <w:szCs w:val="22"/>
              </w:rPr>
              <m:t>K</m:t>
            </m:r>
          </m:e>
          <m:sub>
            <m:r>
              <w:rPr>
                <w:rFonts w:ascii="Cambria Math" w:hAnsi="Cambria Math"/>
                <w:sz w:val="20"/>
                <w:szCs w:val="22"/>
              </w:rPr>
              <m:t>gr</m:t>
            </m:r>
          </m:sub>
        </m:sSub>
      </m:oMath>
      <w:r w:rsidR="00345111" w:rsidRPr="0095361A">
        <w:rPr>
          <w:rFonts w:asciiTheme="minorEastAsia" w:hAnsiTheme="minorEastAsia" w:hint="eastAsia"/>
          <w:sz w:val="20"/>
          <w:szCs w:val="22"/>
        </w:rPr>
        <w:t xml:space="preserve">: capital payment in sector g, </w:t>
      </w:r>
      <m:oMath>
        <m:sSubSup>
          <m:sSubSupPr>
            <m:ctrlPr>
              <w:rPr>
                <w:rFonts w:ascii="Cambria Math" w:hAnsi="Cambria Math"/>
                <w:i/>
                <w:sz w:val="20"/>
                <w:szCs w:val="22"/>
              </w:rPr>
            </m:ctrlPr>
          </m:sSubSupPr>
          <m:e>
            <m:r>
              <w:rPr>
                <w:rFonts w:ascii="Cambria Math" w:hAnsi="Cambria Math"/>
                <w:sz w:val="20"/>
                <w:szCs w:val="22"/>
              </w:rPr>
              <m:t>Z</m:t>
            </m:r>
          </m:e>
          <m:sub>
            <m:r>
              <w:rPr>
                <w:rFonts w:ascii="Cambria Math" w:hAnsi="Cambria Math"/>
                <w:sz w:val="20"/>
                <w:szCs w:val="22"/>
              </w:rPr>
              <m:t>Ggr</m:t>
            </m:r>
          </m:sub>
          <m:sup>
            <m:r>
              <w:rPr>
                <w:rFonts w:ascii="Cambria Math" w:hAnsi="Cambria Math"/>
                <w:sz w:val="20"/>
                <w:szCs w:val="22"/>
              </w:rPr>
              <m:t>D</m:t>
            </m:r>
          </m:sup>
        </m:sSubSup>
        <m:r>
          <w:rPr>
            <w:rFonts w:ascii="Cambria Math" w:hAnsi="Cambria Math"/>
            <w:sz w:val="20"/>
            <w:szCs w:val="22"/>
          </w:rPr>
          <m:t>=</m:t>
        </m:r>
        <m:sSub>
          <m:sSubPr>
            <m:ctrlPr>
              <w:rPr>
                <w:rFonts w:ascii="Cambria Math" w:hAnsi="Cambria Math"/>
                <w:i/>
                <w:sz w:val="20"/>
                <w:szCs w:val="22"/>
              </w:rPr>
            </m:ctrlPr>
          </m:sSubPr>
          <m:e>
            <m:r>
              <w:rPr>
                <w:rFonts w:ascii="Cambria Math" w:hAnsi="Cambria Math"/>
                <w:sz w:val="20"/>
                <w:szCs w:val="22"/>
              </w:rPr>
              <m:t>T</m:t>
            </m:r>
          </m:e>
          <m:sub>
            <m:r>
              <w:rPr>
                <w:rFonts w:ascii="Cambria Math" w:hAnsi="Cambria Math"/>
                <w:sz w:val="20"/>
                <w:szCs w:val="22"/>
              </w:rPr>
              <m:t>gr</m:t>
            </m:r>
          </m:sub>
        </m:sSub>
      </m:oMath>
      <w:r w:rsidR="00345111" w:rsidRPr="0095361A">
        <w:rPr>
          <w:rFonts w:asciiTheme="minorEastAsia" w:hAnsiTheme="minorEastAsia" w:hint="eastAsia"/>
          <w:sz w:val="20"/>
          <w:szCs w:val="22"/>
        </w:rPr>
        <w:t>: Tax payment in sector g</w:t>
      </w:r>
    </w:p>
    <w:p w14:paraId="6E2F8881" w14:textId="77777777" w:rsidR="0059530F" w:rsidRDefault="0059530F" w:rsidP="005323F9">
      <w:pPr>
        <w:tabs>
          <w:tab w:val="left" w:pos="1874"/>
        </w:tabs>
      </w:pPr>
    </w:p>
    <w:p w14:paraId="612FF371" w14:textId="77777777" w:rsidR="0059530F" w:rsidRDefault="0059530F" w:rsidP="0059530F">
      <w:r w:rsidRPr="0059530F">
        <w:t>These define three nested accounting scopes beyond production-based emissions:</w:t>
      </w:r>
      <w:r w:rsidRPr="0059530F">
        <w:t xml:space="preserve"> </w:t>
      </w:r>
    </w:p>
    <w:p w14:paraId="30949CD9" w14:textId="1CF62D00" w:rsidR="0059530F" w:rsidRDefault="0059530F" w:rsidP="0059530F">
      <w:pPr>
        <w:spacing w:after="0"/>
      </w:pPr>
      <w:r>
        <w:rPr>
          <w:rFonts w:hint="eastAsia"/>
        </w:rPr>
        <w:t>(1)</w:t>
      </w:r>
      <w:r>
        <w:t xml:space="preserve"> </w:t>
      </w:r>
      <w:r>
        <w:rPr>
          <w:rFonts w:hint="eastAsia"/>
        </w:rPr>
        <w:t xml:space="preserve">CBM: </w:t>
      </w:r>
      <w:r>
        <w:t>Standard Approach</w:t>
      </w:r>
      <w:r>
        <w:rPr>
          <w:rFonts w:hint="eastAsia"/>
        </w:rPr>
        <w:t>;</w:t>
      </w:r>
      <w:r>
        <w:t xml:space="preserve"> Includes all intermediate consumption.</w:t>
      </w:r>
    </w:p>
    <w:p w14:paraId="5051FE88" w14:textId="385FDC74" w:rsidR="0059530F" w:rsidRDefault="0059530F" w:rsidP="0059530F">
      <w:pPr>
        <w:spacing w:after="0"/>
      </w:pPr>
      <w:r>
        <w:rPr>
          <w:rFonts w:hint="eastAsia"/>
        </w:rPr>
        <w:t>(2)</w:t>
      </w:r>
      <w:r>
        <w:t xml:space="preserve"> </w:t>
      </w:r>
      <w:r>
        <w:rPr>
          <w:rFonts w:hint="eastAsia"/>
        </w:rPr>
        <w:t xml:space="preserve">CBMeK: </w:t>
      </w:r>
      <w:r>
        <w:t>Endogenized Capital</w:t>
      </w:r>
      <w:r>
        <w:rPr>
          <w:rFonts w:hint="eastAsia"/>
        </w:rPr>
        <w:t>;</w:t>
      </w:r>
      <w:r>
        <w:t xml:space="preserve"> Captures indirect emissions embodied in investment and capital accumulation.</w:t>
      </w:r>
    </w:p>
    <w:p w14:paraId="749E8F1B" w14:textId="279A63F5" w:rsidR="0059530F" w:rsidRDefault="0059530F" w:rsidP="0059530F">
      <w:pPr>
        <w:spacing w:after="0"/>
      </w:pPr>
      <w:r>
        <w:rPr>
          <w:rFonts w:hint="eastAsia"/>
        </w:rPr>
        <w:t>(</w:t>
      </w:r>
      <w:r>
        <w:t>3</w:t>
      </w:r>
      <w:r>
        <w:rPr>
          <w:rFonts w:hint="eastAsia"/>
        </w:rPr>
        <w:t>)</w:t>
      </w:r>
      <w:r>
        <w:t xml:space="preserve"> </w:t>
      </w:r>
      <w:r>
        <w:rPr>
          <w:rFonts w:hint="eastAsia"/>
        </w:rPr>
        <w:t xml:space="preserve">CBMeKG: </w:t>
      </w:r>
      <w:r>
        <w:t>Endogenized Capital &amp; Tax</w:t>
      </w:r>
      <w:r>
        <w:rPr>
          <w:rFonts w:hint="eastAsia"/>
        </w:rPr>
        <w:t xml:space="preserve">; </w:t>
      </w:r>
      <w:r>
        <w:t>Corresponds to government expenditure.</w:t>
      </w:r>
    </w:p>
    <w:p w14:paraId="583D8F41" w14:textId="5EAEACFF" w:rsidR="000B54E5" w:rsidRPr="009E5AB4" w:rsidRDefault="005323F9" w:rsidP="005323F9">
      <w:pPr>
        <w:tabs>
          <w:tab w:val="left" w:pos="1874"/>
        </w:tabs>
      </w:pPr>
      <w:r>
        <w:tab/>
      </w:r>
    </w:p>
    <w:p w14:paraId="7980B847" w14:textId="77777777" w:rsidR="00D37141" w:rsidRPr="00D37141" w:rsidRDefault="003A0727" w:rsidP="003A0727">
      <w:pPr>
        <w:rPr>
          <w:b/>
          <w:bCs/>
          <w:sz w:val="24"/>
          <w:szCs w:val="28"/>
        </w:rPr>
      </w:pPr>
      <w:r w:rsidRPr="00D37141">
        <w:rPr>
          <w:b/>
          <w:bCs/>
          <w:sz w:val="24"/>
          <w:szCs w:val="28"/>
        </w:rPr>
        <w:t>Key Findings</w:t>
      </w:r>
    </w:p>
    <w:p w14:paraId="4B6D62EF" w14:textId="59750654" w:rsidR="003A0727" w:rsidRPr="003A0727" w:rsidRDefault="003A0727" w:rsidP="003A0727">
      <w:pPr>
        <w:rPr>
          <w:b/>
          <w:bCs/>
        </w:rPr>
      </w:pPr>
      <w:r w:rsidRPr="003A0727">
        <w:rPr>
          <w:b/>
          <w:bCs/>
        </w:rPr>
        <w:t>Carbon Transfers</w:t>
      </w:r>
    </w:p>
    <w:p w14:paraId="2ACD43FA" w14:textId="3D27E809" w:rsidR="003F2201" w:rsidRPr="00D37141" w:rsidRDefault="003F2201" w:rsidP="00D37141">
      <w:pPr>
        <w:rPr>
          <w:rFonts w:asciiTheme="minorEastAsia" w:hAnsiTheme="minorEastAsia"/>
          <w:szCs w:val="22"/>
        </w:rPr>
      </w:pPr>
      <w:r w:rsidRPr="0059530F">
        <w:rPr>
          <w:rFonts w:asciiTheme="minorEastAsia" w:hAnsiTheme="minorEastAsia"/>
          <w:szCs w:val="22"/>
        </w:rPr>
        <w:t>The 65 Industry sectors in the</w:t>
      </w:r>
      <w:r w:rsidRPr="0059530F">
        <w:rPr>
          <w:rFonts w:asciiTheme="minorEastAsia" w:hAnsiTheme="minorEastAsia" w:hint="eastAsia"/>
          <w:szCs w:val="22"/>
        </w:rPr>
        <w:t xml:space="preserve"> GTAP </w:t>
      </w:r>
      <w:r w:rsidR="00EC0471" w:rsidRPr="0059530F">
        <w:rPr>
          <w:rFonts w:asciiTheme="minorEastAsia" w:hAnsiTheme="minorEastAsia" w:hint="eastAsia"/>
          <w:szCs w:val="22"/>
        </w:rPr>
        <w:t>12</w:t>
      </w:r>
      <w:r w:rsidRPr="0059530F">
        <w:rPr>
          <w:rFonts w:asciiTheme="minorEastAsia" w:hAnsiTheme="minorEastAsia"/>
          <w:szCs w:val="22"/>
        </w:rPr>
        <w:t xml:space="preserve"> database are aggregated into </w:t>
      </w:r>
      <w:r w:rsidR="00B7554D" w:rsidRPr="0059530F">
        <w:rPr>
          <w:rFonts w:asciiTheme="minorEastAsia" w:hAnsiTheme="minorEastAsia" w:hint="eastAsia"/>
          <w:szCs w:val="22"/>
        </w:rPr>
        <w:t>2</w:t>
      </w:r>
      <w:r w:rsidR="00EC0471" w:rsidRPr="0059530F">
        <w:rPr>
          <w:rFonts w:asciiTheme="minorEastAsia" w:hAnsiTheme="minorEastAsia" w:hint="eastAsia"/>
          <w:szCs w:val="22"/>
        </w:rPr>
        <w:t>1</w:t>
      </w:r>
      <w:r w:rsidRPr="0059530F">
        <w:rPr>
          <w:rFonts w:asciiTheme="minorEastAsia" w:hAnsiTheme="minorEastAsia"/>
          <w:szCs w:val="22"/>
        </w:rPr>
        <w:t xml:space="preserve"> aggregate sectors and the </w:t>
      </w:r>
      <w:r w:rsidR="00D37141">
        <w:rPr>
          <w:rFonts w:asciiTheme="minorEastAsia" w:hAnsiTheme="minorEastAsia" w:hint="eastAsia"/>
          <w:szCs w:val="22"/>
        </w:rPr>
        <w:t>163</w:t>
      </w:r>
      <w:r w:rsidRPr="0059530F">
        <w:rPr>
          <w:rFonts w:asciiTheme="minorEastAsia" w:hAnsiTheme="minorEastAsia"/>
          <w:szCs w:val="22"/>
        </w:rPr>
        <w:t xml:space="preserve"> original regions are aggregated into 6 regions</w:t>
      </w:r>
      <w:r w:rsidR="00D37141">
        <w:rPr>
          <w:rFonts w:asciiTheme="minorEastAsia" w:hAnsiTheme="minorEastAsia" w:hint="eastAsia"/>
          <w:szCs w:val="22"/>
        </w:rPr>
        <w:t xml:space="preserve"> f</w:t>
      </w:r>
      <w:r w:rsidR="00677604" w:rsidRPr="0059530F">
        <w:rPr>
          <w:rFonts w:asciiTheme="minorEastAsia" w:hAnsiTheme="minorEastAsia" w:hint="eastAsia"/>
          <w:color w:val="000000"/>
          <w:szCs w:val="22"/>
        </w:rPr>
        <w:t>ollowing</w:t>
      </w:r>
      <w:r w:rsidR="00D37141">
        <w:rPr>
          <w:rFonts w:asciiTheme="minorEastAsia" w:hAnsiTheme="minorEastAsia" w:hint="eastAsia"/>
          <w:color w:val="000000"/>
          <w:szCs w:val="22"/>
        </w:rPr>
        <w:t xml:space="preserve"> the</w:t>
      </w:r>
      <w:r w:rsidR="00677604" w:rsidRPr="0059530F">
        <w:rPr>
          <w:rFonts w:asciiTheme="minorEastAsia" w:hAnsiTheme="minorEastAsia" w:hint="eastAsia"/>
          <w:color w:val="000000"/>
          <w:szCs w:val="22"/>
        </w:rPr>
        <w:t xml:space="preserve"> IPCC AR</w:t>
      </w:r>
      <w:r w:rsidR="00D37141">
        <w:rPr>
          <w:rFonts w:asciiTheme="minorEastAsia" w:hAnsiTheme="minorEastAsia" w:hint="eastAsia"/>
          <w:color w:val="000000"/>
          <w:szCs w:val="22"/>
        </w:rPr>
        <w:t>6</w:t>
      </w:r>
      <w:r w:rsidR="00677604" w:rsidRPr="0059530F">
        <w:rPr>
          <w:rFonts w:asciiTheme="minorEastAsia" w:hAnsiTheme="minorEastAsia" w:hint="eastAsia"/>
          <w:color w:val="000000"/>
          <w:szCs w:val="22"/>
        </w:rPr>
        <w:t xml:space="preserve"> </w:t>
      </w:r>
      <w:r w:rsidR="00D37141">
        <w:rPr>
          <w:rFonts w:asciiTheme="minorEastAsia" w:hAnsiTheme="minorEastAsia" w:hint="eastAsia"/>
          <w:color w:val="000000"/>
          <w:szCs w:val="22"/>
        </w:rPr>
        <w:t>WG3</w:t>
      </w:r>
      <w:r w:rsidR="00677604" w:rsidRPr="0059530F">
        <w:rPr>
          <w:rFonts w:asciiTheme="minorEastAsia" w:hAnsiTheme="minorEastAsia" w:hint="eastAsia"/>
          <w:color w:val="000000"/>
          <w:szCs w:val="22"/>
        </w:rPr>
        <w:t xml:space="preserve"> classification</w:t>
      </w:r>
      <w:r w:rsidR="00677604" w:rsidRPr="0059530F">
        <w:rPr>
          <w:rFonts w:asciiTheme="minorEastAsia" w:hAnsiTheme="minorEastAsia"/>
          <w:color w:val="000000"/>
          <w:szCs w:val="22"/>
        </w:rPr>
        <w:t xml:space="preserve">, </w:t>
      </w:r>
      <w:r w:rsidR="00677604" w:rsidRPr="0059530F">
        <w:rPr>
          <w:rFonts w:asciiTheme="minorEastAsia" w:hAnsiTheme="minorEastAsia" w:cs="Cambria"/>
          <w:szCs w:val="22"/>
        </w:rPr>
        <w:t>AFR = Africa; APC = Asia-Pacific; DEV = Developed economies; EEU = Eastern Europe; LAC = Latin America &amp; Caribbean; MEA = Middle East &amp; Africa.</w:t>
      </w:r>
      <w:r w:rsidR="00D37141">
        <w:rPr>
          <w:rFonts w:asciiTheme="minorEastAsia" w:hAnsiTheme="minorEastAsia" w:hint="eastAsia"/>
          <w:szCs w:val="22"/>
        </w:rPr>
        <w:t xml:space="preserve"> </w:t>
      </w:r>
      <w:r w:rsidR="00737431">
        <w:rPr>
          <w:rFonts w:hint="eastAsia"/>
        </w:rPr>
        <w:t>Among the</w:t>
      </w:r>
      <w:r>
        <w:rPr>
          <w:rFonts w:hint="eastAsia"/>
        </w:rPr>
        <w:t xml:space="preserve"> </w:t>
      </w:r>
      <w:r w:rsidR="00737431">
        <w:rPr>
          <w:rFonts w:hint="eastAsia"/>
        </w:rPr>
        <w:t xml:space="preserve">6 </w:t>
      </w:r>
      <w:r>
        <w:rPr>
          <w:rFonts w:hint="eastAsia"/>
        </w:rPr>
        <w:t>aggregated regions</w:t>
      </w:r>
      <w:r w:rsidR="00737431">
        <w:rPr>
          <w:rFonts w:hint="eastAsia"/>
        </w:rPr>
        <w:t xml:space="preserve">, </w:t>
      </w:r>
      <w:r w:rsidR="00B7554D">
        <w:t>‘</w:t>
      </w:r>
      <w:r w:rsidR="00B7554D">
        <w:rPr>
          <w:rFonts w:hint="eastAsia"/>
        </w:rPr>
        <w:t>DEV</w:t>
      </w:r>
      <w:r w:rsidR="00B7554D">
        <w:t>’</w:t>
      </w:r>
      <w:r w:rsidR="00737431">
        <w:rPr>
          <w:rFonts w:hint="eastAsia"/>
        </w:rPr>
        <w:t xml:space="preserve"> are considered the industrialized region (</w:t>
      </w:r>
      <w:r w:rsidR="00737431">
        <w:t>‘</w:t>
      </w:r>
      <w:r w:rsidR="00737431">
        <w:rPr>
          <w:rFonts w:hint="eastAsia"/>
        </w:rPr>
        <w:t>IC</w:t>
      </w:r>
      <w:r w:rsidR="00737431">
        <w:t>’</w:t>
      </w:r>
      <w:r w:rsidR="00737431">
        <w:rPr>
          <w:rFonts w:hint="eastAsia"/>
        </w:rPr>
        <w:t xml:space="preserve">) and </w:t>
      </w:r>
      <w:r w:rsidR="00B7554D">
        <w:rPr>
          <w:rFonts w:hint="eastAsia"/>
        </w:rPr>
        <w:t>all the other regions</w:t>
      </w:r>
      <w:r w:rsidR="00737431">
        <w:rPr>
          <w:rFonts w:hint="eastAsia"/>
        </w:rPr>
        <w:t xml:space="preserve"> are grouped as the developing region (</w:t>
      </w:r>
      <w:r w:rsidR="00737431">
        <w:t>‘</w:t>
      </w:r>
      <w:r w:rsidR="00737431">
        <w:rPr>
          <w:rFonts w:hint="eastAsia"/>
        </w:rPr>
        <w:t>DC</w:t>
      </w:r>
      <w:r w:rsidR="00737431">
        <w:t>’</w:t>
      </w:r>
      <w:r w:rsidR="00737431">
        <w:rPr>
          <w:rFonts w:hint="eastAsia"/>
        </w:rPr>
        <w:t>).</w:t>
      </w:r>
    </w:p>
    <w:p w14:paraId="0B0335F9" w14:textId="6A117E64" w:rsidR="003A0727" w:rsidRDefault="003A0727" w:rsidP="00D37141">
      <w:r>
        <w:t xml:space="preserve">The scope of accounting significantly alters the perceived flow of embodied carbon between regions. When moving from the standard consumption-based approach to the </w:t>
      </w:r>
      <w:r>
        <w:lastRenderedPageBreak/>
        <w:t xml:space="preserve">comprehensive framework (including </w:t>
      </w:r>
      <w:r w:rsidR="00E80476">
        <w:rPr>
          <w:rFonts w:hint="eastAsia"/>
        </w:rPr>
        <w:t>investment and government expenditure</w:t>
      </w:r>
      <w:r>
        <w:t>), the net transfer of CO2</w:t>
      </w:r>
      <w:r w:rsidR="00E80476">
        <w:rPr>
          <w:rFonts w:hint="eastAsia"/>
        </w:rPr>
        <w:t xml:space="preserve"> (Consumption-based emission minus production-based emission)</w:t>
      </w:r>
      <w:r>
        <w:t xml:space="preserve"> from </w:t>
      </w:r>
      <w:r w:rsidR="003636CF">
        <w:rPr>
          <w:rFonts w:hint="eastAsia"/>
        </w:rPr>
        <w:t>DC</w:t>
      </w:r>
      <w:r>
        <w:t xml:space="preserve"> to </w:t>
      </w:r>
      <w:r w:rsidR="003636CF">
        <w:rPr>
          <w:rFonts w:hint="eastAsia"/>
        </w:rPr>
        <w:t>IC</w:t>
      </w:r>
      <w:r>
        <w:t xml:space="preserve"> increases from </w:t>
      </w:r>
      <w:r w:rsidR="00E80476">
        <w:rPr>
          <w:rFonts w:hint="eastAsia"/>
        </w:rPr>
        <w:t>2,148</w:t>
      </w:r>
      <w:r w:rsidR="00E15CBF">
        <w:rPr>
          <w:rFonts w:hint="eastAsia"/>
        </w:rPr>
        <w:t xml:space="preserve"> M</w:t>
      </w:r>
      <w:r>
        <w:t xml:space="preserve">tCO2 to </w:t>
      </w:r>
      <w:r w:rsidR="00E80476">
        <w:rPr>
          <w:rFonts w:hint="eastAsia"/>
        </w:rPr>
        <w:t>3,450</w:t>
      </w:r>
      <w:r>
        <w:t xml:space="preserve"> </w:t>
      </w:r>
      <w:r w:rsidR="00E15CBF">
        <w:rPr>
          <w:rFonts w:hint="eastAsia"/>
        </w:rPr>
        <w:t>M</w:t>
      </w:r>
      <w:r>
        <w:t>tCO2</w:t>
      </w:r>
      <w:r w:rsidR="008874F9">
        <w:rPr>
          <w:rFonts w:hint="eastAsia"/>
        </w:rPr>
        <w:t xml:space="preserve">, which is </w:t>
      </w:r>
      <w:r w:rsidR="00FF7E96">
        <w:rPr>
          <w:rFonts w:hint="eastAsia"/>
        </w:rPr>
        <w:t>around 60%</w:t>
      </w:r>
      <w:r w:rsidR="008874F9">
        <w:rPr>
          <w:rFonts w:hint="eastAsia"/>
        </w:rPr>
        <w:t xml:space="preserve"> higher than the conventional approach.</w:t>
      </w:r>
    </w:p>
    <w:p w14:paraId="07C4A1A2" w14:textId="57D37C21" w:rsidR="009524C8" w:rsidRPr="00FF7E96" w:rsidRDefault="009524C8" w:rsidP="003636CF">
      <w:pPr>
        <w:spacing w:after="0"/>
      </w:pPr>
    </w:p>
    <w:p w14:paraId="55185C78" w14:textId="5C1B247C" w:rsidR="00EC0471" w:rsidRPr="000F769A" w:rsidRDefault="00EC0471" w:rsidP="00EB3B8B">
      <w:pPr>
        <w:rPr>
          <w:b/>
          <w:bCs/>
          <w:sz w:val="20"/>
          <w:szCs w:val="22"/>
        </w:rPr>
      </w:pPr>
      <w:r w:rsidRPr="000F769A">
        <w:rPr>
          <w:rFonts w:hint="eastAsia"/>
          <w:b/>
          <w:bCs/>
          <w:sz w:val="20"/>
          <w:szCs w:val="22"/>
        </w:rPr>
        <w:t xml:space="preserve">&lt;Figure 1&gt; </w:t>
      </w:r>
      <w:r w:rsidR="00595456" w:rsidRPr="000F769A">
        <w:rPr>
          <w:rFonts w:hint="eastAsia"/>
          <w:b/>
          <w:bCs/>
          <w:sz w:val="20"/>
          <w:szCs w:val="22"/>
        </w:rPr>
        <w:t>Regional CO2 Emissions by Various Accounting Approaches</w:t>
      </w:r>
      <w:r w:rsidRPr="000F769A">
        <w:rPr>
          <w:rFonts w:hint="eastAsia"/>
          <w:b/>
          <w:bCs/>
          <w:sz w:val="20"/>
          <w:szCs w:val="22"/>
        </w:rPr>
        <w:t xml:space="preserve"> (2023, MtCO2)</w:t>
      </w:r>
    </w:p>
    <w:p w14:paraId="5A3D194C" w14:textId="492B8E24" w:rsidR="00EC0471" w:rsidRDefault="00FF7E96" w:rsidP="00EB3B8B">
      <w:r>
        <w:rPr>
          <w:noProof/>
        </w:rPr>
        <w:drawing>
          <wp:inline distT="0" distB="0" distL="0" distR="0" wp14:anchorId="77620313" wp14:editId="00EEAF07">
            <wp:extent cx="5762666" cy="3595540"/>
            <wp:effectExtent l="0" t="0" r="0" b="5080"/>
            <wp:docPr id="666939535"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77764" cy="3604960"/>
                    </a:xfrm>
                    <a:prstGeom prst="rect">
                      <a:avLst/>
                    </a:prstGeom>
                    <a:noFill/>
                  </pic:spPr>
                </pic:pic>
              </a:graphicData>
            </a:graphic>
          </wp:inline>
        </w:drawing>
      </w:r>
    </w:p>
    <w:p w14:paraId="61C6E5F4" w14:textId="28CA2F7F" w:rsidR="00EC0471" w:rsidRPr="0007579F" w:rsidRDefault="00FF7E96" w:rsidP="00EB3B8B">
      <w:pPr>
        <w:rPr>
          <w:sz w:val="18"/>
          <w:szCs w:val="20"/>
        </w:rPr>
      </w:pPr>
      <w:r w:rsidRPr="0007579F">
        <w:rPr>
          <w:rFonts w:hint="eastAsia"/>
          <w:sz w:val="18"/>
          <w:szCs w:val="20"/>
        </w:rPr>
        <w:t xml:space="preserve">PBE: </w:t>
      </w:r>
      <w:r w:rsidR="00D37141" w:rsidRPr="0007579F">
        <w:rPr>
          <w:sz w:val="18"/>
          <w:szCs w:val="20"/>
        </w:rPr>
        <w:t>Production</w:t>
      </w:r>
      <w:r w:rsidRPr="0007579F">
        <w:rPr>
          <w:rFonts w:hint="eastAsia"/>
          <w:sz w:val="18"/>
          <w:szCs w:val="20"/>
        </w:rPr>
        <w:t>-based Emission; CBE: Consumption-Based Emission based on embodied emission in bilateral trades; CBM: Consumption-Based Emission based on MRIO; CBMeK: CBM with endogenous investment; CBMeKG: CBM with endogenous investment and government expenditure;</w:t>
      </w:r>
    </w:p>
    <w:p w14:paraId="7E49C2E9" w14:textId="77777777" w:rsidR="00670A77" w:rsidRDefault="00670A77" w:rsidP="00EB3B8B"/>
    <w:p w14:paraId="043A0DF8" w14:textId="6329E909" w:rsidR="0095361A" w:rsidRDefault="0095361A" w:rsidP="00EB3B8B">
      <w:pPr>
        <w:rPr>
          <w:rFonts w:hint="eastAsia"/>
        </w:rPr>
      </w:pPr>
      <w:r w:rsidRPr="0095361A">
        <w:t>Endogenizing investment and government (CBMeK, CBMeKG) shifts emissions further toward household final demand sectors; emissions shrink in production-heavy sectors, and increase in consumption-linked sectors.</w:t>
      </w:r>
      <w:r>
        <w:rPr>
          <w:rFonts w:hint="eastAsia"/>
        </w:rPr>
        <w:t xml:space="preserve"> For instance, emissions in the Power, Transport, and Metal sectors whose outputs are embodied further downstream, recede under consumption-based accounting scopes. Emissions for sectors such as Service, Food, and Health rise sharply as investment and government demand is folded into consumption.</w:t>
      </w:r>
    </w:p>
    <w:p w14:paraId="487B8073" w14:textId="77777777" w:rsidR="0095361A" w:rsidRDefault="0095361A" w:rsidP="00EB3B8B"/>
    <w:p w14:paraId="5E91D6F0" w14:textId="1D6D81F0" w:rsidR="00595456" w:rsidRPr="000F769A" w:rsidRDefault="00595456" w:rsidP="00EB3B8B">
      <w:pPr>
        <w:rPr>
          <w:b/>
          <w:bCs/>
          <w:sz w:val="20"/>
          <w:szCs w:val="22"/>
        </w:rPr>
      </w:pPr>
      <w:r w:rsidRPr="000F769A">
        <w:rPr>
          <w:rFonts w:hint="eastAsia"/>
          <w:b/>
          <w:bCs/>
          <w:sz w:val="20"/>
          <w:szCs w:val="22"/>
        </w:rPr>
        <w:lastRenderedPageBreak/>
        <w:t xml:space="preserve">&lt;Figure </w:t>
      </w:r>
      <w:r w:rsidR="0084580E" w:rsidRPr="000F769A">
        <w:rPr>
          <w:rFonts w:hint="eastAsia"/>
          <w:b/>
          <w:bCs/>
          <w:sz w:val="20"/>
          <w:szCs w:val="22"/>
        </w:rPr>
        <w:t>2</w:t>
      </w:r>
      <w:r w:rsidRPr="000F769A">
        <w:rPr>
          <w:rFonts w:hint="eastAsia"/>
          <w:b/>
          <w:bCs/>
          <w:sz w:val="20"/>
          <w:szCs w:val="22"/>
        </w:rPr>
        <w:t>&gt; Sectoral CO2 Emissions by Various Accounting Approaches (2023, MtCO2)</w:t>
      </w:r>
    </w:p>
    <w:p w14:paraId="5F1A8161" w14:textId="2B2A0832" w:rsidR="00595456" w:rsidRDefault="00595456" w:rsidP="00EB3B8B">
      <w:r>
        <w:rPr>
          <w:noProof/>
        </w:rPr>
        <w:drawing>
          <wp:inline distT="0" distB="0" distL="0" distR="0" wp14:anchorId="6FA90222" wp14:editId="4EC875EC">
            <wp:extent cx="5739205" cy="3172271"/>
            <wp:effectExtent l="0" t="0" r="0" b="9525"/>
            <wp:docPr id="811629878"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70401" cy="3189514"/>
                    </a:xfrm>
                    <a:prstGeom prst="rect">
                      <a:avLst/>
                    </a:prstGeom>
                    <a:noFill/>
                  </pic:spPr>
                </pic:pic>
              </a:graphicData>
            </a:graphic>
          </wp:inline>
        </w:drawing>
      </w:r>
    </w:p>
    <w:p w14:paraId="59E61C3C" w14:textId="77777777" w:rsidR="0074150F" w:rsidRDefault="0074150F" w:rsidP="00EB3B8B"/>
    <w:p w14:paraId="021A9E4A" w14:textId="3971DA4C" w:rsidR="0074150F" w:rsidRPr="003A0727" w:rsidRDefault="0074150F" w:rsidP="0074150F">
      <w:pPr>
        <w:rPr>
          <w:b/>
          <w:bCs/>
        </w:rPr>
      </w:pPr>
      <w:r>
        <w:rPr>
          <w:rFonts w:hint="eastAsia"/>
          <w:b/>
          <w:bCs/>
        </w:rPr>
        <w:t>Embodied Carbon Price Approach</w:t>
      </w:r>
    </w:p>
    <w:p w14:paraId="07F83768" w14:textId="1FFC9999" w:rsidR="003A0727" w:rsidRDefault="003A0727" w:rsidP="003A0727">
      <w:r>
        <w:t xml:space="preserve">The study evaluates these expanded scopes within the context of Carbon Border Adjustment Mechanisms (CBAM) applied by </w:t>
      </w:r>
      <w:r w:rsidR="003636CF">
        <w:rPr>
          <w:rFonts w:hint="eastAsia"/>
        </w:rPr>
        <w:t>industrialized regions (IC)</w:t>
      </w:r>
      <w:r>
        <w:t>.</w:t>
      </w:r>
    </w:p>
    <w:p w14:paraId="38238976" w14:textId="157F38C3" w:rsidR="00064293" w:rsidRDefault="003636CF" w:rsidP="00064293">
      <w:r>
        <w:rPr>
          <w:rFonts w:hint="eastAsia"/>
        </w:rPr>
        <w:t>E</w:t>
      </w:r>
      <w:r w:rsidR="00064293">
        <w:rPr>
          <w:rFonts w:hint="eastAsia"/>
        </w:rPr>
        <w:t xml:space="preserve">quations (1)~(3) define the carbon intensities as consumption-based emissions for final demands </w:t>
      </w:r>
      <w:r w:rsidR="00064293">
        <w:t>encompassing</w:t>
      </w:r>
      <w:r w:rsidR="00064293">
        <w:rPr>
          <w:rFonts w:hint="eastAsia"/>
        </w:rPr>
        <w:t xml:space="preserve"> </w:t>
      </w:r>
      <w:r>
        <w:rPr>
          <w:rFonts w:hint="eastAsia"/>
        </w:rPr>
        <w:t xml:space="preserve">the </w:t>
      </w:r>
      <w:r w:rsidR="00064293">
        <w:rPr>
          <w:rFonts w:hint="eastAsia"/>
        </w:rPr>
        <w:t xml:space="preserve">global supply chain. </w:t>
      </w:r>
      <w:r w:rsidR="00064293">
        <w:t>I</w:t>
      </w:r>
      <w:r w:rsidR="00064293">
        <w:rPr>
          <w:rFonts w:hint="eastAsia"/>
        </w:rPr>
        <w:t>t is not clear if these are the right metric for</w:t>
      </w:r>
      <w:r>
        <w:rPr>
          <w:rFonts w:hint="eastAsia"/>
        </w:rPr>
        <w:t xml:space="preserve"> a</w:t>
      </w:r>
      <w:r w:rsidR="00064293">
        <w:rPr>
          <w:rFonts w:hint="eastAsia"/>
        </w:rPr>
        <w:t xml:space="preserve"> carbon tariff</w:t>
      </w:r>
      <w:r>
        <w:rPr>
          <w:rFonts w:hint="eastAsia"/>
        </w:rPr>
        <w:t xml:space="preserve"> intended</w:t>
      </w:r>
      <w:r w:rsidR="00064293">
        <w:rPr>
          <w:rFonts w:hint="eastAsia"/>
        </w:rPr>
        <w:t xml:space="preserve"> to fill the carbon price gap between importing and exporting regions</w:t>
      </w:r>
      <w:r w:rsidR="00D811E1">
        <w:rPr>
          <w:rFonts w:hint="eastAsia"/>
        </w:rPr>
        <w:t>,</w:t>
      </w:r>
      <w:r w:rsidR="00064293">
        <w:rPr>
          <w:rFonts w:hint="eastAsia"/>
        </w:rPr>
        <w:t xml:space="preserve"> since intermediate consumption for the global supply chain includes infinite chains of supply for intermediate goods</w:t>
      </w:r>
      <w:r w:rsidR="00D811E1">
        <w:rPr>
          <w:rFonts w:hint="eastAsia"/>
        </w:rPr>
        <w:t xml:space="preserve"> </w:t>
      </w:r>
      <w:r w:rsidR="00D811E1">
        <w:t>–</w:t>
      </w:r>
      <w:r w:rsidR="00D811E1">
        <w:rPr>
          <w:rFonts w:hint="eastAsia"/>
        </w:rPr>
        <w:t xml:space="preserve"> </w:t>
      </w:r>
      <w:r w:rsidR="00064293">
        <w:rPr>
          <w:rFonts w:hint="eastAsia"/>
        </w:rPr>
        <w:t>including not only those produced in the exporting regions, but also those produced in other regions</w:t>
      </w:r>
      <w:r w:rsidR="00D811E1">
        <w:rPr>
          <w:rFonts w:hint="eastAsia"/>
        </w:rPr>
        <w:t>,</w:t>
      </w:r>
      <w:r w:rsidR="00064293">
        <w:rPr>
          <w:rFonts w:hint="eastAsia"/>
        </w:rPr>
        <w:t xml:space="preserve"> including the importing regions. The global CGE intensities, therefore, </w:t>
      </w:r>
      <w:r w:rsidR="00D811E1">
        <w:t>include</w:t>
      </w:r>
      <w:r w:rsidR="00064293">
        <w:rPr>
          <w:rFonts w:hint="eastAsia"/>
        </w:rPr>
        <w:t xml:space="preserve"> emission</w:t>
      </w:r>
      <w:r w:rsidR="00D811E1">
        <w:rPr>
          <w:rFonts w:hint="eastAsia"/>
        </w:rPr>
        <w:t>s</w:t>
      </w:r>
      <w:r w:rsidR="00064293">
        <w:rPr>
          <w:rFonts w:hint="eastAsia"/>
        </w:rPr>
        <w:t xml:space="preserve"> originating from all regions, including importing regions </w:t>
      </w:r>
      <w:r w:rsidR="00D811E1">
        <w:rPr>
          <w:rFonts w:hint="eastAsia"/>
        </w:rPr>
        <w:t>that already have</w:t>
      </w:r>
      <w:r w:rsidR="00064293">
        <w:rPr>
          <w:rFonts w:hint="eastAsia"/>
        </w:rPr>
        <w:t xml:space="preserve"> carbon prices in place at higher levels. This ensures a comprehensive accounting of embodied emissions in </w:t>
      </w:r>
      <w:r w:rsidR="00064293">
        <w:t>trade</w:t>
      </w:r>
      <w:r w:rsidR="00064293">
        <w:rPr>
          <w:rFonts w:hint="eastAsia"/>
        </w:rPr>
        <w:t xml:space="preserve"> but causes double counting of emissions and duplication of carbon pricing on the traded commodities. Koopman</w:t>
      </w:r>
      <w:r w:rsidR="00064293">
        <w:t>’</w:t>
      </w:r>
      <w:r w:rsidR="00064293">
        <w:rPr>
          <w:rFonts w:hint="eastAsia"/>
        </w:rPr>
        <w:t>s double counting applies here as it applies to value added in trade</w:t>
      </w:r>
      <w:r w:rsidR="00D811E1">
        <w:rPr>
          <w:rFonts w:hint="eastAsia"/>
        </w:rPr>
        <w:t>.</w:t>
      </w:r>
      <w:r w:rsidR="00064293">
        <w:rPr>
          <w:rFonts w:hint="eastAsia"/>
        </w:rPr>
        <w:t xml:space="preserve"> </w:t>
      </w:r>
    </w:p>
    <w:p w14:paraId="465D41DE" w14:textId="4C716F4C" w:rsidR="00064293" w:rsidRDefault="00064293" w:rsidP="00064293">
      <w:r>
        <w:rPr>
          <w:rFonts w:hint="eastAsia"/>
        </w:rPr>
        <w:t xml:space="preserve">Let </w:t>
      </w:r>
      <m:oMath>
        <m:sSub>
          <m:sSubPr>
            <m:ctrlPr>
              <w:rPr>
                <w:rFonts w:ascii="Cambria Math" w:hAnsi="Cambria Math"/>
                <w:i/>
              </w:rPr>
            </m:ctrlPr>
          </m:sSubPr>
          <m:e>
            <m:r>
              <w:rPr>
                <w:rFonts w:ascii="Cambria Math" w:hAnsi="Cambria Math"/>
              </w:rPr>
              <m:t>cp</m:t>
            </m:r>
          </m:e>
          <m:sub>
            <m:r>
              <w:rPr>
                <w:rFonts w:ascii="Cambria Math" w:hAnsi="Cambria Math"/>
              </w:rPr>
              <m:t>r</m:t>
            </m:r>
          </m:sub>
        </m:sSub>
      </m:oMath>
      <w:r>
        <w:rPr>
          <w:rFonts w:hint="eastAsia"/>
        </w:rPr>
        <w:t xml:space="preserve"> be the carbon price on direct emission in region r. </w:t>
      </w:r>
      <w:r w:rsidR="00EC7A1D">
        <w:rPr>
          <w:rFonts w:hint="eastAsia"/>
        </w:rPr>
        <w:t>Embodied</w:t>
      </w:r>
      <w:r>
        <w:rPr>
          <w:rFonts w:hint="eastAsia"/>
        </w:rPr>
        <w:t xml:space="preserve"> carbon price on Y_gr</w:t>
      </w:r>
      <w:r w:rsidR="00A92EBD">
        <w:rPr>
          <w:rFonts w:hint="eastAsia"/>
        </w:rPr>
        <w:t xml:space="preserve">, which is a </w:t>
      </w:r>
      <w:r w:rsidR="00A92EBD" w:rsidRPr="00A92EBD">
        <w:t>derived, supply-chain-propagated, embodied price</w:t>
      </w:r>
      <w:r w:rsidR="00A92EBD">
        <w:rPr>
          <w:rFonts w:hint="eastAsia"/>
        </w:rPr>
        <w:t>,</w:t>
      </w:r>
      <w:r>
        <w:rPr>
          <w:rFonts w:hint="eastAsia"/>
        </w:rPr>
        <w:t xml:space="preserve"> is</w:t>
      </w:r>
      <w:r w:rsidR="00A92EBD">
        <w:rPr>
          <w:rFonts w:hint="eastAsia"/>
        </w:rPr>
        <w:t xml:space="preserve"> denoted by</w:t>
      </w:r>
      <w:r>
        <w:rPr>
          <w:rFonts w:hint="eastAsia"/>
        </w:rPr>
        <w:t xml:space="preserve"> </w:t>
      </w:r>
      <m:oMath>
        <m:sSubSup>
          <m:sSubSupPr>
            <m:ctrlPr>
              <w:rPr>
                <w:rFonts w:ascii="Cambria Math" w:hAnsi="Cambria Math"/>
                <w:i/>
              </w:rPr>
            </m:ctrlPr>
          </m:sSubSupPr>
          <m:e>
            <m:r>
              <w:rPr>
                <w:rFonts w:ascii="Cambria Math" w:hAnsi="Cambria Math"/>
              </w:rPr>
              <m:t>ecp</m:t>
            </m:r>
          </m:e>
          <m:sub>
            <m:r>
              <w:rPr>
                <w:rFonts w:ascii="Cambria Math" w:hAnsi="Cambria Math"/>
              </w:rPr>
              <m:t>gr</m:t>
            </m:r>
          </m:sub>
          <m:sup>
            <m:r>
              <w:rPr>
                <w:rFonts w:ascii="Cambria Math" w:hAnsi="Cambria Math"/>
              </w:rPr>
              <m:t>Y</m:t>
            </m:r>
          </m:sup>
        </m:sSubSup>
      </m:oMath>
      <w:r w:rsidR="00A92EBD">
        <w:rPr>
          <w:rFonts w:hint="eastAsia"/>
        </w:rPr>
        <w:t xml:space="preserve"> and is determined by the following system of equations</w:t>
      </w:r>
      <w:r>
        <w:rPr>
          <w:rFonts w:hint="eastAsia"/>
        </w:rPr>
        <w:t>.</w:t>
      </w:r>
    </w:p>
    <w:p w14:paraId="02B4BEDD" w14:textId="12450351" w:rsidR="00064293" w:rsidRPr="00E27F60" w:rsidRDefault="00000000" w:rsidP="00064293">
      <w:pPr>
        <w:jc w:val="center"/>
      </w:pPr>
      <m:oMath>
        <m:sSubSup>
          <m:sSubSupPr>
            <m:ctrlPr>
              <w:rPr>
                <w:rFonts w:ascii="Cambria Math" w:hAnsi="Cambria Math"/>
                <w:i/>
              </w:rPr>
            </m:ctrlPr>
          </m:sSubSupPr>
          <m:e>
            <m:r>
              <w:rPr>
                <w:rFonts w:ascii="Cambria Math" w:hAnsi="Cambria Math"/>
              </w:rPr>
              <m:t>ecp</m:t>
            </m:r>
          </m:e>
          <m:sub>
            <m:r>
              <w:rPr>
                <w:rFonts w:ascii="Cambria Math" w:hAnsi="Cambria Math"/>
              </w:rPr>
              <m:t>gr</m:t>
            </m:r>
          </m:sub>
          <m:sup>
            <m:r>
              <w:rPr>
                <w:rFonts w:ascii="Cambria Math" w:hAnsi="Cambria Math"/>
              </w:rPr>
              <m:t>Y</m:t>
            </m:r>
          </m:sup>
        </m:sSubSup>
        <m:r>
          <w:rPr>
            <w:rFonts w:ascii="Cambria Math" w:hAnsi="Cambria Math"/>
          </w:rPr>
          <m:t>c</m:t>
        </m:r>
        <m:sSubSup>
          <m:sSubSupPr>
            <m:ctrlPr>
              <w:rPr>
                <w:rFonts w:ascii="Cambria Math" w:hAnsi="Cambria Math"/>
                <w:i/>
              </w:rPr>
            </m:ctrlPr>
          </m:sSubSupPr>
          <m:e>
            <m:r>
              <w:rPr>
                <w:rFonts w:ascii="Cambria Math" w:hAnsi="Cambria Math"/>
              </w:rPr>
              <m:t>c</m:t>
            </m:r>
          </m:e>
          <m:sub>
            <m:r>
              <w:rPr>
                <w:rFonts w:ascii="Cambria Math" w:hAnsi="Cambria Math"/>
              </w:rPr>
              <m:t>gr</m:t>
            </m:r>
          </m:sub>
          <m:sup>
            <m:r>
              <w:rPr>
                <w:rFonts w:ascii="Cambria Math" w:hAnsi="Cambria Math"/>
              </w:rPr>
              <m:t>Y</m:t>
            </m:r>
          </m:sup>
        </m:sSubSup>
        <m:sSub>
          <m:sSubPr>
            <m:ctrlPr>
              <w:rPr>
                <w:rFonts w:ascii="Cambria Math" w:hAnsi="Cambria Math"/>
                <w:i/>
              </w:rPr>
            </m:ctrlPr>
          </m:sSubPr>
          <m:e>
            <m:r>
              <w:rPr>
                <w:rFonts w:ascii="Cambria Math" w:hAnsi="Cambria Math"/>
              </w:rPr>
              <m:t>Y</m:t>
            </m:r>
          </m:e>
          <m:sub>
            <m:r>
              <w:rPr>
                <w:rFonts w:ascii="Cambria Math" w:hAnsi="Cambria Math"/>
              </w:rPr>
              <m:t>gr</m:t>
            </m:r>
          </m:sub>
        </m:sSub>
        <m:r>
          <w:rPr>
            <w:rFonts w:ascii="Cambria Math" w:hAnsi="Cambria Math"/>
          </w:rPr>
          <m:t>=</m:t>
        </m:r>
        <m:nary>
          <m:naryPr>
            <m:chr m:val="∑"/>
            <m:supHide m:val="1"/>
            <m:ctrlPr>
              <w:rPr>
                <w:rFonts w:ascii="Cambria Math" w:hAnsi="Cambria Math"/>
              </w:rPr>
            </m:ctrlPr>
          </m:naryPr>
          <m:sub>
            <m:r>
              <w:rPr>
                <w:rFonts w:ascii="Cambria Math" w:hAnsi="Cambria Math"/>
              </w:rPr>
              <m:t>j</m:t>
            </m:r>
            <m:ctrlPr>
              <w:rPr>
                <w:rFonts w:ascii="Cambria Math" w:hAnsi="Cambria Math"/>
                <w:i/>
              </w:rPr>
            </m:ctrlPr>
          </m:sub>
          <m:sup>
            <m:ctrlPr>
              <w:rPr>
                <w:rFonts w:ascii="Cambria Math" w:hAnsi="Cambria Math"/>
                <w:i/>
              </w:rPr>
            </m:ctrlPr>
          </m:sup>
          <m:e>
            <m:r>
              <w:rPr>
                <w:rFonts w:ascii="Cambria Math" w:hAnsi="Cambria Math"/>
              </w:rPr>
              <m:t>(</m:t>
            </m:r>
            <m:sSubSup>
              <m:sSubSupPr>
                <m:ctrlPr>
                  <w:rPr>
                    <w:rFonts w:ascii="Cambria Math" w:hAnsi="Cambria Math"/>
                    <w:i/>
                  </w:rPr>
                </m:ctrlPr>
              </m:sSubSupPr>
              <m:e>
                <m:r>
                  <w:rPr>
                    <w:rFonts w:ascii="Cambria Math" w:hAnsi="Cambria Math"/>
                  </w:rPr>
                  <m:t>ecp</m:t>
                </m:r>
              </m:e>
              <m:sub>
                <m:r>
                  <w:rPr>
                    <w:rFonts w:ascii="Cambria Math" w:hAnsi="Cambria Math"/>
                  </w:rPr>
                  <m:t>jr</m:t>
                </m:r>
              </m:sub>
              <m:sup>
                <m:r>
                  <w:rPr>
                    <w:rFonts w:ascii="Cambria Math" w:hAnsi="Cambria Math"/>
                  </w:rPr>
                  <m:t>M</m:t>
                </m:r>
              </m:sup>
            </m:sSubSup>
            <m:r>
              <w:rPr>
                <w:rFonts w:ascii="Cambria Math" w:hAnsi="Cambria Math"/>
              </w:rPr>
              <m:t>c</m:t>
            </m:r>
            <m:sSubSup>
              <m:sSubSupPr>
                <m:ctrlPr>
                  <w:rPr>
                    <w:rFonts w:ascii="Cambria Math" w:hAnsi="Cambria Math"/>
                    <w:i/>
                  </w:rPr>
                </m:ctrlPr>
              </m:sSubSupPr>
              <m:e>
                <m:r>
                  <w:rPr>
                    <w:rFonts w:ascii="Cambria Math" w:hAnsi="Cambria Math"/>
                  </w:rPr>
                  <m:t>c</m:t>
                </m:r>
              </m:e>
              <m:sub>
                <m:r>
                  <w:rPr>
                    <w:rFonts w:ascii="Cambria Math" w:hAnsi="Cambria Math"/>
                  </w:rPr>
                  <m:t>jr</m:t>
                </m:r>
              </m:sub>
              <m:sup>
                <m:r>
                  <w:rPr>
                    <w:rFonts w:ascii="Cambria Math" w:hAnsi="Cambria Math"/>
                  </w:rPr>
                  <m:t>M</m:t>
                </m:r>
              </m:sup>
            </m:sSubSup>
            <m:r>
              <w:rPr>
                <w:rFonts w:ascii="Cambria Math" w:hAnsi="Cambria Math"/>
              </w:rPr>
              <m:t>+</m:t>
            </m:r>
            <m:sSub>
              <m:sSubPr>
                <m:ctrlPr>
                  <w:rPr>
                    <w:rFonts w:ascii="Cambria Math" w:hAnsi="Cambria Math"/>
                    <w:i/>
                  </w:rPr>
                </m:ctrlPr>
              </m:sSubPr>
              <m:e>
                <m:r>
                  <w:rPr>
                    <w:rFonts w:ascii="Cambria Math" w:hAnsi="Cambria Math"/>
                  </w:rPr>
                  <m:t>cp</m:t>
                </m:r>
              </m:e>
              <m:sub>
                <m:r>
                  <w:rPr>
                    <w:rFonts w:ascii="Cambria Math" w:hAnsi="Cambria Math"/>
                  </w:rPr>
                  <m:t>r</m:t>
                </m:r>
              </m:sub>
            </m:sSub>
            <m:r>
              <w:rPr>
                <w:rFonts w:ascii="Cambria Math" w:hAnsi="Cambria Math"/>
              </w:rPr>
              <m:t>c</m:t>
            </m:r>
            <m:sSubSup>
              <m:sSubSupPr>
                <m:ctrlPr>
                  <w:rPr>
                    <w:rFonts w:ascii="Cambria Math" w:hAnsi="Cambria Math"/>
                    <w:i/>
                  </w:rPr>
                </m:ctrlPr>
              </m:sSubSupPr>
              <m:e>
                <m:r>
                  <w:rPr>
                    <w:rFonts w:ascii="Cambria Math" w:hAnsi="Cambria Math"/>
                  </w:rPr>
                  <m:t>o2</m:t>
                </m:r>
              </m:e>
              <m:sub>
                <m:r>
                  <w:rPr>
                    <w:rFonts w:ascii="Cambria Math" w:hAnsi="Cambria Math"/>
                  </w:rPr>
                  <m:t>jgr</m:t>
                </m:r>
              </m:sub>
              <m:sup>
                <m:r>
                  <w:rPr>
                    <w:rFonts w:ascii="Cambria Math" w:hAnsi="Cambria Math"/>
                  </w:rPr>
                  <m:t>M</m:t>
                </m:r>
              </m:sup>
            </m:sSubSup>
            <m:r>
              <w:rPr>
                <w:rFonts w:ascii="Cambria Math" w:hAnsi="Cambria Math"/>
              </w:rPr>
              <m:t>)</m:t>
            </m:r>
            <m:sSubSup>
              <m:sSubSupPr>
                <m:ctrlPr>
                  <w:rPr>
                    <w:rFonts w:ascii="Cambria Math" w:hAnsi="Cambria Math"/>
                    <w:i/>
                  </w:rPr>
                </m:ctrlPr>
              </m:sSubSupPr>
              <m:e>
                <m:r>
                  <w:rPr>
                    <w:rFonts w:ascii="Cambria Math" w:hAnsi="Cambria Math"/>
                  </w:rPr>
                  <m:t>Z</m:t>
                </m:r>
              </m:e>
              <m:sub>
                <m:r>
                  <w:rPr>
                    <w:rFonts w:ascii="Cambria Math" w:hAnsi="Cambria Math"/>
                  </w:rPr>
                  <m:t>jgr</m:t>
                </m:r>
              </m:sub>
              <m:sup>
                <m:r>
                  <w:rPr>
                    <w:rFonts w:ascii="Cambria Math" w:hAnsi="Cambria Math"/>
                  </w:rPr>
                  <m:t>M</m:t>
                </m:r>
              </m:sup>
            </m:sSubSup>
            <m:ctrlPr>
              <w:rPr>
                <w:rFonts w:ascii="Cambria Math" w:hAnsi="Cambria Math"/>
                <w:i/>
              </w:rPr>
            </m:ctrlPr>
          </m:e>
        </m:nary>
        <m:r>
          <w:rPr>
            <w:rFonts w:ascii="Cambria Math" w:hAnsi="Cambria Math"/>
          </w:rPr>
          <m:t>+</m:t>
        </m:r>
        <m:nary>
          <m:naryPr>
            <m:chr m:val="∑"/>
            <m:supHide m:val="1"/>
            <m:ctrlPr>
              <w:rPr>
                <w:rFonts w:ascii="Cambria Math" w:hAnsi="Cambria Math"/>
              </w:rPr>
            </m:ctrlPr>
          </m:naryPr>
          <m:sub>
            <m:r>
              <w:rPr>
                <w:rFonts w:ascii="Cambria Math" w:hAnsi="Cambria Math"/>
              </w:rPr>
              <m:t>g'</m:t>
            </m:r>
            <m:ctrlPr>
              <w:rPr>
                <w:rFonts w:ascii="Cambria Math" w:hAnsi="Cambria Math"/>
                <w:i/>
              </w:rPr>
            </m:ctrlPr>
          </m:sub>
          <m:sup>
            <m:ctrlPr>
              <w:rPr>
                <w:rFonts w:ascii="Cambria Math" w:hAnsi="Cambria Math"/>
                <w:i/>
              </w:rPr>
            </m:ctrlPr>
          </m:sup>
          <m:e>
            <m:r>
              <w:rPr>
                <w:rFonts w:ascii="Cambria Math" w:hAnsi="Cambria Math"/>
              </w:rPr>
              <m:t>(</m:t>
            </m:r>
            <m:sSubSup>
              <m:sSubSupPr>
                <m:ctrlPr>
                  <w:rPr>
                    <w:rFonts w:ascii="Cambria Math" w:hAnsi="Cambria Math"/>
                    <w:i/>
                  </w:rPr>
                </m:ctrlPr>
              </m:sSubSupPr>
              <m:e>
                <m:r>
                  <w:rPr>
                    <w:rFonts w:ascii="Cambria Math" w:hAnsi="Cambria Math"/>
                  </w:rPr>
                  <m:t>ecp</m:t>
                </m:r>
              </m:e>
              <m:sub>
                <m:r>
                  <w:rPr>
                    <w:rFonts w:ascii="Cambria Math" w:hAnsi="Cambria Math"/>
                  </w:rPr>
                  <m:t>g'r</m:t>
                </m:r>
              </m:sub>
              <m:sup>
                <m:r>
                  <w:rPr>
                    <w:rFonts w:ascii="Cambria Math" w:hAnsi="Cambria Math"/>
                  </w:rPr>
                  <m:t>Y</m:t>
                </m:r>
              </m:sup>
            </m:sSubSup>
            <m:r>
              <w:rPr>
                <w:rFonts w:ascii="Cambria Math" w:hAnsi="Cambria Math"/>
              </w:rPr>
              <m:t>c</m:t>
            </m:r>
            <m:sSubSup>
              <m:sSubSupPr>
                <m:ctrlPr>
                  <w:rPr>
                    <w:rFonts w:ascii="Cambria Math" w:hAnsi="Cambria Math"/>
                    <w:i/>
                  </w:rPr>
                </m:ctrlPr>
              </m:sSubSupPr>
              <m:e>
                <m:r>
                  <w:rPr>
                    <w:rFonts w:ascii="Cambria Math" w:hAnsi="Cambria Math"/>
                  </w:rPr>
                  <m:t>c</m:t>
                </m:r>
              </m:e>
              <m:sub>
                <m:r>
                  <w:rPr>
                    <w:rFonts w:ascii="Cambria Math" w:hAnsi="Cambria Math"/>
                  </w:rPr>
                  <m:t>g'r</m:t>
                </m:r>
              </m:sub>
              <m:sup>
                <m:r>
                  <w:rPr>
                    <w:rFonts w:ascii="Cambria Math" w:hAnsi="Cambria Math"/>
                  </w:rPr>
                  <m:t>Y</m:t>
                </m:r>
              </m:sup>
            </m:sSubSup>
            <m:r>
              <w:rPr>
                <w:rFonts w:ascii="Cambria Math" w:hAnsi="Cambria Math"/>
              </w:rPr>
              <m:t>+</m:t>
            </m:r>
            <m:sSub>
              <m:sSubPr>
                <m:ctrlPr>
                  <w:rPr>
                    <w:rFonts w:ascii="Cambria Math" w:hAnsi="Cambria Math"/>
                    <w:i/>
                  </w:rPr>
                </m:ctrlPr>
              </m:sSubPr>
              <m:e>
                <m:r>
                  <w:rPr>
                    <w:rFonts w:ascii="Cambria Math" w:hAnsi="Cambria Math"/>
                  </w:rPr>
                  <m:t>cp</m:t>
                </m:r>
              </m:e>
              <m:sub>
                <m:r>
                  <w:rPr>
                    <w:rFonts w:ascii="Cambria Math" w:hAnsi="Cambria Math"/>
                  </w:rPr>
                  <m:t>r</m:t>
                </m:r>
              </m:sub>
            </m:sSub>
            <m:r>
              <w:rPr>
                <w:rFonts w:ascii="Cambria Math" w:hAnsi="Cambria Math"/>
              </w:rPr>
              <m:t>c</m:t>
            </m:r>
            <m:sSubSup>
              <m:sSubSupPr>
                <m:ctrlPr>
                  <w:rPr>
                    <w:rFonts w:ascii="Cambria Math" w:hAnsi="Cambria Math"/>
                    <w:i/>
                  </w:rPr>
                </m:ctrlPr>
              </m:sSubSupPr>
              <m:e>
                <m:r>
                  <w:rPr>
                    <w:rFonts w:ascii="Cambria Math" w:hAnsi="Cambria Math"/>
                  </w:rPr>
                  <m:t>o2</m:t>
                </m:r>
              </m:e>
              <m:sub>
                <m:r>
                  <w:rPr>
                    <w:rFonts w:ascii="Cambria Math" w:hAnsi="Cambria Math"/>
                  </w:rPr>
                  <m:t>g'gr</m:t>
                </m:r>
              </m:sub>
              <m:sup>
                <m:r>
                  <w:rPr>
                    <w:rFonts w:ascii="Cambria Math" w:hAnsi="Cambria Math"/>
                  </w:rPr>
                  <m:t>D</m:t>
                </m:r>
              </m:sup>
            </m:sSubSup>
            <m:r>
              <w:rPr>
                <w:rFonts w:ascii="Cambria Math" w:hAnsi="Cambria Math"/>
              </w:rPr>
              <m:t>)</m:t>
            </m:r>
            <m:sSubSup>
              <m:sSubSupPr>
                <m:ctrlPr>
                  <w:rPr>
                    <w:rFonts w:ascii="Cambria Math" w:hAnsi="Cambria Math"/>
                    <w:i/>
                  </w:rPr>
                </m:ctrlPr>
              </m:sSubSupPr>
              <m:e>
                <m:r>
                  <w:rPr>
                    <w:rFonts w:ascii="Cambria Math" w:hAnsi="Cambria Math"/>
                  </w:rPr>
                  <m:t>Z</m:t>
                </m:r>
              </m:e>
              <m:sub>
                <m:r>
                  <w:rPr>
                    <w:rFonts w:ascii="Cambria Math" w:hAnsi="Cambria Math"/>
                  </w:rPr>
                  <m:t>g'gr</m:t>
                </m:r>
              </m:sub>
              <m:sup>
                <m:r>
                  <w:rPr>
                    <w:rFonts w:ascii="Cambria Math" w:hAnsi="Cambria Math"/>
                  </w:rPr>
                  <m:t>D</m:t>
                </m:r>
              </m:sup>
            </m:sSubSup>
            <m:ctrlPr>
              <w:rPr>
                <w:rFonts w:ascii="Cambria Math" w:hAnsi="Cambria Math"/>
                <w:i/>
              </w:rPr>
            </m:ctrlPr>
          </m:e>
        </m:nary>
      </m:oMath>
      <w:r w:rsidR="00064293">
        <w:tab/>
      </w:r>
      <w:r w:rsidR="00064293">
        <w:rPr>
          <w:rFonts w:hint="eastAsia"/>
        </w:rPr>
        <w:t>(1</w:t>
      </w:r>
      <w:r w:rsidR="00064293">
        <w:t>’</w:t>
      </w:r>
      <w:r w:rsidR="00064293">
        <w:rPr>
          <w:rFonts w:hint="eastAsia"/>
        </w:rPr>
        <w:t>)</w:t>
      </w:r>
    </w:p>
    <w:p w14:paraId="6B0AD643" w14:textId="6AA24990" w:rsidR="00064293" w:rsidRPr="00194F4C" w:rsidRDefault="00000000" w:rsidP="00064293">
      <w:pPr>
        <w:jc w:val="center"/>
      </w:pPr>
      <m:oMath>
        <m:sSubSup>
          <m:sSubSupPr>
            <m:ctrlPr>
              <w:rPr>
                <w:rFonts w:ascii="Cambria Math" w:hAnsi="Cambria Math"/>
                <w:i/>
              </w:rPr>
            </m:ctrlPr>
          </m:sSubSupPr>
          <m:e>
            <m:r>
              <w:rPr>
                <w:rFonts w:ascii="Cambria Math" w:hAnsi="Cambria Math"/>
              </w:rPr>
              <m:t>ecp</m:t>
            </m:r>
          </m:e>
          <m:sub>
            <m:r>
              <w:rPr>
                <w:rFonts w:ascii="Cambria Math" w:hAnsi="Cambria Math"/>
              </w:rPr>
              <m:t>ir</m:t>
            </m:r>
          </m:sub>
          <m:sup>
            <m:r>
              <w:rPr>
                <w:rFonts w:ascii="Cambria Math" w:hAnsi="Cambria Math"/>
              </w:rPr>
              <m:t>M</m:t>
            </m:r>
          </m:sup>
        </m:sSubSup>
        <m:r>
          <w:rPr>
            <w:rFonts w:ascii="Cambria Math" w:hAnsi="Cambria Math"/>
          </w:rPr>
          <m:t>c</m:t>
        </m:r>
        <m:sSubSup>
          <m:sSubSupPr>
            <m:ctrlPr>
              <w:rPr>
                <w:rFonts w:ascii="Cambria Math" w:hAnsi="Cambria Math"/>
                <w:i/>
              </w:rPr>
            </m:ctrlPr>
          </m:sSubSupPr>
          <m:e>
            <m:r>
              <w:rPr>
                <w:rFonts w:ascii="Cambria Math" w:hAnsi="Cambria Math"/>
              </w:rPr>
              <m:t>c</m:t>
            </m:r>
          </m:e>
          <m:sub>
            <m:r>
              <w:rPr>
                <w:rFonts w:ascii="Cambria Math" w:hAnsi="Cambria Math"/>
              </w:rPr>
              <m:t>ir</m:t>
            </m:r>
          </m:sub>
          <m:sup>
            <m:r>
              <w:rPr>
                <w:rFonts w:ascii="Cambria Math" w:hAnsi="Cambria Math"/>
              </w:rPr>
              <m:t>M</m:t>
            </m:r>
          </m:sup>
        </m:sSubSup>
        <m:sSub>
          <m:sSubPr>
            <m:ctrlPr>
              <w:rPr>
                <w:rFonts w:ascii="Cambria Math" w:hAnsi="Cambria Math"/>
                <w:i/>
              </w:rPr>
            </m:ctrlPr>
          </m:sSubPr>
          <m:e>
            <m:r>
              <w:rPr>
                <w:rFonts w:ascii="Cambria Math" w:hAnsi="Cambria Math"/>
              </w:rPr>
              <m:t>M</m:t>
            </m:r>
          </m:e>
          <m:sub>
            <m:r>
              <w:rPr>
                <w:rFonts w:ascii="Cambria Math" w:hAnsi="Cambria Math"/>
              </w:rPr>
              <m:t>ir</m:t>
            </m:r>
          </m:sub>
        </m:sSub>
        <m:r>
          <w:rPr>
            <w:rFonts w:ascii="Cambria Math" w:hAnsi="Cambria Math"/>
          </w:rPr>
          <m:t>=</m:t>
        </m:r>
        <m:nary>
          <m:naryPr>
            <m:chr m:val="∑"/>
            <m:supHide m:val="1"/>
            <m:ctrlPr>
              <w:rPr>
                <w:rFonts w:ascii="Cambria Math" w:hAnsi="Cambria Math"/>
              </w:rPr>
            </m:ctrlPr>
          </m:naryPr>
          <m:sub>
            <m:r>
              <w:rPr>
                <w:rFonts w:ascii="Cambria Math" w:hAnsi="Cambria Math"/>
              </w:rPr>
              <m:t>s</m:t>
            </m:r>
            <m:r>
              <m:rPr>
                <m:sty m:val="p"/>
              </m:rPr>
              <w:rPr>
                <w:rFonts w:ascii="Cambria Math" w:hAnsi="Cambria Math" w:hint="eastAsia"/>
              </w:rPr>
              <m:t>∈</m:t>
            </m:r>
            <m:r>
              <w:rPr>
                <w:rFonts w:ascii="Cambria Math" w:hAnsi="Cambria Math"/>
              </w:rPr>
              <m:t>R</m:t>
            </m:r>
            <m:ctrlPr>
              <w:rPr>
                <w:rFonts w:ascii="Cambria Math" w:hAnsi="Cambria Math"/>
                <w:i/>
              </w:rPr>
            </m:ctrlPr>
          </m:sub>
          <m:sup>
            <m:ctrlPr>
              <w:rPr>
                <w:rFonts w:ascii="Cambria Math" w:hAnsi="Cambria Math"/>
                <w:i/>
              </w:rPr>
            </m:ctrlPr>
          </m:sup>
          <m:e>
            <m:d>
              <m:dPr>
                <m:ctrlPr>
                  <w:rPr>
                    <w:rFonts w:ascii="Cambria Math" w:hAnsi="Cambria Math"/>
                    <w:i/>
                  </w:rPr>
                </m:ctrlPr>
              </m:dPr>
              <m:e>
                <m:sSubSup>
                  <m:sSubSupPr>
                    <m:ctrlPr>
                      <w:rPr>
                        <w:rFonts w:ascii="Cambria Math" w:hAnsi="Cambria Math"/>
                        <w:i/>
                      </w:rPr>
                    </m:ctrlPr>
                  </m:sSubSupPr>
                  <m:e>
                    <m:r>
                      <w:rPr>
                        <w:rFonts w:ascii="Cambria Math" w:hAnsi="Cambria Math"/>
                      </w:rPr>
                      <m:t>ecp</m:t>
                    </m:r>
                  </m:e>
                  <m:sub>
                    <m:r>
                      <w:rPr>
                        <w:rFonts w:ascii="Cambria Math" w:hAnsi="Cambria Math"/>
                      </w:rPr>
                      <m:t>is</m:t>
                    </m:r>
                  </m:sub>
                  <m:sup>
                    <m:r>
                      <w:rPr>
                        <w:rFonts w:ascii="Cambria Math" w:hAnsi="Cambria Math"/>
                      </w:rPr>
                      <m:t>Y</m:t>
                    </m:r>
                  </m:sup>
                </m:sSubSup>
                <m:r>
                  <w:rPr>
                    <w:rFonts w:ascii="Cambria Math" w:hAnsi="Cambria Math"/>
                  </w:rPr>
                  <m:t>c</m:t>
                </m:r>
                <m:sSubSup>
                  <m:sSubSupPr>
                    <m:ctrlPr>
                      <w:rPr>
                        <w:rFonts w:ascii="Cambria Math" w:hAnsi="Cambria Math"/>
                        <w:i/>
                      </w:rPr>
                    </m:ctrlPr>
                  </m:sSubSupPr>
                  <m:e>
                    <m:r>
                      <w:rPr>
                        <w:rFonts w:ascii="Cambria Math" w:hAnsi="Cambria Math"/>
                      </w:rPr>
                      <m:t>c</m:t>
                    </m:r>
                  </m:e>
                  <m:sub>
                    <m:r>
                      <w:rPr>
                        <w:rFonts w:ascii="Cambria Math" w:hAnsi="Cambria Math"/>
                      </w:rPr>
                      <m:t>is</m:t>
                    </m:r>
                  </m:sub>
                  <m:sup>
                    <m:r>
                      <w:rPr>
                        <w:rFonts w:ascii="Cambria Math" w:hAnsi="Cambria Math"/>
                      </w:rPr>
                      <m:t>Y</m:t>
                    </m:r>
                  </m:sup>
                </m:sSubSup>
                <m:sSub>
                  <m:sSubPr>
                    <m:ctrlPr>
                      <w:rPr>
                        <w:rFonts w:ascii="Cambria Math" w:hAnsi="Cambria Math"/>
                        <w:i/>
                      </w:rPr>
                    </m:ctrlPr>
                  </m:sSubPr>
                  <m:e>
                    <m:r>
                      <w:rPr>
                        <w:rFonts w:ascii="Cambria Math" w:hAnsi="Cambria Math"/>
                      </w:rPr>
                      <m:t>X</m:t>
                    </m:r>
                  </m:e>
                  <m:sub>
                    <m:r>
                      <w:rPr>
                        <w:rFonts w:ascii="Cambria Math" w:hAnsi="Cambria Math"/>
                      </w:rPr>
                      <m:t>isr</m:t>
                    </m:r>
                  </m:sub>
                </m:sSub>
                <m:r>
                  <w:rPr>
                    <w:rFonts w:ascii="Cambria Math" w:hAnsi="Cambria Math"/>
                  </w:rPr>
                  <m:t>+</m:t>
                </m:r>
                <m:nary>
                  <m:naryPr>
                    <m:chr m:val="∑"/>
                    <m:supHide m:val="1"/>
                    <m:ctrlPr>
                      <w:rPr>
                        <w:rFonts w:ascii="Cambria Math" w:hAnsi="Cambria Math"/>
                      </w:rPr>
                    </m:ctrlPr>
                  </m:naryPr>
                  <m:sub>
                    <m:r>
                      <w:rPr>
                        <w:rFonts w:ascii="Cambria Math" w:hAnsi="Cambria Math"/>
                      </w:rPr>
                      <m:t>u</m:t>
                    </m:r>
                    <m:r>
                      <m:rPr>
                        <m:sty m:val="p"/>
                      </m:rPr>
                      <w:rPr>
                        <w:rFonts w:ascii="Cambria Math" w:hAnsi="Cambria Math" w:hint="eastAsia"/>
                      </w:rPr>
                      <m:t>∈</m:t>
                    </m:r>
                    <m:r>
                      <w:rPr>
                        <w:rFonts w:ascii="Cambria Math" w:hAnsi="Cambria Math"/>
                      </w:rPr>
                      <m:t>U</m:t>
                    </m:r>
                    <m:ctrlPr>
                      <w:rPr>
                        <w:rFonts w:ascii="Cambria Math" w:hAnsi="Cambria Math"/>
                        <w:i/>
                      </w:rPr>
                    </m:ctrlPr>
                  </m:sub>
                  <m:sup>
                    <m:ctrlPr>
                      <w:rPr>
                        <w:rFonts w:ascii="Cambria Math" w:hAnsi="Cambria Math"/>
                        <w:i/>
                      </w:rPr>
                    </m:ctrlPr>
                  </m:sup>
                  <m:e>
                    <m:sSubSup>
                      <m:sSubSupPr>
                        <m:ctrlPr>
                          <w:rPr>
                            <w:rFonts w:ascii="Cambria Math" w:hAnsi="Cambria Math"/>
                            <w:i/>
                          </w:rPr>
                        </m:ctrlPr>
                      </m:sSubSupPr>
                      <m:e>
                        <m:r>
                          <w:rPr>
                            <w:rFonts w:ascii="Cambria Math" w:hAnsi="Cambria Math"/>
                          </w:rPr>
                          <m:t>ecp</m:t>
                        </m:r>
                      </m:e>
                      <m:sub>
                        <m:r>
                          <w:rPr>
                            <w:rFonts w:ascii="Cambria Math" w:hAnsi="Cambria Math"/>
                          </w:rPr>
                          <m:t>u</m:t>
                        </m:r>
                      </m:sub>
                      <m:sup>
                        <m:r>
                          <w:rPr>
                            <w:rFonts w:ascii="Cambria Math" w:hAnsi="Cambria Math"/>
                          </w:rPr>
                          <m:t>T</m:t>
                        </m:r>
                      </m:sup>
                    </m:sSubSup>
                    <m:r>
                      <w:rPr>
                        <w:rFonts w:ascii="Cambria Math" w:hAnsi="Cambria Math"/>
                      </w:rPr>
                      <m:t>c</m:t>
                    </m:r>
                    <m:sSubSup>
                      <m:sSubSupPr>
                        <m:ctrlPr>
                          <w:rPr>
                            <w:rFonts w:ascii="Cambria Math" w:hAnsi="Cambria Math"/>
                            <w:i/>
                          </w:rPr>
                        </m:ctrlPr>
                      </m:sSubSupPr>
                      <m:e>
                        <m:r>
                          <w:rPr>
                            <w:rFonts w:ascii="Cambria Math" w:hAnsi="Cambria Math"/>
                          </w:rPr>
                          <m:t>c</m:t>
                        </m:r>
                      </m:e>
                      <m:sub>
                        <m:r>
                          <w:rPr>
                            <w:rFonts w:ascii="Cambria Math" w:hAnsi="Cambria Math"/>
                          </w:rPr>
                          <m:t>u</m:t>
                        </m:r>
                      </m:sub>
                      <m:sup>
                        <m:r>
                          <w:rPr>
                            <w:rFonts w:ascii="Cambria Math" w:hAnsi="Cambria Math"/>
                          </w:rPr>
                          <m:t>T</m:t>
                        </m:r>
                      </m:sup>
                    </m:sSubSup>
                    <m:sSub>
                      <m:sSubPr>
                        <m:ctrlPr>
                          <w:rPr>
                            <w:rFonts w:ascii="Cambria Math" w:hAnsi="Cambria Math"/>
                            <w:i/>
                          </w:rPr>
                        </m:ctrlPr>
                      </m:sSubPr>
                      <m:e>
                        <m:r>
                          <w:rPr>
                            <w:rFonts w:ascii="Cambria Math" w:hAnsi="Cambria Math"/>
                          </w:rPr>
                          <m:t>T</m:t>
                        </m:r>
                      </m:e>
                      <m:sub>
                        <m:r>
                          <w:rPr>
                            <w:rFonts w:ascii="Cambria Math" w:hAnsi="Cambria Math"/>
                          </w:rPr>
                          <m:t>uisr</m:t>
                        </m:r>
                      </m:sub>
                    </m:sSub>
                    <m:ctrlPr>
                      <w:rPr>
                        <w:rFonts w:ascii="Cambria Math" w:hAnsi="Cambria Math"/>
                        <w:i/>
                      </w:rPr>
                    </m:ctrlPr>
                  </m:e>
                </m:nary>
              </m:e>
            </m:d>
            <m:ctrlPr>
              <w:rPr>
                <w:rFonts w:ascii="Cambria Math" w:hAnsi="Cambria Math"/>
                <w:i/>
              </w:rPr>
            </m:ctrlPr>
          </m:e>
        </m:nary>
      </m:oMath>
      <w:r w:rsidR="00064293">
        <w:tab/>
      </w:r>
      <w:r w:rsidR="00064293">
        <w:tab/>
      </w:r>
      <w:r w:rsidR="00064293">
        <w:tab/>
      </w:r>
      <w:r w:rsidR="00064293">
        <w:tab/>
      </w:r>
      <w:r w:rsidR="00064293">
        <w:rPr>
          <w:rFonts w:hint="eastAsia"/>
        </w:rPr>
        <w:t>(2</w:t>
      </w:r>
      <w:r w:rsidR="00064293">
        <w:t>’</w:t>
      </w:r>
      <w:r w:rsidR="00064293">
        <w:rPr>
          <w:rFonts w:hint="eastAsia"/>
        </w:rPr>
        <w:t>)</w:t>
      </w:r>
    </w:p>
    <w:p w14:paraId="19CAA81A" w14:textId="1E500255" w:rsidR="00064293" w:rsidRPr="00B765A2" w:rsidRDefault="00000000" w:rsidP="00064293">
      <w:pPr>
        <w:jc w:val="center"/>
      </w:pPr>
      <m:oMath>
        <m:sSubSup>
          <m:sSubSupPr>
            <m:ctrlPr>
              <w:rPr>
                <w:rFonts w:ascii="Cambria Math" w:hAnsi="Cambria Math"/>
                <w:i/>
              </w:rPr>
            </m:ctrlPr>
          </m:sSubSupPr>
          <m:e>
            <m:r>
              <w:rPr>
                <w:rFonts w:ascii="Cambria Math" w:hAnsi="Cambria Math"/>
              </w:rPr>
              <m:t>ecp</m:t>
            </m:r>
          </m:e>
          <m:sub>
            <m:r>
              <w:rPr>
                <w:rFonts w:ascii="Cambria Math" w:hAnsi="Cambria Math"/>
              </w:rPr>
              <m:t>u</m:t>
            </m:r>
          </m:sub>
          <m:sup>
            <m:r>
              <w:rPr>
                <w:rFonts w:ascii="Cambria Math" w:hAnsi="Cambria Math"/>
              </w:rPr>
              <m:t>T</m:t>
            </m:r>
          </m:sup>
        </m:sSubSup>
        <m:r>
          <w:rPr>
            <w:rFonts w:ascii="Cambria Math" w:hAnsi="Cambria Math"/>
          </w:rPr>
          <m:t>c</m:t>
        </m:r>
        <m:sSubSup>
          <m:sSubSupPr>
            <m:ctrlPr>
              <w:rPr>
                <w:rFonts w:ascii="Cambria Math" w:hAnsi="Cambria Math"/>
                <w:i/>
              </w:rPr>
            </m:ctrlPr>
          </m:sSubSupPr>
          <m:e>
            <m:r>
              <w:rPr>
                <w:rFonts w:ascii="Cambria Math" w:hAnsi="Cambria Math"/>
              </w:rPr>
              <m:t>c</m:t>
            </m:r>
          </m:e>
          <m:sub>
            <m:r>
              <w:rPr>
                <w:rFonts w:ascii="Cambria Math" w:hAnsi="Cambria Math"/>
              </w:rPr>
              <m:t>u</m:t>
            </m:r>
          </m:sub>
          <m:sup>
            <m:r>
              <w:rPr>
                <w:rFonts w:ascii="Cambria Math" w:hAnsi="Cambria Math"/>
              </w:rPr>
              <m:t>T</m:t>
            </m:r>
          </m:sup>
        </m:sSubSup>
        <m:nary>
          <m:naryPr>
            <m:chr m:val="∑"/>
            <m:supHide m:val="1"/>
            <m:ctrlPr>
              <w:rPr>
                <w:rFonts w:ascii="Cambria Math" w:hAnsi="Cambria Math"/>
              </w:rPr>
            </m:ctrlPr>
          </m:naryPr>
          <m:sub>
            <m:r>
              <w:rPr>
                <w:rFonts w:ascii="Cambria Math" w:hAnsi="Cambria Math"/>
              </w:rPr>
              <m:t>r</m:t>
            </m:r>
            <m:r>
              <m:rPr>
                <m:sty m:val="p"/>
              </m:rPr>
              <w:rPr>
                <w:rFonts w:ascii="Cambria Math" w:hAnsi="Cambria Math" w:hint="eastAsia"/>
              </w:rPr>
              <m:t>∈</m:t>
            </m:r>
            <m:r>
              <w:rPr>
                <w:rFonts w:ascii="Cambria Math" w:hAnsi="Cambria Math"/>
              </w:rPr>
              <m:t>R</m:t>
            </m:r>
            <m:ctrlPr>
              <w:rPr>
                <w:rFonts w:ascii="Cambria Math" w:hAnsi="Cambria Math"/>
                <w:i/>
              </w:rPr>
            </m:ctrlPr>
          </m:sub>
          <m:sup>
            <m:ctrlPr>
              <w:rPr>
                <w:rFonts w:ascii="Cambria Math" w:hAnsi="Cambria Math"/>
                <w:i/>
              </w:rPr>
            </m:ctrlPr>
          </m:sup>
          <m:e>
            <m:sSub>
              <m:sSubPr>
                <m:ctrlPr>
                  <w:rPr>
                    <w:rFonts w:ascii="Cambria Math" w:hAnsi="Cambria Math"/>
                    <w:i/>
                  </w:rPr>
                </m:ctrlPr>
              </m:sSubPr>
              <m:e>
                <m:r>
                  <w:rPr>
                    <w:rFonts w:ascii="Cambria Math" w:hAnsi="Cambria Math"/>
                  </w:rPr>
                  <m:t>T</m:t>
                </m:r>
              </m:e>
              <m:sub>
                <m:r>
                  <w:rPr>
                    <w:rFonts w:ascii="Cambria Math" w:hAnsi="Cambria Math"/>
                  </w:rPr>
                  <m:t>ur</m:t>
                </m:r>
              </m:sub>
            </m:sSub>
            <m:ctrlPr>
              <w:rPr>
                <w:rFonts w:ascii="Cambria Math" w:hAnsi="Cambria Math"/>
                <w:i/>
              </w:rPr>
            </m:ctrlPr>
          </m:e>
        </m:nary>
        <m:r>
          <w:rPr>
            <w:rFonts w:ascii="Cambria Math" w:hAnsi="Cambria Math"/>
          </w:rPr>
          <m:t>=</m:t>
        </m:r>
        <m:nary>
          <m:naryPr>
            <m:chr m:val="∑"/>
            <m:supHide m:val="1"/>
            <m:ctrlPr>
              <w:rPr>
                <w:rFonts w:ascii="Cambria Math" w:hAnsi="Cambria Math"/>
              </w:rPr>
            </m:ctrlPr>
          </m:naryPr>
          <m:sub>
            <m:r>
              <w:rPr>
                <w:rFonts w:ascii="Cambria Math" w:hAnsi="Cambria Math"/>
              </w:rPr>
              <m:t>r</m:t>
            </m:r>
            <m:r>
              <m:rPr>
                <m:sty m:val="p"/>
              </m:rPr>
              <w:rPr>
                <w:rFonts w:ascii="Cambria Math" w:hAnsi="Cambria Math" w:hint="eastAsia"/>
              </w:rPr>
              <m:t>∈</m:t>
            </m:r>
            <m:r>
              <w:rPr>
                <w:rFonts w:ascii="Cambria Math" w:hAnsi="Cambria Math"/>
              </w:rPr>
              <m:t>R</m:t>
            </m:r>
            <m:ctrlPr>
              <w:rPr>
                <w:rFonts w:ascii="Cambria Math" w:hAnsi="Cambria Math"/>
                <w:i/>
              </w:rPr>
            </m:ctrlPr>
          </m:sub>
          <m:sup>
            <m:ctrlPr>
              <w:rPr>
                <w:rFonts w:ascii="Cambria Math" w:hAnsi="Cambria Math"/>
                <w:i/>
              </w:rPr>
            </m:ctrlPr>
          </m:sup>
          <m:e>
            <m:sSubSup>
              <m:sSubSupPr>
                <m:ctrlPr>
                  <w:rPr>
                    <w:rFonts w:ascii="Cambria Math" w:hAnsi="Cambria Math"/>
                    <w:i/>
                  </w:rPr>
                </m:ctrlPr>
              </m:sSubSupPr>
              <m:e>
                <m:r>
                  <w:rPr>
                    <w:rFonts w:ascii="Cambria Math" w:hAnsi="Cambria Math"/>
                  </w:rPr>
                  <m:t>ecp</m:t>
                </m:r>
              </m:e>
              <m:sub>
                <m:r>
                  <w:rPr>
                    <w:rFonts w:ascii="Cambria Math" w:hAnsi="Cambria Math"/>
                  </w:rPr>
                  <m:t>ur</m:t>
                </m:r>
              </m:sub>
              <m:sup>
                <m:r>
                  <w:rPr>
                    <w:rFonts w:ascii="Cambria Math" w:hAnsi="Cambria Math"/>
                  </w:rPr>
                  <m:t>Y</m:t>
                </m:r>
              </m:sup>
            </m:sSubSup>
            <m:r>
              <w:rPr>
                <w:rFonts w:ascii="Cambria Math" w:hAnsi="Cambria Math"/>
              </w:rPr>
              <m:t>c</m:t>
            </m:r>
            <m:sSubSup>
              <m:sSubSupPr>
                <m:ctrlPr>
                  <w:rPr>
                    <w:rFonts w:ascii="Cambria Math" w:hAnsi="Cambria Math"/>
                    <w:i/>
                  </w:rPr>
                </m:ctrlPr>
              </m:sSubSupPr>
              <m:e>
                <m:r>
                  <w:rPr>
                    <w:rFonts w:ascii="Cambria Math" w:hAnsi="Cambria Math"/>
                  </w:rPr>
                  <m:t>c</m:t>
                </m:r>
              </m:e>
              <m:sub>
                <m:r>
                  <w:rPr>
                    <w:rFonts w:ascii="Cambria Math" w:hAnsi="Cambria Math"/>
                  </w:rPr>
                  <m:t>ur</m:t>
                </m:r>
              </m:sub>
              <m:sup>
                <m:r>
                  <w:rPr>
                    <w:rFonts w:ascii="Cambria Math" w:hAnsi="Cambria Math"/>
                  </w:rPr>
                  <m:t>Y</m:t>
                </m:r>
              </m:sup>
            </m:sSubSup>
            <m:sSub>
              <m:sSubPr>
                <m:ctrlPr>
                  <w:rPr>
                    <w:rFonts w:ascii="Cambria Math" w:hAnsi="Cambria Math"/>
                    <w:i/>
                  </w:rPr>
                </m:ctrlPr>
              </m:sSubPr>
              <m:e>
                <m:r>
                  <w:rPr>
                    <w:rFonts w:ascii="Cambria Math" w:hAnsi="Cambria Math"/>
                  </w:rPr>
                  <m:t>T</m:t>
                </m:r>
              </m:e>
              <m:sub>
                <m:r>
                  <w:rPr>
                    <w:rFonts w:ascii="Cambria Math" w:hAnsi="Cambria Math"/>
                  </w:rPr>
                  <m:t>ur</m:t>
                </m:r>
              </m:sub>
            </m:sSub>
            <m:ctrlPr>
              <w:rPr>
                <w:rFonts w:ascii="Cambria Math" w:hAnsi="Cambria Math"/>
                <w:i/>
              </w:rPr>
            </m:ctrlPr>
          </m:e>
        </m:nary>
      </m:oMath>
      <w:r w:rsidR="00064293">
        <w:tab/>
      </w:r>
      <w:r w:rsidR="00064293">
        <w:tab/>
      </w:r>
      <w:r w:rsidR="00064293">
        <w:tab/>
      </w:r>
      <w:r w:rsidR="00064293">
        <w:tab/>
      </w:r>
      <w:r w:rsidR="00064293">
        <w:tab/>
      </w:r>
      <w:r w:rsidR="00064293">
        <w:tab/>
      </w:r>
      <w:r w:rsidR="00064293">
        <w:rPr>
          <w:rFonts w:hint="eastAsia"/>
        </w:rPr>
        <w:t>(3</w:t>
      </w:r>
      <w:r w:rsidR="00064293">
        <w:t>’</w:t>
      </w:r>
      <w:r w:rsidR="00064293">
        <w:rPr>
          <w:rFonts w:hint="eastAsia"/>
        </w:rPr>
        <w:t>)</w:t>
      </w:r>
    </w:p>
    <w:p w14:paraId="0E9FBD3F" w14:textId="764376E2" w:rsidR="00064293" w:rsidRDefault="00064293" w:rsidP="00064293">
      <w:r>
        <w:rPr>
          <w:rFonts w:hint="eastAsia"/>
        </w:rPr>
        <w:t xml:space="preserve">The </w:t>
      </w:r>
      <w:r w:rsidR="00D811E1">
        <w:rPr>
          <w:rFonts w:hint="eastAsia"/>
        </w:rPr>
        <w:t xml:space="preserve">correct </w:t>
      </w:r>
      <w:r>
        <w:rPr>
          <w:rFonts w:hint="eastAsia"/>
        </w:rPr>
        <w:t xml:space="preserve">carbon tariff levied by region r </w:t>
      </w:r>
      <w:r w:rsidR="00D811E1">
        <w:rPr>
          <w:rFonts w:hint="eastAsia"/>
        </w:rPr>
        <w:t>on</w:t>
      </w:r>
      <w:r>
        <w:rPr>
          <w:rFonts w:hint="eastAsia"/>
        </w:rPr>
        <w:t xml:space="preserve"> region s </w:t>
      </w:r>
      <w:r w:rsidR="00D811E1">
        <w:rPr>
          <w:rFonts w:hint="eastAsia"/>
        </w:rPr>
        <w:t>for</w:t>
      </w:r>
      <w:r>
        <w:rPr>
          <w:rFonts w:hint="eastAsia"/>
        </w:rPr>
        <w:t xml:space="preserve"> the trade</w:t>
      </w:r>
      <w:r w:rsidR="00045B4F">
        <w:rPr>
          <w:rFonts w:hint="eastAsia"/>
        </w:rPr>
        <w:t xml:space="preserve"> flow</w:t>
      </w:r>
      <w:r>
        <w:rPr>
          <w:rFonts w:hint="eastAsia"/>
        </w:rPr>
        <w:t xml:space="preserve">, </w:t>
      </w:r>
      <m:oMath>
        <m:sSub>
          <m:sSubPr>
            <m:ctrlPr>
              <w:rPr>
                <w:rFonts w:ascii="Cambria Math" w:hAnsi="Cambria Math"/>
                <w:i/>
              </w:rPr>
            </m:ctrlPr>
          </m:sSubPr>
          <m:e>
            <m:r>
              <w:rPr>
                <w:rFonts w:ascii="Cambria Math" w:hAnsi="Cambria Math"/>
              </w:rPr>
              <m:t>X</m:t>
            </m:r>
          </m:e>
          <m:sub>
            <m:r>
              <w:rPr>
                <w:rFonts w:ascii="Cambria Math" w:hAnsi="Cambria Math"/>
              </w:rPr>
              <m:t>isr</m:t>
            </m:r>
          </m:sub>
        </m:sSub>
      </m:oMath>
      <w:r>
        <w:rPr>
          <w:rFonts w:hint="eastAsia"/>
        </w:rPr>
        <w:t>, should be [</w:t>
      </w:r>
      <m:oMath>
        <m:sSubSup>
          <m:sSubSupPr>
            <m:ctrlPr>
              <w:rPr>
                <w:rFonts w:ascii="Cambria Math" w:hAnsi="Cambria Math"/>
                <w:i/>
              </w:rPr>
            </m:ctrlPr>
          </m:sSubSupPr>
          <m:e>
            <m:r>
              <w:rPr>
                <w:rFonts w:ascii="Cambria Math" w:hAnsi="Cambria Math"/>
              </w:rPr>
              <m:t>ecp</m:t>
            </m:r>
          </m:e>
          <m:sub>
            <m:r>
              <w:rPr>
                <w:rFonts w:ascii="Cambria Math" w:hAnsi="Cambria Math"/>
              </w:rPr>
              <m:t>ir</m:t>
            </m:r>
          </m:sub>
          <m:sup>
            <m:r>
              <w:rPr>
                <w:rFonts w:ascii="Cambria Math" w:hAnsi="Cambria Math"/>
              </w:rPr>
              <m:t>Y</m:t>
            </m:r>
          </m:sup>
        </m:sSubSup>
        <m:r>
          <w:rPr>
            <w:rFonts w:ascii="Cambria Math" w:hAnsi="Cambria Math"/>
          </w:rPr>
          <m:t>-</m:t>
        </m:r>
        <m:sSubSup>
          <m:sSubSupPr>
            <m:ctrlPr>
              <w:rPr>
                <w:rFonts w:ascii="Cambria Math" w:hAnsi="Cambria Math"/>
                <w:i/>
              </w:rPr>
            </m:ctrlPr>
          </m:sSubSupPr>
          <m:e>
            <m:r>
              <w:rPr>
                <w:rFonts w:ascii="Cambria Math" w:hAnsi="Cambria Math"/>
              </w:rPr>
              <m:t>ecp</m:t>
            </m:r>
          </m:e>
          <m:sub>
            <m:r>
              <w:rPr>
                <w:rFonts w:ascii="Cambria Math" w:hAnsi="Cambria Math"/>
              </w:rPr>
              <m:t>is</m:t>
            </m:r>
          </m:sub>
          <m:sup>
            <m:r>
              <w:rPr>
                <w:rFonts w:ascii="Cambria Math" w:hAnsi="Cambria Math"/>
              </w:rPr>
              <m:t>Y</m:t>
            </m:r>
          </m:sup>
        </m:sSubSup>
        <m:r>
          <w:rPr>
            <w:rFonts w:ascii="Cambria Math" w:hAnsi="Cambria Math"/>
          </w:rPr>
          <m:t>]c</m:t>
        </m:r>
        <m:sSubSup>
          <m:sSubSupPr>
            <m:ctrlPr>
              <w:rPr>
                <w:rFonts w:ascii="Cambria Math" w:hAnsi="Cambria Math"/>
                <w:i/>
              </w:rPr>
            </m:ctrlPr>
          </m:sSubSupPr>
          <m:e>
            <m:r>
              <w:rPr>
                <w:rFonts w:ascii="Cambria Math" w:hAnsi="Cambria Math"/>
              </w:rPr>
              <m:t>c</m:t>
            </m:r>
          </m:e>
          <m:sub>
            <m:r>
              <w:rPr>
                <w:rFonts w:ascii="Cambria Math" w:hAnsi="Cambria Math"/>
              </w:rPr>
              <m:t>is</m:t>
            </m:r>
          </m:sub>
          <m:sup>
            <m:r>
              <w:rPr>
                <w:rFonts w:ascii="Cambria Math" w:hAnsi="Cambria Math"/>
              </w:rPr>
              <m:t>Y</m:t>
            </m:r>
          </m:sup>
        </m:sSubSup>
      </m:oMath>
      <w:r>
        <w:rPr>
          <w:rFonts w:hint="eastAsia"/>
        </w:rPr>
        <w:t>, not</w:t>
      </w:r>
      <w:r w:rsidRPr="000B54E5">
        <w:rPr>
          <w:rFonts w:ascii="Cambria Math" w:hAnsi="Cambria Math"/>
          <w:i/>
        </w:rPr>
        <w:t xml:space="preserve"> </w:t>
      </w:r>
      <w:r>
        <w:rPr>
          <w:rFonts w:hint="eastAsia"/>
        </w:rPr>
        <w:t>[</w:t>
      </w:r>
      <m:oMath>
        <m:sSub>
          <m:sSubPr>
            <m:ctrlPr>
              <w:rPr>
                <w:rFonts w:ascii="Cambria Math" w:hAnsi="Cambria Math"/>
                <w:i/>
              </w:rPr>
            </m:ctrlPr>
          </m:sSubPr>
          <m:e>
            <m:r>
              <w:rPr>
                <w:rFonts w:ascii="Cambria Math" w:hAnsi="Cambria Math"/>
              </w:rPr>
              <m:t>cp</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cp</m:t>
            </m:r>
          </m:e>
          <m:sub>
            <m:r>
              <w:rPr>
                <w:rFonts w:ascii="Cambria Math" w:hAnsi="Cambria Math"/>
              </w:rPr>
              <m:t>s</m:t>
            </m:r>
          </m:sub>
        </m:sSub>
      </m:oMath>
      <w:r>
        <w:rPr>
          <w:rFonts w:hint="eastAsia"/>
        </w:rPr>
        <w:t>]</w:t>
      </w:r>
      <m:oMath>
        <m:r>
          <w:rPr>
            <w:rFonts w:ascii="Cambria Math" w:hAnsi="Cambria Math"/>
          </w:rPr>
          <m:t>c</m:t>
        </m:r>
        <m:sSubSup>
          <m:sSubSupPr>
            <m:ctrlPr>
              <w:rPr>
                <w:rFonts w:ascii="Cambria Math" w:hAnsi="Cambria Math"/>
                <w:i/>
              </w:rPr>
            </m:ctrlPr>
          </m:sSubSupPr>
          <m:e>
            <m:r>
              <w:rPr>
                <w:rFonts w:ascii="Cambria Math" w:hAnsi="Cambria Math"/>
              </w:rPr>
              <m:t>c</m:t>
            </m:r>
          </m:e>
          <m:sub>
            <m:r>
              <w:rPr>
                <w:rFonts w:ascii="Cambria Math" w:hAnsi="Cambria Math"/>
              </w:rPr>
              <m:t>is</m:t>
            </m:r>
          </m:sub>
          <m:sup>
            <m:r>
              <w:rPr>
                <w:rFonts w:ascii="Cambria Math" w:hAnsi="Cambria Math"/>
              </w:rPr>
              <m:t>Y</m:t>
            </m:r>
          </m:sup>
        </m:sSubSup>
      </m:oMath>
      <w:r>
        <w:rPr>
          <w:rFonts w:hint="eastAsia"/>
        </w:rPr>
        <w:t>. The effective carbon rate for the output i in region</w:t>
      </w:r>
      <w:r w:rsidR="00045B4F">
        <w:rPr>
          <w:rFonts w:hint="eastAsia"/>
        </w:rPr>
        <w:t xml:space="preserve"> </w:t>
      </w:r>
      <w:r>
        <w:rPr>
          <w:rFonts w:hint="eastAsia"/>
        </w:rPr>
        <w:t xml:space="preserve">s, </w:t>
      </w:r>
      <m:oMath>
        <m:sSubSup>
          <m:sSubSupPr>
            <m:ctrlPr>
              <w:rPr>
                <w:rFonts w:ascii="Cambria Math" w:hAnsi="Cambria Math"/>
                <w:i/>
              </w:rPr>
            </m:ctrlPr>
          </m:sSubSupPr>
          <m:e>
            <m:r>
              <w:rPr>
                <w:rFonts w:ascii="Cambria Math" w:hAnsi="Cambria Math"/>
              </w:rPr>
              <m:t>ecp</m:t>
            </m:r>
          </m:e>
          <m:sub>
            <m:r>
              <w:rPr>
                <w:rFonts w:ascii="Cambria Math" w:hAnsi="Cambria Math"/>
              </w:rPr>
              <m:t>is</m:t>
            </m:r>
          </m:sub>
          <m:sup>
            <m:r>
              <w:rPr>
                <w:rFonts w:ascii="Cambria Math" w:hAnsi="Cambria Math"/>
              </w:rPr>
              <m:t>Y</m:t>
            </m:r>
          </m:sup>
        </m:sSubSup>
      </m:oMath>
      <w:r>
        <w:rPr>
          <w:rFonts w:hint="eastAsia"/>
        </w:rPr>
        <w:t>, may not be zero, even when the carbon price in the region is zero</w:t>
      </w:r>
      <w:r w:rsidR="00045B4F">
        <w:rPr>
          <w:rFonts w:hint="eastAsia"/>
        </w:rPr>
        <w:t>,</w:t>
      </w:r>
      <w:r>
        <w:rPr>
          <w:rFonts w:hint="eastAsia"/>
        </w:rPr>
        <w:t xml:space="preserve"> if the region consumes intermediate inputs imported from other regions with positive carbon prices. </w:t>
      </w:r>
    </w:p>
    <w:p w14:paraId="163A94C7" w14:textId="77777777" w:rsidR="00764166" w:rsidRDefault="00764166" w:rsidP="003A0727"/>
    <w:p w14:paraId="63482F2C" w14:textId="77777777" w:rsidR="0074150F" w:rsidRPr="003A0727" w:rsidRDefault="0074150F" w:rsidP="0074150F">
      <w:pPr>
        <w:rPr>
          <w:b/>
          <w:bCs/>
        </w:rPr>
      </w:pPr>
      <w:r w:rsidRPr="003A0727">
        <w:rPr>
          <w:b/>
          <w:bCs/>
        </w:rPr>
        <w:t>Impact on Carbon Leakage and GDP</w:t>
      </w:r>
    </w:p>
    <w:p w14:paraId="37DB1330" w14:textId="408E5B4F" w:rsidR="0074150F" w:rsidRDefault="0074150F" w:rsidP="0074150F">
      <w:r>
        <w:rPr>
          <w:rFonts w:hint="eastAsia"/>
        </w:rPr>
        <w:t>We construct 10 scenarios:</w:t>
      </w:r>
    </w:p>
    <w:p w14:paraId="6A7BEA8F" w14:textId="77777777" w:rsidR="0074150F" w:rsidRDefault="0074150F" w:rsidP="00D65AA1">
      <w:pPr>
        <w:pStyle w:val="ListParagraph"/>
        <w:numPr>
          <w:ilvl w:val="0"/>
          <w:numId w:val="2"/>
        </w:numPr>
        <w:spacing w:after="60"/>
        <w:ind w:left="567" w:hanging="283"/>
      </w:pPr>
      <w:r>
        <w:rPr>
          <w:rFonts w:hint="eastAsia"/>
        </w:rPr>
        <w:t>BAU: baseline BAU</w:t>
      </w:r>
    </w:p>
    <w:p w14:paraId="2EE24CC9" w14:textId="77777777" w:rsidR="0074150F" w:rsidRDefault="0074150F" w:rsidP="00D65AA1">
      <w:pPr>
        <w:pStyle w:val="ListParagraph"/>
        <w:numPr>
          <w:ilvl w:val="0"/>
          <w:numId w:val="2"/>
        </w:numPr>
        <w:spacing w:after="60"/>
        <w:ind w:left="567" w:hanging="283"/>
      </w:pPr>
      <w:r>
        <w:rPr>
          <w:rFonts w:hint="eastAsia"/>
        </w:rPr>
        <w:t>Ctax: Carbon tax by DEV for 20% reduction of CO2</w:t>
      </w:r>
    </w:p>
    <w:p w14:paraId="3AA896E2" w14:textId="77777777" w:rsidR="0074150F" w:rsidRDefault="0074150F" w:rsidP="00D65AA1">
      <w:pPr>
        <w:pStyle w:val="ListParagraph"/>
        <w:numPr>
          <w:ilvl w:val="0"/>
          <w:numId w:val="2"/>
        </w:numPr>
        <w:spacing w:after="60"/>
        <w:ind w:left="567" w:hanging="283"/>
      </w:pPr>
      <w:r>
        <w:rPr>
          <w:rFonts w:hint="eastAsia"/>
        </w:rPr>
        <w:t>Cbam0: CBAM by DEV to all the other regions based on direct emission</w:t>
      </w:r>
    </w:p>
    <w:p w14:paraId="70B12A19" w14:textId="77777777" w:rsidR="0074150F" w:rsidRDefault="0074150F" w:rsidP="00D65AA1">
      <w:pPr>
        <w:pStyle w:val="ListParagraph"/>
        <w:numPr>
          <w:ilvl w:val="0"/>
          <w:numId w:val="2"/>
        </w:numPr>
        <w:spacing w:after="60"/>
        <w:ind w:left="567" w:hanging="283"/>
      </w:pPr>
      <w:r>
        <w:rPr>
          <w:rFonts w:hint="eastAsia"/>
        </w:rPr>
        <w:t>Cbam: CBAM by DEV to all the other regions based on embodied carbon content</w:t>
      </w:r>
    </w:p>
    <w:p w14:paraId="57A904A8" w14:textId="77777777" w:rsidR="0074150F" w:rsidRDefault="0074150F" w:rsidP="00D65AA1">
      <w:pPr>
        <w:pStyle w:val="ListParagraph"/>
        <w:numPr>
          <w:ilvl w:val="0"/>
          <w:numId w:val="2"/>
        </w:numPr>
        <w:spacing w:after="60"/>
        <w:ind w:left="567" w:hanging="283"/>
      </w:pPr>
      <w:r>
        <w:rPr>
          <w:rFonts w:hint="eastAsia"/>
        </w:rPr>
        <w:t>CbamK: CBAM by DEV to all the other regions based on embodied carbon content with endogenized investment</w:t>
      </w:r>
    </w:p>
    <w:p w14:paraId="0A247960" w14:textId="77777777" w:rsidR="0074150F" w:rsidRDefault="0074150F" w:rsidP="00D65AA1">
      <w:pPr>
        <w:pStyle w:val="ListParagraph"/>
        <w:numPr>
          <w:ilvl w:val="0"/>
          <w:numId w:val="2"/>
        </w:numPr>
        <w:spacing w:after="60"/>
        <w:ind w:left="567" w:hanging="283"/>
      </w:pPr>
      <w:r>
        <w:rPr>
          <w:rFonts w:hint="eastAsia"/>
        </w:rPr>
        <w:t>CbamKG: CBAM by DEV to all the other regions based on embodied carbon content with endogenized investment and government expenditure</w:t>
      </w:r>
    </w:p>
    <w:p w14:paraId="34511145" w14:textId="77777777" w:rsidR="0074150F" w:rsidRDefault="0074150F" w:rsidP="00D65AA1">
      <w:pPr>
        <w:pStyle w:val="ListParagraph"/>
        <w:numPr>
          <w:ilvl w:val="0"/>
          <w:numId w:val="2"/>
        </w:numPr>
        <w:spacing w:after="60"/>
        <w:ind w:left="567" w:hanging="283"/>
      </w:pPr>
      <w:r>
        <w:rPr>
          <w:rFonts w:hint="eastAsia"/>
        </w:rPr>
        <w:t>CbamEcp: CBAM by DEV to all the other regions based on embodied carbon price for embodied carbon content</w:t>
      </w:r>
    </w:p>
    <w:p w14:paraId="25106327" w14:textId="77777777" w:rsidR="0074150F" w:rsidRPr="00764166" w:rsidRDefault="0074150F" w:rsidP="00D65AA1">
      <w:pPr>
        <w:pStyle w:val="ListParagraph"/>
        <w:numPr>
          <w:ilvl w:val="0"/>
          <w:numId w:val="2"/>
        </w:numPr>
        <w:spacing w:after="60"/>
        <w:ind w:left="567" w:hanging="283"/>
      </w:pPr>
      <w:r>
        <w:rPr>
          <w:rFonts w:hint="eastAsia"/>
        </w:rPr>
        <w:t>CbamEcpK: CBAM by DEV to all the other regions based on embodied carbon price for embodied carbon content with endogenized investment</w:t>
      </w:r>
    </w:p>
    <w:p w14:paraId="00B895E8" w14:textId="77777777" w:rsidR="0074150F" w:rsidRPr="00FE4307" w:rsidRDefault="0074150F" w:rsidP="00D65AA1">
      <w:pPr>
        <w:pStyle w:val="ListParagraph"/>
        <w:numPr>
          <w:ilvl w:val="0"/>
          <w:numId w:val="2"/>
        </w:numPr>
        <w:spacing w:after="60"/>
        <w:ind w:left="567" w:hanging="283"/>
      </w:pPr>
      <w:r>
        <w:rPr>
          <w:rFonts w:hint="eastAsia"/>
        </w:rPr>
        <w:t>CbamEcpKG: CBAM by DEV to all the other regions based on embodied carbon price for embodied carbon content with endogenized investment and government expenditure</w:t>
      </w:r>
    </w:p>
    <w:p w14:paraId="445B8460" w14:textId="77777777" w:rsidR="0074150F" w:rsidRDefault="0074150F" w:rsidP="00D65AA1">
      <w:pPr>
        <w:pStyle w:val="ListParagraph"/>
        <w:numPr>
          <w:ilvl w:val="0"/>
          <w:numId w:val="2"/>
        </w:numPr>
        <w:spacing w:after="60"/>
        <w:ind w:left="567" w:hanging="283"/>
      </w:pPr>
      <w:r>
        <w:rPr>
          <w:rFonts w:hint="eastAsia"/>
        </w:rPr>
        <w:t xml:space="preserve">CbamEcp2w: (Two-way) CBAM by DEV to all the other regions based on embodied carbon price for embodied carbon content with export subsidy </w:t>
      </w:r>
    </w:p>
    <w:p w14:paraId="2E135CC7" w14:textId="77777777" w:rsidR="0074150F" w:rsidRDefault="0074150F" w:rsidP="003A0727"/>
    <w:p w14:paraId="38016480" w14:textId="668F2F85" w:rsidR="001010AA" w:rsidRPr="0074150F" w:rsidRDefault="00D65AA1" w:rsidP="003A0727">
      <w:r>
        <w:rPr>
          <w:rFonts w:hint="eastAsia"/>
        </w:rPr>
        <w:t>The c</w:t>
      </w:r>
      <w:r w:rsidR="001010AA">
        <w:rPr>
          <w:rFonts w:hint="eastAsia"/>
        </w:rPr>
        <w:t>arbon price for the 9 mitigation scenarios ranges over 32.45 ~ 32.92 USD/tCO2,</w:t>
      </w:r>
      <w:r>
        <w:rPr>
          <w:rFonts w:hint="eastAsia"/>
        </w:rPr>
        <w:t xml:space="preserve"> </w:t>
      </w:r>
      <w:r w:rsidR="001010AA">
        <w:rPr>
          <w:rFonts w:hint="eastAsia"/>
        </w:rPr>
        <w:t>highest in CbamEcpK and lowest in</w:t>
      </w:r>
      <w:r>
        <w:rPr>
          <w:rFonts w:hint="eastAsia"/>
        </w:rPr>
        <w:t xml:space="preserve"> the</w:t>
      </w:r>
      <w:r w:rsidR="001010AA">
        <w:rPr>
          <w:rFonts w:hint="eastAsia"/>
        </w:rPr>
        <w:t xml:space="preserve"> Ctax Scenario.</w:t>
      </w:r>
      <w:r>
        <w:rPr>
          <w:rFonts w:hint="eastAsia"/>
        </w:rPr>
        <w:t xml:space="preserve"> In the Cbam scenarios, t</w:t>
      </w:r>
      <w:r w:rsidRPr="00D65AA1">
        <w:t>he CBAM is analyzed as being levied by the industrialized region (DEV) on imports from all other regions</w:t>
      </w:r>
      <w:r>
        <w:rPr>
          <w:rFonts w:hint="eastAsia"/>
        </w:rPr>
        <w:t>.</w:t>
      </w:r>
      <w:r w:rsidRPr="00D65AA1">
        <w:t xml:space="preserve"> </w:t>
      </w:r>
      <w:r w:rsidR="00D60CB9">
        <w:rPr>
          <w:rFonts w:hint="eastAsia"/>
        </w:rPr>
        <w:t xml:space="preserve">Cbam </w:t>
      </w:r>
      <w:r>
        <w:rPr>
          <w:rFonts w:hint="eastAsia"/>
        </w:rPr>
        <w:t xml:space="preserve">scenarios </w:t>
      </w:r>
      <w:r w:rsidR="00D60CB9">
        <w:rPr>
          <w:rFonts w:hint="eastAsia"/>
        </w:rPr>
        <w:t xml:space="preserve">slightly increases the carbon price required to meet </w:t>
      </w:r>
      <w:r>
        <w:rPr>
          <w:rFonts w:hint="eastAsia"/>
        </w:rPr>
        <w:t xml:space="preserve">the </w:t>
      </w:r>
      <w:r w:rsidR="00D60CB9">
        <w:rPr>
          <w:rFonts w:hint="eastAsia"/>
        </w:rPr>
        <w:t xml:space="preserve">20% </w:t>
      </w:r>
      <w:r w:rsidR="00D60CB9">
        <w:rPr>
          <w:rFonts w:hint="eastAsia"/>
        </w:rPr>
        <w:lastRenderedPageBreak/>
        <w:t xml:space="preserve">target in </w:t>
      </w:r>
      <w:r>
        <w:rPr>
          <w:rFonts w:hint="eastAsia"/>
        </w:rPr>
        <w:t xml:space="preserve">the </w:t>
      </w:r>
      <w:r w:rsidR="00D60CB9">
        <w:rPr>
          <w:rFonts w:hint="eastAsia"/>
        </w:rPr>
        <w:t>DEV region.</w:t>
      </w:r>
    </w:p>
    <w:p w14:paraId="35C22658" w14:textId="3976CC97" w:rsidR="003A0727" w:rsidRDefault="003A0727" w:rsidP="003A0727">
      <w:r w:rsidRPr="00D65AA1">
        <w:rPr>
          <w:b/>
          <w:bCs/>
        </w:rPr>
        <w:t>Carbon Leakage</w:t>
      </w:r>
      <w:r>
        <w:t>: While unilateral CO2 reduction by Industrialized Regions</w:t>
      </w:r>
      <w:r w:rsidR="00CF1243">
        <w:rPr>
          <w:rFonts w:hint="eastAsia"/>
        </w:rPr>
        <w:t xml:space="preserve"> (IC)</w:t>
      </w:r>
      <w:r>
        <w:t xml:space="preserve"> leads to a leakage rate of </w:t>
      </w:r>
      <w:r w:rsidR="00CF1243">
        <w:rPr>
          <w:rFonts w:hint="eastAsia"/>
        </w:rPr>
        <w:t>2.26</w:t>
      </w:r>
      <w:r>
        <w:t>%, the implementation of a standard CBAM</w:t>
      </w:r>
      <w:r w:rsidR="00FE4307">
        <w:rPr>
          <w:rFonts w:hint="eastAsia"/>
        </w:rPr>
        <w:t>0</w:t>
      </w:r>
      <w:r>
        <w:t xml:space="preserve"> reduces this leakage to </w:t>
      </w:r>
      <w:r w:rsidR="0074150F">
        <w:rPr>
          <w:rFonts w:hint="eastAsia"/>
        </w:rPr>
        <w:t>almost 0</w:t>
      </w:r>
      <w:r w:rsidR="00D32575">
        <w:rPr>
          <w:rFonts w:hint="eastAsia"/>
        </w:rPr>
        <w:t xml:space="preserve"> and the CBAM based on endogenized investment and government </w:t>
      </w:r>
      <w:r w:rsidR="0074150F">
        <w:rPr>
          <w:rFonts w:hint="eastAsia"/>
        </w:rPr>
        <w:t>expenditures</w:t>
      </w:r>
      <w:r w:rsidR="00D32575">
        <w:rPr>
          <w:rFonts w:hint="eastAsia"/>
        </w:rPr>
        <w:t xml:space="preserve"> </w:t>
      </w:r>
      <w:r w:rsidR="0074150F">
        <w:rPr>
          <w:rFonts w:hint="eastAsia"/>
        </w:rPr>
        <w:t xml:space="preserve">leads to minus leakages, i.e., emission reductions in non-regulated regions rather than increase. </w:t>
      </w:r>
      <w:r w:rsidR="00CF1243" w:rsidRPr="00CF1243">
        <w:t>Even a direct-emission (Scope-1) CBAM may therefore be sufficient to prevent leakage.</w:t>
      </w:r>
      <w:r w:rsidR="00CF1243">
        <w:rPr>
          <w:rFonts w:hint="eastAsia"/>
        </w:rPr>
        <w:t xml:space="preserve"> </w:t>
      </w:r>
      <w:r>
        <w:t>Expanding the CBAM boundary to include capital</w:t>
      </w:r>
      <w:r w:rsidR="00D32575">
        <w:rPr>
          <w:rFonts w:hint="eastAsia"/>
        </w:rPr>
        <w:t xml:space="preserve"> and</w:t>
      </w:r>
      <w:r>
        <w:t xml:space="preserve"> taxes leads to higher emission reductions in Developing Regions</w:t>
      </w:r>
      <w:r w:rsidR="00CF1243">
        <w:rPr>
          <w:rFonts w:hint="eastAsia"/>
        </w:rPr>
        <w:t xml:space="preserve"> (DC)</w:t>
      </w:r>
      <w:r>
        <w:t xml:space="preserve">. </w:t>
      </w:r>
    </w:p>
    <w:p w14:paraId="4AC35328" w14:textId="58040242" w:rsidR="00670A77" w:rsidRDefault="003A0727" w:rsidP="003A0727">
      <w:pPr>
        <w:rPr>
          <w:rFonts w:hint="eastAsia"/>
        </w:rPr>
      </w:pPr>
      <w:r w:rsidRPr="00D65AA1">
        <w:rPr>
          <w:b/>
          <w:bCs/>
        </w:rPr>
        <w:t>Economic Cost</w:t>
      </w:r>
      <w:r>
        <w:t xml:space="preserve">: This increased environmental efficacy comes at an economic price. </w:t>
      </w:r>
      <w:r w:rsidR="00583567">
        <w:rPr>
          <w:rFonts w:hint="eastAsia"/>
        </w:rPr>
        <w:t>B</w:t>
      </w:r>
      <w:r>
        <w:t>roader embodied emission coverage results in a higher global GDP loss, with particularly significant impacts on the GDP of non-regulated (</w:t>
      </w:r>
      <w:r w:rsidR="00583567">
        <w:rPr>
          <w:rFonts w:hint="eastAsia"/>
        </w:rPr>
        <w:t>d</w:t>
      </w:r>
      <w:r>
        <w:t>eveloping) regions</w:t>
      </w:r>
      <w:r w:rsidR="00583567">
        <w:rPr>
          <w:rFonts w:hint="eastAsia"/>
        </w:rPr>
        <w:t xml:space="preserve"> (DC)</w:t>
      </w:r>
      <w:r>
        <w:t>.</w:t>
      </w:r>
      <w:r w:rsidR="00583567">
        <w:rPr>
          <w:rFonts w:hint="eastAsia"/>
        </w:rPr>
        <w:t xml:space="preserve"> </w:t>
      </w:r>
      <w:r w:rsidR="00583567" w:rsidRPr="00583567">
        <w:t xml:space="preserve">As the tariff base widens, DC GDP falls from </w:t>
      </w:r>
      <w:r w:rsidR="00583567" w:rsidRPr="00583567">
        <w:rPr>
          <w:rFonts w:ascii="Cambria Math" w:hAnsi="Cambria Math" w:cs="Cambria Math"/>
        </w:rPr>
        <w:t>−</w:t>
      </w:r>
      <w:r w:rsidR="00583567" w:rsidRPr="00583567">
        <w:t xml:space="preserve">0.04% (Cbam0) to </w:t>
      </w:r>
      <w:r w:rsidR="00583567" w:rsidRPr="00583567">
        <w:rPr>
          <w:rFonts w:ascii="Cambria Math" w:hAnsi="Cambria Math" w:cs="Cambria Math"/>
        </w:rPr>
        <w:t>−</w:t>
      </w:r>
      <w:r w:rsidR="00583567" w:rsidRPr="00583567">
        <w:t>0.32% (CbamKG), while the industrialized region's own loss shrinks.</w:t>
      </w:r>
    </w:p>
    <w:p w14:paraId="39DA4264" w14:textId="77777777" w:rsidR="003A0727" w:rsidRDefault="003A0727" w:rsidP="003A0727"/>
    <w:p w14:paraId="717199E5" w14:textId="5574C125" w:rsidR="00D952FD" w:rsidRPr="003A0727" w:rsidRDefault="00670A77" w:rsidP="00EB3B8B">
      <w:pPr>
        <w:rPr>
          <w:b/>
          <w:bCs/>
        </w:rPr>
      </w:pPr>
      <w:r w:rsidRPr="003A0727">
        <w:rPr>
          <w:rFonts w:hint="eastAsia"/>
          <w:b/>
          <w:bCs/>
        </w:rPr>
        <w:t>&lt;Table 2&gt; The Impact of CO2 Regulation and CBAM for Various Accounting Frameworks (20</w:t>
      </w:r>
      <w:r w:rsidR="00EC0471">
        <w:rPr>
          <w:rFonts w:hint="eastAsia"/>
          <w:b/>
          <w:bCs/>
        </w:rPr>
        <w:t>23</w:t>
      </w:r>
      <w:r w:rsidRPr="003A0727">
        <w:rPr>
          <w:rFonts w:hint="eastAsia"/>
          <w:b/>
          <w:bCs/>
        </w:rPr>
        <w:t>)</w:t>
      </w:r>
    </w:p>
    <w:tbl>
      <w:tblPr>
        <w:tblW w:w="9214" w:type="dxa"/>
        <w:tblInd w:w="-5" w:type="dxa"/>
        <w:tblLayout w:type="fixed"/>
        <w:tblCellMar>
          <w:left w:w="99" w:type="dxa"/>
          <w:right w:w="99" w:type="dxa"/>
        </w:tblCellMar>
        <w:tblLook w:val="04A0" w:firstRow="1" w:lastRow="0" w:firstColumn="1" w:lastColumn="0" w:noHBand="0" w:noVBand="1"/>
      </w:tblPr>
      <w:tblGrid>
        <w:gridCol w:w="567"/>
        <w:gridCol w:w="709"/>
        <w:gridCol w:w="882"/>
        <w:gridCol w:w="882"/>
        <w:gridCol w:w="882"/>
        <w:gridCol w:w="882"/>
        <w:gridCol w:w="882"/>
        <w:gridCol w:w="882"/>
        <w:gridCol w:w="882"/>
        <w:gridCol w:w="882"/>
        <w:gridCol w:w="882"/>
      </w:tblGrid>
      <w:tr w:rsidR="002B2E91" w:rsidRPr="002B2E91" w14:paraId="30CDE5A2" w14:textId="77777777" w:rsidTr="000F769A">
        <w:trPr>
          <w:trHeight w:val="352"/>
        </w:trPr>
        <w:tc>
          <w:tcPr>
            <w:tcW w:w="567" w:type="dxa"/>
            <w:tcBorders>
              <w:top w:val="single" w:sz="4" w:space="0" w:color="auto"/>
              <w:bottom w:val="single" w:sz="4" w:space="0" w:color="auto"/>
            </w:tcBorders>
            <w:noWrap/>
            <w:tcMar>
              <w:left w:w="28" w:type="dxa"/>
              <w:right w:w="28" w:type="dxa"/>
            </w:tcMar>
            <w:vAlign w:val="center"/>
            <w:hideMark/>
          </w:tcPr>
          <w:p w14:paraId="0C044A2F" w14:textId="77777777" w:rsidR="002B2E91" w:rsidRPr="002B2E91" w:rsidRDefault="002B2E91" w:rsidP="002B2E91">
            <w:pPr>
              <w:widowControl/>
              <w:wordWrap/>
              <w:autoSpaceDE/>
              <w:autoSpaceDN/>
              <w:spacing w:after="0"/>
              <w:rPr>
                <w:rFonts w:ascii="굴림" w:eastAsia="굴림" w:hAnsi="굴림" w:cs="굴림"/>
                <w:kern w:val="0"/>
                <w:sz w:val="18"/>
                <w:szCs w:val="18"/>
                <w14:ligatures w14:val="none"/>
              </w:rPr>
            </w:pPr>
          </w:p>
        </w:tc>
        <w:tc>
          <w:tcPr>
            <w:tcW w:w="709" w:type="dxa"/>
            <w:tcBorders>
              <w:top w:val="single" w:sz="4" w:space="0" w:color="auto"/>
              <w:bottom w:val="single" w:sz="4" w:space="0" w:color="auto"/>
            </w:tcBorders>
            <w:noWrap/>
            <w:tcMar>
              <w:left w:w="28" w:type="dxa"/>
              <w:right w:w="28" w:type="dxa"/>
            </w:tcMar>
            <w:vAlign w:val="center"/>
            <w:hideMark/>
          </w:tcPr>
          <w:p w14:paraId="1B9E953D" w14:textId="77777777" w:rsidR="002B2E91" w:rsidRPr="002B2E91" w:rsidRDefault="002B2E91" w:rsidP="002B2E91">
            <w:pPr>
              <w:widowControl/>
              <w:wordWrap/>
              <w:autoSpaceDE/>
              <w:autoSpaceDN/>
              <w:spacing w:after="0"/>
              <w:rPr>
                <w:rFonts w:ascii="Times New Roman" w:eastAsia="Times New Roman" w:hAnsi="Times New Roman" w:cs="Times New Roman"/>
                <w:kern w:val="0"/>
                <w:sz w:val="18"/>
                <w:szCs w:val="18"/>
                <w14:ligatures w14:val="none"/>
              </w:rPr>
            </w:pPr>
          </w:p>
        </w:tc>
        <w:tc>
          <w:tcPr>
            <w:tcW w:w="882" w:type="dxa"/>
            <w:tcBorders>
              <w:top w:val="single" w:sz="4" w:space="0" w:color="auto"/>
              <w:bottom w:val="single" w:sz="4" w:space="0" w:color="auto"/>
            </w:tcBorders>
            <w:noWrap/>
            <w:tcMar>
              <w:left w:w="28" w:type="dxa"/>
              <w:right w:w="28" w:type="dxa"/>
            </w:tcMar>
            <w:vAlign w:val="center"/>
            <w:hideMark/>
          </w:tcPr>
          <w:p w14:paraId="2DD0066D" w14:textId="77777777" w:rsidR="002B2E91" w:rsidRPr="000F769A" w:rsidRDefault="002B2E91" w:rsidP="000F769A">
            <w:pPr>
              <w:widowControl/>
              <w:wordWrap/>
              <w:autoSpaceDE/>
              <w:autoSpaceDN/>
              <w:spacing w:after="0"/>
              <w:jc w:val="center"/>
              <w:rPr>
                <w:rFonts w:ascii="맑은 고딕" w:eastAsia="맑은 고딕" w:hAnsi="맑은 고딕" w:cs="굴림"/>
                <w:color w:val="000000"/>
                <w:spacing w:val="-14"/>
                <w:kern w:val="0"/>
                <w:sz w:val="18"/>
                <w:szCs w:val="18"/>
                <w14:ligatures w14:val="none"/>
              </w:rPr>
            </w:pPr>
            <w:r w:rsidRPr="000F769A">
              <w:rPr>
                <w:rFonts w:ascii="맑은 고딕" w:eastAsia="맑은 고딕" w:hAnsi="맑은 고딕" w:cs="굴림"/>
                <w:color w:val="000000"/>
                <w:spacing w:val="-14"/>
                <w:kern w:val="0"/>
                <w:sz w:val="18"/>
                <w:szCs w:val="18"/>
                <w14:ligatures w14:val="none"/>
              </w:rPr>
              <w:t>Ctax</w:t>
            </w:r>
          </w:p>
        </w:tc>
        <w:tc>
          <w:tcPr>
            <w:tcW w:w="882" w:type="dxa"/>
            <w:tcBorders>
              <w:top w:val="single" w:sz="4" w:space="0" w:color="auto"/>
              <w:bottom w:val="single" w:sz="4" w:space="0" w:color="auto"/>
            </w:tcBorders>
            <w:noWrap/>
            <w:tcMar>
              <w:left w:w="28" w:type="dxa"/>
              <w:right w:w="28" w:type="dxa"/>
            </w:tcMar>
            <w:vAlign w:val="center"/>
            <w:hideMark/>
          </w:tcPr>
          <w:p w14:paraId="20933F18" w14:textId="77777777" w:rsidR="002B2E91" w:rsidRPr="000F769A" w:rsidRDefault="002B2E91" w:rsidP="000F769A">
            <w:pPr>
              <w:widowControl/>
              <w:wordWrap/>
              <w:autoSpaceDE/>
              <w:autoSpaceDN/>
              <w:spacing w:after="0"/>
              <w:jc w:val="center"/>
              <w:rPr>
                <w:rFonts w:ascii="맑은 고딕" w:eastAsia="맑은 고딕" w:hAnsi="맑은 고딕" w:cs="굴림"/>
                <w:color w:val="000000"/>
                <w:spacing w:val="-14"/>
                <w:kern w:val="0"/>
                <w:sz w:val="18"/>
                <w:szCs w:val="18"/>
                <w14:ligatures w14:val="none"/>
              </w:rPr>
            </w:pPr>
            <w:r w:rsidRPr="000F769A">
              <w:rPr>
                <w:rFonts w:ascii="맑은 고딕" w:eastAsia="맑은 고딕" w:hAnsi="맑은 고딕" w:cs="굴림"/>
                <w:color w:val="000000"/>
                <w:spacing w:val="-14"/>
                <w:kern w:val="0"/>
                <w:sz w:val="18"/>
                <w:szCs w:val="18"/>
                <w14:ligatures w14:val="none"/>
              </w:rPr>
              <w:t>Cbam0</w:t>
            </w:r>
          </w:p>
        </w:tc>
        <w:tc>
          <w:tcPr>
            <w:tcW w:w="882" w:type="dxa"/>
            <w:tcBorders>
              <w:top w:val="single" w:sz="4" w:space="0" w:color="auto"/>
              <w:bottom w:val="single" w:sz="4" w:space="0" w:color="auto"/>
            </w:tcBorders>
            <w:noWrap/>
            <w:tcMar>
              <w:left w:w="28" w:type="dxa"/>
              <w:right w:w="28" w:type="dxa"/>
            </w:tcMar>
            <w:vAlign w:val="center"/>
            <w:hideMark/>
          </w:tcPr>
          <w:p w14:paraId="4BE837BC" w14:textId="77777777" w:rsidR="002B2E91" w:rsidRPr="000F769A" w:rsidRDefault="002B2E91" w:rsidP="000F769A">
            <w:pPr>
              <w:widowControl/>
              <w:wordWrap/>
              <w:autoSpaceDE/>
              <w:autoSpaceDN/>
              <w:spacing w:after="0"/>
              <w:jc w:val="center"/>
              <w:rPr>
                <w:rFonts w:ascii="맑은 고딕" w:eastAsia="맑은 고딕" w:hAnsi="맑은 고딕" w:cs="굴림"/>
                <w:color w:val="000000"/>
                <w:spacing w:val="-14"/>
                <w:kern w:val="0"/>
                <w:sz w:val="18"/>
                <w:szCs w:val="18"/>
                <w14:ligatures w14:val="none"/>
              </w:rPr>
            </w:pPr>
            <w:r w:rsidRPr="000F769A">
              <w:rPr>
                <w:rFonts w:ascii="맑은 고딕" w:eastAsia="맑은 고딕" w:hAnsi="맑은 고딕" w:cs="굴림"/>
                <w:color w:val="000000"/>
                <w:spacing w:val="-14"/>
                <w:kern w:val="0"/>
                <w:sz w:val="18"/>
                <w:szCs w:val="18"/>
                <w14:ligatures w14:val="none"/>
              </w:rPr>
              <w:t>Cbam</w:t>
            </w:r>
          </w:p>
        </w:tc>
        <w:tc>
          <w:tcPr>
            <w:tcW w:w="882" w:type="dxa"/>
            <w:tcBorders>
              <w:top w:val="single" w:sz="4" w:space="0" w:color="auto"/>
              <w:bottom w:val="single" w:sz="4" w:space="0" w:color="auto"/>
            </w:tcBorders>
            <w:noWrap/>
            <w:tcMar>
              <w:left w:w="28" w:type="dxa"/>
              <w:right w:w="28" w:type="dxa"/>
            </w:tcMar>
            <w:vAlign w:val="center"/>
            <w:hideMark/>
          </w:tcPr>
          <w:p w14:paraId="26AF1418" w14:textId="77777777" w:rsidR="002B2E91" w:rsidRPr="000F769A" w:rsidRDefault="002B2E91" w:rsidP="000F769A">
            <w:pPr>
              <w:widowControl/>
              <w:wordWrap/>
              <w:autoSpaceDE/>
              <w:autoSpaceDN/>
              <w:spacing w:after="0"/>
              <w:jc w:val="center"/>
              <w:rPr>
                <w:rFonts w:ascii="맑은 고딕" w:eastAsia="맑은 고딕" w:hAnsi="맑은 고딕" w:cs="굴림"/>
                <w:color w:val="000000"/>
                <w:spacing w:val="-14"/>
                <w:kern w:val="0"/>
                <w:sz w:val="18"/>
                <w:szCs w:val="18"/>
                <w14:ligatures w14:val="none"/>
              </w:rPr>
            </w:pPr>
            <w:r w:rsidRPr="000F769A">
              <w:rPr>
                <w:rFonts w:ascii="맑은 고딕" w:eastAsia="맑은 고딕" w:hAnsi="맑은 고딕" w:cs="굴림"/>
                <w:color w:val="000000"/>
                <w:spacing w:val="-14"/>
                <w:kern w:val="0"/>
                <w:sz w:val="18"/>
                <w:szCs w:val="18"/>
                <w14:ligatures w14:val="none"/>
              </w:rPr>
              <w:t>CbamK</w:t>
            </w:r>
          </w:p>
        </w:tc>
        <w:tc>
          <w:tcPr>
            <w:tcW w:w="882" w:type="dxa"/>
            <w:tcBorders>
              <w:top w:val="single" w:sz="4" w:space="0" w:color="auto"/>
              <w:bottom w:val="single" w:sz="4" w:space="0" w:color="auto"/>
            </w:tcBorders>
            <w:noWrap/>
            <w:tcMar>
              <w:left w:w="28" w:type="dxa"/>
              <w:right w:w="28" w:type="dxa"/>
            </w:tcMar>
            <w:vAlign w:val="center"/>
            <w:hideMark/>
          </w:tcPr>
          <w:p w14:paraId="25A2ACAB" w14:textId="77777777" w:rsidR="002B2E91" w:rsidRPr="000F769A" w:rsidRDefault="002B2E91" w:rsidP="000F769A">
            <w:pPr>
              <w:widowControl/>
              <w:wordWrap/>
              <w:autoSpaceDE/>
              <w:autoSpaceDN/>
              <w:spacing w:after="0"/>
              <w:jc w:val="center"/>
              <w:rPr>
                <w:rFonts w:ascii="맑은 고딕" w:eastAsia="맑은 고딕" w:hAnsi="맑은 고딕" w:cs="굴림"/>
                <w:color w:val="000000"/>
                <w:spacing w:val="-14"/>
                <w:kern w:val="0"/>
                <w:sz w:val="18"/>
                <w:szCs w:val="18"/>
                <w14:ligatures w14:val="none"/>
              </w:rPr>
            </w:pPr>
            <w:r w:rsidRPr="000F769A">
              <w:rPr>
                <w:rFonts w:ascii="맑은 고딕" w:eastAsia="맑은 고딕" w:hAnsi="맑은 고딕" w:cs="굴림"/>
                <w:color w:val="000000"/>
                <w:spacing w:val="-14"/>
                <w:kern w:val="0"/>
                <w:sz w:val="18"/>
                <w:szCs w:val="18"/>
                <w14:ligatures w14:val="none"/>
              </w:rPr>
              <w:t>CbamKG</w:t>
            </w:r>
          </w:p>
        </w:tc>
        <w:tc>
          <w:tcPr>
            <w:tcW w:w="882" w:type="dxa"/>
            <w:tcBorders>
              <w:top w:val="single" w:sz="4" w:space="0" w:color="auto"/>
              <w:bottom w:val="single" w:sz="4" w:space="0" w:color="auto"/>
            </w:tcBorders>
            <w:noWrap/>
            <w:tcMar>
              <w:left w:w="28" w:type="dxa"/>
              <w:right w:w="28" w:type="dxa"/>
            </w:tcMar>
            <w:vAlign w:val="center"/>
            <w:hideMark/>
          </w:tcPr>
          <w:p w14:paraId="6CC6EEB1" w14:textId="77777777" w:rsidR="002B2E91" w:rsidRPr="000F769A" w:rsidRDefault="002B2E91" w:rsidP="000F769A">
            <w:pPr>
              <w:widowControl/>
              <w:wordWrap/>
              <w:autoSpaceDE/>
              <w:autoSpaceDN/>
              <w:spacing w:after="0"/>
              <w:jc w:val="center"/>
              <w:rPr>
                <w:rFonts w:ascii="맑은 고딕" w:eastAsia="맑은 고딕" w:hAnsi="맑은 고딕" w:cs="굴림"/>
                <w:color w:val="000000"/>
                <w:spacing w:val="-14"/>
                <w:kern w:val="0"/>
                <w:sz w:val="18"/>
                <w:szCs w:val="18"/>
                <w14:ligatures w14:val="none"/>
              </w:rPr>
            </w:pPr>
            <w:r w:rsidRPr="000F769A">
              <w:rPr>
                <w:rFonts w:ascii="맑은 고딕" w:eastAsia="맑은 고딕" w:hAnsi="맑은 고딕" w:cs="굴림"/>
                <w:color w:val="000000"/>
                <w:spacing w:val="-14"/>
                <w:kern w:val="0"/>
                <w:sz w:val="18"/>
                <w:szCs w:val="18"/>
                <w14:ligatures w14:val="none"/>
              </w:rPr>
              <w:t>CbamEcp</w:t>
            </w:r>
          </w:p>
        </w:tc>
        <w:tc>
          <w:tcPr>
            <w:tcW w:w="882" w:type="dxa"/>
            <w:tcBorders>
              <w:top w:val="single" w:sz="4" w:space="0" w:color="auto"/>
              <w:bottom w:val="single" w:sz="4" w:space="0" w:color="auto"/>
            </w:tcBorders>
            <w:noWrap/>
            <w:tcMar>
              <w:left w:w="28" w:type="dxa"/>
              <w:right w:w="28" w:type="dxa"/>
            </w:tcMar>
            <w:vAlign w:val="center"/>
            <w:hideMark/>
          </w:tcPr>
          <w:p w14:paraId="26BFDC96" w14:textId="77777777" w:rsidR="002B2E91" w:rsidRPr="000F769A" w:rsidRDefault="002B2E91" w:rsidP="000F769A">
            <w:pPr>
              <w:widowControl/>
              <w:wordWrap/>
              <w:autoSpaceDE/>
              <w:autoSpaceDN/>
              <w:spacing w:after="0"/>
              <w:jc w:val="center"/>
              <w:rPr>
                <w:rFonts w:ascii="맑은 고딕" w:eastAsia="맑은 고딕" w:hAnsi="맑은 고딕" w:cs="굴림"/>
                <w:color w:val="000000"/>
                <w:spacing w:val="-20"/>
                <w:kern w:val="0"/>
                <w:sz w:val="18"/>
                <w:szCs w:val="18"/>
                <w14:ligatures w14:val="none"/>
              </w:rPr>
            </w:pPr>
            <w:r w:rsidRPr="000F769A">
              <w:rPr>
                <w:rFonts w:ascii="맑은 고딕" w:eastAsia="맑은 고딕" w:hAnsi="맑은 고딕" w:cs="굴림"/>
                <w:color w:val="000000"/>
                <w:spacing w:val="-20"/>
                <w:kern w:val="0"/>
                <w:sz w:val="18"/>
                <w:szCs w:val="18"/>
                <w14:ligatures w14:val="none"/>
              </w:rPr>
              <w:t>CbamEcpK</w:t>
            </w:r>
          </w:p>
        </w:tc>
        <w:tc>
          <w:tcPr>
            <w:tcW w:w="882" w:type="dxa"/>
            <w:tcBorders>
              <w:top w:val="single" w:sz="4" w:space="0" w:color="auto"/>
              <w:bottom w:val="single" w:sz="4" w:space="0" w:color="auto"/>
            </w:tcBorders>
            <w:noWrap/>
            <w:tcMar>
              <w:left w:w="28" w:type="dxa"/>
              <w:right w:w="28" w:type="dxa"/>
            </w:tcMar>
            <w:vAlign w:val="center"/>
            <w:hideMark/>
          </w:tcPr>
          <w:p w14:paraId="297E29B4" w14:textId="77777777" w:rsidR="002B2E91" w:rsidRPr="000F769A" w:rsidRDefault="002B2E91" w:rsidP="000F769A">
            <w:pPr>
              <w:widowControl/>
              <w:wordWrap/>
              <w:autoSpaceDE/>
              <w:autoSpaceDN/>
              <w:spacing w:after="0"/>
              <w:jc w:val="center"/>
              <w:rPr>
                <w:rFonts w:ascii="맑은 고딕" w:eastAsia="맑은 고딕" w:hAnsi="맑은 고딕" w:cs="굴림"/>
                <w:color w:val="000000"/>
                <w:spacing w:val="-20"/>
                <w:kern w:val="0"/>
                <w:sz w:val="18"/>
                <w:szCs w:val="18"/>
                <w14:ligatures w14:val="none"/>
              </w:rPr>
            </w:pPr>
            <w:r w:rsidRPr="000F769A">
              <w:rPr>
                <w:rFonts w:ascii="맑은 고딕" w:eastAsia="맑은 고딕" w:hAnsi="맑은 고딕" w:cs="굴림"/>
                <w:color w:val="000000"/>
                <w:spacing w:val="-20"/>
                <w:kern w:val="0"/>
                <w:sz w:val="18"/>
                <w:szCs w:val="18"/>
                <w14:ligatures w14:val="none"/>
              </w:rPr>
              <w:t>CbamEcpKG</w:t>
            </w:r>
          </w:p>
        </w:tc>
        <w:tc>
          <w:tcPr>
            <w:tcW w:w="882" w:type="dxa"/>
            <w:tcBorders>
              <w:top w:val="single" w:sz="4" w:space="0" w:color="auto"/>
              <w:bottom w:val="single" w:sz="4" w:space="0" w:color="auto"/>
            </w:tcBorders>
            <w:noWrap/>
            <w:tcMar>
              <w:left w:w="28" w:type="dxa"/>
              <w:right w:w="28" w:type="dxa"/>
            </w:tcMar>
            <w:vAlign w:val="center"/>
            <w:hideMark/>
          </w:tcPr>
          <w:p w14:paraId="6812B59B" w14:textId="77777777" w:rsidR="002B2E91" w:rsidRPr="000F769A" w:rsidRDefault="002B2E91" w:rsidP="000F769A">
            <w:pPr>
              <w:widowControl/>
              <w:wordWrap/>
              <w:autoSpaceDE/>
              <w:autoSpaceDN/>
              <w:spacing w:after="0"/>
              <w:jc w:val="center"/>
              <w:rPr>
                <w:rFonts w:ascii="맑은 고딕" w:eastAsia="맑은 고딕" w:hAnsi="맑은 고딕" w:cs="굴림"/>
                <w:color w:val="000000"/>
                <w:spacing w:val="-20"/>
                <w:kern w:val="0"/>
                <w:sz w:val="18"/>
                <w:szCs w:val="18"/>
                <w14:ligatures w14:val="none"/>
              </w:rPr>
            </w:pPr>
            <w:r w:rsidRPr="000F769A">
              <w:rPr>
                <w:rFonts w:ascii="맑은 고딕" w:eastAsia="맑은 고딕" w:hAnsi="맑은 고딕" w:cs="굴림"/>
                <w:color w:val="000000"/>
                <w:spacing w:val="-20"/>
                <w:kern w:val="0"/>
                <w:sz w:val="18"/>
                <w:szCs w:val="18"/>
                <w14:ligatures w14:val="none"/>
              </w:rPr>
              <w:t>CbamEcp2w</w:t>
            </w:r>
          </w:p>
        </w:tc>
      </w:tr>
      <w:tr w:rsidR="000F769A" w:rsidRPr="002B2E91" w14:paraId="5F7C7526" w14:textId="77777777" w:rsidTr="000F769A">
        <w:trPr>
          <w:trHeight w:val="352"/>
        </w:trPr>
        <w:tc>
          <w:tcPr>
            <w:tcW w:w="1276" w:type="dxa"/>
            <w:gridSpan w:val="2"/>
            <w:tcBorders>
              <w:top w:val="single" w:sz="4" w:space="0" w:color="auto"/>
            </w:tcBorders>
            <w:noWrap/>
            <w:vAlign w:val="center"/>
            <w:hideMark/>
          </w:tcPr>
          <w:p w14:paraId="27AAF5A8" w14:textId="232200B1" w:rsidR="000F769A" w:rsidRPr="000F769A" w:rsidRDefault="000F769A" w:rsidP="002B2E91">
            <w:pPr>
              <w:widowControl/>
              <w:wordWrap/>
              <w:autoSpaceDE/>
              <w:autoSpaceDN/>
              <w:spacing w:after="0"/>
              <w:rPr>
                <w:rFonts w:ascii="맑은 고딕" w:eastAsia="맑은 고딕" w:hAnsi="맑은 고딕" w:cs="굴림"/>
                <w:b/>
                <w:bCs/>
                <w:color w:val="000000"/>
                <w:kern w:val="0"/>
                <w:sz w:val="18"/>
                <w:szCs w:val="18"/>
                <w14:ligatures w14:val="none"/>
              </w:rPr>
            </w:pPr>
            <w:r w:rsidRPr="000F769A">
              <w:rPr>
                <w:rFonts w:ascii="맑은 고딕" w:eastAsia="맑은 고딕" w:hAnsi="맑은 고딕" w:cs="굴림"/>
                <w:b/>
                <w:bCs/>
                <w:color w:val="000000"/>
                <w:kern w:val="0"/>
                <w:sz w:val="18"/>
                <w:szCs w:val="18"/>
                <w14:ligatures w14:val="none"/>
              </w:rPr>
              <w:t>RGDP(rs)</w:t>
            </w:r>
          </w:p>
        </w:tc>
        <w:tc>
          <w:tcPr>
            <w:tcW w:w="882" w:type="dxa"/>
            <w:tcBorders>
              <w:top w:val="single" w:sz="4" w:space="0" w:color="auto"/>
            </w:tcBorders>
            <w:noWrap/>
            <w:vAlign w:val="center"/>
            <w:hideMark/>
          </w:tcPr>
          <w:p w14:paraId="649F01F3" w14:textId="77777777" w:rsidR="000F769A" w:rsidRPr="002B2E91" w:rsidRDefault="000F769A"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-0.08%</w:t>
            </w:r>
          </w:p>
        </w:tc>
        <w:tc>
          <w:tcPr>
            <w:tcW w:w="882" w:type="dxa"/>
            <w:tcBorders>
              <w:top w:val="single" w:sz="4" w:space="0" w:color="auto"/>
            </w:tcBorders>
            <w:noWrap/>
            <w:vAlign w:val="center"/>
            <w:hideMark/>
          </w:tcPr>
          <w:p w14:paraId="431AB1E7" w14:textId="77777777" w:rsidR="000F769A" w:rsidRPr="002B2E91" w:rsidRDefault="000F769A"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-0.08%</w:t>
            </w:r>
          </w:p>
        </w:tc>
        <w:tc>
          <w:tcPr>
            <w:tcW w:w="882" w:type="dxa"/>
            <w:tcBorders>
              <w:top w:val="single" w:sz="4" w:space="0" w:color="auto"/>
            </w:tcBorders>
            <w:noWrap/>
            <w:vAlign w:val="center"/>
            <w:hideMark/>
          </w:tcPr>
          <w:p w14:paraId="7227B099" w14:textId="77777777" w:rsidR="000F769A" w:rsidRPr="002B2E91" w:rsidRDefault="000F769A"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-0.12%</w:t>
            </w:r>
          </w:p>
        </w:tc>
        <w:tc>
          <w:tcPr>
            <w:tcW w:w="882" w:type="dxa"/>
            <w:tcBorders>
              <w:top w:val="single" w:sz="4" w:space="0" w:color="auto"/>
            </w:tcBorders>
            <w:noWrap/>
            <w:vAlign w:val="center"/>
            <w:hideMark/>
          </w:tcPr>
          <w:p w14:paraId="77AEDAEF" w14:textId="77777777" w:rsidR="000F769A" w:rsidRPr="002B2E91" w:rsidRDefault="000F769A"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-0.14%</w:t>
            </w:r>
          </w:p>
        </w:tc>
        <w:tc>
          <w:tcPr>
            <w:tcW w:w="882" w:type="dxa"/>
            <w:tcBorders>
              <w:top w:val="single" w:sz="4" w:space="0" w:color="auto"/>
            </w:tcBorders>
            <w:noWrap/>
            <w:vAlign w:val="center"/>
            <w:hideMark/>
          </w:tcPr>
          <w:p w14:paraId="0A11FEAF" w14:textId="77777777" w:rsidR="000F769A" w:rsidRPr="002B2E91" w:rsidRDefault="000F769A"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-0.15%</w:t>
            </w:r>
          </w:p>
        </w:tc>
        <w:tc>
          <w:tcPr>
            <w:tcW w:w="882" w:type="dxa"/>
            <w:tcBorders>
              <w:top w:val="single" w:sz="4" w:space="0" w:color="auto"/>
            </w:tcBorders>
            <w:noWrap/>
            <w:vAlign w:val="center"/>
            <w:hideMark/>
          </w:tcPr>
          <w:p w14:paraId="6F643CCA" w14:textId="77777777" w:rsidR="000F769A" w:rsidRPr="002B2E91" w:rsidRDefault="000F769A"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-0.11%</w:t>
            </w:r>
          </w:p>
        </w:tc>
        <w:tc>
          <w:tcPr>
            <w:tcW w:w="882" w:type="dxa"/>
            <w:tcBorders>
              <w:top w:val="single" w:sz="4" w:space="0" w:color="auto"/>
            </w:tcBorders>
            <w:noWrap/>
            <w:vAlign w:val="center"/>
            <w:hideMark/>
          </w:tcPr>
          <w:p w14:paraId="737CFA94" w14:textId="77777777" w:rsidR="000F769A" w:rsidRPr="002B2E91" w:rsidRDefault="000F769A"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-0.11%</w:t>
            </w:r>
          </w:p>
        </w:tc>
        <w:tc>
          <w:tcPr>
            <w:tcW w:w="882" w:type="dxa"/>
            <w:tcBorders>
              <w:top w:val="single" w:sz="4" w:space="0" w:color="auto"/>
            </w:tcBorders>
            <w:noWrap/>
            <w:vAlign w:val="center"/>
            <w:hideMark/>
          </w:tcPr>
          <w:p w14:paraId="1CA600DF" w14:textId="77777777" w:rsidR="000F769A" w:rsidRPr="002B2E91" w:rsidRDefault="000F769A"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-0.12%</w:t>
            </w:r>
          </w:p>
        </w:tc>
        <w:tc>
          <w:tcPr>
            <w:tcW w:w="882" w:type="dxa"/>
            <w:tcBorders>
              <w:top w:val="single" w:sz="4" w:space="0" w:color="auto"/>
            </w:tcBorders>
            <w:noWrap/>
            <w:vAlign w:val="center"/>
            <w:hideMark/>
          </w:tcPr>
          <w:p w14:paraId="277C1D4A" w14:textId="77777777" w:rsidR="000F769A" w:rsidRPr="002B2E91" w:rsidRDefault="000F769A"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-0.08%</w:t>
            </w:r>
          </w:p>
        </w:tc>
      </w:tr>
      <w:tr w:rsidR="002B2E91" w:rsidRPr="002B2E91" w14:paraId="0A9E537E" w14:textId="77777777" w:rsidTr="000F769A">
        <w:trPr>
          <w:trHeight w:val="352"/>
        </w:trPr>
        <w:tc>
          <w:tcPr>
            <w:tcW w:w="567" w:type="dxa"/>
            <w:noWrap/>
            <w:vAlign w:val="center"/>
            <w:hideMark/>
          </w:tcPr>
          <w:p w14:paraId="44A727C5" w14:textId="63BC7525" w:rsidR="002B2E91" w:rsidRPr="002B2E91" w:rsidRDefault="00B7554D" w:rsidP="002B2E91">
            <w:pPr>
              <w:widowControl/>
              <w:wordWrap/>
              <w:autoSpaceDE/>
              <w:autoSpaceDN/>
              <w:spacing w:after="0"/>
              <w:rPr>
                <w:rFonts w:ascii="맑은 고딕" w:eastAsia="맑은 고딕" w:hAnsi="맑은 고딕" w:cs="굴림"/>
                <w:color w:val="000000"/>
                <w:kern w:val="0"/>
                <w:sz w:val="18"/>
                <w:szCs w:val="18"/>
                <w14:ligatures w14:val="none"/>
              </w:rPr>
            </w:pPr>
            <w:r>
              <w:rPr>
                <w:rFonts w:ascii="맑은 고딕" w:eastAsia="맑은 고딕" w:hAnsi="맑은 고딕" w:cs="굴림" w:hint="eastAsia"/>
                <w:color w:val="000000"/>
                <w:kern w:val="0"/>
                <w:sz w:val="18"/>
                <w:szCs w:val="18"/>
                <w14:ligatures w14:val="none"/>
              </w:rPr>
              <w:t>DC</w:t>
            </w:r>
          </w:p>
        </w:tc>
        <w:tc>
          <w:tcPr>
            <w:tcW w:w="709" w:type="dxa"/>
            <w:noWrap/>
            <w:vAlign w:val="center"/>
            <w:hideMark/>
          </w:tcPr>
          <w:p w14:paraId="5BAD78CC" w14:textId="77777777" w:rsidR="002B2E91" w:rsidRPr="002B2E91" w:rsidRDefault="002B2E91" w:rsidP="002B2E91">
            <w:pPr>
              <w:widowControl/>
              <w:wordWrap/>
              <w:autoSpaceDE/>
              <w:autoSpaceDN/>
              <w:spacing w:after="0"/>
              <w:rPr>
                <w:rFonts w:ascii="맑은 고딕" w:eastAsia="맑은 고딕" w:hAnsi="맑은 고딕" w:cs="굴림"/>
                <w:color w:val="000000"/>
                <w:kern w:val="0"/>
                <w:sz w:val="18"/>
                <w:szCs w:val="18"/>
                <w14:ligatures w14:val="none"/>
              </w:rPr>
            </w:pPr>
          </w:p>
        </w:tc>
        <w:tc>
          <w:tcPr>
            <w:tcW w:w="882" w:type="dxa"/>
            <w:noWrap/>
            <w:vAlign w:val="center"/>
            <w:hideMark/>
          </w:tcPr>
          <w:p w14:paraId="290007D9"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-0.01%</w:t>
            </w:r>
          </w:p>
        </w:tc>
        <w:tc>
          <w:tcPr>
            <w:tcW w:w="882" w:type="dxa"/>
            <w:noWrap/>
            <w:vAlign w:val="center"/>
            <w:hideMark/>
          </w:tcPr>
          <w:p w14:paraId="0139CC3A"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-0.04%</w:t>
            </w:r>
          </w:p>
        </w:tc>
        <w:tc>
          <w:tcPr>
            <w:tcW w:w="882" w:type="dxa"/>
            <w:noWrap/>
            <w:vAlign w:val="center"/>
            <w:hideMark/>
          </w:tcPr>
          <w:p w14:paraId="215C8FFC"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-0.18%</w:t>
            </w:r>
          </w:p>
        </w:tc>
        <w:tc>
          <w:tcPr>
            <w:tcW w:w="882" w:type="dxa"/>
            <w:noWrap/>
            <w:vAlign w:val="center"/>
            <w:hideMark/>
          </w:tcPr>
          <w:p w14:paraId="770C71E3"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-0.29%</w:t>
            </w:r>
          </w:p>
        </w:tc>
        <w:tc>
          <w:tcPr>
            <w:tcW w:w="882" w:type="dxa"/>
            <w:noWrap/>
            <w:vAlign w:val="center"/>
            <w:hideMark/>
          </w:tcPr>
          <w:p w14:paraId="337A17C6"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-0.32%</w:t>
            </w:r>
          </w:p>
        </w:tc>
        <w:tc>
          <w:tcPr>
            <w:tcW w:w="882" w:type="dxa"/>
            <w:noWrap/>
            <w:vAlign w:val="center"/>
            <w:hideMark/>
          </w:tcPr>
          <w:p w14:paraId="6DEEE45D"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-0.12%</w:t>
            </w:r>
          </w:p>
        </w:tc>
        <w:tc>
          <w:tcPr>
            <w:tcW w:w="882" w:type="dxa"/>
            <w:noWrap/>
            <w:vAlign w:val="center"/>
            <w:hideMark/>
          </w:tcPr>
          <w:p w14:paraId="00BBB109"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-0.16%</w:t>
            </w:r>
          </w:p>
        </w:tc>
        <w:tc>
          <w:tcPr>
            <w:tcW w:w="882" w:type="dxa"/>
            <w:noWrap/>
            <w:vAlign w:val="center"/>
            <w:hideMark/>
          </w:tcPr>
          <w:p w14:paraId="3B835374"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-0.17%</w:t>
            </w:r>
          </w:p>
        </w:tc>
        <w:tc>
          <w:tcPr>
            <w:tcW w:w="882" w:type="dxa"/>
            <w:noWrap/>
            <w:vAlign w:val="center"/>
            <w:hideMark/>
          </w:tcPr>
          <w:p w14:paraId="382550ED"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-0.14%</w:t>
            </w:r>
          </w:p>
        </w:tc>
      </w:tr>
      <w:tr w:rsidR="002B2E91" w:rsidRPr="002B2E91" w14:paraId="39D7B28E" w14:textId="77777777" w:rsidTr="000F769A">
        <w:trPr>
          <w:trHeight w:val="352"/>
        </w:trPr>
        <w:tc>
          <w:tcPr>
            <w:tcW w:w="567" w:type="dxa"/>
            <w:noWrap/>
            <w:vAlign w:val="center"/>
            <w:hideMark/>
          </w:tcPr>
          <w:p w14:paraId="76F5AF82"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p>
        </w:tc>
        <w:tc>
          <w:tcPr>
            <w:tcW w:w="709" w:type="dxa"/>
            <w:noWrap/>
            <w:vAlign w:val="center"/>
            <w:hideMark/>
          </w:tcPr>
          <w:p w14:paraId="4A5B0AE8" w14:textId="77777777" w:rsidR="002B2E91" w:rsidRPr="002B2E91" w:rsidRDefault="002B2E91" w:rsidP="002B2E91">
            <w:pPr>
              <w:widowControl/>
              <w:wordWrap/>
              <w:autoSpaceDE/>
              <w:autoSpaceDN/>
              <w:spacing w:after="0"/>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LAM</w:t>
            </w:r>
          </w:p>
        </w:tc>
        <w:tc>
          <w:tcPr>
            <w:tcW w:w="882" w:type="dxa"/>
            <w:noWrap/>
            <w:vAlign w:val="center"/>
            <w:hideMark/>
          </w:tcPr>
          <w:p w14:paraId="21BE49B7"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-0.02%</w:t>
            </w:r>
          </w:p>
        </w:tc>
        <w:tc>
          <w:tcPr>
            <w:tcW w:w="882" w:type="dxa"/>
            <w:noWrap/>
            <w:vAlign w:val="center"/>
            <w:hideMark/>
          </w:tcPr>
          <w:p w14:paraId="1C1EA662"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-0.05%</w:t>
            </w:r>
          </w:p>
        </w:tc>
        <w:tc>
          <w:tcPr>
            <w:tcW w:w="882" w:type="dxa"/>
            <w:noWrap/>
            <w:vAlign w:val="center"/>
            <w:hideMark/>
          </w:tcPr>
          <w:p w14:paraId="5EE1BA38"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-0.11%</w:t>
            </w:r>
          </w:p>
        </w:tc>
        <w:tc>
          <w:tcPr>
            <w:tcW w:w="882" w:type="dxa"/>
            <w:noWrap/>
            <w:vAlign w:val="center"/>
            <w:hideMark/>
          </w:tcPr>
          <w:p w14:paraId="14B1CE2A"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-0.18%</w:t>
            </w:r>
          </w:p>
        </w:tc>
        <w:tc>
          <w:tcPr>
            <w:tcW w:w="882" w:type="dxa"/>
            <w:noWrap/>
            <w:vAlign w:val="center"/>
            <w:hideMark/>
          </w:tcPr>
          <w:p w14:paraId="043ED03E"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-0.21%</w:t>
            </w:r>
          </w:p>
        </w:tc>
        <w:tc>
          <w:tcPr>
            <w:tcW w:w="882" w:type="dxa"/>
            <w:noWrap/>
            <w:vAlign w:val="center"/>
            <w:hideMark/>
          </w:tcPr>
          <w:p w14:paraId="78C789BA"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-0.09%</w:t>
            </w:r>
          </w:p>
        </w:tc>
        <w:tc>
          <w:tcPr>
            <w:tcW w:w="882" w:type="dxa"/>
            <w:noWrap/>
            <w:vAlign w:val="center"/>
            <w:hideMark/>
          </w:tcPr>
          <w:p w14:paraId="19FB8F0C"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-0.10%</w:t>
            </w:r>
          </w:p>
        </w:tc>
        <w:tc>
          <w:tcPr>
            <w:tcW w:w="882" w:type="dxa"/>
            <w:noWrap/>
            <w:vAlign w:val="center"/>
            <w:hideMark/>
          </w:tcPr>
          <w:p w14:paraId="62AB772E"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-0.11%</w:t>
            </w:r>
          </w:p>
        </w:tc>
        <w:tc>
          <w:tcPr>
            <w:tcW w:w="882" w:type="dxa"/>
            <w:noWrap/>
            <w:vAlign w:val="center"/>
            <w:hideMark/>
          </w:tcPr>
          <w:p w14:paraId="670805E9"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-0.09%</w:t>
            </w:r>
          </w:p>
        </w:tc>
      </w:tr>
      <w:tr w:rsidR="002B2E91" w:rsidRPr="002B2E91" w14:paraId="1DD759D0" w14:textId="77777777" w:rsidTr="000F769A">
        <w:trPr>
          <w:trHeight w:val="352"/>
        </w:trPr>
        <w:tc>
          <w:tcPr>
            <w:tcW w:w="567" w:type="dxa"/>
            <w:noWrap/>
            <w:vAlign w:val="center"/>
            <w:hideMark/>
          </w:tcPr>
          <w:p w14:paraId="22E9D58B"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p>
        </w:tc>
        <w:tc>
          <w:tcPr>
            <w:tcW w:w="709" w:type="dxa"/>
            <w:noWrap/>
            <w:vAlign w:val="center"/>
            <w:hideMark/>
          </w:tcPr>
          <w:p w14:paraId="7FB1F4CF" w14:textId="77777777" w:rsidR="002B2E91" w:rsidRPr="002B2E91" w:rsidRDefault="002B2E91" w:rsidP="002B2E91">
            <w:pPr>
              <w:widowControl/>
              <w:wordWrap/>
              <w:autoSpaceDE/>
              <w:autoSpaceDN/>
              <w:spacing w:after="0"/>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AFR</w:t>
            </w:r>
          </w:p>
        </w:tc>
        <w:tc>
          <w:tcPr>
            <w:tcW w:w="882" w:type="dxa"/>
            <w:noWrap/>
            <w:vAlign w:val="center"/>
            <w:hideMark/>
          </w:tcPr>
          <w:p w14:paraId="690995B1"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0.03%</w:t>
            </w:r>
          </w:p>
        </w:tc>
        <w:tc>
          <w:tcPr>
            <w:tcW w:w="882" w:type="dxa"/>
            <w:noWrap/>
            <w:vAlign w:val="center"/>
            <w:hideMark/>
          </w:tcPr>
          <w:p w14:paraId="2FC0A81B"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-0.01%</w:t>
            </w:r>
          </w:p>
        </w:tc>
        <w:tc>
          <w:tcPr>
            <w:tcW w:w="882" w:type="dxa"/>
            <w:noWrap/>
            <w:vAlign w:val="center"/>
            <w:hideMark/>
          </w:tcPr>
          <w:p w14:paraId="0CFDD081"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-0.08%</w:t>
            </w:r>
          </w:p>
        </w:tc>
        <w:tc>
          <w:tcPr>
            <w:tcW w:w="882" w:type="dxa"/>
            <w:noWrap/>
            <w:vAlign w:val="center"/>
            <w:hideMark/>
          </w:tcPr>
          <w:p w14:paraId="00349D4A"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-0.21%</w:t>
            </w:r>
          </w:p>
        </w:tc>
        <w:tc>
          <w:tcPr>
            <w:tcW w:w="882" w:type="dxa"/>
            <w:noWrap/>
            <w:vAlign w:val="center"/>
            <w:hideMark/>
          </w:tcPr>
          <w:p w14:paraId="7D82CABD"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-0.23%</w:t>
            </w:r>
          </w:p>
        </w:tc>
        <w:tc>
          <w:tcPr>
            <w:tcW w:w="882" w:type="dxa"/>
            <w:noWrap/>
            <w:vAlign w:val="center"/>
            <w:hideMark/>
          </w:tcPr>
          <w:p w14:paraId="1DA8B0F8"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-0.06%</w:t>
            </w:r>
          </w:p>
        </w:tc>
        <w:tc>
          <w:tcPr>
            <w:tcW w:w="882" w:type="dxa"/>
            <w:noWrap/>
            <w:vAlign w:val="center"/>
            <w:hideMark/>
          </w:tcPr>
          <w:p w14:paraId="6B99E924"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-0.12%</w:t>
            </w:r>
          </w:p>
        </w:tc>
        <w:tc>
          <w:tcPr>
            <w:tcW w:w="882" w:type="dxa"/>
            <w:noWrap/>
            <w:vAlign w:val="center"/>
            <w:hideMark/>
          </w:tcPr>
          <w:p w14:paraId="0A91FC1F"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-0.12%</w:t>
            </w:r>
          </w:p>
        </w:tc>
        <w:tc>
          <w:tcPr>
            <w:tcW w:w="882" w:type="dxa"/>
            <w:noWrap/>
            <w:vAlign w:val="center"/>
            <w:hideMark/>
          </w:tcPr>
          <w:p w14:paraId="1D81F66C"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-0.05%</w:t>
            </w:r>
          </w:p>
        </w:tc>
      </w:tr>
      <w:tr w:rsidR="002B2E91" w:rsidRPr="002B2E91" w14:paraId="4301CF78" w14:textId="77777777" w:rsidTr="000F769A">
        <w:trPr>
          <w:trHeight w:val="352"/>
        </w:trPr>
        <w:tc>
          <w:tcPr>
            <w:tcW w:w="567" w:type="dxa"/>
            <w:noWrap/>
            <w:vAlign w:val="center"/>
            <w:hideMark/>
          </w:tcPr>
          <w:p w14:paraId="699D4C76"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p>
        </w:tc>
        <w:tc>
          <w:tcPr>
            <w:tcW w:w="709" w:type="dxa"/>
            <w:noWrap/>
            <w:vAlign w:val="center"/>
            <w:hideMark/>
          </w:tcPr>
          <w:p w14:paraId="528B4B25" w14:textId="77777777" w:rsidR="002B2E91" w:rsidRPr="002B2E91" w:rsidRDefault="002B2E91" w:rsidP="002B2E91">
            <w:pPr>
              <w:widowControl/>
              <w:wordWrap/>
              <w:autoSpaceDE/>
              <w:autoSpaceDN/>
              <w:spacing w:after="0"/>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APC</w:t>
            </w:r>
          </w:p>
        </w:tc>
        <w:tc>
          <w:tcPr>
            <w:tcW w:w="882" w:type="dxa"/>
            <w:noWrap/>
            <w:vAlign w:val="center"/>
            <w:hideMark/>
          </w:tcPr>
          <w:p w14:paraId="44CEA315"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-0.01%</w:t>
            </w:r>
          </w:p>
        </w:tc>
        <w:tc>
          <w:tcPr>
            <w:tcW w:w="882" w:type="dxa"/>
            <w:noWrap/>
            <w:vAlign w:val="center"/>
            <w:hideMark/>
          </w:tcPr>
          <w:p w14:paraId="465331E6"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-0.04%</w:t>
            </w:r>
          </w:p>
        </w:tc>
        <w:tc>
          <w:tcPr>
            <w:tcW w:w="882" w:type="dxa"/>
            <w:noWrap/>
            <w:vAlign w:val="center"/>
            <w:hideMark/>
          </w:tcPr>
          <w:p w14:paraId="00AE1329"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-0.22%</w:t>
            </w:r>
          </w:p>
        </w:tc>
        <w:tc>
          <w:tcPr>
            <w:tcW w:w="882" w:type="dxa"/>
            <w:noWrap/>
            <w:vAlign w:val="center"/>
            <w:hideMark/>
          </w:tcPr>
          <w:p w14:paraId="3121ADC3"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-0.32%</w:t>
            </w:r>
          </w:p>
        </w:tc>
        <w:tc>
          <w:tcPr>
            <w:tcW w:w="882" w:type="dxa"/>
            <w:noWrap/>
            <w:vAlign w:val="center"/>
            <w:hideMark/>
          </w:tcPr>
          <w:p w14:paraId="7413EF93"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-0.36%</w:t>
            </w:r>
          </w:p>
        </w:tc>
        <w:tc>
          <w:tcPr>
            <w:tcW w:w="882" w:type="dxa"/>
            <w:noWrap/>
            <w:vAlign w:val="center"/>
            <w:hideMark/>
          </w:tcPr>
          <w:p w14:paraId="3BDAC8A9"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-0.15%</w:t>
            </w:r>
          </w:p>
        </w:tc>
        <w:tc>
          <w:tcPr>
            <w:tcW w:w="882" w:type="dxa"/>
            <w:noWrap/>
            <w:vAlign w:val="center"/>
            <w:hideMark/>
          </w:tcPr>
          <w:p w14:paraId="5350CCFE"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-0.17%</w:t>
            </w:r>
          </w:p>
        </w:tc>
        <w:tc>
          <w:tcPr>
            <w:tcW w:w="882" w:type="dxa"/>
            <w:noWrap/>
            <w:vAlign w:val="center"/>
            <w:hideMark/>
          </w:tcPr>
          <w:p w14:paraId="5DD4FEB1"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-0.18%</w:t>
            </w:r>
          </w:p>
        </w:tc>
        <w:tc>
          <w:tcPr>
            <w:tcW w:w="882" w:type="dxa"/>
            <w:noWrap/>
            <w:vAlign w:val="center"/>
            <w:hideMark/>
          </w:tcPr>
          <w:p w14:paraId="4F3BC502"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-0.17%</w:t>
            </w:r>
          </w:p>
        </w:tc>
      </w:tr>
      <w:tr w:rsidR="002B2E91" w:rsidRPr="002B2E91" w14:paraId="0FF802B0" w14:textId="77777777" w:rsidTr="000F769A">
        <w:trPr>
          <w:trHeight w:val="352"/>
        </w:trPr>
        <w:tc>
          <w:tcPr>
            <w:tcW w:w="567" w:type="dxa"/>
            <w:noWrap/>
            <w:vAlign w:val="center"/>
            <w:hideMark/>
          </w:tcPr>
          <w:p w14:paraId="3780FE18"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p>
        </w:tc>
        <w:tc>
          <w:tcPr>
            <w:tcW w:w="709" w:type="dxa"/>
            <w:noWrap/>
            <w:vAlign w:val="center"/>
            <w:hideMark/>
          </w:tcPr>
          <w:p w14:paraId="6AA0ADD7" w14:textId="77777777" w:rsidR="002B2E91" w:rsidRPr="002B2E91" w:rsidRDefault="002B2E91" w:rsidP="002B2E91">
            <w:pPr>
              <w:widowControl/>
              <w:wordWrap/>
              <w:autoSpaceDE/>
              <w:autoSpaceDN/>
              <w:spacing w:after="0"/>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EEA</w:t>
            </w:r>
          </w:p>
        </w:tc>
        <w:tc>
          <w:tcPr>
            <w:tcW w:w="882" w:type="dxa"/>
            <w:noWrap/>
            <w:vAlign w:val="center"/>
            <w:hideMark/>
          </w:tcPr>
          <w:p w14:paraId="313A0A1E"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0.04%</w:t>
            </w:r>
          </w:p>
        </w:tc>
        <w:tc>
          <w:tcPr>
            <w:tcW w:w="882" w:type="dxa"/>
            <w:noWrap/>
            <w:vAlign w:val="center"/>
            <w:hideMark/>
          </w:tcPr>
          <w:p w14:paraId="1AA2E1CA"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0.01%</w:t>
            </w:r>
          </w:p>
        </w:tc>
        <w:tc>
          <w:tcPr>
            <w:tcW w:w="882" w:type="dxa"/>
            <w:noWrap/>
            <w:vAlign w:val="center"/>
            <w:hideMark/>
          </w:tcPr>
          <w:p w14:paraId="75BCC165"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-0.14%</w:t>
            </w:r>
          </w:p>
        </w:tc>
        <w:tc>
          <w:tcPr>
            <w:tcW w:w="882" w:type="dxa"/>
            <w:noWrap/>
            <w:vAlign w:val="center"/>
            <w:hideMark/>
          </w:tcPr>
          <w:p w14:paraId="655436AD"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-0.31%</w:t>
            </w:r>
          </w:p>
        </w:tc>
        <w:tc>
          <w:tcPr>
            <w:tcW w:w="882" w:type="dxa"/>
            <w:noWrap/>
            <w:vAlign w:val="center"/>
            <w:hideMark/>
          </w:tcPr>
          <w:p w14:paraId="6AC275C5"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-0.33%</w:t>
            </w:r>
          </w:p>
        </w:tc>
        <w:tc>
          <w:tcPr>
            <w:tcW w:w="882" w:type="dxa"/>
            <w:noWrap/>
            <w:vAlign w:val="center"/>
            <w:hideMark/>
          </w:tcPr>
          <w:p w14:paraId="412CE820"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-0.11%</w:t>
            </w:r>
          </w:p>
        </w:tc>
        <w:tc>
          <w:tcPr>
            <w:tcW w:w="882" w:type="dxa"/>
            <w:noWrap/>
            <w:vAlign w:val="center"/>
            <w:hideMark/>
          </w:tcPr>
          <w:p w14:paraId="72D1DA21"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-0.19%</w:t>
            </w:r>
          </w:p>
        </w:tc>
        <w:tc>
          <w:tcPr>
            <w:tcW w:w="882" w:type="dxa"/>
            <w:noWrap/>
            <w:vAlign w:val="center"/>
            <w:hideMark/>
          </w:tcPr>
          <w:p w14:paraId="77AA2144"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-0.19%</w:t>
            </w:r>
          </w:p>
        </w:tc>
        <w:tc>
          <w:tcPr>
            <w:tcW w:w="882" w:type="dxa"/>
            <w:noWrap/>
            <w:vAlign w:val="center"/>
            <w:hideMark/>
          </w:tcPr>
          <w:p w14:paraId="54CB2284"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-0.13%</w:t>
            </w:r>
          </w:p>
        </w:tc>
      </w:tr>
      <w:tr w:rsidR="002B2E91" w:rsidRPr="002B2E91" w14:paraId="27E5C47C" w14:textId="77777777" w:rsidTr="000F769A">
        <w:trPr>
          <w:trHeight w:val="352"/>
        </w:trPr>
        <w:tc>
          <w:tcPr>
            <w:tcW w:w="567" w:type="dxa"/>
            <w:noWrap/>
            <w:vAlign w:val="center"/>
            <w:hideMark/>
          </w:tcPr>
          <w:p w14:paraId="388BE085"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p>
        </w:tc>
        <w:tc>
          <w:tcPr>
            <w:tcW w:w="709" w:type="dxa"/>
            <w:noWrap/>
            <w:vAlign w:val="center"/>
            <w:hideMark/>
          </w:tcPr>
          <w:p w14:paraId="69312C33" w14:textId="77777777" w:rsidR="002B2E91" w:rsidRPr="002B2E91" w:rsidRDefault="002B2E91" w:rsidP="002B2E91">
            <w:pPr>
              <w:widowControl/>
              <w:wordWrap/>
              <w:autoSpaceDE/>
              <w:autoSpaceDN/>
              <w:spacing w:after="0"/>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ME</w:t>
            </w:r>
          </w:p>
        </w:tc>
        <w:tc>
          <w:tcPr>
            <w:tcW w:w="882" w:type="dxa"/>
            <w:noWrap/>
            <w:vAlign w:val="center"/>
            <w:hideMark/>
          </w:tcPr>
          <w:p w14:paraId="1E799139"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-0.02%</w:t>
            </w:r>
          </w:p>
        </w:tc>
        <w:tc>
          <w:tcPr>
            <w:tcW w:w="882" w:type="dxa"/>
            <w:noWrap/>
            <w:vAlign w:val="center"/>
            <w:hideMark/>
          </w:tcPr>
          <w:p w14:paraId="38C4F260"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-0.04%</w:t>
            </w:r>
          </w:p>
        </w:tc>
        <w:tc>
          <w:tcPr>
            <w:tcW w:w="882" w:type="dxa"/>
            <w:noWrap/>
            <w:vAlign w:val="center"/>
            <w:hideMark/>
          </w:tcPr>
          <w:p w14:paraId="76932F54"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-0.11%</w:t>
            </w:r>
          </w:p>
        </w:tc>
        <w:tc>
          <w:tcPr>
            <w:tcW w:w="882" w:type="dxa"/>
            <w:noWrap/>
            <w:vAlign w:val="center"/>
            <w:hideMark/>
          </w:tcPr>
          <w:p w14:paraId="078B9D49"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-0.23%</w:t>
            </w:r>
          </w:p>
        </w:tc>
        <w:tc>
          <w:tcPr>
            <w:tcW w:w="882" w:type="dxa"/>
            <w:noWrap/>
            <w:vAlign w:val="center"/>
            <w:hideMark/>
          </w:tcPr>
          <w:p w14:paraId="121D9F10"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-0.24%</w:t>
            </w:r>
          </w:p>
        </w:tc>
        <w:tc>
          <w:tcPr>
            <w:tcW w:w="882" w:type="dxa"/>
            <w:noWrap/>
            <w:vAlign w:val="center"/>
            <w:hideMark/>
          </w:tcPr>
          <w:p w14:paraId="156BDC5E"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-0.08%</w:t>
            </w:r>
          </w:p>
        </w:tc>
        <w:tc>
          <w:tcPr>
            <w:tcW w:w="882" w:type="dxa"/>
            <w:noWrap/>
            <w:vAlign w:val="center"/>
            <w:hideMark/>
          </w:tcPr>
          <w:p w14:paraId="65F1B46C"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-0.13%</w:t>
            </w:r>
          </w:p>
        </w:tc>
        <w:tc>
          <w:tcPr>
            <w:tcW w:w="882" w:type="dxa"/>
            <w:noWrap/>
            <w:vAlign w:val="center"/>
            <w:hideMark/>
          </w:tcPr>
          <w:p w14:paraId="04A38EDF"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-0.13%</w:t>
            </w:r>
          </w:p>
        </w:tc>
        <w:tc>
          <w:tcPr>
            <w:tcW w:w="882" w:type="dxa"/>
            <w:noWrap/>
            <w:vAlign w:val="center"/>
            <w:hideMark/>
          </w:tcPr>
          <w:p w14:paraId="11ACA940"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-0.09%</w:t>
            </w:r>
          </w:p>
        </w:tc>
      </w:tr>
      <w:tr w:rsidR="002B2E91" w:rsidRPr="002B2E91" w14:paraId="12476F1B" w14:textId="77777777" w:rsidTr="000F769A">
        <w:trPr>
          <w:trHeight w:val="352"/>
        </w:trPr>
        <w:tc>
          <w:tcPr>
            <w:tcW w:w="567" w:type="dxa"/>
            <w:noWrap/>
            <w:vAlign w:val="center"/>
            <w:hideMark/>
          </w:tcPr>
          <w:p w14:paraId="34AF806B" w14:textId="29D5841E" w:rsidR="002B2E91" w:rsidRPr="002B2E91" w:rsidRDefault="00B7554D" w:rsidP="002B2E91">
            <w:pPr>
              <w:widowControl/>
              <w:wordWrap/>
              <w:autoSpaceDE/>
              <w:autoSpaceDN/>
              <w:spacing w:after="0"/>
              <w:rPr>
                <w:rFonts w:ascii="맑은 고딕" w:eastAsia="맑은 고딕" w:hAnsi="맑은 고딕" w:cs="굴림"/>
                <w:color w:val="000000"/>
                <w:kern w:val="0"/>
                <w:sz w:val="18"/>
                <w:szCs w:val="18"/>
                <w14:ligatures w14:val="none"/>
              </w:rPr>
            </w:pPr>
            <w:r>
              <w:rPr>
                <w:rFonts w:ascii="맑은 고딕" w:eastAsia="맑은 고딕" w:hAnsi="맑은 고딕" w:cs="굴림" w:hint="eastAsia"/>
                <w:color w:val="000000"/>
                <w:kern w:val="0"/>
                <w:sz w:val="18"/>
                <w:szCs w:val="18"/>
                <w14:ligatures w14:val="none"/>
              </w:rPr>
              <w:t>IC</w:t>
            </w:r>
          </w:p>
        </w:tc>
        <w:tc>
          <w:tcPr>
            <w:tcW w:w="709" w:type="dxa"/>
            <w:noWrap/>
            <w:vAlign w:val="center"/>
            <w:hideMark/>
          </w:tcPr>
          <w:p w14:paraId="4BDE6BA0" w14:textId="77777777" w:rsidR="002B2E91" w:rsidRPr="002B2E91" w:rsidRDefault="002B2E91" w:rsidP="002B2E91">
            <w:pPr>
              <w:widowControl/>
              <w:wordWrap/>
              <w:autoSpaceDE/>
              <w:autoSpaceDN/>
              <w:spacing w:after="0"/>
              <w:rPr>
                <w:rFonts w:ascii="맑은 고딕" w:eastAsia="맑은 고딕" w:hAnsi="맑은 고딕" w:cs="굴림"/>
                <w:color w:val="000000"/>
                <w:kern w:val="0"/>
                <w:sz w:val="18"/>
                <w:szCs w:val="18"/>
                <w14:ligatures w14:val="none"/>
              </w:rPr>
            </w:pPr>
          </w:p>
        </w:tc>
        <w:tc>
          <w:tcPr>
            <w:tcW w:w="882" w:type="dxa"/>
            <w:noWrap/>
            <w:vAlign w:val="center"/>
            <w:hideMark/>
          </w:tcPr>
          <w:p w14:paraId="2ED3C267"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-0.13%</w:t>
            </w:r>
          </w:p>
        </w:tc>
        <w:tc>
          <w:tcPr>
            <w:tcW w:w="882" w:type="dxa"/>
            <w:noWrap/>
            <w:vAlign w:val="center"/>
            <w:hideMark/>
          </w:tcPr>
          <w:p w14:paraId="0CD5A4C4"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-0.12%</w:t>
            </w:r>
          </w:p>
        </w:tc>
        <w:tc>
          <w:tcPr>
            <w:tcW w:w="882" w:type="dxa"/>
            <w:noWrap/>
            <w:vAlign w:val="center"/>
            <w:hideMark/>
          </w:tcPr>
          <w:p w14:paraId="7B1EA148"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-0.07%</w:t>
            </w:r>
          </w:p>
        </w:tc>
        <w:tc>
          <w:tcPr>
            <w:tcW w:w="882" w:type="dxa"/>
            <w:noWrap/>
            <w:vAlign w:val="center"/>
            <w:hideMark/>
          </w:tcPr>
          <w:p w14:paraId="611E3C31"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-0.03%</w:t>
            </w:r>
          </w:p>
        </w:tc>
        <w:tc>
          <w:tcPr>
            <w:tcW w:w="882" w:type="dxa"/>
            <w:noWrap/>
            <w:vAlign w:val="center"/>
            <w:hideMark/>
          </w:tcPr>
          <w:p w14:paraId="5FF81983"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-0.02%</w:t>
            </w:r>
          </w:p>
        </w:tc>
        <w:tc>
          <w:tcPr>
            <w:tcW w:w="882" w:type="dxa"/>
            <w:noWrap/>
            <w:vAlign w:val="center"/>
            <w:hideMark/>
          </w:tcPr>
          <w:p w14:paraId="4BF79E24"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-0.09%</w:t>
            </w:r>
          </w:p>
        </w:tc>
        <w:tc>
          <w:tcPr>
            <w:tcW w:w="882" w:type="dxa"/>
            <w:noWrap/>
            <w:vAlign w:val="center"/>
            <w:hideMark/>
          </w:tcPr>
          <w:p w14:paraId="757AA5F7"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-0.08%</w:t>
            </w:r>
          </w:p>
        </w:tc>
        <w:tc>
          <w:tcPr>
            <w:tcW w:w="882" w:type="dxa"/>
            <w:noWrap/>
            <w:vAlign w:val="center"/>
            <w:hideMark/>
          </w:tcPr>
          <w:p w14:paraId="7D3DDB3B"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-0.08%</w:t>
            </w:r>
          </w:p>
        </w:tc>
        <w:tc>
          <w:tcPr>
            <w:tcW w:w="882" w:type="dxa"/>
            <w:noWrap/>
            <w:vAlign w:val="center"/>
            <w:hideMark/>
          </w:tcPr>
          <w:p w14:paraId="491052DB"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-0.03%</w:t>
            </w:r>
          </w:p>
        </w:tc>
      </w:tr>
      <w:tr w:rsidR="002B2E91" w:rsidRPr="002B2E91" w14:paraId="4F48D4CE" w14:textId="77777777" w:rsidTr="000F769A">
        <w:trPr>
          <w:trHeight w:val="352"/>
        </w:trPr>
        <w:tc>
          <w:tcPr>
            <w:tcW w:w="567" w:type="dxa"/>
            <w:tcBorders>
              <w:bottom w:val="single" w:sz="4" w:space="0" w:color="auto"/>
            </w:tcBorders>
            <w:noWrap/>
            <w:vAlign w:val="center"/>
            <w:hideMark/>
          </w:tcPr>
          <w:p w14:paraId="597E2697"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p>
        </w:tc>
        <w:tc>
          <w:tcPr>
            <w:tcW w:w="709" w:type="dxa"/>
            <w:tcBorders>
              <w:bottom w:val="single" w:sz="4" w:space="0" w:color="auto"/>
            </w:tcBorders>
            <w:noWrap/>
            <w:vAlign w:val="center"/>
            <w:hideMark/>
          </w:tcPr>
          <w:p w14:paraId="579B4925" w14:textId="77777777" w:rsidR="002B2E91" w:rsidRPr="002B2E91" w:rsidRDefault="002B2E91" w:rsidP="002B2E91">
            <w:pPr>
              <w:widowControl/>
              <w:wordWrap/>
              <w:autoSpaceDE/>
              <w:autoSpaceDN/>
              <w:spacing w:after="0"/>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DEV</w:t>
            </w:r>
          </w:p>
        </w:tc>
        <w:tc>
          <w:tcPr>
            <w:tcW w:w="882" w:type="dxa"/>
            <w:tcBorders>
              <w:bottom w:val="single" w:sz="4" w:space="0" w:color="auto"/>
            </w:tcBorders>
            <w:noWrap/>
            <w:vAlign w:val="center"/>
            <w:hideMark/>
          </w:tcPr>
          <w:p w14:paraId="7B51E58F"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-0.13%</w:t>
            </w:r>
          </w:p>
        </w:tc>
        <w:tc>
          <w:tcPr>
            <w:tcW w:w="882" w:type="dxa"/>
            <w:tcBorders>
              <w:bottom w:val="single" w:sz="4" w:space="0" w:color="auto"/>
            </w:tcBorders>
            <w:noWrap/>
            <w:vAlign w:val="center"/>
            <w:hideMark/>
          </w:tcPr>
          <w:p w14:paraId="0FE085FB"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-0.12%</w:t>
            </w:r>
          </w:p>
        </w:tc>
        <w:tc>
          <w:tcPr>
            <w:tcW w:w="882" w:type="dxa"/>
            <w:tcBorders>
              <w:bottom w:val="single" w:sz="4" w:space="0" w:color="auto"/>
            </w:tcBorders>
            <w:noWrap/>
            <w:vAlign w:val="center"/>
            <w:hideMark/>
          </w:tcPr>
          <w:p w14:paraId="3380985F"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-0.07%</w:t>
            </w:r>
          </w:p>
        </w:tc>
        <w:tc>
          <w:tcPr>
            <w:tcW w:w="882" w:type="dxa"/>
            <w:tcBorders>
              <w:bottom w:val="single" w:sz="4" w:space="0" w:color="auto"/>
            </w:tcBorders>
            <w:noWrap/>
            <w:vAlign w:val="center"/>
            <w:hideMark/>
          </w:tcPr>
          <w:p w14:paraId="6762321A"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-0.03%</w:t>
            </w:r>
          </w:p>
        </w:tc>
        <w:tc>
          <w:tcPr>
            <w:tcW w:w="882" w:type="dxa"/>
            <w:tcBorders>
              <w:bottom w:val="single" w:sz="4" w:space="0" w:color="auto"/>
            </w:tcBorders>
            <w:noWrap/>
            <w:vAlign w:val="center"/>
            <w:hideMark/>
          </w:tcPr>
          <w:p w14:paraId="3D28F520"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-0.02%</w:t>
            </w:r>
          </w:p>
        </w:tc>
        <w:tc>
          <w:tcPr>
            <w:tcW w:w="882" w:type="dxa"/>
            <w:tcBorders>
              <w:bottom w:val="single" w:sz="4" w:space="0" w:color="auto"/>
            </w:tcBorders>
            <w:noWrap/>
            <w:vAlign w:val="center"/>
            <w:hideMark/>
          </w:tcPr>
          <w:p w14:paraId="675092C1"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-0.09%</w:t>
            </w:r>
          </w:p>
        </w:tc>
        <w:tc>
          <w:tcPr>
            <w:tcW w:w="882" w:type="dxa"/>
            <w:tcBorders>
              <w:bottom w:val="single" w:sz="4" w:space="0" w:color="auto"/>
            </w:tcBorders>
            <w:noWrap/>
            <w:vAlign w:val="center"/>
            <w:hideMark/>
          </w:tcPr>
          <w:p w14:paraId="191AF6EB"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-0.08%</w:t>
            </w:r>
          </w:p>
        </w:tc>
        <w:tc>
          <w:tcPr>
            <w:tcW w:w="882" w:type="dxa"/>
            <w:tcBorders>
              <w:bottom w:val="single" w:sz="4" w:space="0" w:color="auto"/>
            </w:tcBorders>
            <w:noWrap/>
            <w:vAlign w:val="center"/>
            <w:hideMark/>
          </w:tcPr>
          <w:p w14:paraId="3A7F5210"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-0.08%</w:t>
            </w:r>
          </w:p>
        </w:tc>
        <w:tc>
          <w:tcPr>
            <w:tcW w:w="882" w:type="dxa"/>
            <w:tcBorders>
              <w:bottom w:val="single" w:sz="4" w:space="0" w:color="auto"/>
            </w:tcBorders>
            <w:noWrap/>
            <w:vAlign w:val="center"/>
            <w:hideMark/>
          </w:tcPr>
          <w:p w14:paraId="417C0E99"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-0.03%</w:t>
            </w:r>
          </w:p>
        </w:tc>
      </w:tr>
      <w:tr w:rsidR="000F769A" w:rsidRPr="002B2E91" w14:paraId="2D2D723A" w14:textId="77777777" w:rsidTr="000F769A">
        <w:trPr>
          <w:trHeight w:val="352"/>
        </w:trPr>
        <w:tc>
          <w:tcPr>
            <w:tcW w:w="1276" w:type="dxa"/>
            <w:gridSpan w:val="2"/>
            <w:tcBorders>
              <w:top w:val="single" w:sz="4" w:space="0" w:color="auto"/>
            </w:tcBorders>
            <w:noWrap/>
            <w:vAlign w:val="center"/>
            <w:hideMark/>
          </w:tcPr>
          <w:p w14:paraId="2775913F" w14:textId="382D447E" w:rsidR="000F769A" w:rsidRPr="000F769A" w:rsidRDefault="000F769A" w:rsidP="002B2E91">
            <w:pPr>
              <w:widowControl/>
              <w:wordWrap/>
              <w:autoSpaceDE/>
              <w:autoSpaceDN/>
              <w:spacing w:after="0"/>
              <w:rPr>
                <w:rFonts w:ascii="맑은 고딕" w:eastAsia="맑은 고딕" w:hAnsi="맑은 고딕" w:cs="굴림"/>
                <w:b/>
                <w:bCs/>
                <w:color w:val="000000"/>
                <w:kern w:val="0"/>
                <w:sz w:val="18"/>
                <w:szCs w:val="18"/>
                <w14:ligatures w14:val="none"/>
              </w:rPr>
            </w:pPr>
            <w:r w:rsidRPr="000F769A">
              <w:rPr>
                <w:rFonts w:ascii="맑은 고딕" w:eastAsia="맑은 고딕" w:hAnsi="맑은 고딕" w:cs="굴림"/>
                <w:b/>
                <w:bCs/>
                <w:color w:val="000000"/>
                <w:kern w:val="0"/>
                <w:sz w:val="18"/>
                <w:szCs w:val="18"/>
                <w14:ligatures w14:val="none"/>
              </w:rPr>
              <w:t>TotalCO2</w:t>
            </w:r>
          </w:p>
        </w:tc>
        <w:tc>
          <w:tcPr>
            <w:tcW w:w="882" w:type="dxa"/>
            <w:tcBorders>
              <w:top w:val="single" w:sz="4" w:space="0" w:color="auto"/>
            </w:tcBorders>
            <w:noWrap/>
            <w:vAlign w:val="center"/>
            <w:hideMark/>
          </w:tcPr>
          <w:p w14:paraId="6451E764" w14:textId="77777777" w:rsidR="000F769A" w:rsidRPr="002B2E91" w:rsidRDefault="000F769A"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-5.62%</w:t>
            </w:r>
          </w:p>
        </w:tc>
        <w:tc>
          <w:tcPr>
            <w:tcW w:w="882" w:type="dxa"/>
            <w:tcBorders>
              <w:top w:val="single" w:sz="4" w:space="0" w:color="auto"/>
            </w:tcBorders>
            <w:noWrap/>
            <w:vAlign w:val="center"/>
            <w:hideMark/>
          </w:tcPr>
          <w:p w14:paraId="3526C870" w14:textId="77777777" w:rsidR="000F769A" w:rsidRPr="002B2E91" w:rsidRDefault="000F769A"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-5.75%</w:t>
            </w:r>
          </w:p>
        </w:tc>
        <w:tc>
          <w:tcPr>
            <w:tcW w:w="882" w:type="dxa"/>
            <w:tcBorders>
              <w:top w:val="single" w:sz="4" w:space="0" w:color="auto"/>
            </w:tcBorders>
            <w:noWrap/>
            <w:vAlign w:val="center"/>
            <w:hideMark/>
          </w:tcPr>
          <w:p w14:paraId="2BE433C0" w14:textId="77777777" w:rsidR="000F769A" w:rsidRPr="002B2E91" w:rsidRDefault="000F769A"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-5.92%</w:t>
            </w:r>
          </w:p>
        </w:tc>
        <w:tc>
          <w:tcPr>
            <w:tcW w:w="882" w:type="dxa"/>
            <w:tcBorders>
              <w:top w:val="single" w:sz="4" w:space="0" w:color="auto"/>
            </w:tcBorders>
            <w:noWrap/>
            <w:vAlign w:val="center"/>
            <w:hideMark/>
          </w:tcPr>
          <w:p w14:paraId="6CA21607" w14:textId="77777777" w:rsidR="000F769A" w:rsidRPr="002B2E91" w:rsidRDefault="000F769A"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-5.96%</w:t>
            </w:r>
          </w:p>
        </w:tc>
        <w:tc>
          <w:tcPr>
            <w:tcW w:w="882" w:type="dxa"/>
            <w:tcBorders>
              <w:top w:val="single" w:sz="4" w:space="0" w:color="auto"/>
            </w:tcBorders>
            <w:noWrap/>
            <w:vAlign w:val="center"/>
            <w:hideMark/>
          </w:tcPr>
          <w:p w14:paraId="2133FD1C" w14:textId="77777777" w:rsidR="000F769A" w:rsidRPr="002B2E91" w:rsidRDefault="000F769A"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-5.97%</w:t>
            </w:r>
          </w:p>
        </w:tc>
        <w:tc>
          <w:tcPr>
            <w:tcW w:w="882" w:type="dxa"/>
            <w:tcBorders>
              <w:top w:val="single" w:sz="4" w:space="0" w:color="auto"/>
            </w:tcBorders>
            <w:noWrap/>
            <w:vAlign w:val="center"/>
            <w:hideMark/>
          </w:tcPr>
          <w:p w14:paraId="6281EAAB" w14:textId="77777777" w:rsidR="000F769A" w:rsidRPr="002B2E91" w:rsidRDefault="000F769A"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-5.83%</w:t>
            </w:r>
          </w:p>
        </w:tc>
        <w:tc>
          <w:tcPr>
            <w:tcW w:w="882" w:type="dxa"/>
            <w:tcBorders>
              <w:top w:val="single" w:sz="4" w:space="0" w:color="auto"/>
            </w:tcBorders>
            <w:noWrap/>
            <w:vAlign w:val="center"/>
            <w:hideMark/>
          </w:tcPr>
          <w:p w14:paraId="2D14979C" w14:textId="77777777" w:rsidR="000F769A" w:rsidRPr="002B2E91" w:rsidRDefault="000F769A"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-5.83%</w:t>
            </w:r>
          </w:p>
        </w:tc>
        <w:tc>
          <w:tcPr>
            <w:tcW w:w="882" w:type="dxa"/>
            <w:tcBorders>
              <w:top w:val="single" w:sz="4" w:space="0" w:color="auto"/>
            </w:tcBorders>
            <w:noWrap/>
            <w:vAlign w:val="center"/>
            <w:hideMark/>
          </w:tcPr>
          <w:p w14:paraId="0A090E52" w14:textId="77777777" w:rsidR="000F769A" w:rsidRPr="002B2E91" w:rsidRDefault="000F769A"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-5.83%</w:t>
            </w:r>
          </w:p>
        </w:tc>
        <w:tc>
          <w:tcPr>
            <w:tcW w:w="882" w:type="dxa"/>
            <w:tcBorders>
              <w:top w:val="single" w:sz="4" w:space="0" w:color="auto"/>
            </w:tcBorders>
            <w:noWrap/>
            <w:vAlign w:val="center"/>
            <w:hideMark/>
          </w:tcPr>
          <w:p w14:paraId="187720AE" w14:textId="77777777" w:rsidR="000F769A" w:rsidRPr="002B2E91" w:rsidRDefault="000F769A"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-6.05%</w:t>
            </w:r>
          </w:p>
        </w:tc>
      </w:tr>
      <w:tr w:rsidR="002B2E91" w:rsidRPr="002B2E91" w14:paraId="4EF92200" w14:textId="77777777" w:rsidTr="000F769A">
        <w:trPr>
          <w:trHeight w:val="352"/>
        </w:trPr>
        <w:tc>
          <w:tcPr>
            <w:tcW w:w="567" w:type="dxa"/>
            <w:noWrap/>
            <w:vAlign w:val="center"/>
            <w:hideMark/>
          </w:tcPr>
          <w:p w14:paraId="4383EBB1" w14:textId="11D4CBB2" w:rsidR="002B2E91" w:rsidRPr="002B2E91" w:rsidRDefault="00B7554D" w:rsidP="002B2E91">
            <w:pPr>
              <w:widowControl/>
              <w:wordWrap/>
              <w:autoSpaceDE/>
              <w:autoSpaceDN/>
              <w:spacing w:after="0"/>
              <w:rPr>
                <w:rFonts w:ascii="맑은 고딕" w:eastAsia="맑은 고딕" w:hAnsi="맑은 고딕" w:cs="굴림"/>
                <w:color w:val="000000"/>
                <w:kern w:val="0"/>
                <w:sz w:val="18"/>
                <w:szCs w:val="18"/>
                <w14:ligatures w14:val="none"/>
              </w:rPr>
            </w:pPr>
            <w:r>
              <w:rPr>
                <w:rFonts w:ascii="맑은 고딕" w:eastAsia="맑은 고딕" w:hAnsi="맑은 고딕" w:cs="굴림" w:hint="eastAsia"/>
                <w:color w:val="000000"/>
                <w:kern w:val="0"/>
                <w:sz w:val="18"/>
                <w:szCs w:val="18"/>
                <w14:ligatures w14:val="none"/>
              </w:rPr>
              <w:t>DC</w:t>
            </w:r>
          </w:p>
        </w:tc>
        <w:tc>
          <w:tcPr>
            <w:tcW w:w="709" w:type="dxa"/>
            <w:noWrap/>
            <w:vAlign w:val="center"/>
            <w:hideMark/>
          </w:tcPr>
          <w:p w14:paraId="36F5D039" w14:textId="77777777" w:rsidR="002B2E91" w:rsidRPr="002B2E91" w:rsidRDefault="002B2E91" w:rsidP="002B2E91">
            <w:pPr>
              <w:widowControl/>
              <w:wordWrap/>
              <w:autoSpaceDE/>
              <w:autoSpaceDN/>
              <w:spacing w:after="0"/>
              <w:rPr>
                <w:rFonts w:ascii="맑은 고딕" w:eastAsia="맑은 고딕" w:hAnsi="맑은 고딕" w:cs="굴림"/>
                <w:color w:val="000000"/>
                <w:kern w:val="0"/>
                <w:sz w:val="18"/>
                <w:szCs w:val="18"/>
                <w14:ligatures w14:val="none"/>
              </w:rPr>
            </w:pPr>
          </w:p>
        </w:tc>
        <w:tc>
          <w:tcPr>
            <w:tcW w:w="882" w:type="dxa"/>
            <w:noWrap/>
            <w:vAlign w:val="center"/>
            <w:hideMark/>
          </w:tcPr>
          <w:p w14:paraId="0F41FC44"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0.18%</w:t>
            </w:r>
          </w:p>
        </w:tc>
        <w:tc>
          <w:tcPr>
            <w:tcW w:w="882" w:type="dxa"/>
            <w:noWrap/>
            <w:vAlign w:val="center"/>
            <w:hideMark/>
          </w:tcPr>
          <w:p w14:paraId="71778335"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0.00%</w:t>
            </w:r>
          </w:p>
        </w:tc>
        <w:tc>
          <w:tcPr>
            <w:tcW w:w="882" w:type="dxa"/>
            <w:noWrap/>
            <w:vAlign w:val="center"/>
            <w:hideMark/>
          </w:tcPr>
          <w:p w14:paraId="10F1858A"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-0.23%</w:t>
            </w:r>
          </w:p>
        </w:tc>
        <w:tc>
          <w:tcPr>
            <w:tcW w:w="882" w:type="dxa"/>
            <w:noWrap/>
            <w:vAlign w:val="center"/>
            <w:hideMark/>
          </w:tcPr>
          <w:p w14:paraId="1C9CA739"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-0.29%</w:t>
            </w:r>
          </w:p>
        </w:tc>
        <w:tc>
          <w:tcPr>
            <w:tcW w:w="882" w:type="dxa"/>
            <w:noWrap/>
            <w:vAlign w:val="center"/>
            <w:hideMark/>
          </w:tcPr>
          <w:p w14:paraId="40C7F000"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-0.30%</w:t>
            </w:r>
          </w:p>
        </w:tc>
        <w:tc>
          <w:tcPr>
            <w:tcW w:w="882" w:type="dxa"/>
            <w:noWrap/>
            <w:vAlign w:val="center"/>
            <w:hideMark/>
          </w:tcPr>
          <w:p w14:paraId="514F15FA"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-0.11%</w:t>
            </w:r>
          </w:p>
        </w:tc>
        <w:tc>
          <w:tcPr>
            <w:tcW w:w="882" w:type="dxa"/>
            <w:noWrap/>
            <w:vAlign w:val="center"/>
            <w:hideMark/>
          </w:tcPr>
          <w:p w14:paraId="620AF9D3"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-0.10%</w:t>
            </w:r>
          </w:p>
        </w:tc>
        <w:tc>
          <w:tcPr>
            <w:tcW w:w="882" w:type="dxa"/>
            <w:noWrap/>
            <w:vAlign w:val="center"/>
            <w:hideMark/>
          </w:tcPr>
          <w:p w14:paraId="5A1F03F8"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-0.10%</w:t>
            </w:r>
          </w:p>
        </w:tc>
        <w:tc>
          <w:tcPr>
            <w:tcW w:w="882" w:type="dxa"/>
            <w:noWrap/>
            <w:vAlign w:val="center"/>
            <w:hideMark/>
          </w:tcPr>
          <w:p w14:paraId="72E825A5"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-0.41%</w:t>
            </w:r>
          </w:p>
        </w:tc>
      </w:tr>
      <w:tr w:rsidR="002B2E91" w:rsidRPr="002B2E91" w14:paraId="7B6DA8E1" w14:textId="77777777" w:rsidTr="000F769A">
        <w:trPr>
          <w:trHeight w:val="352"/>
        </w:trPr>
        <w:tc>
          <w:tcPr>
            <w:tcW w:w="567" w:type="dxa"/>
            <w:noWrap/>
            <w:vAlign w:val="center"/>
            <w:hideMark/>
          </w:tcPr>
          <w:p w14:paraId="469A4BF7"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p>
        </w:tc>
        <w:tc>
          <w:tcPr>
            <w:tcW w:w="709" w:type="dxa"/>
            <w:noWrap/>
            <w:vAlign w:val="center"/>
            <w:hideMark/>
          </w:tcPr>
          <w:p w14:paraId="28612723" w14:textId="77777777" w:rsidR="002B2E91" w:rsidRPr="002B2E91" w:rsidRDefault="002B2E91" w:rsidP="002B2E91">
            <w:pPr>
              <w:widowControl/>
              <w:wordWrap/>
              <w:autoSpaceDE/>
              <w:autoSpaceDN/>
              <w:spacing w:after="0"/>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LAM</w:t>
            </w:r>
          </w:p>
        </w:tc>
        <w:tc>
          <w:tcPr>
            <w:tcW w:w="882" w:type="dxa"/>
            <w:noWrap/>
            <w:vAlign w:val="center"/>
            <w:hideMark/>
          </w:tcPr>
          <w:p w14:paraId="32272C7A"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0.39%</w:t>
            </w:r>
          </w:p>
        </w:tc>
        <w:tc>
          <w:tcPr>
            <w:tcW w:w="882" w:type="dxa"/>
            <w:noWrap/>
            <w:vAlign w:val="center"/>
            <w:hideMark/>
          </w:tcPr>
          <w:p w14:paraId="23E21818"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0.11%</w:t>
            </w:r>
          </w:p>
        </w:tc>
        <w:tc>
          <w:tcPr>
            <w:tcW w:w="882" w:type="dxa"/>
            <w:noWrap/>
            <w:vAlign w:val="center"/>
            <w:hideMark/>
          </w:tcPr>
          <w:p w14:paraId="33C3070B"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0.03%</w:t>
            </w:r>
          </w:p>
        </w:tc>
        <w:tc>
          <w:tcPr>
            <w:tcW w:w="882" w:type="dxa"/>
            <w:noWrap/>
            <w:vAlign w:val="center"/>
            <w:hideMark/>
          </w:tcPr>
          <w:p w14:paraId="5BF1FEEC"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-0.01%</w:t>
            </w:r>
          </w:p>
        </w:tc>
        <w:tc>
          <w:tcPr>
            <w:tcW w:w="882" w:type="dxa"/>
            <w:noWrap/>
            <w:vAlign w:val="center"/>
            <w:hideMark/>
          </w:tcPr>
          <w:p w14:paraId="6DCD79F9"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-0.02%</w:t>
            </w:r>
          </w:p>
        </w:tc>
        <w:tc>
          <w:tcPr>
            <w:tcW w:w="882" w:type="dxa"/>
            <w:noWrap/>
            <w:vAlign w:val="center"/>
            <w:hideMark/>
          </w:tcPr>
          <w:p w14:paraId="7ECD4847"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0.08%</w:t>
            </w:r>
          </w:p>
        </w:tc>
        <w:tc>
          <w:tcPr>
            <w:tcW w:w="882" w:type="dxa"/>
            <w:noWrap/>
            <w:vAlign w:val="center"/>
            <w:hideMark/>
          </w:tcPr>
          <w:p w14:paraId="245AD1B1"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0.10%</w:t>
            </w:r>
          </w:p>
        </w:tc>
        <w:tc>
          <w:tcPr>
            <w:tcW w:w="882" w:type="dxa"/>
            <w:noWrap/>
            <w:vAlign w:val="center"/>
            <w:hideMark/>
          </w:tcPr>
          <w:p w14:paraId="4B2B3D8E"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0.10%</w:t>
            </w:r>
          </w:p>
        </w:tc>
        <w:tc>
          <w:tcPr>
            <w:tcW w:w="882" w:type="dxa"/>
            <w:noWrap/>
            <w:vAlign w:val="center"/>
            <w:hideMark/>
          </w:tcPr>
          <w:p w14:paraId="54E54AA6"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-0.43%</w:t>
            </w:r>
          </w:p>
        </w:tc>
      </w:tr>
      <w:tr w:rsidR="002B2E91" w:rsidRPr="002B2E91" w14:paraId="1727EAB8" w14:textId="77777777" w:rsidTr="000F769A">
        <w:trPr>
          <w:trHeight w:val="352"/>
        </w:trPr>
        <w:tc>
          <w:tcPr>
            <w:tcW w:w="567" w:type="dxa"/>
            <w:noWrap/>
            <w:vAlign w:val="center"/>
            <w:hideMark/>
          </w:tcPr>
          <w:p w14:paraId="38F4B321"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p>
        </w:tc>
        <w:tc>
          <w:tcPr>
            <w:tcW w:w="709" w:type="dxa"/>
            <w:noWrap/>
            <w:vAlign w:val="center"/>
            <w:hideMark/>
          </w:tcPr>
          <w:p w14:paraId="1E88C857" w14:textId="77777777" w:rsidR="002B2E91" w:rsidRPr="002B2E91" w:rsidRDefault="002B2E91" w:rsidP="002B2E91">
            <w:pPr>
              <w:widowControl/>
              <w:wordWrap/>
              <w:autoSpaceDE/>
              <w:autoSpaceDN/>
              <w:spacing w:after="0"/>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AFR</w:t>
            </w:r>
          </w:p>
        </w:tc>
        <w:tc>
          <w:tcPr>
            <w:tcW w:w="882" w:type="dxa"/>
            <w:noWrap/>
            <w:vAlign w:val="center"/>
            <w:hideMark/>
          </w:tcPr>
          <w:p w14:paraId="007A72CC"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0.29%</w:t>
            </w:r>
          </w:p>
        </w:tc>
        <w:tc>
          <w:tcPr>
            <w:tcW w:w="882" w:type="dxa"/>
            <w:noWrap/>
            <w:vAlign w:val="center"/>
            <w:hideMark/>
          </w:tcPr>
          <w:p w14:paraId="7492B0A2"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0.08%</w:t>
            </w:r>
          </w:p>
        </w:tc>
        <w:tc>
          <w:tcPr>
            <w:tcW w:w="882" w:type="dxa"/>
            <w:noWrap/>
            <w:vAlign w:val="center"/>
            <w:hideMark/>
          </w:tcPr>
          <w:p w14:paraId="3A8F1D5B"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-0.13%</w:t>
            </w:r>
          </w:p>
        </w:tc>
        <w:tc>
          <w:tcPr>
            <w:tcW w:w="882" w:type="dxa"/>
            <w:noWrap/>
            <w:vAlign w:val="center"/>
            <w:hideMark/>
          </w:tcPr>
          <w:p w14:paraId="1F65FDA8"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-0.13%</w:t>
            </w:r>
          </w:p>
        </w:tc>
        <w:tc>
          <w:tcPr>
            <w:tcW w:w="882" w:type="dxa"/>
            <w:noWrap/>
            <w:vAlign w:val="center"/>
            <w:hideMark/>
          </w:tcPr>
          <w:p w14:paraId="26C0E874"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-0.13%</w:t>
            </w:r>
          </w:p>
        </w:tc>
        <w:tc>
          <w:tcPr>
            <w:tcW w:w="882" w:type="dxa"/>
            <w:noWrap/>
            <w:vAlign w:val="center"/>
            <w:hideMark/>
          </w:tcPr>
          <w:p w14:paraId="51A27C7C"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-0.03%</w:t>
            </w:r>
          </w:p>
        </w:tc>
        <w:tc>
          <w:tcPr>
            <w:tcW w:w="882" w:type="dxa"/>
            <w:noWrap/>
            <w:vAlign w:val="center"/>
            <w:hideMark/>
          </w:tcPr>
          <w:p w14:paraId="618E92C9"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0.01%</w:t>
            </w:r>
          </w:p>
        </w:tc>
        <w:tc>
          <w:tcPr>
            <w:tcW w:w="882" w:type="dxa"/>
            <w:noWrap/>
            <w:vAlign w:val="center"/>
            <w:hideMark/>
          </w:tcPr>
          <w:p w14:paraId="35A21EE2"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0.02%</w:t>
            </w:r>
          </w:p>
        </w:tc>
        <w:tc>
          <w:tcPr>
            <w:tcW w:w="882" w:type="dxa"/>
            <w:noWrap/>
            <w:vAlign w:val="center"/>
            <w:hideMark/>
          </w:tcPr>
          <w:p w14:paraId="2787933A"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-0.19%</w:t>
            </w:r>
          </w:p>
        </w:tc>
      </w:tr>
      <w:tr w:rsidR="002B2E91" w:rsidRPr="002B2E91" w14:paraId="6F6DEA64" w14:textId="77777777" w:rsidTr="000F769A">
        <w:trPr>
          <w:trHeight w:val="352"/>
        </w:trPr>
        <w:tc>
          <w:tcPr>
            <w:tcW w:w="567" w:type="dxa"/>
            <w:noWrap/>
            <w:vAlign w:val="center"/>
            <w:hideMark/>
          </w:tcPr>
          <w:p w14:paraId="716455BB"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p>
        </w:tc>
        <w:tc>
          <w:tcPr>
            <w:tcW w:w="709" w:type="dxa"/>
            <w:noWrap/>
            <w:vAlign w:val="center"/>
            <w:hideMark/>
          </w:tcPr>
          <w:p w14:paraId="3139CC50" w14:textId="77777777" w:rsidR="002B2E91" w:rsidRPr="002B2E91" w:rsidRDefault="002B2E91" w:rsidP="002B2E91">
            <w:pPr>
              <w:widowControl/>
              <w:wordWrap/>
              <w:autoSpaceDE/>
              <w:autoSpaceDN/>
              <w:spacing w:after="0"/>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APC</w:t>
            </w:r>
          </w:p>
        </w:tc>
        <w:tc>
          <w:tcPr>
            <w:tcW w:w="882" w:type="dxa"/>
            <w:noWrap/>
            <w:vAlign w:val="center"/>
            <w:hideMark/>
          </w:tcPr>
          <w:p w14:paraId="115FE9C3"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0.14%</w:t>
            </w:r>
          </w:p>
        </w:tc>
        <w:tc>
          <w:tcPr>
            <w:tcW w:w="882" w:type="dxa"/>
            <w:noWrap/>
            <w:vAlign w:val="center"/>
            <w:hideMark/>
          </w:tcPr>
          <w:p w14:paraId="2797A95F"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0.03%</w:t>
            </w:r>
          </w:p>
        </w:tc>
        <w:tc>
          <w:tcPr>
            <w:tcW w:w="882" w:type="dxa"/>
            <w:noWrap/>
            <w:vAlign w:val="center"/>
            <w:hideMark/>
          </w:tcPr>
          <w:p w14:paraId="00495897"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-0.18%</w:t>
            </w:r>
          </w:p>
        </w:tc>
        <w:tc>
          <w:tcPr>
            <w:tcW w:w="882" w:type="dxa"/>
            <w:noWrap/>
            <w:vAlign w:val="center"/>
            <w:hideMark/>
          </w:tcPr>
          <w:p w14:paraId="18D83961"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-0.25%</w:t>
            </w:r>
          </w:p>
        </w:tc>
        <w:tc>
          <w:tcPr>
            <w:tcW w:w="882" w:type="dxa"/>
            <w:noWrap/>
            <w:vAlign w:val="center"/>
            <w:hideMark/>
          </w:tcPr>
          <w:p w14:paraId="3A1DEB46"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-0.28%</w:t>
            </w:r>
          </w:p>
        </w:tc>
        <w:tc>
          <w:tcPr>
            <w:tcW w:w="882" w:type="dxa"/>
            <w:noWrap/>
            <w:vAlign w:val="center"/>
            <w:hideMark/>
          </w:tcPr>
          <w:p w14:paraId="28D7A4A5"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-0.08%</w:t>
            </w:r>
          </w:p>
        </w:tc>
        <w:tc>
          <w:tcPr>
            <w:tcW w:w="882" w:type="dxa"/>
            <w:noWrap/>
            <w:vAlign w:val="center"/>
            <w:hideMark/>
          </w:tcPr>
          <w:p w14:paraId="73D40D2E"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-0.09%</w:t>
            </w:r>
          </w:p>
        </w:tc>
        <w:tc>
          <w:tcPr>
            <w:tcW w:w="882" w:type="dxa"/>
            <w:noWrap/>
            <w:vAlign w:val="center"/>
            <w:hideMark/>
          </w:tcPr>
          <w:p w14:paraId="290A833E"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-0.09%</w:t>
            </w:r>
          </w:p>
        </w:tc>
        <w:tc>
          <w:tcPr>
            <w:tcW w:w="882" w:type="dxa"/>
            <w:noWrap/>
            <w:vAlign w:val="center"/>
            <w:hideMark/>
          </w:tcPr>
          <w:p w14:paraId="135999CC"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-0.39%</w:t>
            </w:r>
          </w:p>
        </w:tc>
      </w:tr>
      <w:tr w:rsidR="002B2E91" w:rsidRPr="002B2E91" w14:paraId="080A7A6B" w14:textId="77777777" w:rsidTr="000F769A">
        <w:trPr>
          <w:trHeight w:val="352"/>
        </w:trPr>
        <w:tc>
          <w:tcPr>
            <w:tcW w:w="567" w:type="dxa"/>
            <w:noWrap/>
            <w:vAlign w:val="center"/>
            <w:hideMark/>
          </w:tcPr>
          <w:p w14:paraId="66C602E0"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p>
        </w:tc>
        <w:tc>
          <w:tcPr>
            <w:tcW w:w="709" w:type="dxa"/>
            <w:noWrap/>
            <w:vAlign w:val="center"/>
            <w:hideMark/>
          </w:tcPr>
          <w:p w14:paraId="556931A7" w14:textId="77777777" w:rsidR="002B2E91" w:rsidRPr="002B2E91" w:rsidRDefault="002B2E91" w:rsidP="002B2E91">
            <w:pPr>
              <w:widowControl/>
              <w:wordWrap/>
              <w:autoSpaceDE/>
              <w:autoSpaceDN/>
              <w:spacing w:after="0"/>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EEA</w:t>
            </w:r>
          </w:p>
        </w:tc>
        <w:tc>
          <w:tcPr>
            <w:tcW w:w="882" w:type="dxa"/>
            <w:noWrap/>
            <w:vAlign w:val="center"/>
            <w:hideMark/>
          </w:tcPr>
          <w:p w14:paraId="3FA2AB2F"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0.12%</w:t>
            </w:r>
          </w:p>
        </w:tc>
        <w:tc>
          <w:tcPr>
            <w:tcW w:w="882" w:type="dxa"/>
            <w:noWrap/>
            <w:vAlign w:val="center"/>
            <w:hideMark/>
          </w:tcPr>
          <w:p w14:paraId="5E8E09E8"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-0.35%</w:t>
            </w:r>
          </w:p>
        </w:tc>
        <w:tc>
          <w:tcPr>
            <w:tcW w:w="882" w:type="dxa"/>
            <w:noWrap/>
            <w:vAlign w:val="center"/>
            <w:hideMark/>
          </w:tcPr>
          <w:p w14:paraId="0A1EEF56"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-0.80%</w:t>
            </w:r>
          </w:p>
        </w:tc>
        <w:tc>
          <w:tcPr>
            <w:tcW w:w="882" w:type="dxa"/>
            <w:noWrap/>
            <w:vAlign w:val="center"/>
            <w:hideMark/>
          </w:tcPr>
          <w:p w14:paraId="5FD078DA"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-0.88%</w:t>
            </w:r>
          </w:p>
        </w:tc>
        <w:tc>
          <w:tcPr>
            <w:tcW w:w="882" w:type="dxa"/>
            <w:noWrap/>
            <w:vAlign w:val="center"/>
            <w:hideMark/>
          </w:tcPr>
          <w:p w14:paraId="5BB92F64"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-0.88%</w:t>
            </w:r>
          </w:p>
        </w:tc>
        <w:tc>
          <w:tcPr>
            <w:tcW w:w="882" w:type="dxa"/>
            <w:noWrap/>
            <w:vAlign w:val="center"/>
            <w:hideMark/>
          </w:tcPr>
          <w:p w14:paraId="6A5BF441"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-0.50%</w:t>
            </w:r>
          </w:p>
        </w:tc>
        <w:tc>
          <w:tcPr>
            <w:tcW w:w="882" w:type="dxa"/>
            <w:noWrap/>
            <w:vAlign w:val="center"/>
            <w:hideMark/>
          </w:tcPr>
          <w:p w14:paraId="64B65527"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-0.44%</w:t>
            </w:r>
          </w:p>
        </w:tc>
        <w:tc>
          <w:tcPr>
            <w:tcW w:w="882" w:type="dxa"/>
            <w:noWrap/>
            <w:vAlign w:val="center"/>
            <w:hideMark/>
          </w:tcPr>
          <w:p w14:paraId="41ED9674"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-0.42%</w:t>
            </w:r>
          </w:p>
        </w:tc>
        <w:tc>
          <w:tcPr>
            <w:tcW w:w="882" w:type="dxa"/>
            <w:noWrap/>
            <w:vAlign w:val="center"/>
            <w:hideMark/>
          </w:tcPr>
          <w:p w14:paraId="52B1BF73"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-0.74%</w:t>
            </w:r>
          </w:p>
        </w:tc>
      </w:tr>
      <w:tr w:rsidR="002B2E91" w:rsidRPr="002B2E91" w14:paraId="43769B03" w14:textId="77777777" w:rsidTr="000F769A">
        <w:trPr>
          <w:trHeight w:val="352"/>
        </w:trPr>
        <w:tc>
          <w:tcPr>
            <w:tcW w:w="567" w:type="dxa"/>
            <w:noWrap/>
            <w:vAlign w:val="center"/>
            <w:hideMark/>
          </w:tcPr>
          <w:p w14:paraId="150713F8"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p>
        </w:tc>
        <w:tc>
          <w:tcPr>
            <w:tcW w:w="709" w:type="dxa"/>
            <w:noWrap/>
            <w:vAlign w:val="center"/>
            <w:hideMark/>
          </w:tcPr>
          <w:p w14:paraId="4B95D44E" w14:textId="77777777" w:rsidR="002B2E91" w:rsidRPr="002B2E91" w:rsidRDefault="002B2E91" w:rsidP="002B2E91">
            <w:pPr>
              <w:widowControl/>
              <w:wordWrap/>
              <w:autoSpaceDE/>
              <w:autoSpaceDN/>
              <w:spacing w:after="0"/>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ME</w:t>
            </w:r>
          </w:p>
        </w:tc>
        <w:tc>
          <w:tcPr>
            <w:tcW w:w="882" w:type="dxa"/>
            <w:noWrap/>
            <w:vAlign w:val="center"/>
            <w:hideMark/>
          </w:tcPr>
          <w:p w14:paraId="4DFE8B8D"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0.35%</w:t>
            </w:r>
          </w:p>
        </w:tc>
        <w:tc>
          <w:tcPr>
            <w:tcW w:w="882" w:type="dxa"/>
            <w:noWrap/>
            <w:vAlign w:val="center"/>
            <w:hideMark/>
          </w:tcPr>
          <w:p w14:paraId="393C8A8C"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-0.03%</w:t>
            </w:r>
          </w:p>
        </w:tc>
        <w:tc>
          <w:tcPr>
            <w:tcW w:w="882" w:type="dxa"/>
            <w:noWrap/>
            <w:vAlign w:val="center"/>
            <w:hideMark/>
          </w:tcPr>
          <w:p w14:paraId="629BED08"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-0.23%</w:t>
            </w:r>
          </w:p>
        </w:tc>
        <w:tc>
          <w:tcPr>
            <w:tcW w:w="882" w:type="dxa"/>
            <w:noWrap/>
            <w:vAlign w:val="center"/>
            <w:hideMark/>
          </w:tcPr>
          <w:p w14:paraId="12E13363"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-0.19%</w:t>
            </w:r>
          </w:p>
        </w:tc>
        <w:tc>
          <w:tcPr>
            <w:tcW w:w="882" w:type="dxa"/>
            <w:noWrap/>
            <w:vAlign w:val="center"/>
            <w:hideMark/>
          </w:tcPr>
          <w:p w14:paraId="647D0A85"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-0.18%</w:t>
            </w:r>
          </w:p>
        </w:tc>
        <w:tc>
          <w:tcPr>
            <w:tcW w:w="882" w:type="dxa"/>
            <w:noWrap/>
            <w:vAlign w:val="center"/>
            <w:hideMark/>
          </w:tcPr>
          <w:p w14:paraId="2C097AF1"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-0.12%</w:t>
            </w:r>
          </w:p>
        </w:tc>
        <w:tc>
          <w:tcPr>
            <w:tcW w:w="882" w:type="dxa"/>
            <w:noWrap/>
            <w:vAlign w:val="center"/>
            <w:hideMark/>
          </w:tcPr>
          <w:p w14:paraId="02BE353D"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-0.04%</w:t>
            </w:r>
          </w:p>
        </w:tc>
        <w:tc>
          <w:tcPr>
            <w:tcW w:w="882" w:type="dxa"/>
            <w:noWrap/>
            <w:vAlign w:val="center"/>
            <w:hideMark/>
          </w:tcPr>
          <w:p w14:paraId="560D15CA"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-0.02%</w:t>
            </w:r>
          </w:p>
        </w:tc>
        <w:tc>
          <w:tcPr>
            <w:tcW w:w="882" w:type="dxa"/>
            <w:noWrap/>
            <w:vAlign w:val="center"/>
            <w:hideMark/>
          </w:tcPr>
          <w:p w14:paraId="4F09BBCE"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-0.31%</w:t>
            </w:r>
          </w:p>
        </w:tc>
      </w:tr>
      <w:tr w:rsidR="002B2E91" w:rsidRPr="002B2E91" w14:paraId="132F5CEF" w14:textId="77777777" w:rsidTr="000F769A">
        <w:trPr>
          <w:trHeight w:val="352"/>
        </w:trPr>
        <w:tc>
          <w:tcPr>
            <w:tcW w:w="567" w:type="dxa"/>
            <w:noWrap/>
            <w:vAlign w:val="center"/>
            <w:hideMark/>
          </w:tcPr>
          <w:p w14:paraId="38259F60" w14:textId="0CF8CD32" w:rsidR="002B2E91" w:rsidRPr="002B2E91" w:rsidRDefault="00B7554D" w:rsidP="002B2E91">
            <w:pPr>
              <w:widowControl/>
              <w:wordWrap/>
              <w:autoSpaceDE/>
              <w:autoSpaceDN/>
              <w:spacing w:after="0"/>
              <w:rPr>
                <w:rFonts w:ascii="맑은 고딕" w:eastAsia="맑은 고딕" w:hAnsi="맑은 고딕" w:cs="굴림"/>
                <w:color w:val="000000"/>
                <w:kern w:val="0"/>
                <w:sz w:val="18"/>
                <w:szCs w:val="18"/>
                <w14:ligatures w14:val="none"/>
              </w:rPr>
            </w:pPr>
            <w:r>
              <w:rPr>
                <w:rFonts w:ascii="맑은 고딕" w:eastAsia="맑은 고딕" w:hAnsi="맑은 고딕" w:cs="굴림" w:hint="eastAsia"/>
                <w:color w:val="000000"/>
                <w:kern w:val="0"/>
                <w:sz w:val="18"/>
                <w:szCs w:val="18"/>
                <w14:ligatures w14:val="none"/>
              </w:rPr>
              <w:t>IC</w:t>
            </w:r>
          </w:p>
        </w:tc>
        <w:tc>
          <w:tcPr>
            <w:tcW w:w="709" w:type="dxa"/>
            <w:noWrap/>
            <w:vAlign w:val="center"/>
            <w:hideMark/>
          </w:tcPr>
          <w:p w14:paraId="16600530" w14:textId="77777777" w:rsidR="002B2E91" w:rsidRPr="002B2E91" w:rsidRDefault="002B2E91" w:rsidP="002B2E91">
            <w:pPr>
              <w:widowControl/>
              <w:wordWrap/>
              <w:autoSpaceDE/>
              <w:autoSpaceDN/>
              <w:spacing w:after="0"/>
              <w:rPr>
                <w:rFonts w:ascii="맑은 고딕" w:eastAsia="맑은 고딕" w:hAnsi="맑은 고딕" w:cs="굴림"/>
                <w:color w:val="000000"/>
                <w:kern w:val="0"/>
                <w:sz w:val="18"/>
                <w:szCs w:val="18"/>
                <w14:ligatures w14:val="none"/>
              </w:rPr>
            </w:pPr>
          </w:p>
        </w:tc>
        <w:tc>
          <w:tcPr>
            <w:tcW w:w="882" w:type="dxa"/>
            <w:noWrap/>
            <w:vAlign w:val="center"/>
            <w:hideMark/>
          </w:tcPr>
          <w:p w14:paraId="7CB3B7B5"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-20.00%</w:t>
            </w:r>
          </w:p>
        </w:tc>
        <w:tc>
          <w:tcPr>
            <w:tcW w:w="882" w:type="dxa"/>
            <w:noWrap/>
            <w:vAlign w:val="center"/>
            <w:hideMark/>
          </w:tcPr>
          <w:p w14:paraId="159BA094"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-20.00%</w:t>
            </w:r>
          </w:p>
        </w:tc>
        <w:tc>
          <w:tcPr>
            <w:tcW w:w="882" w:type="dxa"/>
            <w:noWrap/>
            <w:vAlign w:val="center"/>
            <w:hideMark/>
          </w:tcPr>
          <w:p w14:paraId="0E6C1121"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-20.00%</w:t>
            </w:r>
          </w:p>
        </w:tc>
        <w:tc>
          <w:tcPr>
            <w:tcW w:w="882" w:type="dxa"/>
            <w:noWrap/>
            <w:vAlign w:val="center"/>
            <w:hideMark/>
          </w:tcPr>
          <w:p w14:paraId="62D9DDC7"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-20.00%</w:t>
            </w:r>
          </w:p>
        </w:tc>
        <w:tc>
          <w:tcPr>
            <w:tcW w:w="882" w:type="dxa"/>
            <w:noWrap/>
            <w:vAlign w:val="center"/>
            <w:hideMark/>
          </w:tcPr>
          <w:p w14:paraId="5B1DFD5F"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-20.00%</w:t>
            </w:r>
          </w:p>
        </w:tc>
        <w:tc>
          <w:tcPr>
            <w:tcW w:w="882" w:type="dxa"/>
            <w:noWrap/>
            <w:vAlign w:val="center"/>
            <w:hideMark/>
          </w:tcPr>
          <w:p w14:paraId="288E1CCD"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-20.00%</w:t>
            </w:r>
          </w:p>
        </w:tc>
        <w:tc>
          <w:tcPr>
            <w:tcW w:w="882" w:type="dxa"/>
            <w:noWrap/>
            <w:vAlign w:val="center"/>
            <w:hideMark/>
          </w:tcPr>
          <w:p w14:paraId="6EF39E8A"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-20.00%</w:t>
            </w:r>
          </w:p>
        </w:tc>
        <w:tc>
          <w:tcPr>
            <w:tcW w:w="882" w:type="dxa"/>
            <w:noWrap/>
            <w:vAlign w:val="center"/>
            <w:hideMark/>
          </w:tcPr>
          <w:p w14:paraId="13160B92"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-20.00%</w:t>
            </w:r>
          </w:p>
        </w:tc>
        <w:tc>
          <w:tcPr>
            <w:tcW w:w="882" w:type="dxa"/>
            <w:noWrap/>
            <w:vAlign w:val="center"/>
            <w:hideMark/>
          </w:tcPr>
          <w:p w14:paraId="4FC6A832"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-20.00%</w:t>
            </w:r>
          </w:p>
        </w:tc>
      </w:tr>
      <w:tr w:rsidR="002B2E91" w:rsidRPr="002B2E91" w14:paraId="77EE120D" w14:textId="77777777" w:rsidTr="000F769A">
        <w:trPr>
          <w:trHeight w:val="352"/>
        </w:trPr>
        <w:tc>
          <w:tcPr>
            <w:tcW w:w="567" w:type="dxa"/>
            <w:tcBorders>
              <w:bottom w:val="single" w:sz="4" w:space="0" w:color="auto"/>
            </w:tcBorders>
            <w:noWrap/>
            <w:vAlign w:val="center"/>
            <w:hideMark/>
          </w:tcPr>
          <w:p w14:paraId="1B0CFD57"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p>
        </w:tc>
        <w:tc>
          <w:tcPr>
            <w:tcW w:w="709" w:type="dxa"/>
            <w:tcBorders>
              <w:bottom w:val="single" w:sz="4" w:space="0" w:color="auto"/>
            </w:tcBorders>
            <w:noWrap/>
            <w:vAlign w:val="center"/>
            <w:hideMark/>
          </w:tcPr>
          <w:p w14:paraId="5C5FB524" w14:textId="77777777" w:rsidR="002B2E91" w:rsidRPr="002B2E91" w:rsidRDefault="002B2E91" w:rsidP="002B2E91">
            <w:pPr>
              <w:widowControl/>
              <w:wordWrap/>
              <w:autoSpaceDE/>
              <w:autoSpaceDN/>
              <w:spacing w:after="0"/>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DEV</w:t>
            </w:r>
          </w:p>
        </w:tc>
        <w:tc>
          <w:tcPr>
            <w:tcW w:w="882" w:type="dxa"/>
            <w:tcBorders>
              <w:bottom w:val="single" w:sz="4" w:space="0" w:color="auto"/>
            </w:tcBorders>
            <w:noWrap/>
            <w:vAlign w:val="center"/>
            <w:hideMark/>
          </w:tcPr>
          <w:p w14:paraId="5EB50B4E"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-20.00%</w:t>
            </w:r>
          </w:p>
        </w:tc>
        <w:tc>
          <w:tcPr>
            <w:tcW w:w="882" w:type="dxa"/>
            <w:tcBorders>
              <w:bottom w:val="single" w:sz="4" w:space="0" w:color="auto"/>
            </w:tcBorders>
            <w:noWrap/>
            <w:vAlign w:val="center"/>
            <w:hideMark/>
          </w:tcPr>
          <w:p w14:paraId="627F9862"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-20.00%</w:t>
            </w:r>
          </w:p>
        </w:tc>
        <w:tc>
          <w:tcPr>
            <w:tcW w:w="882" w:type="dxa"/>
            <w:tcBorders>
              <w:bottom w:val="single" w:sz="4" w:space="0" w:color="auto"/>
            </w:tcBorders>
            <w:noWrap/>
            <w:vAlign w:val="center"/>
            <w:hideMark/>
          </w:tcPr>
          <w:p w14:paraId="5405DAC4"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-20.00%</w:t>
            </w:r>
          </w:p>
        </w:tc>
        <w:tc>
          <w:tcPr>
            <w:tcW w:w="882" w:type="dxa"/>
            <w:tcBorders>
              <w:bottom w:val="single" w:sz="4" w:space="0" w:color="auto"/>
            </w:tcBorders>
            <w:noWrap/>
            <w:vAlign w:val="center"/>
            <w:hideMark/>
          </w:tcPr>
          <w:p w14:paraId="7FA67202"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-20.00%</w:t>
            </w:r>
          </w:p>
        </w:tc>
        <w:tc>
          <w:tcPr>
            <w:tcW w:w="882" w:type="dxa"/>
            <w:tcBorders>
              <w:bottom w:val="single" w:sz="4" w:space="0" w:color="auto"/>
            </w:tcBorders>
            <w:noWrap/>
            <w:vAlign w:val="center"/>
            <w:hideMark/>
          </w:tcPr>
          <w:p w14:paraId="2F70AAA4"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-20.00%</w:t>
            </w:r>
          </w:p>
        </w:tc>
        <w:tc>
          <w:tcPr>
            <w:tcW w:w="882" w:type="dxa"/>
            <w:tcBorders>
              <w:bottom w:val="single" w:sz="4" w:space="0" w:color="auto"/>
            </w:tcBorders>
            <w:noWrap/>
            <w:vAlign w:val="center"/>
            <w:hideMark/>
          </w:tcPr>
          <w:p w14:paraId="104F2F6C"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-20.00%</w:t>
            </w:r>
          </w:p>
        </w:tc>
        <w:tc>
          <w:tcPr>
            <w:tcW w:w="882" w:type="dxa"/>
            <w:tcBorders>
              <w:bottom w:val="single" w:sz="4" w:space="0" w:color="auto"/>
            </w:tcBorders>
            <w:noWrap/>
            <w:vAlign w:val="center"/>
            <w:hideMark/>
          </w:tcPr>
          <w:p w14:paraId="48DAED8B"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-20.00%</w:t>
            </w:r>
          </w:p>
        </w:tc>
        <w:tc>
          <w:tcPr>
            <w:tcW w:w="882" w:type="dxa"/>
            <w:tcBorders>
              <w:bottom w:val="single" w:sz="4" w:space="0" w:color="auto"/>
            </w:tcBorders>
            <w:noWrap/>
            <w:vAlign w:val="center"/>
            <w:hideMark/>
          </w:tcPr>
          <w:p w14:paraId="11D7C6E4"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-20.00%</w:t>
            </w:r>
          </w:p>
        </w:tc>
        <w:tc>
          <w:tcPr>
            <w:tcW w:w="882" w:type="dxa"/>
            <w:tcBorders>
              <w:bottom w:val="single" w:sz="4" w:space="0" w:color="auto"/>
            </w:tcBorders>
            <w:noWrap/>
            <w:vAlign w:val="center"/>
            <w:hideMark/>
          </w:tcPr>
          <w:p w14:paraId="1DF5C0B1" w14:textId="77777777" w:rsidR="002B2E91" w:rsidRPr="002B2E91" w:rsidRDefault="002B2E91" w:rsidP="002B2E91">
            <w:pPr>
              <w:widowControl/>
              <w:wordWrap/>
              <w:autoSpaceDE/>
              <w:autoSpaceDN/>
              <w:spacing w:after="0"/>
              <w:jc w:val="right"/>
              <w:rPr>
                <w:rFonts w:ascii="맑은 고딕" w:eastAsia="맑은 고딕" w:hAnsi="맑은 고딕" w:cs="굴림"/>
                <w:color w:val="000000"/>
                <w:kern w:val="0"/>
                <w:sz w:val="18"/>
                <w:szCs w:val="18"/>
                <w14:ligatures w14:val="none"/>
              </w:rPr>
            </w:pPr>
            <w:r w:rsidRPr="002B2E91">
              <w:rPr>
                <w:rFonts w:ascii="맑은 고딕" w:eastAsia="맑은 고딕" w:hAnsi="맑은 고딕" w:cs="굴림"/>
                <w:color w:val="000000"/>
                <w:kern w:val="0"/>
                <w:sz w:val="18"/>
                <w:szCs w:val="18"/>
                <w14:ligatures w14:val="none"/>
              </w:rPr>
              <w:t>-20.00%</w:t>
            </w:r>
          </w:p>
        </w:tc>
      </w:tr>
    </w:tbl>
    <w:p w14:paraId="5BEFDB14" w14:textId="77777777" w:rsidR="00955C9B" w:rsidRDefault="00955C9B" w:rsidP="00EB3B8B"/>
    <w:p w14:paraId="7294F551" w14:textId="6CE09BA1" w:rsidR="00D60CB9" w:rsidRDefault="00D60CB9" w:rsidP="00EB3B8B">
      <w:r>
        <w:rPr>
          <w:rFonts w:hint="eastAsia"/>
        </w:rPr>
        <w:t xml:space="preserve">The following figure shows the embodied carbon prices (ECPs) for different sectors in different regions are quite different from explicit carbon prices. The sectoral ECPs in </w:t>
      </w:r>
      <w:r w:rsidR="00583567">
        <w:rPr>
          <w:rFonts w:hint="eastAsia"/>
        </w:rPr>
        <w:t xml:space="preserve">the </w:t>
      </w:r>
      <w:r>
        <w:rPr>
          <w:rFonts w:hint="eastAsia"/>
        </w:rPr>
        <w:t xml:space="preserve">DEV region </w:t>
      </w:r>
      <w:r w:rsidR="00583567">
        <w:rPr>
          <w:rFonts w:hint="eastAsia"/>
        </w:rPr>
        <w:t>are not equal to</w:t>
      </w:r>
      <w:r>
        <w:rPr>
          <w:rFonts w:hint="eastAsia"/>
        </w:rPr>
        <w:t xml:space="preserve"> the explicit carbon price, 0.03285</w:t>
      </w:r>
      <w:r w:rsidR="00583567">
        <w:rPr>
          <w:rFonts w:hint="eastAsia"/>
        </w:rPr>
        <w:t>;</w:t>
      </w:r>
      <w:r>
        <w:rPr>
          <w:rFonts w:hint="eastAsia"/>
        </w:rPr>
        <w:t xml:space="preserve"> in fact</w:t>
      </w:r>
      <w:r w:rsidR="00583567">
        <w:rPr>
          <w:rFonts w:hint="eastAsia"/>
        </w:rPr>
        <w:t>,</w:t>
      </w:r>
      <w:r>
        <w:rPr>
          <w:rFonts w:hint="eastAsia"/>
        </w:rPr>
        <w:t xml:space="preserve"> most sectors </w:t>
      </w:r>
      <w:r w:rsidR="00583567">
        <w:rPr>
          <w:rFonts w:hint="eastAsia"/>
        </w:rPr>
        <w:t>face</w:t>
      </w:r>
      <w:r>
        <w:rPr>
          <w:rFonts w:hint="eastAsia"/>
        </w:rPr>
        <w:t xml:space="preserve"> relatively lower carbon prices than the nominal carbon price. This is due to the global value chain</w:t>
      </w:r>
      <w:r w:rsidR="00583567">
        <w:rPr>
          <w:rFonts w:hint="eastAsia"/>
        </w:rPr>
        <w:t>,</w:t>
      </w:r>
      <w:r>
        <w:rPr>
          <w:rFonts w:hint="eastAsia"/>
        </w:rPr>
        <w:t xml:space="preserve"> </w:t>
      </w:r>
      <w:r>
        <w:t>under</w:t>
      </w:r>
      <w:r>
        <w:rPr>
          <w:rFonts w:hint="eastAsia"/>
        </w:rPr>
        <w:t xml:space="preserve"> which DEV region also imports </w:t>
      </w:r>
      <w:r w:rsidR="000F769A">
        <w:rPr>
          <w:rFonts w:hint="eastAsia"/>
        </w:rPr>
        <w:t>many</w:t>
      </w:r>
      <w:r>
        <w:rPr>
          <w:rFonts w:hint="eastAsia"/>
        </w:rPr>
        <w:t xml:space="preserve"> goods and services from other </w:t>
      </w:r>
      <w:r w:rsidR="000F769A">
        <w:rPr>
          <w:rFonts w:hint="eastAsia"/>
        </w:rPr>
        <w:t xml:space="preserve">regions </w:t>
      </w:r>
      <w:r>
        <w:rPr>
          <w:rFonts w:hint="eastAsia"/>
        </w:rPr>
        <w:t xml:space="preserve">with zero explicit carbon price in this analysis. By the same logic, other regions with no explicit carbon price have non-zero ECPs due to </w:t>
      </w:r>
      <w:r w:rsidR="000F769A">
        <w:t>their</w:t>
      </w:r>
      <w:r>
        <w:rPr>
          <w:rFonts w:hint="eastAsia"/>
        </w:rPr>
        <w:t xml:space="preserve"> imports of carbon-priced goods and services f</w:t>
      </w:r>
      <w:r w:rsidR="000F769A">
        <w:rPr>
          <w:rFonts w:hint="eastAsia"/>
        </w:rPr>
        <w:t>rom the</w:t>
      </w:r>
      <w:r>
        <w:rPr>
          <w:rFonts w:hint="eastAsia"/>
        </w:rPr>
        <w:t xml:space="preserve"> DEV region.</w:t>
      </w:r>
      <w:r w:rsidR="000F769A">
        <w:rPr>
          <w:rFonts w:hint="eastAsia"/>
        </w:rPr>
        <w:t xml:space="preserve"> </w:t>
      </w:r>
      <w:r w:rsidR="000F769A" w:rsidRPr="000F769A">
        <w:t>LAM has the highest ECP among the unregulated regions, reflecting that it imports the most carbon-priced goods from the DEV region.</w:t>
      </w:r>
    </w:p>
    <w:p w14:paraId="0432DA51" w14:textId="77777777" w:rsidR="00D60CB9" w:rsidRDefault="00D60CB9" w:rsidP="00EB3B8B"/>
    <w:p w14:paraId="46A804AD" w14:textId="25247B31" w:rsidR="0084580E" w:rsidRPr="0007579F" w:rsidRDefault="0084580E" w:rsidP="00EB3B8B">
      <w:pPr>
        <w:rPr>
          <w:b/>
          <w:bCs/>
          <w:sz w:val="20"/>
          <w:szCs w:val="22"/>
        </w:rPr>
      </w:pPr>
      <w:r w:rsidRPr="0007579F">
        <w:rPr>
          <w:rFonts w:hint="eastAsia"/>
          <w:b/>
          <w:bCs/>
          <w:sz w:val="20"/>
          <w:szCs w:val="22"/>
        </w:rPr>
        <w:t>&lt;Figure 3&gt; Embodied Carbon Prices (CbamEcp Scenario</w:t>
      </w:r>
      <w:r w:rsidR="00555B9F" w:rsidRPr="0007579F">
        <w:rPr>
          <w:rFonts w:hint="eastAsia"/>
          <w:b/>
          <w:bCs/>
          <w:sz w:val="20"/>
          <w:szCs w:val="22"/>
        </w:rPr>
        <w:t>, 1000 USD/tCO2</w:t>
      </w:r>
      <w:r w:rsidRPr="0007579F">
        <w:rPr>
          <w:rFonts w:hint="eastAsia"/>
          <w:b/>
          <w:bCs/>
          <w:sz w:val="20"/>
          <w:szCs w:val="22"/>
        </w:rPr>
        <w:t>)</w:t>
      </w:r>
    </w:p>
    <w:p w14:paraId="75048EB7" w14:textId="6EA5DEA1" w:rsidR="00955C9B" w:rsidRDefault="0084580E" w:rsidP="00EB3B8B">
      <w:r>
        <w:rPr>
          <w:noProof/>
        </w:rPr>
        <w:drawing>
          <wp:inline distT="0" distB="0" distL="0" distR="0" wp14:anchorId="5AF38BF1" wp14:editId="7B01FC55">
            <wp:extent cx="5706932" cy="3186430"/>
            <wp:effectExtent l="0" t="0" r="8255" b="0"/>
            <wp:docPr id="432755711"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3463" cy="3195660"/>
                    </a:xfrm>
                    <a:prstGeom prst="rect">
                      <a:avLst/>
                    </a:prstGeom>
                    <a:noFill/>
                  </pic:spPr>
                </pic:pic>
              </a:graphicData>
            </a:graphic>
          </wp:inline>
        </w:drawing>
      </w:r>
    </w:p>
    <w:p w14:paraId="16AD317A" w14:textId="77777777" w:rsidR="0084580E" w:rsidRDefault="0084580E" w:rsidP="00EB3B8B"/>
    <w:p w14:paraId="77A73711" w14:textId="77777777" w:rsidR="003A0727" w:rsidRPr="000F769A" w:rsidRDefault="003A0727" w:rsidP="003A0727">
      <w:pPr>
        <w:rPr>
          <w:b/>
          <w:bCs/>
          <w:sz w:val="24"/>
          <w:szCs w:val="28"/>
        </w:rPr>
      </w:pPr>
      <w:r w:rsidRPr="000F769A">
        <w:rPr>
          <w:b/>
          <w:bCs/>
          <w:sz w:val="24"/>
          <w:szCs w:val="28"/>
        </w:rPr>
        <w:t>Conclusion</w:t>
      </w:r>
    </w:p>
    <w:p w14:paraId="03D33B80" w14:textId="5975CA6E" w:rsidR="004B0947" w:rsidRDefault="003A0727" w:rsidP="003A0727">
      <w:r>
        <w:t xml:space="preserve">Internalizing value-added inputs provides a more </w:t>
      </w:r>
      <w:r w:rsidR="004B0947">
        <w:rPr>
          <w:rFonts w:hint="eastAsia"/>
        </w:rPr>
        <w:t xml:space="preserve">comprehensive </w:t>
      </w:r>
      <w:r>
        <w:t xml:space="preserve">representation of </w:t>
      </w:r>
      <w:r w:rsidR="004B0947">
        <w:rPr>
          <w:rFonts w:hint="eastAsia"/>
        </w:rPr>
        <w:t>international</w:t>
      </w:r>
      <w:r>
        <w:t xml:space="preserve"> carbon flows</w:t>
      </w:r>
      <w:r w:rsidR="004B0947">
        <w:rPr>
          <w:rFonts w:hint="eastAsia"/>
        </w:rPr>
        <w:t xml:space="preserve"> embodied in trades</w:t>
      </w:r>
      <w:r w:rsidR="000F769A">
        <w:rPr>
          <w:rFonts w:hint="eastAsia"/>
        </w:rPr>
        <w:t xml:space="preserve"> and a more comprehensive consumption-based responsibility</w:t>
      </w:r>
      <w:r>
        <w:t>. However, while a wider</w:t>
      </w:r>
      <w:r w:rsidR="000F769A">
        <w:rPr>
          <w:rFonts w:hint="eastAsia"/>
        </w:rPr>
        <w:t xml:space="preserve"> emissions accounting</w:t>
      </w:r>
      <w:r>
        <w:t xml:space="preserve"> scope</w:t>
      </w:r>
      <w:r w:rsidR="004B0947">
        <w:rPr>
          <w:rFonts w:hint="eastAsia"/>
        </w:rPr>
        <w:t xml:space="preserve"> </w:t>
      </w:r>
      <w:r>
        <w:t xml:space="preserve">effectively eliminates carbon leakage and </w:t>
      </w:r>
      <w:r w:rsidR="000F769A">
        <w:rPr>
          <w:rFonts w:hint="eastAsia"/>
        </w:rPr>
        <w:t>induces</w:t>
      </w:r>
      <w:r>
        <w:t xml:space="preserve"> reductions in developing regions, it exacerbates </w:t>
      </w:r>
      <w:r>
        <w:lastRenderedPageBreak/>
        <w:t>the economic burden on those same regions</w:t>
      </w:r>
      <w:r w:rsidR="000F769A">
        <w:rPr>
          <w:rFonts w:hint="eastAsia"/>
        </w:rPr>
        <w:t xml:space="preserve"> by raising global GDP loss and shifting burden to those regions. Combining embodied carbon price (ECP) with export subsidy may be more effective in minimizing global carbon intensity. Furthermore, carbon pricing by a wide group of developed regions may limit carbon leakage in developing regions. </w:t>
      </w:r>
    </w:p>
    <w:p w14:paraId="3B81A8F4" w14:textId="7ABBAC8F" w:rsidR="000F769A" w:rsidRDefault="000F769A" w:rsidP="003A0727">
      <w:pPr>
        <w:rPr>
          <w:rFonts w:hint="eastAsia"/>
        </w:rPr>
      </w:pPr>
      <w:r w:rsidRPr="000F769A">
        <w:t>Future work includes a dynamic model simulation for a more systematic evaluation of capital-stock dynamics in carbon leakage, a deeper analysis of embodied carbon prices and a fuller evaluation of ECP's role as the CBAM base, and a game-theoretic analysis of the carbon-pricing incentives of non-regulating regions under ECP- versus CP-based CBAM.</w:t>
      </w:r>
    </w:p>
    <w:sectPr w:rsidR="000F769A">
      <w:headerReference w:type="even" r:id="rId11"/>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22C1C" w14:textId="77777777" w:rsidR="00013D19" w:rsidRDefault="00013D19" w:rsidP="009524C8">
      <w:pPr>
        <w:spacing w:after="0"/>
      </w:pPr>
      <w:r>
        <w:separator/>
      </w:r>
    </w:p>
  </w:endnote>
  <w:endnote w:type="continuationSeparator" w:id="0">
    <w:p w14:paraId="0F027656" w14:textId="77777777" w:rsidR="00013D19" w:rsidRDefault="00013D19" w:rsidP="009524C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8D233" w14:textId="77777777" w:rsidR="00013D19" w:rsidRDefault="00013D19" w:rsidP="009524C8">
      <w:pPr>
        <w:spacing w:after="0"/>
      </w:pPr>
      <w:r>
        <w:separator/>
      </w:r>
    </w:p>
  </w:footnote>
  <w:footnote w:type="continuationSeparator" w:id="0">
    <w:p w14:paraId="3B9355C5" w14:textId="77777777" w:rsidR="00013D19" w:rsidRDefault="00013D19" w:rsidP="009524C8">
      <w:pPr>
        <w:spacing w:after="0"/>
      </w:pPr>
      <w:r>
        <w:continuationSeparator/>
      </w:r>
    </w:p>
  </w:footnote>
  <w:footnote w:id="1">
    <w:p w14:paraId="2E0BCF45" w14:textId="3139AAF5" w:rsidR="000A4C98" w:rsidRPr="0059530F" w:rsidRDefault="007E39B8" w:rsidP="00E27F60">
      <w:pPr>
        <w:rPr>
          <w:rFonts w:asciiTheme="minorEastAsia" w:hAnsiTheme="minorEastAsia" w:cs="Calibri"/>
          <w:sz w:val="18"/>
          <w:szCs w:val="20"/>
        </w:rPr>
      </w:pPr>
      <w:r w:rsidRPr="0059530F">
        <w:rPr>
          <w:rStyle w:val="FootnoteReference"/>
          <w:rFonts w:asciiTheme="minorEastAsia" w:hAnsiTheme="minorEastAsia" w:cs="Calibri"/>
          <w:sz w:val="18"/>
          <w:szCs w:val="20"/>
        </w:rPr>
        <w:footnoteRef/>
      </w:r>
      <w:r w:rsidRPr="0059530F">
        <w:rPr>
          <w:rFonts w:asciiTheme="minorEastAsia" w:hAnsiTheme="minorEastAsia" w:cs="Calibri"/>
          <w:sz w:val="18"/>
          <w:szCs w:val="20"/>
        </w:rPr>
        <w:t xml:space="preserve"> Bo</w:t>
      </w:r>
      <w:r w:rsidR="00DD0ADD" w:rsidRPr="0059530F">
        <w:rPr>
          <w:rFonts w:asciiTheme="minorEastAsia" w:hAnsiTheme="minorEastAsia" w:cs="Calibri"/>
          <w:sz w:val="18"/>
          <w:szCs w:val="20"/>
        </w:rPr>
        <w:t>h</w:t>
      </w:r>
      <w:r w:rsidRPr="0059530F">
        <w:rPr>
          <w:rFonts w:asciiTheme="minorEastAsia" w:hAnsiTheme="minorEastAsia" w:cs="Calibri"/>
          <w:sz w:val="18"/>
          <w:szCs w:val="20"/>
        </w:rPr>
        <w:t xml:space="preserve">ringer, Carbone, Rutherford, </w:t>
      </w:r>
      <w:r w:rsidR="00DD0ADD" w:rsidRPr="0059530F">
        <w:rPr>
          <w:rFonts w:asciiTheme="minorEastAsia" w:hAnsiTheme="minorEastAsia" w:cs="Calibri"/>
          <w:sz w:val="18"/>
          <w:szCs w:val="20"/>
        </w:rPr>
        <w:t>Embodied Carbon Tariffs, The Scandinavian Journal of Economics, 2018, Online Appendix, Equations (A1)~(A3)</w:t>
      </w:r>
      <w:r w:rsidR="00E27F60" w:rsidRPr="0059530F">
        <w:rPr>
          <w:rFonts w:asciiTheme="minorEastAsia" w:hAnsiTheme="minorEastAsia" w:cs="Calibri"/>
          <w:sz w:val="18"/>
          <w:szCs w:val="20"/>
        </w:rPr>
        <w:t xml:space="preserve">. The Equation (A1) as follows is modified to reflect </w:t>
      </w:r>
      <w:r w:rsidR="00585A9B" w:rsidRPr="0059530F">
        <w:rPr>
          <w:rFonts w:asciiTheme="minorEastAsia" w:hAnsiTheme="minorEastAsia" w:cs="Calibri"/>
          <w:sz w:val="18"/>
          <w:szCs w:val="20"/>
        </w:rPr>
        <w:t>the direct emission coefficients for individual fossil fuel inputs in each sector, rather than emission intensity aggregated for all the inputs for each sector</w:t>
      </w:r>
      <w:r w:rsidR="00AF5C4A" w:rsidRPr="0059530F">
        <w:rPr>
          <w:rFonts w:asciiTheme="minorEastAsia" w:hAnsiTheme="minorEastAsia" w:cs="Calibri"/>
          <w:sz w:val="18"/>
          <w:szCs w:val="20"/>
        </w:rPr>
        <w:t xml:space="preserve"> (</w:t>
      </w:r>
      <m:oMath>
        <m:sSubSup>
          <m:sSubSupPr>
            <m:ctrlPr>
              <w:rPr>
                <w:rFonts w:ascii="Cambria Math" w:hAnsi="Cambria Math" w:cs="Calibri"/>
                <w:i/>
                <w:sz w:val="18"/>
                <w:szCs w:val="20"/>
              </w:rPr>
            </m:ctrlPr>
          </m:sSubSupPr>
          <m:e>
            <m:r>
              <w:rPr>
                <w:rFonts w:ascii="Cambria Math" w:hAnsi="Cambria Math" w:cs="Calibri"/>
                <w:sz w:val="18"/>
                <w:szCs w:val="20"/>
              </w:rPr>
              <m:t>co2e</m:t>
            </m:r>
          </m:e>
          <m:sub>
            <m:r>
              <w:rPr>
                <w:rFonts w:ascii="Cambria Math" w:hAnsi="Cambria Math" w:cs="Calibri"/>
                <w:sz w:val="18"/>
                <w:szCs w:val="20"/>
              </w:rPr>
              <m:t>ir</m:t>
            </m:r>
          </m:sub>
          <m:sup/>
        </m:sSubSup>
        <m:r>
          <w:rPr>
            <w:rFonts w:ascii="Cambria Math" w:hAnsi="Cambria Math" w:cs="Calibri"/>
            <w:sz w:val="18"/>
            <w:szCs w:val="20"/>
          </w:rPr>
          <m:t>=</m:t>
        </m:r>
        <m:nary>
          <m:naryPr>
            <m:chr m:val="∑"/>
            <m:supHide m:val="1"/>
            <m:ctrlPr>
              <w:rPr>
                <w:rFonts w:ascii="Cambria Math" w:hAnsi="Cambria Math" w:cs="Calibri"/>
                <w:sz w:val="18"/>
                <w:szCs w:val="20"/>
              </w:rPr>
            </m:ctrlPr>
          </m:naryPr>
          <m:sub>
            <m:r>
              <w:rPr>
                <w:rFonts w:ascii="Cambria Math" w:hAnsi="Cambria Math" w:cs="Calibri"/>
                <w:sz w:val="18"/>
                <w:szCs w:val="20"/>
              </w:rPr>
              <m:t>j</m:t>
            </m:r>
            <m:ctrlPr>
              <w:rPr>
                <w:rFonts w:ascii="Cambria Math" w:hAnsi="Cambria Math" w:cs="Calibri"/>
                <w:i/>
                <w:sz w:val="18"/>
                <w:szCs w:val="20"/>
              </w:rPr>
            </m:ctrlPr>
          </m:sub>
          <m:sup>
            <m:ctrlPr>
              <w:rPr>
                <w:rFonts w:ascii="Cambria Math" w:hAnsi="Cambria Math" w:cs="Calibri"/>
                <w:i/>
                <w:sz w:val="18"/>
                <w:szCs w:val="20"/>
              </w:rPr>
            </m:ctrlPr>
          </m:sup>
          <m:e>
            <m:r>
              <w:rPr>
                <w:rFonts w:ascii="Cambria Math" w:hAnsi="Cambria Math" w:cs="Calibri"/>
                <w:sz w:val="18"/>
                <w:szCs w:val="20"/>
              </w:rPr>
              <m:t>{c</m:t>
            </m:r>
            <m:sSubSup>
              <m:sSubSupPr>
                <m:ctrlPr>
                  <w:rPr>
                    <w:rFonts w:ascii="Cambria Math" w:hAnsi="Cambria Math" w:cs="Calibri"/>
                    <w:i/>
                    <w:sz w:val="18"/>
                    <w:szCs w:val="20"/>
                  </w:rPr>
                </m:ctrlPr>
              </m:sSubSupPr>
              <m:e>
                <m:r>
                  <w:rPr>
                    <w:rFonts w:ascii="Cambria Math" w:hAnsi="Cambria Math" w:cs="Calibri"/>
                    <w:sz w:val="18"/>
                    <w:szCs w:val="20"/>
                  </w:rPr>
                  <m:t>o2</m:t>
                </m:r>
              </m:e>
              <m:sub>
                <m:r>
                  <w:rPr>
                    <w:rFonts w:ascii="Cambria Math" w:hAnsi="Cambria Math" w:cs="Calibri"/>
                    <w:sz w:val="18"/>
                    <w:szCs w:val="20"/>
                  </w:rPr>
                  <m:t>jir</m:t>
                </m:r>
              </m:sub>
              <m:sup>
                <m:r>
                  <w:rPr>
                    <w:rFonts w:ascii="Cambria Math" w:hAnsi="Cambria Math" w:cs="Calibri"/>
                    <w:sz w:val="18"/>
                    <w:szCs w:val="20"/>
                  </w:rPr>
                  <m:t>M</m:t>
                </m:r>
              </m:sup>
            </m:sSubSup>
            <m:sSubSup>
              <m:sSubSupPr>
                <m:ctrlPr>
                  <w:rPr>
                    <w:rFonts w:ascii="Cambria Math" w:hAnsi="Cambria Math" w:cs="Calibri"/>
                    <w:i/>
                    <w:sz w:val="18"/>
                    <w:szCs w:val="20"/>
                  </w:rPr>
                </m:ctrlPr>
              </m:sSubSupPr>
              <m:e>
                <m:r>
                  <w:rPr>
                    <w:rFonts w:ascii="Cambria Math" w:hAnsi="Cambria Math" w:cs="Calibri"/>
                    <w:sz w:val="18"/>
                    <w:szCs w:val="20"/>
                  </w:rPr>
                  <m:t>Z</m:t>
                </m:r>
              </m:e>
              <m:sub>
                <m:r>
                  <w:rPr>
                    <w:rFonts w:ascii="Cambria Math" w:hAnsi="Cambria Math" w:cs="Calibri"/>
                    <w:sz w:val="18"/>
                    <w:szCs w:val="20"/>
                  </w:rPr>
                  <m:t>jir</m:t>
                </m:r>
              </m:sub>
              <m:sup>
                <m:r>
                  <w:rPr>
                    <w:rFonts w:ascii="Cambria Math" w:hAnsi="Cambria Math" w:cs="Calibri"/>
                    <w:sz w:val="18"/>
                    <w:szCs w:val="20"/>
                  </w:rPr>
                  <m:t>M</m:t>
                </m:r>
              </m:sup>
            </m:sSubSup>
            <m:r>
              <w:rPr>
                <w:rFonts w:ascii="Cambria Math" w:hAnsi="Cambria Math" w:cs="Calibri"/>
                <w:sz w:val="18"/>
                <w:szCs w:val="20"/>
              </w:rPr>
              <m:t>+c</m:t>
            </m:r>
            <m:sSubSup>
              <m:sSubSupPr>
                <m:ctrlPr>
                  <w:rPr>
                    <w:rFonts w:ascii="Cambria Math" w:hAnsi="Cambria Math" w:cs="Calibri"/>
                    <w:i/>
                    <w:sz w:val="18"/>
                    <w:szCs w:val="20"/>
                  </w:rPr>
                </m:ctrlPr>
              </m:sSubSupPr>
              <m:e>
                <m:r>
                  <w:rPr>
                    <w:rFonts w:ascii="Cambria Math" w:hAnsi="Cambria Math" w:cs="Calibri"/>
                    <w:sz w:val="18"/>
                    <w:szCs w:val="20"/>
                  </w:rPr>
                  <m:t>o2</m:t>
                </m:r>
              </m:e>
              <m:sub>
                <m:r>
                  <w:rPr>
                    <w:rFonts w:ascii="Cambria Math" w:hAnsi="Cambria Math" w:cs="Calibri"/>
                    <w:sz w:val="18"/>
                    <w:szCs w:val="20"/>
                  </w:rPr>
                  <m:t>jir</m:t>
                </m:r>
              </m:sub>
              <m:sup>
                <m:r>
                  <w:rPr>
                    <w:rFonts w:ascii="Cambria Math" w:hAnsi="Cambria Math" w:cs="Calibri"/>
                    <w:sz w:val="18"/>
                    <w:szCs w:val="20"/>
                  </w:rPr>
                  <m:t>M</m:t>
                </m:r>
              </m:sup>
            </m:sSubSup>
            <m:sSubSup>
              <m:sSubSupPr>
                <m:ctrlPr>
                  <w:rPr>
                    <w:rFonts w:ascii="Cambria Math" w:hAnsi="Cambria Math" w:cs="Calibri"/>
                    <w:i/>
                    <w:sz w:val="18"/>
                    <w:szCs w:val="20"/>
                  </w:rPr>
                </m:ctrlPr>
              </m:sSubSupPr>
              <m:e>
                <m:r>
                  <w:rPr>
                    <w:rFonts w:ascii="Cambria Math" w:hAnsi="Cambria Math" w:cs="Calibri"/>
                    <w:sz w:val="18"/>
                    <w:szCs w:val="20"/>
                  </w:rPr>
                  <m:t>Z</m:t>
                </m:r>
              </m:e>
              <m:sub>
                <m:r>
                  <w:rPr>
                    <w:rFonts w:ascii="Cambria Math" w:hAnsi="Cambria Math" w:cs="Calibri"/>
                    <w:sz w:val="18"/>
                    <w:szCs w:val="20"/>
                  </w:rPr>
                  <m:t>jir</m:t>
                </m:r>
              </m:sub>
              <m:sup>
                <m:r>
                  <w:rPr>
                    <w:rFonts w:ascii="Cambria Math" w:hAnsi="Cambria Math" w:cs="Calibri"/>
                    <w:sz w:val="18"/>
                    <w:szCs w:val="20"/>
                  </w:rPr>
                  <m:t>M</m:t>
                </m:r>
              </m:sup>
            </m:sSubSup>
            <m:ctrlPr>
              <w:rPr>
                <w:rFonts w:ascii="Cambria Math" w:hAnsi="Cambria Math" w:cs="Calibri"/>
                <w:i/>
                <w:sz w:val="18"/>
                <w:szCs w:val="20"/>
              </w:rPr>
            </m:ctrlPr>
          </m:e>
        </m:nary>
        <m:r>
          <w:rPr>
            <w:rFonts w:ascii="Cambria Math" w:hAnsi="Cambria Math" w:cs="Calibri"/>
            <w:sz w:val="18"/>
            <w:szCs w:val="20"/>
          </w:rPr>
          <m:t>}</m:t>
        </m:r>
      </m:oMath>
      <w:r w:rsidR="00AF5C4A" w:rsidRPr="0059530F">
        <w:rPr>
          <w:rFonts w:asciiTheme="minorEastAsia" w:hAnsiTheme="minorEastAsia" w:cs="Calibri"/>
          <w:sz w:val="18"/>
          <w:szCs w:val="20"/>
        </w:rPr>
        <w:t>)</w:t>
      </w:r>
      <w:r w:rsidR="00585A9B" w:rsidRPr="0059530F">
        <w:rPr>
          <w:rFonts w:asciiTheme="minorEastAsia" w:hAnsiTheme="minorEastAsia" w:cs="Calibri"/>
          <w:sz w:val="18"/>
          <w:szCs w:val="20"/>
        </w:rPr>
        <w:t xml:space="preserve">, and </w:t>
      </w:r>
      <w:r w:rsidR="00E27F60" w:rsidRPr="0059530F">
        <w:rPr>
          <w:rFonts w:asciiTheme="minorEastAsia" w:hAnsiTheme="minorEastAsia" w:cs="Calibri"/>
          <w:sz w:val="18"/>
          <w:szCs w:val="20"/>
        </w:rPr>
        <w:t>to introduce the carbon content (cc) for value added inputs (capital, tax and labor)</w:t>
      </w:r>
      <w:r w:rsidR="000A4C98" w:rsidRPr="0059530F">
        <w:rPr>
          <w:rFonts w:asciiTheme="minorEastAsia" w:hAnsiTheme="minorEastAsia" w:cs="Calibri"/>
          <w:sz w:val="18"/>
          <w:szCs w:val="20"/>
        </w:rPr>
        <w:t>.</w:t>
      </w:r>
    </w:p>
    <w:p w14:paraId="7CACC184" w14:textId="161B5286" w:rsidR="00E27F60" w:rsidRPr="0059530F" w:rsidRDefault="007E39B8" w:rsidP="000A4C98">
      <w:pPr>
        <w:jc w:val="center"/>
        <w:rPr>
          <w:rFonts w:asciiTheme="minorEastAsia" w:hAnsiTheme="minorEastAsia" w:cs="Calibri"/>
          <w:sz w:val="18"/>
          <w:szCs w:val="20"/>
        </w:rPr>
      </w:pPr>
      <m:oMath>
        <m:r>
          <w:rPr>
            <w:rFonts w:ascii="Cambria Math" w:hAnsi="Cambria Math" w:cs="Calibri"/>
            <w:sz w:val="18"/>
            <w:szCs w:val="20"/>
          </w:rPr>
          <m:t>c</m:t>
        </m:r>
        <m:sSubSup>
          <m:sSubSupPr>
            <m:ctrlPr>
              <w:rPr>
                <w:rFonts w:ascii="Cambria Math" w:hAnsi="Cambria Math" w:cs="Calibri"/>
                <w:i/>
                <w:sz w:val="18"/>
                <w:szCs w:val="20"/>
              </w:rPr>
            </m:ctrlPr>
          </m:sSubSupPr>
          <m:e>
            <m:r>
              <w:rPr>
                <w:rFonts w:ascii="Cambria Math" w:hAnsi="Cambria Math" w:cs="Calibri"/>
                <w:sz w:val="18"/>
                <w:szCs w:val="20"/>
              </w:rPr>
              <m:t>c</m:t>
            </m:r>
          </m:e>
          <m:sub>
            <m:r>
              <w:rPr>
                <w:rFonts w:ascii="Cambria Math" w:hAnsi="Cambria Math" w:cs="Calibri"/>
                <w:sz w:val="18"/>
                <w:szCs w:val="20"/>
              </w:rPr>
              <m:t>ir</m:t>
            </m:r>
          </m:sub>
          <m:sup>
            <m:r>
              <w:rPr>
                <w:rFonts w:ascii="Cambria Math" w:hAnsi="Cambria Math" w:cs="Calibri"/>
                <w:sz w:val="18"/>
                <w:szCs w:val="20"/>
              </w:rPr>
              <m:t>Y</m:t>
            </m:r>
          </m:sup>
        </m:sSubSup>
        <m:sSub>
          <m:sSubPr>
            <m:ctrlPr>
              <w:rPr>
                <w:rFonts w:ascii="Cambria Math" w:hAnsi="Cambria Math" w:cs="Calibri"/>
                <w:i/>
                <w:sz w:val="18"/>
                <w:szCs w:val="20"/>
              </w:rPr>
            </m:ctrlPr>
          </m:sSubPr>
          <m:e>
            <m:r>
              <w:rPr>
                <w:rFonts w:ascii="Cambria Math" w:hAnsi="Cambria Math" w:cs="Calibri"/>
                <w:sz w:val="18"/>
                <w:szCs w:val="20"/>
              </w:rPr>
              <m:t>Y</m:t>
            </m:r>
          </m:e>
          <m:sub>
            <m:r>
              <w:rPr>
                <w:rFonts w:ascii="Cambria Math" w:hAnsi="Cambria Math" w:cs="Calibri"/>
                <w:sz w:val="18"/>
                <w:szCs w:val="20"/>
              </w:rPr>
              <m:t>ir</m:t>
            </m:r>
          </m:sub>
        </m:sSub>
        <m:r>
          <w:rPr>
            <w:rFonts w:ascii="Cambria Math" w:hAnsi="Cambria Math" w:cs="Calibri"/>
            <w:sz w:val="18"/>
            <w:szCs w:val="20"/>
          </w:rPr>
          <m:t>=</m:t>
        </m:r>
        <m:sSubSup>
          <m:sSubSupPr>
            <m:ctrlPr>
              <w:rPr>
                <w:rFonts w:ascii="Cambria Math" w:hAnsi="Cambria Math" w:cs="Calibri"/>
                <w:i/>
                <w:sz w:val="18"/>
                <w:szCs w:val="20"/>
              </w:rPr>
            </m:ctrlPr>
          </m:sSubSupPr>
          <m:e>
            <m:r>
              <w:rPr>
                <w:rFonts w:ascii="Cambria Math" w:hAnsi="Cambria Math" w:cs="Calibri"/>
                <w:sz w:val="18"/>
                <w:szCs w:val="20"/>
              </w:rPr>
              <m:t>co2e</m:t>
            </m:r>
          </m:e>
          <m:sub>
            <m:r>
              <w:rPr>
                <w:rFonts w:ascii="Cambria Math" w:hAnsi="Cambria Math" w:cs="Calibri"/>
                <w:sz w:val="18"/>
                <w:szCs w:val="20"/>
              </w:rPr>
              <m:t>ir</m:t>
            </m:r>
          </m:sub>
          <m:sup/>
        </m:sSubSup>
        <m:r>
          <w:rPr>
            <w:rFonts w:ascii="Cambria Math" w:hAnsi="Cambria Math" w:cs="Calibri"/>
            <w:sz w:val="18"/>
            <w:szCs w:val="20"/>
          </w:rPr>
          <m:t>+</m:t>
        </m:r>
        <m:nary>
          <m:naryPr>
            <m:chr m:val="∑"/>
            <m:supHide m:val="1"/>
            <m:ctrlPr>
              <w:rPr>
                <w:rFonts w:ascii="Cambria Math" w:hAnsi="Cambria Math" w:cs="Calibri"/>
                <w:sz w:val="18"/>
                <w:szCs w:val="20"/>
              </w:rPr>
            </m:ctrlPr>
          </m:naryPr>
          <m:sub>
            <m:r>
              <w:rPr>
                <w:rFonts w:ascii="Cambria Math" w:hAnsi="Cambria Math" w:cs="Calibri"/>
                <w:sz w:val="18"/>
                <w:szCs w:val="20"/>
              </w:rPr>
              <m:t>j</m:t>
            </m:r>
            <m:ctrlPr>
              <w:rPr>
                <w:rFonts w:ascii="Cambria Math" w:hAnsi="Cambria Math" w:cs="Calibri"/>
                <w:i/>
                <w:sz w:val="18"/>
                <w:szCs w:val="20"/>
              </w:rPr>
            </m:ctrlPr>
          </m:sub>
          <m:sup>
            <m:ctrlPr>
              <w:rPr>
                <w:rFonts w:ascii="Cambria Math" w:hAnsi="Cambria Math" w:cs="Calibri"/>
                <w:i/>
                <w:sz w:val="18"/>
                <w:szCs w:val="20"/>
              </w:rPr>
            </m:ctrlPr>
          </m:sup>
          <m:e>
            <m:r>
              <w:rPr>
                <w:rFonts w:ascii="Cambria Math" w:hAnsi="Cambria Math" w:cs="Calibri"/>
                <w:sz w:val="18"/>
                <w:szCs w:val="20"/>
              </w:rPr>
              <m:t>c</m:t>
            </m:r>
            <m:sSubSup>
              <m:sSubSupPr>
                <m:ctrlPr>
                  <w:rPr>
                    <w:rFonts w:ascii="Cambria Math" w:hAnsi="Cambria Math" w:cs="Calibri"/>
                    <w:i/>
                    <w:sz w:val="18"/>
                    <w:szCs w:val="20"/>
                  </w:rPr>
                </m:ctrlPr>
              </m:sSubSupPr>
              <m:e>
                <m:r>
                  <w:rPr>
                    <w:rFonts w:ascii="Cambria Math" w:hAnsi="Cambria Math" w:cs="Calibri"/>
                    <w:sz w:val="18"/>
                    <w:szCs w:val="20"/>
                  </w:rPr>
                  <m:t>c</m:t>
                </m:r>
              </m:e>
              <m:sub>
                <m:r>
                  <w:rPr>
                    <w:rFonts w:ascii="Cambria Math" w:hAnsi="Cambria Math" w:cs="Calibri"/>
                    <w:sz w:val="18"/>
                    <w:szCs w:val="20"/>
                  </w:rPr>
                  <m:t>jr</m:t>
                </m:r>
              </m:sub>
              <m:sup>
                <m:r>
                  <w:rPr>
                    <w:rFonts w:ascii="Cambria Math" w:hAnsi="Cambria Math" w:cs="Calibri"/>
                    <w:sz w:val="18"/>
                    <w:szCs w:val="20"/>
                  </w:rPr>
                  <m:t>M</m:t>
                </m:r>
              </m:sup>
            </m:sSubSup>
            <m:sSubSup>
              <m:sSubSupPr>
                <m:ctrlPr>
                  <w:rPr>
                    <w:rFonts w:ascii="Cambria Math" w:hAnsi="Cambria Math" w:cs="Calibri"/>
                    <w:i/>
                    <w:sz w:val="18"/>
                    <w:szCs w:val="20"/>
                  </w:rPr>
                </m:ctrlPr>
              </m:sSubSupPr>
              <m:e>
                <m:r>
                  <w:rPr>
                    <w:rFonts w:ascii="Cambria Math" w:hAnsi="Cambria Math" w:cs="Calibri"/>
                    <w:sz w:val="18"/>
                    <w:szCs w:val="20"/>
                  </w:rPr>
                  <m:t>Z</m:t>
                </m:r>
              </m:e>
              <m:sub>
                <m:r>
                  <w:rPr>
                    <w:rFonts w:ascii="Cambria Math" w:hAnsi="Cambria Math" w:cs="Calibri"/>
                    <w:sz w:val="18"/>
                    <w:szCs w:val="20"/>
                  </w:rPr>
                  <m:t>jir</m:t>
                </m:r>
              </m:sub>
              <m:sup>
                <m:r>
                  <w:rPr>
                    <w:rFonts w:ascii="Cambria Math" w:hAnsi="Cambria Math" w:cs="Calibri"/>
                    <w:sz w:val="18"/>
                    <w:szCs w:val="20"/>
                  </w:rPr>
                  <m:t>M</m:t>
                </m:r>
              </m:sup>
            </m:sSubSup>
            <m:ctrlPr>
              <w:rPr>
                <w:rFonts w:ascii="Cambria Math" w:hAnsi="Cambria Math" w:cs="Calibri"/>
                <w:i/>
                <w:sz w:val="18"/>
                <w:szCs w:val="20"/>
              </w:rPr>
            </m:ctrlPr>
          </m:e>
        </m:nary>
        <m:r>
          <w:rPr>
            <w:rFonts w:ascii="Cambria Math" w:hAnsi="Cambria Math" w:cs="Calibri"/>
            <w:sz w:val="18"/>
            <w:szCs w:val="20"/>
          </w:rPr>
          <m:t>+</m:t>
        </m:r>
        <m:nary>
          <m:naryPr>
            <m:chr m:val="∑"/>
            <m:supHide m:val="1"/>
            <m:ctrlPr>
              <w:rPr>
                <w:rFonts w:ascii="Cambria Math" w:hAnsi="Cambria Math" w:cs="Calibri"/>
                <w:sz w:val="18"/>
                <w:szCs w:val="20"/>
              </w:rPr>
            </m:ctrlPr>
          </m:naryPr>
          <m:sub>
            <m:r>
              <w:rPr>
                <w:rFonts w:ascii="Cambria Math" w:hAnsi="Cambria Math" w:cs="Calibri"/>
                <w:sz w:val="18"/>
                <w:szCs w:val="20"/>
              </w:rPr>
              <m:t>j</m:t>
            </m:r>
            <m:ctrlPr>
              <w:rPr>
                <w:rFonts w:ascii="Cambria Math" w:hAnsi="Cambria Math" w:cs="Calibri"/>
                <w:i/>
                <w:sz w:val="18"/>
                <w:szCs w:val="20"/>
              </w:rPr>
            </m:ctrlPr>
          </m:sub>
          <m:sup>
            <m:ctrlPr>
              <w:rPr>
                <w:rFonts w:ascii="Cambria Math" w:hAnsi="Cambria Math" w:cs="Calibri"/>
                <w:i/>
                <w:sz w:val="18"/>
                <w:szCs w:val="20"/>
              </w:rPr>
            </m:ctrlPr>
          </m:sup>
          <m:e>
            <m:r>
              <w:rPr>
                <w:rFonts w:ascii="Cambria Math" w:hAnsi="Cambria Math" w:cs="Calibri"/>
                <w:sz w:val="18"/>
                <w:szCs w:val="20"/>
              </w:rPr>
              <m:t>c</m:t>
            </m:r>
            <m:sSubSup>
              <m:sSubSupPr>
                <m:ctrlPr>
                  <w:rPr>
                    <w:rFonts w:ascii="Cambria Math" w:hAnsi="Cambria Math" w:cs="Calibri"/>
                    <w:i/>
                    <w:sz w:val="18"/>
                    <w:szCs w:val="20"/>
                  </w:rPr>
                </m:ctrlPr>
              </m:sSubSupPr>
              <m:e>
                <m:r>
                  <w:rPr>
                    <w:rFonts w:ascii="Cambria Math" w:hAnsi="Cambria Math" w:cs="Calibri"/>
                    <w:sz w:val="18"/>
                    <w:szCs w:val="20"/>
                  </w:rPr>
                  <m:t>c</m:t>
                </m:r>
              </m:e>
              <m:sub>
                <m:r>
                  <w:rPr>
                    <w:rFonts w:ascii="Cambria Math" w:hAnsi="Cambria Math" w:cs="Calibri"/>
                    <w:sz w:val="18"/>
                    <w:szCs w:val="20"/>
                  </w:rPr>
                  <m:t>jr</m:t>
                </m:r>
              </m:sub>
              <m:sup>
                <m:r>
                  <w:rPr>
                    <w:rFonts w:ascii="Cambria Math" w:hAnsi="Cambria Math" w:cs="Calibri"/>
                    <w:sz w:val="18"/>
                    <w:szCs w:val="20"/>
                  </w:rPr>
                  <m:t>Y</m:t>
                </m:r>
              </m:sup>
            </m:sSubSup>
            <m:sSubSup>
              <m:sSubSupPr>
                <m:ctrlPr>
                  <w:rPr>
                    <w:rFonts w:ascii="Cambria Math" w:hAnsi="Cambria Math" w:cs="Calibri"/>
                    <w:i/>
                    <w:sz w:val="18"/>
                    <w:szCs w:val="20"/>
                  </w:rPr>
                </m:ctrlPr>
              </m:sSubSupPr>
              <m:e>
                <m:r>
                  <w:rPr>
                    <w:rFonts w:ascii="Cambria Math" w:hAnsi="Cambria Math" w:cs="Calibri"/>
                    <w:sz w:val="18"/>
                    <w:szCs w:val="20"/>
                  </w:rPr>
                  <m:t>Z</m:t>
                </m:r>
              </m:e>
              <m:sub>
                <m:r>
                  <w:rPr>
                    <w:rFonts w:ascii="Cambria Math" w:hAnsi="Cambria Math" w:cs="Calibri"/>
                    <w:sz w:val="18"/>
                    <w:szCs w:val="20"/>
                  </w:rPr>
                  <m:t>jir</m:t>
                </m:r>
              </m:sub>
              <m:sup>
                <m:r>
                  <w:rPr>
                    <w:rFonts w:ascii="Cambria Math" w:hAnsi="Cambria Math" w:cs="Calibri"/>
                    <w:sz w:val="18"/>
                    <w:szCs w:val="20"/>
                  </w:rPr>
                  <m:t>D</m:t>
                </m:r>
              </m:sup>
            </m:sSubSup>
            <m:ctrlPr>
              <w:rPr>
                <w:rFonts w:ascii="Cambria Math" w:hAnsi="Cambria Math" w:cs="Calibri"/>
                <w:i/>
                <w:sz w:val="18"/>
                <w:szCs w:val="20"/>
              </w:rPr>
            </m:ctrlPr>
          </m:e>
        </m:nary>
      </m:oMath>
      <w:r w:rsidR="000A4C98" w:rsidRPr="0059530F">
        <w:rPr>
          <w:rFonts w:asciiTheme="minorEastAsia" w:hAnsiTheme="minorEastAsia" w:cs="Calibri"/>
          <w:i/>
          <w:sz w:val="18"/>
          <w:szCs w:val="20"/>
        </w:rPr>
        <w:t xml:space="preserve">   </w:t>
      </w:r>
      <w:r w:rsidR="000A4C98" w:rsidRPr="0059530F">
        <w:rPr>
          <w:rFonts w:asciiTheme="minorEastAsia" w:hAnsiTheme="minorEastAsia" w:cs="Calibri"/>
          <w:sz w:val="18"/>
          <w:szCs w:val="20"/>
        </w:rPr>
        <w:t>(A1)</w:t>
      </w:r>
    </w:p>
    <w:p w14:paraId="4175F939" w14:textId="0A88EB74" w:rsidR="007E39B8" w:rsidRPr="0059530F" w:rsidRDefault="007E39B8">
      <w:pPr>
        <w:pStyle w:val="FootnoteText"/>
        <w:rPr>
          <w:rFonts w:asciiTheme="minorEastAsia" w:hAnsiTheme="minorEastAsia" w:cs="Calibri"/>
          <w:sz w:val="18"/>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FECDB" w14:textId="6A7E82C1" w:rsidR="009E1648" w:rsidRDefault="00000000">
    <w:pPr>
      <w:pStyle w:val="Header"/>
    </w:pPr>
    <w:r>
      <w:rPr>
        <w:noProof/>
      </w:rPr>
      <w:pict w14:anchorId="3A8710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83.7pt;height:52.5pt;rotation:315;z-index:-251658752;mso-position-horizontal:center;mso-position-horizontal-relative:margin;mso-position-vertical:center;mso-position-vertical-relative:margin" o:allowincell="f" fillcolor="#7f7f7f [1612]" stroked="f">
          <v:fill opacity=".5"/>
          <v:textpath style="font-family:&quot;맑은 고딕&quot;;font-size:1pt;v-text-reverse:t" string="Draft - Do Not Quo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41CF7"/>
    <w:multiLevelType w:val="hybridMultilevel"/>
    <w:tmpl w:val="2240758E"/>
    <w:lvl w:ilvl="0" w:tplc="C14CFED0">
      <w:numFmt w:val="bullet"/>
      <w:lvlText w:val=""/>
      <w:lvlJc w:val="left"/>
      <w:pPr>
        <w:ind w:left="800" w:hanging="360"/>
      </w:pPr>
      <w:rPr>
        <w:rFonts w:ascii="Wingdings" w:eastAsiaTheme="minorEastAsia" w:hAnsi="Wingdings" w:cstheme="minorBid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59794E42"/>
    <w:multiLevelType w:val="hybridMultilevel"/>
    <w:tmpl w:val="011E1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4932829">
    <w:abstractNumId w:val="0"/>
  </w:num>
  <w:num w:numId="2" w16cid:durableId="382753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B53"/>
    <w:rsid w:val="00013D19"/>
    <w:rsid w:val="000264B5"/>
    <w:rsid w:val="00045B4F"/>
    <w:rsid w:val="000551AC"/>
    <w:rsid w:val="00064293"/>
    <w:rsid w:val="00070CF0"/>
    <w:rsid w:val="0007579F"/>
    <w:rsid w:val="000A4C98"/>
    <w:rsid w:val="000A71D7"/>
    <w:rsid w:val="000B54E5"/>
    <w:rsid w:val="000B60C4"/>
    <w:rsid w:val="000D39D8"/>
    <w:rsid w:val="000D5058"/>
    <w:rsid w:val="000E4C44"/>
    <w:rsid w:val="000F769A"/>
    <w:rsid w:val="001010AA"/>
    <w:rsid w:val="00145DD8"/>
    <w:rsid w:val="00163626"/>
    <w:rsid w:val="00172E2D"/>
    <w:rsid w:val="00181DF9"/>
    <w:rsid w:val="00183416"/>
    <w:rsid w:val="0018558A"/>
    <w:rsid w:val="001937E4"/>
    <w:rsid w:val="00194F4C"/>
    <w:rsid w:val="001B3B92"/>
    <w:rsid w:val="001B70E1"/>
    <w:rsid w:val="002067B6"/>
    <w:rsid w:val="00223942"/>
    <w:rsid w:val="00230B6A"/>
    <w:rsid w:val="002609A0"/>
    <w:rsid w:val="002845AB"/>
    <w:rsid w:val="0029363E"/>
    <w:rsid w:val="00296B86"/>
    <w:rsid w:val="00297214"/>
    <w:rsid w:val="002A5A35"/>
    <w:rsid w:val="002B2E91"/>
    <w:rsid w:val="002B3987"/>
    <w:rsid w:val="002B4304"/>
    <w:rsid w:val="002F07F9"/>
    <w:rsid w:val="00322D74"/>
    <w:rsid w:val="003316A1"/>
    <w:rsid w:val="00345111"/>
    <w:rsid w:val="00346856"/>
    <w:rsid w:val="00352810"/>
    <w:rsid w:val="003636CF"/>
    <w:rsid w:val="003A0727"/>
    <w:rsid w:val="003F2201"/>
    <w:rsid w:val="003F4A3B"/>
    <w:rsid w:val="003F6327"/>
    <w:rsid w:val="004007B8"/>
    <w:rsid w:val="004B03CD"/>
    <w:rsid w:val="004B0947"/>
    <w:rsid w:val="004B42E3"/>
    <w:rsid w:val="004D232C"/>
    <w:rsid w:val="00501009"/>
    <w:rsid w:val="005050D5"/>
    <w:rsid w:val="0050741D"/>
    <w:rsid w:val="00523B09"/>
    <w:rsid w:val="005323F9"/>
    <w:rsid w:val="00555B9F"/>
    <w:rsid w:val="005571E9"/>
    <w:rsid w:val="00583567"/>
    <w:rsid w:val="00585A9B"/>
    <w:rsid w:val="005928A0"/>
    <w:rsid w:val="0059530F"/>
    <w:rsid w:val="00595456"/>
    <w:rsid w:val="005C7121"/>
    <w:rsid w:val="005F588A"/>
    <w:rsid w:val="005F63D0"/>
    <w:rsid w:val="006530EF"/>
    <w:rsid w:val="006624E9"/>
    <w:rsid w:val="0066627B"/>
    <w:rsid w:val="00670A77"/>
    <w:rsid w:val="00674E76"/>
    <w:rsid w:val="006774FC"/>
    <w:rsid w:val="00677604"/>
    <w:rsid w:val="006A146A"/>
    <w:rsid w:val="00710F5E"/>
    <w:rsid w:val="00723783"/>
    <w:rsid w:val="00735A91"/>
    <w:rsid w:val="00737431"/>
    <w:rsid w:val="0074150F"/>
    <w:rsid w:val="00750218"/>
    <w:rsid w:val="0075031C"/>
    <w:rsid w:val="00753EB1"/>
    <w:rsid w:val="00764166"/>
    <w:rsid w:val="00780524"/>
    <w:rsid w:val="007D0D8A"/>
    <w:rsid w:val="007D34DB"/>
    <w:rsid w:val="007E39B8"/>
    <w:rsid w:val="007F0C20"/>
    <w:rsid w:val="007F73D0"/>
    <w:rsid w:val="007F7B9D"/>
    <w:rsid w:val="0081188E"/>
    <w:rsid w:val="00821E42"/>
    <w:rsid w:val="0084580E"/>
    <w:rsid w:val="00852E98"/>
    <w:rsid w:val="008561EE"/>
    <w:rsid w:val="00866788"/>
    <w:rsid w:val="008874F9"/>
    <w:rsid w:val="00896E18"/>
    <w:rsid w:val="008B634E"/>
    <w:rsid w:val="008C49EF"/>
    <w:rsid w:val="008E7C92"/>
    <w:rsid w:val="009052F6"/>
    <w:rsid w:val="00920AD4"/>
    <w:rsid w:val="00930EAC"/>
    <w:rsid w:val="009524C8"/>
    <w:rsid w:val="0095361A"/>
    <w:rsid w:val="00955C9B"/>
    <w:rsid w:val="0096537F"/>
    <w:rsid w:val="0098335C"/>
    <w:rsid w:val="009B05C6"/>
    <w:rsid w:val="009C6379"/>
    <w:rsid w:val="009E1648"/>
    <w:rsid w:val="009E5AB4"/>
    <w:rsid w:val="009E62AF"/>
    <w:rsid w:val="009F789D"/>
    <w:rsid w:val="00A3665C"/>
    <w:rsid w:val="00A812F8"/>
    <w:rsid w:val="00A92EBD"/>
    <w:rsid w:val="00A95289"/>
    <w:rsid w:val="00AC504A"/>
    <w:rsid w:val="00AF5C4A"/>
    <w:rsid w:val="00AF7841"/>
    <w:rsid w:val="00B113B3"/>
    <w:rsid w:val="00B232B2"/>
    <w:rsid w:val="00B44B53"/>
    <w:rsid w:val="00B6318F"/>
    <w:rsid w:val="00B707DA"/>
    <w:rsid w:val="00B7554D"/>
    <w:rsid w:val="00B765A2"/>
    <w:rsid w:val="00B7718B"/>
    <w:rsid w:val="00B80962"/>
    <w:rsid w:val="00BB78DB"/>
    <w:rsid w:val="00BE0E77"/>
    <w:rsid w:val="00BF7A00"/>
    <w:rsid w:val="00C32DCA"/>
    <w:rsid w:val="00C57533"/>
    <w:rsid w:val="00C7618B"/>
    <w:rsid w:val="00C919AB"/>
    <w:rsid w:val="00C9484C"/>
    <w:rsid w:val="00CC3DF0"/>
    <w:rsid w:val="00CD0E8F"/>
    <w:rsid w:val="00CF0CE2"/>
    <w:rsid w:val="00CF1243"/>
    <w:rsid w:val="00D05DD5"/>
    <w:rsid w:val="00D3150F"/>
    <w:rsid w:val="00D31E62"/>
    <w:rsid w:val="00D32575"/>
    <w:rsid w:val="00D355E5"/>
    <w:rsid w:val="00D37141"/>
    <w:rsid w:val="00D450FC"/>
    <w:rsid w:val="00D60CB9"/>
    <w:rsid w:val="00D65AA1"/>
    <w:rsid w:val="00D71675"/>
    <w:rsid w:val="00D811E1"/>
    <w:rsid w:val="00D8727A"/>
    <w:rsid w:val="00D952FD"/>
    <w:rsid w:val="00DA03E2"/>
    <w:rsid w:val="00DB013D"/>
    <w:rsid w:val="00DD0ADD"/>
    <w:rsid w:val="00DF62CD"/>
    <w:rsid w:val="00DF6CD8"/>
    <w:rsid w:val="00E15CBF"/>
    <w:rsid w:val="00E27F60"/>
    <w:rsid w:val="00E602B1"/>
    <w:rsid w:val="00E74C31"/>
    <w:rsid w:val="00E80476"/>
    <w:rsid w:val="00E926D3"/>
    <w:rsid w:val="00EB3B8B"/>
    <w:rsid w:val="00EC0471"/>
    <w:rsid w:val="00EC7A1D"/>
    <w:rsid w:val="00EE1188"/>
    <w:rsid w:val="00EF7EB3"/>
    <w:rsid w:val="00F06641"/>
    <w:rsid w:val="00F26318"/>
    <w:rsid w:val="00F67F95"/>
    <w:rsid w:val="00F72C40"/>
    <w:rsid w:val="00F84259"/>
    <w:rsid w:val="00FE4307"/>
    <w:rsid w:val="00FF6E0E"/>
    <w:rsid w:val="00FF7E9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F7267"/>
  <w15:chartTrackingRefBased/>
  <w15:docId w15:val="{337C19A3-A723-4C32-BD30-F15F9EF4F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wordWrap w:val="0"/>
      <w:autoSpaceDE w:val="0"/>
      <w:autoSpaceDN w:val="0"/>
    </w:pPr>
  </w:style>
  <w:style w:type="paragraph" w:styleId="Heading1">
    <w:name w:val="heading 1"/>
    <w:basedOn w:val="Normal"/>
    <w:next w:val="Normal"/>
    <w:link w:val="Heading1Char"/>
    <w:uiPriority w:val="9"/>
    <w:qFormat/>
    <w:rsid w:val="00B44B5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semiHidden/>
    <w:unhideWhenUsed/>
    <w:qFormat/>
    <w:rsid w:val="00B44B5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link w:val="Heading3Char"/>
    <w:uiPriority w:val="9"/>
    <w:semiHidden/>
    <w:unhideWhenUsed/>
    <w:qFormat/>
    <w:rsid w:val="00B44B53"/>
    <w:pPr>
      <w:keepNext/>
      <w:keepLines/>
      <w:spacing w:before="160" w:after="80"/>
      <w:outlineLvl w:val="2"/>
    </w:pPr>
    <w:rPr>
      <w:rFonts w:asciiTheme="majorHAnsi" w:eastAsiaTheme="majorEastAsia" w:hAnsiTheme="majorHAnsi" w:cstheme="majorBidi"/>
      <w:color w:val="000000" w:themeColor="text1"/>
      <w:sz w:val="24"/>
    </w:rPr>
  </w:style>
  <w:style w:type="paragraph" w:styleId="Heading4">
    <w:name w:val="heading 4"/>
    <w:basedOn w:val="Normal"/>
    <w:next w:val="Normal"/>
    <w:link w:val="Heading4Char"/>
    <w:uiPriority w:val="9"/>
    <w:semiHidden/>
    <w:unhideWhenUsed/>
    <w:qFormat/>
    <w:rsid w:val="00B44B53"/>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link w:val="Heading5Char"/>
    <w:uiPriority w:val="9"/>
    <w:semiHidden/>
    <w:unhideWhenUsed/>
    <w:qFormat/>
    <w:rsid w:val="00B44B5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B44B5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semiHidden/>
    <w:unhideWhenUsed/>
    <w:qFormat/>
    <w:rsid w:val="00B44B5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link w:val="Heading8Char"/>
    <w:uiPriority w:val="9"/>
    <w:semiHidden/>
    <w:unhideWhenUsed/>
    <w:qFormat/>
    <w:rsid w:val="00B44B5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link w:val="Heading9Char"/>
    <w:uiPriority w:val="9"/>
    <w:semiHidden/>
    <w:unhideWhenUsed/>
    <w:qFormat/>
    <w:rsid w:val="00B44B5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B53"/>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semiHidden/>
    <w:rsid w:val="00B44B53"/>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link w:val="Heading3"/>
    <w:uiPriority w:val="9"/>
    <w:semiHidden/>
    <w:rsid w:val="00B44B53"/>
    <w:rPr>
      <w:rFonts w:asciiTheme="majorHAnsi" w:eastAsiaTheme="majorEastAsia" w:hAnsiTheme="majorHAnsi" w:cstheme="majorBidi"/>
      <w:color w:val="000000" w:themeColor="text1"/>
      <w:sz w:val="24"/>
    </w:rPr>
  </w:style>
  <w:style w:type="character" w:customStyle="1" w:styleId="Heading4Char">
    <w:name w:val="Heading 4 Char"/>
    <w:basedOn w:val="DefaultParagraphFont"/>
    <w:link w:val="Heading4"/>
    <w:uiPriority w:val="9"/>
    <w:semiHidden/>
    <w:rsid w:val="00B44B53"/>
    <w:rPr>
      <w:rFonts w:asciiTheme="majorHAnsi" w:eastAsiaTheme="majorEastAsia" w:hAnsiTheme="majorHAnsi" w:cstheme="majorBidi"/>
      <w:color w:val="000000" w:themeColor="text1"/>
    </w:rPr>
  </w:style>
  <w:style w:type="character" w:customStyle="1" w:styleId="Heading5Char">
    <w:name w:val="Heading 5 Char"/>
    <w:basedOn w:val="DefaultParagraphFont"/>
    <w:link w:val="Heading5"/>
    <w:uiPriority w:val="9"/>
    <w:semiHidden/>
    <w:rsid w:val="00B44B53"/>
    <w:rPr>
      <w:rFonts w:asciiTheme="majorHAnsi" w:eastAsiaTheme="majorEastAsia" w:hAnsiTheme="majorHAnsi" w:cstheme="majorBidi"/>
      <w:color w:val="000000" w:themeColor="text1"/>
    </w:rPr>
  </w:style>
  <w:style w:type="character" w:customStyle="1" w:styleId="Heading6Char">
    <w:name w:val="Heading 6 Char"/>
    <w:basedOn w:val="DefaultParagraphFont"/>
    <w:link w:val="Heading6"/>
    <w:uiPriority w:val="9"/>
    <w:semiHidden/>
    <w:rsid w:val="00B44B53"/>
    <w:rPr>
      <w:rFonts w:asciiTheme="majorHAnsi" w:eastAsiaTheme="majorEastAsia" w:hAnsiTheme="majorHAnsi" w:cstheme="majorBidi"/>
      <w:color w:val="000000" w:themeColor="text1"/>
    </w:rPr>
  </w:style>
  <w:style w:type="character" w:customStyle="1" w:styleId="Heading7Char">
    <w:name w:val="Heading 7 Char"/>
    <w:basedOn w:val="DefaultParagraphFont"/>
    <w:link w:val="Heading7"/>
    <w:uiPriority w:val="9"/>
    <w:semiHidden/>
    <w:rsid w:val="00B44B53"/>
    <w:rPr>
      <w:rFonts w:asciiTheme="majorHAnsi" w:eastAsiaTheme="majorEastAsia" w:hAnsiTheme="majorHAnsi" w:cstheme="majorBidi"/>
      <w:color w:val="000000" w:themeColor="text1"/>
    </w:rPr>
  </w:style>
  <w:style w:type="character" w:customStyle="1" w:styleId="Heading8Char">
    <w:name w:val="Heading 8 Char"/>
    <w:basedOn w:val="DefaultParagraphFont"/>
    <w:link w:val="Heading8"/>
    <w:uiPriority w:val="9"/>
    <w:semiHidden/>
    <w:rsid w:val="00B44B53"/>
    <w:rPr>
      <w:rFonts w:asciiTheme="majorHAnsi" w:eastAsiaTheme="majorEastAsia" w:hAnsiTheme="majorHAnsi" w:cstheme="majorBidi"/>
      <w:color w:val="000000" w:themeColor="text1"/>
    </w:rPr>
  </w:style>
  <w:style w:type="character" w:customStyle="1" w:styleId="Heading9Char">
    <w:name w:val="Heading 9 Char"/>
    <w:basedOn w:val="DefaultParagraphFont"/>
    <w:link w:val="Heading9"/>
    <w:uiPriority w:val="9"/>
    <w:semiHidden/>
    <w:rsid w:val="00B44B53"/>
    <w:rPr>
      <w:rFonts w:asciiTheme="majorHAnsi" w:eastAsiaTheme="majorEastAsia" w:hAnsiTheme="majorHAnsi" w:cstheme="majorBidi"/>
      <w:color w:val="000000" w:themeColor="text1"/>
    </w:rPr>
  </w:style>
  <w:style w:type="paragraph" w:styleId="Title">
    <w:name w:val="Title"/>
    <w:basedOn w:val="Normal"/>
    <w:next w:val="Normal"/>
    <w:link w:val="TitleChar"/>
    <w:uiPriority w:val="10"/>
    <w:qFormat/>
    <w:rsid w:val="00B44B53"/>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4B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4B5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4B5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B44B53"/>
    <w:pPr>
      <w:spacing w:before="160"/>
      <w:jc w:val="center"/>
    </w:pPr>
    <w:rPr>
      <w:i/>
      <w:iCs/>
      <w:color w:val="404040" w:themeColor="text1" w:themeTint="BF"/>
    </w:rPr>
  </w:style>
  <w:style w:type="character" w:customStyle="1" w:styleId="QuoteChar">
    <w:name w:val="Quote Char"/>
    <w:basedOn w:val="DefaultParagraphFont"/>
    <w:link w:val="Quote"/>
    <w:uiPriority w:val="29"/>
    <w:rsid w:val="00B44B53"/>
    <w:rPr>
      <w:i/>
      <w:iCs/>
      <w:color w:val="404040" w:themeColor="text1" w:themeTint="BF"/>
    </w:rPr>
  </w:style>
  <w:style w:type="paragraph" w:styleId="ListParagraph">
    <w:name w:val="List Paragraph"/>
    <w:basedOn w:val="Normal"/>
    <w:uiPriority w:val="34"/>
    <w:qFormat/>
    <w:rsid w:val="00B44B53"/>
    <w:pPr>
      <w:ind w:left="720"/>
      <w:contextualSpacing/>
    </w:pPr>
  </w:style>
  <w:style w:type="character" w:styleId="IntenseEmphasis">
    <w:name w:val="Intense Emphasis"/>
    <w:basedOn w:val="DefaultParagraphFont"/>
    <w:uiPriority w:val="21"/>
    <w:qFormat/>
    <w:rsid w:val="00B44B53"/>
    <w:rPr>
      <w:i/>
      <w:iCs/>
      <w:color w:val="0F4761" w:themeColor="accent1" w:themeShade="BF"/>
    </w:rPr>
  </w:style>
  <w:style w:type="paragraph" w:styleId="IntenseQuote">
    <w:name w:val="Intense Quote"/>
    <w:basedOn w:val="Normal"/>
    <w:next w:val="Normal"/>
    <w:link w:val="IntenseQuoteChar"/>
    <w:uiPriority w:val="30"/>
    <w:qFormat/>
    <w:rsid w:val="00B44B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4B53"/>
    <w:rPr>
      <w:i/>
      <w:iCs/>
      <w:color w:val="0F4761" w:themeColor="accent1" w:themeShade="BF"/>
    </w:rPr>
  </w:style>
  <w:style w:type="character" w:styleId="IntenseReference">
    <w:name w:val="Intense Reference"/>
    <w:basedOn w:val="DefaultParagraphFont"/>
    <w:uiPriority w:val="32"/>
    <w:qFormat/>
    <w:rsid w:val="00B44B53"/>
    <w:rPr>
      <w:b/>
      <w:bCs/>
      <w:smallCaps/>
      <w:color w:val="0F4761" w:themeColor="accent1" w:themeShade="BF"/>
      <w:spacing w:val="5"/>
    </w:rPr>
  </w:style>
  <w:style w:type="paragraph" w:styleId="FootnoteText">
    <w:name w:val="footnote text"/>
    <w:basedOn w:val="Normal"/>
    <w:link w:val="FootnoteTextChar"/>
    <w:uiPriority w:val="99"/>
    <w:semiHidden/>
    <w:unhideWhenUsed/>
    <w:rsid w:val="009524C8"/>
    <w:pPr>
      <w:snapToGrid w:val="0"/>
    </w:pPr>
  </w:style>
  <w:style w:type="character" w:customStyle="1" w:styleId="FootnoteTextChar">
    <w:name w:val="Footnote Text Char"/>
    <w:basedOn w:val="DefaultParagraphFont"/>
    <w:link w:val="FootnoteText"/>
    <w:uiPriority w:val="99"/>
    <w:semiHidden/>
    <w:rsid w:val="009524C8"/>
  </w:style>
  <w:style w:type="character" w:styleId="FootnoteReference">
    <w:name w:val="footnote reference"/>
    <w:basedOn w:val="DefaultParagraphFont"/>
    <w:uiPriority w:val="99"/>
    <w:semiHidden/>
    <w:unhideWhenUsed/>
    <w:rsid w:val="009524C8"/>
    <w:rPr>
      <w:vertAlign w:val="superscript"/>
    </w:rPr>
  </w:style>
  <w:style w:type="paragraph" w:styleId="Header">
    <w:name w:val="header"/>
    <w:basedOn w:val="Normal"/>
    <w:link w:val="HeaderChar"/>
    <w:uiPriority w:val="99"/>
    <w:unhideWhenUsed/>
    <w:rsid w:val="002B4304"/>
    <w:pPr>
      <w:tabs>
        <w:tab w:val="center" w:pos="4513"/>
        <w:tab w:val="right" w:pos="9026"/>
      </w:tabs>
      <w:snapToGrid w:val="0"/>
    </w:pPr>
  </w:style>
  <w:style w:type="character" w:customStyle="1" w:styleId="HeaderChar">
    <w:name w:val="Header Char"/>
    <w:basedOn w:val="DefaultParagraphFont"/>
    <w:link w:val="Header"/>
    <w:uiPriority w:val="99"/>
    <w:rsid w:val="002B4304"/>
  </w:style>
  <w:style w:type="paragraph" w:styleId="Footer">
    <w:name w:val="footer"/>
    <w:basedOn w:val="Normal"/>
    <w:link w:val="FooterChar"/>
    <w:uiPriority w:val="99"/>
    <w:unhideWhenUsed/>
    <w:rsid w:val="002B4304"/>
    <w:pPr>
      <w:tabs>
        <w:tab w:val="center" w:pos="4513"/>
        <w:tab w:val="right" w:pos="9026"/>
      </w:tabs>
      <w:snapToGrid w:val="0"/>
    </w:pPr>
  </w:style>
  <w:style w:type="character" w:customStyle="1" w:styleId="FooterChar">
    <w:name w:val="Footer Char"/>
    <w:basedOn w:val="DefaultParagraphFont"/>
    <w:link w:val="Footer"/>
    <w:uiPriority w:val="99"/>
    <w:rsid w:val="002B4304"/>
  </w:style>
  <w:style w:type="character" w:styleId="PlaceholderText">
    <w:name w:val="Placeholder Text"/>
    <w:basedOn w:val="DefaultParagraphFont"/>
    <w:uiPriority w:val="99"/>
    <w:semiHidden/>
    <w:rsid w:val="000551A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B5DF24-58B5-4C45-BD18-247F8F863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714</TotalTime>
  <Pages>8</Pages>
  <Words>1866</Words>
  <Characters>11220</Characters>
  <Application>Microsoft Office Word</Application>
  <DocSecurity>0</DocSecurity>
  <Lines>467</Lines>
  <Paragraphs>335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김용건</dc:creator>
  <cp:keywords/>
  <dc:description/>
  <cp:lastModifiedBy>Eun Young Kim</cp:lastModifiedBy>
  <cp:revision>28</cp:revision>
  <dcterms:created xsi:type="dcterms:W3CDTF">2026-05-15T15:06:00Z</dcterms:created>
  <dcterms:modified xsi:type="dcterms:W3CDTF">2026-06-17T06:02:00Z</dcterms:modified>
</cp:coreProperties>
</file>