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1A8278" w14:textId="5E08B870" w:rsidR="002B6128" w:rsidRDefault="002B6128">
      <w:pPr>
        <w:rPr>
          <w:b/>
          <w:szCs w:val="20"/>
        </w:rPr>
      </w:pPr>
      <w:r>
        <w:rPr>
          <w:b/>
          <w:szCs w:val="20"/>
        </w:rPr>
        <w:t xml:space="preserve">On the macro-economic impact of the bioeconomy – Introducing advanced </w:t>
      </w:r>
      <w:r w:rsidR="005C2D8E">
        <w:rPr>
          <w:b/>
          <w:szCs w:val="20"/>
        </w:rPr>
        <w:t>bioeconomy</w:t>
      </w:r>
      <w:r>
        <w:rPr>
          <w:b/>
          <w:szCs w:val="20"/>
        </w:rPr>
        <w:t xml:space="preserve"> sectors in a </w:t>
      </w:r>
      <w:r>
        <w:rPr>
          <w:vanish/>
        </w:rPr>
        <w:cr/>
        <w:t>ugars to chemialss  should be linked to biomass suppply</w:t>
      </w:r>
      <w:r>
        <w:rPr>
          <w:vanish/>
        </w:rPr>
        <w:cr/>
        <w:t>ives an sons) e setcors to an economic modeling franework,models.</w:t>
      </w:r>
      <w:r>
        <w:rPr>
          <w:vanish/>
        </w:rPr>
        <w:pgNum/>
      </w:r>
      <w:r>
        <w:rPr>
          <w:vanish/>
        </w:rPr>
        <w:pgNum/>
      </w:r>
      <w:r>
        <w:rPr>
          <w:vanish/>
        </w:rPr>
        <w:pgNum/>
      </w:r>
      <w:r>
        <w:rPr>
          <w:vanish/>
        </w:rPr>
        <w:pgNum/>
      </w:r>
      <w:r>
        <w:rPr>
          <w:vanish/>
        </w:rPr>
        <w:pgNum/>
      </w:r>
      <w:r>
        <w:rPr>
          <w:vanish/>
        </w:rPr>
        <w:pgNum/>
      </w:r>
      <w:r w:rsidRPr="009337D2">
        <w:rPr>
          <w:b/>
          <w:szCs w:val="20"/>
        </w:rPr>
        <w:t>macro</w:t>
      </w:r>
      <w:r w:rsidR="002869BF">
        <w:rPr>
          <w:b/>
          <w:szCs w:val="20"/>
        </w:rPr>
        <w:t>-</w:t>
      </w:r>
      <w:r w:rsidRPr="009337D2">
        <w:rPr>
          <w:b/>
          <w:szCs w:val="20"/>
        </w:rPr>
        <w:t xml:space="preserve">economic modelling framework </w:t>
      </w:r>
      <w:r>
        <w:rPr>
          <w:b/>
          <w:szCs w:val="20"/>
        </w:rPr>
        <w:t>with a c</w:t>
      </w:r>
      <w:r w:rsidRPr="009337D2">
        <w:rPr>
          <w:b/>
          <w:szCs w:val="20"/>
        </w:rPr>
        <w:t>ase study for the Netherlands</w:t>
      </w:r>
      <w:r>
        <w:rPr>
          <w:rStyle w:val="CommentReference"/>
        </w:rPr>
        <w:annotationRef/>
      </w:r>
    </w:p>
    <w:p w14:paraId="6C3BCFF4" w14:textId="77777777" w:rsidR="003936DC" w:rsidRDefault="003936DC">
      <w:pPr>
        <w:rPr>
          <w:b/>
          <w:szCs w:val="20"/>
        </w:rPr>
      </w:pPr>
    </w:p>
    <w:p w14:paraId="4DA5B54E" w14:textId="7456E12D" w:rsidR="003936DC" w:rsidRPr="00C7761A" w:rsidRDefault="003936DC">
      <w:pPr>
        <w:rPr>
          <w:szCs w:val="20"/>
          <w:lang w:val="nl-NL"/>
        </w:rPr>
      </w:pPr>
      <w:r w:rsidRPr="00C7761A">
        <w:rPr>
          <w:szCs w:val="20"/>
          <w:lang w:val="nl-NL"/>
        </w:rPr>
        <w:t xml:space="preserve">van </w:t>
      </w:r>
      <w:proofErr w:type="spellStart"/>
      <w:r w:rsidRPr="00C7761A">
        <w:rPr>
          <w:szCs w:val="20"/>
          <w:lang w:val="nl-NL"/>
        </w:rPr>
        <w:t>Meijl</w:t>
      </w:r>
      <w:proofErr w:type="spellEnd"/>
      <w:r w:rsidRPr="00C7761A">
        <w:rPr>
          <w:szCs w:val="20"/>
          <w:lang w:val="nl-NL"/>
        </w:rPr>
        <w:t xml:space="preserve"> H</w:t>
      </w:r>
      <w:r w:rsidR="00EB52FC" w:rsidRPr="00C7761A">
        <w:rPr>
          <w:szCs w:val="20"/>
          <w:vertAlign w:val="superscript"/>
          <w:lang w:val="nl-NL"/>
        </w:rPr>
        <w:t>a</w:t>
      </w:r>
      <w:r w:rsidR="00A04E45" w:rsidRPr="00C7761A">
        <w:rPr>
          <w:szCs w:val="20"/>
          <w:vertAlign w:val="superscript"/>
          <w:lang w:val="nl-NL"/>
        </w:rPr>
        <w:t>1</w:t>
      </w:r>
      <w:r w:rsidR="00EB52FC" w:rsidRPr="00C7761A">
        <w:rPr>
          <w:szCs w:val="20"/>
          <w:lang w:val="nl-NL"/>
        </w:rPr>
        <w:t>, Tsiropoulos I</w:t>
      </w:r>
      <w:r w:rsidR="00EB52FC" w:rsidRPr="00C7761A">
        <w:rPr>
          <w:szCs w:val="20"/>
          <w:vertAlign w:val="superscript"/>
          <w:lang w:val="nl-NL"/>
        </w:rPr>
        <w:t>b</w:t>
      </w:r>
      <w:r w:rsidR="00EB52FC" w:rsidRPr="00C7761A">
        <w:rPr>
          <w:szCs w:val="20"/>
          <w:lang w:val="nl-NL"/>
        </w:rPr>
        <w:t xml:space="preserve">, </w:t>
      </w:r>
      <w:r w:rsidR="00184DB2" w:rsidRPr="00C7761A">
        <w:rPr>
          <w:szCs w:val="20"/>
          <w:lang w:val="nl-NL"/>
        </w:rPr>
        <w:t>Bartelings H</w:t>
      </w:r>
      <w:r w:rsidR="00184DB2" w:rsidRPr="00C7761A">
        <w:rPr>
          <w:szCs w:val="20"/>
          <w:vertAlign w:val="superscript"/>
          <w:lang w:val="nl-NL"/>
        </w:rPr>
        <w:t>a</w:t>
      </w:r>
      <w:r w:rsidR="00184DB2">
        <w:rPr>
          <w:szCs w:val="20"/>
          <w:lang w:val="nl-NL"/>
        </w:rPr>
        <w:t>,</w:t>
      </w:r>
      <w:r w:rsidR="00184DB2" w:rsidRPr="00C7761A">
        <w:rPr>
          <w:szCs w:val="20"/>
          <w:lang w:val="nl-NL"/>
        </w:rPr>
        <w:t xml:space="preserve"> Hoefnagels R</w:t>
      </w:r>
      <w:r w:rsidR="00184DB2" w:rsidRPr="00C7761A">
        <w:rPr>
          <w:szCs w:val="20"/>
          <w:vertAlign w:val="superscript"/>
          <w:lang w:val="nl-NL"/>
        </w:rPr>
        <w:t>b</w:t>
      </w:r>
      <w:r w:rsidR="00184DB2">
        <w:rPr>
          <w:szCs w:val="20"/>
          <w:lang w:val="nl-NL"/>
        </w:rPr>
        <w:t>,</w:t>
      </w:r>
      <w:r w:rsidR="00184DB2" w:rsidRPr="00C7761A">
        <w:rPr>
          <w:szCs w:val="20"/>
          <w:lang w:val="nl-NL"/>
        </w:rPr>
        <w:t xml:space="preserve"> </w:t>
      </w:r>
      <w:r w:rsidR="00EB52FC" w:rsidRPr="00C7761A">
        <w:rPr>
          <w:szCs w:val="20"/>
          <w:lang w:val="nl-NL"/>
        </w:rPr>
        <w:t xml:space="preserve">Smeets </w:t>
      </w:r>
      <w:proofErr w:type="spellStart"/>
      <w:r w:rsidR="00EB52FC" w:rsidRPr="00C7761A">
        <w:rPr>
          <w:szCs w:val="20"/>
          <w:lang w:val="nl-NL"/>
        </w:rPr>
        <w:t>E</w:t>
      </w:r>
      <w:r w:rsidR="00EB52FC" w:rsidRPr="00C7761A">
        <w:rPr>
          <w:szCs w:val="20"/>
          <w:vertAlign w:val="superscript"/>
          <w:lang w:val="nl-NL"/>
        </w:rPr>
        <w:t>a</w:t>
      </w:r>
      <w:proofErr w:type="spellEnd"/>
      <w:r w:rsidR="00814E23">
        <w:rPr>
          <w:szCs w:val="20"/>
          <w:lang w:val="nl-NL"/>
        </w:rPr>
        <w:t>,</w:t>
      </w:r>
      <w:r w:rsidR="00EB52FC" w:rsidRPr="00C7761A">
        <w:rPr>
          <w:szCs w:val="20"/>
          <w:lang w:val="nl-NL"/>
        </w:rPr>
        <w:t xml:space="preserve"> Tabeau A</w:t>
      </w:r>
      <w:r w:rsidR="00EB52FC" w:rsidRPr="00C7761A">
        <w:rPr>
          <w:szCs w:val="20"/>
          <w:vertAlign w:val="superscript"/>
          <w:lang w:val="nl-NL"/>
        </w:rPr>
        <w:t>a</w:t>
      </w:r>
      <w:r w:rsidRPr="00C7761A">
        <w:rPr>
          <w:szCs w:val="20"/>
          <w:lang w:val="nl-NL"/>
        </w:rPr>
        <w:t>,</w:t>
      </w:r>
      <w:r w:rsidR="00BA7DD4">
        <w:rPr>
          <w:szCs w:val="20"/>
          <w:lang w:val="nl-NL"/>
        </w:rPr>
        <w:t xml:space="preserve"> </w:t>
      </w:r>
      <w:r w:rsidR="004811BF">
        <w:rPr>
          <w:szCs w:val="20"/>
          <w:lang w:val="nl-NL"/>
        </w:rPr>
        <w:t>Faaij A</w:t>
      </w:r>
      <w:r w:rsidR="004811BF">
        <w:rPr>
          <w:szCs w:val="20"/>
          <w:vertAlign w:val="superscript"/>
          <w:lang w:val="nl-NL"/>
        </w:rPr>
        <w:t>c</w:t>
      </w:r>
      <w:r w:rsidR="004811BF">
        <w:rPr>
          <w:szCs w:val="20"/>
          <w:lang w:val="nl-NL"/>
        </w:rPr>
        <w:t xml:space="preserve"> </w:t>
      </w:r>
    </w:p>
    <w:p w14:paraId="0078EB67" w14:textId="77777777" w:rsidR="0099404D" w:rsidRPr="00C7761A" w:rsidRDefault="0099404D">
      <w:pPr>
        <w:rPr>
          <w:rFonts w:asciiTheme="majorHAnsi" w:hAnsiTheme="majorHAnsi"/>
          <w:szCs w:val="20"/>
          <w:lang w:val="nl-NL"/>
        </w:rPr>
      </w:pPr>
    </w:p>
    <w:p w14:paraId="39EB8EC8" w14:textId="32ECD29B" w:rsidR="0099404D" w:rsidRPr="00A04E45" w:rsidRDefault="00A04E45">
      <w:pPr>
        <w:rPr>
          <w:rFonts w:asciiTheme="majorHAnsi" w:hAnsiTheme="majorHAnsi"/>
          <w:szCs w:val="20"/>
        </w:rPr>
      </w:pPr>
      <w:r w:rsidRPr="00A04E45">
        <w:rPr>
          <w:rFonts w:asciiTheme="majorHAnsi" w:hAnsiTheme="majorHAnsi"/>
          <w:szCs w:val="20"/>
          <w:vertAlign w:val="superscript"/>
        </w:rPr>
        <w:t>1</w:t>
      </w:r>
      <w:r w:rsidRPr="00A04E45">
        <w:rPr>
          <w:rFonts w:asciiTheme="majorHAnsi" w:hAnsiTheme="majorHAnsi"/>
          <w:szCs w:val="20"/>
        </w:rPr>
        <w:t xml:space="preserve">Corresponding author: Hans van </w:t>
      </w:r>
      <w:proofErr w:type="spellStart"/>
      <w:r w:rsidRPr="00A04E45">
        <w:rPr>
          <w:rFonts w:asciiTheme="majorHAnsi" w:hAnsiTheme="majorHAnsi"/>
          <w:szCs w:val="20"/>
        </w:rPr>
        <w:t>Meijl</w:t>
      </w:r>
      <w:proofErr w:type="spellEnd"/>
      <w:r w:rsidRPr="00A04E45">
        <w:rPr>
          <w:rFonts w:asciiTheme="majorHAnsi" w:hAnsiTheme="majorHAnsi"/>
          <w:szCs w:val="20"/>
        </w:rPr>
        <w:t xml:space="preserve">, </w:t>
      </w:r>
      <w:hyperlink r:id="rId9" w:history="1">
        <w:r w:rsidRPr="00A04E45">
          <w:rPr>
            <w:rStyle w:val="Hyperlink"/>
            <w:rFonts w:asciiTheme="majorHAnsi" w:hAnsiTheme="majorHAnsi"/>
            <w:szCs w:val="20"/>
          </w:rPr>
          <w:t>hans.vanmeijl@wur.nl</w:t>
        </w:r>
      </w:hyperlink>
      <w:r w:rsidRPr="00A04E45">
        <w:rPr>
          <w:rFonts w:asciiTheme="majorHAnsi" w:hAnsiTheme="majorHAnsi"/>
          <w:szCs w:val="20"/>
        </w:rPr>
        <w:t xml:space="preserve">, +31703358169 </w:t>
      </w:r>
    </w:p>
    <w:p w14:paraId="1CD1699F" w14:textId="42585B00" w:rsidR="0099404D" w:rsidRPr="00A04E45" w:rsidRDefault="00EB52FC">
      <w:pPr>
        <w:rPr>
          <w:rFonts w:asciiTheme="majorHAnsi" w:hAnsiTheme="majorHAnsi"/>
          <w:szCs w:val="20"/>
        </w:rPr>
      </w:pPr>
      <w:r w:rsidRPr="00A04E45">
        <w:rPr>
          <w:rFonts w:asciiTheme="majorHAnsi" w:hAnsiTheme="majorHAnsi"/>
          <w:szCs w:val="20"/>
          <w:vertAlign w:val="superscript"/>
        </w:rPr>
        <w:t>a</w:t>
      </w:r>
      <w:r w:rsidR="00A04E45" w:rsidRPr="00A04E45">
        <w:rPr>
          <w:rFonts w:asciiTheme="majorHAnsi" w:eastAsiaTheme="minorEastAsia" w:hAnsiTheme="majorHAnsi" w:cs="Verdana"/>
          <w:szCs w:val="20"/>
          <w:lang w:eastAsia="ja-JP"/>
        </w:rPr>
        <w:t xml:space="preserve"> LEI Wageningen UR, Wageningen University and Research </w:t>
      </w:r>
      <w:proofErr w:type="spellStart"/>
      <w:r w:rsidR="00A04E45" w:rsidRPr="00A04E45">
        <w:rPr>
          <w:rFonts w:asciiTheme="majorHAnsi" w:eastAsiaTheme="minorEastAsia" w:hAnsiTheme="majorHAnsi" w:cs="Verdana"/>
          <w:szCs w:val="20"/>
          <w:lang w:eastAsia="ja-JP"/>
        </w:rPr>
        <w:t>centre</w:t>
      </w:r>
      <w:proofErr w:type="spellEnd"/>
      <w:r w:rsidR="00A04E45" w:rsidRPr="00A04E45">
        <w:rPr>
          <w:rFonts w:asciiTheme="majorHAnsi" w:eastAsiaTheme="minorEastAsia" w:hAnsiTheme="majorHAnsi" w:cs="Verdana"/>
          <w:szCs w:val="20"/>
          <w:lang w:eastAsia="ja-JP"/>
        </w:rPr>
        <w:t xml:space="preserve">, </w:t>
      </w:r>
      <w:proofErr w:type="spellStart"/>
      <w:r w:rsidR="00A04E45" w:rsidRPr="00A04E45">
        <w:rPr>
          <w:rFonts w:asciiTheme="majorHAnsi" w:eastAsiaTheme="minorEastAsia" w:hAnsiTheme="majorHAnsi" w:cs="Verdana"/>
          <w:szCs w:val="20"/>
          <w:lang w:eastAsia="ja-JP"/>
        </w:rPr>
        <w:t>Alexanderveld</w:t>
      </w:r>
      <w:proofErr w:type="spellEnd"/>
      <w:r w:rsidR="00A04E45" w:rsidRPr="00A04E45">
        <w:rPr>
          <w:rFonts w:asciiTheme="majorHAnsi" w:eastAsiaTheme="minorEastAsia" w:hAnsiTheme="majorHAnsi" w:cs="Verdana"/>
          <w:szCs w:val="20"/>
          <w:lang w:eastAsia="ja-JP"/>
        </w:rPr>
        <w:t xml:space="preserve"> 5, 2502 LS , The Hague, The Netherlands</w:t>
      </w:r>
    </w:p>
    <w:p w14:paraId="4F61512E" w14:textId="06419901" w:rsidR="00EB52FC" w:rsidRDefault="00EB52FC">
      <w:pPr>
        <w:rPr>
          <w:rFonts w:asciiTheme="majorHAnsi" w:hAnsiTheme="majorHAnsi"/>
          <w:szCs w:val="20"/>
          <w:lang w:val="en-GB"/>
        </w:rPr>
      </w:pPr>
      <w:r w:rsidRPr="00A04E45">
        <w:rPr>
          <w:rFonts w:asciiTheme="majorHAnsi" w:hAnsiTheme="majorHAnsi"/>
          <w:szCs w:val="20"/>
          <w:vertAlign w:val="superscript"/>
        </w:rPr>
        <w:t>b</w:t>
      </w:r>
      <w:r w:rsidR="00A04E45" w:rsidRPr="00A04E45">
        <w:rPr>
          <w:rFonts w:asciiTheme="majorHAnsi" w:hAnsiTheme="majorHAnsi"/>
          <w:szCs w:val="20"/>
          <w:lang w:val="en-GB"/>
        </w:rPr>
        <w:t xml:space="preserve"> Copernicus Institute of Sustainable Development, Utrecht University, </w:t>
      </w:r>
      <w:proofErr w:type="spellStart"/>
      <w:r w:rsidR="00A04E45" w:rsidRPr="00A04E45">
        <w:rPr>
          <w:rFonts w:asciiTheme="majorHAnsi" w:hAnsiTheme="majorHAnsi"/>
          <w:szCs w:val="20"/>
          <w:lang w:val="en-GB"/>
        </w:rPr>
        <w:t>Heidelberglaan</w:t>
      </w:r>
      <w:proofErr w:type="spellEnd"/>
      <w:r w:rsidR="00A04E45" w:rsidRPr="00A04E45">
        <w:rPr>
          <w:rFonts w:asciiTheme="majorHAnsi" w:hAnsiTheme="majorHAnsi"/>
          <w:szCs w:val="20"/>
          <w:lang w:val="en-GB"/>
        </w:rPr>
        <w:t xml:space="preserve"> 2, 3584 CS Utrecht, The Netherlands</w:t>
      </w:r>
    </w:p>
    <w:p w14:paraId="00A99AE8" w14:textId="4A168099" w:rsidR="004811BF" w:rsidRPr="004811BF" w:rsidRDefault="004811BF">
      <w:pPr>
        <w:rPr>
          <w:rFonts w:asciiTheme="majorHAnsi" w:hAnsiTheme="majorHAnsi"/>
          <w:szCs w:val="20"/>
        </w:rPr>
      </w:pPr>
      <w:r w:rsidRPr="004811BF">
        <w:rPr>
          <w:rFonts w:asciiTheme="majorHAnsi" w:hAnsiTheme="majorHAnsi"/>
          <w:szCs w:val="20"/>
          <w:vertAlign w:val="superscript"/>
          <w:lang w:val="en-GB"/>
        </w:rPr>
        <w:t>c</w:t>
      </w:r>
      <w:r>
        <w:rPr>
          <w:rFonts w:asciiTheme="majorHAnsi" w:hAnsiTheme="majorHAnsi"/>
          <w:szCs w:val="20"/>
          <w:lang w:val="en-GB"/>
        </w:rPr>
        <w:t xml:space="preserve"> </w:t>
      </w:r>
      <w:r w:rsidRPr="00ED7BFF">
        <w:rPr>
          <w:lang w:val="en-GB"/>
        </w:rPr>
        <w:t xml:space="preserve">Energy and Sustainability Research Institute, University of Groningen, </w:t>
      </w:r>
      <w:proofErr w:type="spellStart"/>
      <w:r w:rsidRPr="00ED7BFF">
        <w:rPr>
          <w:lang w:val="en-GB"/>
        </w:rPr>
        <w:t>Nijenborg</w:t>
      </w:r>
      <w:proofErr w:type="spellEnd"/>
      <w:r w:rsidRPr="00ED7BFF">
        <w:rPr>
          <w:lang w:val="en-GB"/>
        </w:rPr>
        <w:t xml:space="preserve"> 4, 9747 AC Groningen, The Netherlands</w:t>
      </w:r>
    </w:p>
    <w:p w14:paraId="2381F5E3" w14:textId="77777777" w:rsidR="00924A07" w:rsidRDefault="00924A07">
      <w:pPr>
        <w:rPr>
          <w:szCs w:val="20"/>
        </w:rPr>
      </w:pPr>
    </w:p>
    <w:p w14:paraId="4143594A" w14:textId="18B7BF53" w:rsidR="005E4F92" w:rsidRPr="005E4F92" w:rsidRDefault="005E4F92" w:rsidP="00B04B8A">
      <w:pPr>
        <w:pStyle w:val="Heading4"/>
      </w:pPr>
      <w:r w:rsidRPr="005E4F92">
        <w:t>Keywords</w:t>
      </w:r>
    </w:p>
    <w:p w14:paraId="3F0F4991" w14:textId="598767CC" w:rsidR="005E4F92" w:rsidRPr="00DB56EB" w:rsidRDefault="00DB56EB" w:rsidP="0099404D">
      <w:r w:rsidRPr="00DB56EB">
        <w:t>Ma</w:t>
      </w:r>
      <w:r>
        <w:t>cro-economic modelling, bioeconomy, biochemicals, Computable General Equilibrium, emerging sectors</w:t>
      </w:r>
    </w:p>
    <w:p w14:paraId="6288A38D" w14:textId="77777777" w:rsidR="00DD6087" w:rsidRDefault="00DD6087" w:rsidP="00DD6087">
      <w:pPr>
        <w:pStyle w:val="Heading2"/>
      </w:pPr>
      <w:r>
        <w:t>Abbreviations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3744"/>
      </w:tblGrid>
      <w:tr w:rsidR="00DE5B3A" w:rsidRPr="00DD6087" w14:paraId="16F3176C" w14:textId="77777777" w:rsidTr="00DD2246">
        <w:tc>
          <w:tcPr>
            <w:tcW w:w="954" w:type="dxa"/>
          </w:tcPr>
          <w:p w14:paraId="3C5293EA" w14:textId="77777777" w:rsidR="00DE5B3A" w:rsidRDefault="00DE5B3A" w:rsidP="00DD6087">
            <w:r>
              <w:t>1,3-PDO</w:t>
            </w:r>
          </w:p>
        </w:tc>
        <w:tc>
          <w:tcPr>
            <w:tcW w:w="3744" w:type="dxa"/>
          </w:tcPr>
          <w:p w14:paraId="4701464F" w14:textId="77777777" w:rsidR="00DE5B3A" w:rsidRDefault="00DE5B3A" w:rsidP="00DD6087">
            <w:r>
              <w:t>1,3-Propanediol</w:t>
            </w:r>
          </w:p>
        </w:tc>
      </w:tr>
      <w:tr w:rsidR="00DE5B3A" w:rsidRPr="00DD6087" w14:paraId="2334E109" w14:textId="77777777" w:rsidTr="00DD2246">
        <w:tc>
          <w:tcPr>
            <w:tcW w:w="954" w:type="dxa"/>
          </w:tcPr>
          <w:p w14:paraId="06D65218" w14:textId="77777777" w:rsidR="00DE5B3A" w:rsidRDefault="00DE5B3A" w:rsidP="00DD6087">
            <w:r>
              <w:t>CDE</w:t>
            </w:r>
          </w:p>
        </w:tc>
        <w:tc>
          <w:tcPr>
            <w:tcW w:w="3744" w:type="dxa"/>
          </w:tcPr>
          <w:p w14:paraId="67181D9C" w14:textId="77777777" w:rsidR="00DE5B3A" w:rsidRDefault="00DE5B3A" w:rsidP="0073158B">
            <w:pPr>
              <w:rPr>
                <w:rFonts w:eastAsiaTheme="minorEastAsia" w:cs="Times"/>
                <w:szCs w:val="20"/>
                <w:lang w:eastAsia="ja-JP"/>
              </w:rPr>
            </w:pPr>
            <w:r>
              <w:t>C</w:t>
            </w:r>
            <w:r w:rsidRPr="00496090">
              <w:t xml:space="preserve">onstant </w:t>
            </w:r>
            <w:r>
              <w:t>D</w:t>
            </w:r>
            <w:r w:rsidRPr="00496090">
              <w:t xml:space="preserve">ifference of </w:t>
            </w:r>
            <w:r>
              <w:t>Elasticities</w:t>
            </w:r>
          </w:p>
        </w:tc>
      </w:tr>
      <w:tr w:rsidR="00DE5B3A" w:rsidRPr="00DD6087" w14:paraId="1B5FD50D" w14:textId="77777777" w:rsidTr="00DD2246">
        <w:tc>
          <w:tcPr>
            <w:tcW w:w="954" w:type="dxa"/>
          </w:tcPr>
          <w:p w14:paraId="3EA9D74F" w14:textId="77777777" w:rsidR="00DE5B3A" w:rsidRDefault="00DE5B3A" w:rsidP="00DD6087">
            <w:r>
              <w:t>CES</w:t>
            </w:r>
          </w:p>
        </w:tc>
        <w:tc>
          <w:tcPr>
            <w:tcW w:w="3744" w:type="dxa"/>
          </w:tcPr>
          <w:p w14:paraId="14B5BEA7" w14:textId="77777777" w:rsidR="00DE5B3A" w:rsidRDefault="00DE5B3A" w:rsidP="00DE7A82">
            <w:pPr>
              <w:rPr>
                <w:rFonts w:eastAsiaTheme="minorEastAsia" w:cs="Times"/>
                <w:szCs w:val="20"/>
                <w:lang w:eastAsia="ja-JP"/>
              </w:rPr>
            </w:pPr>
            <w:r>
              <w:rPr>
                <w:rFonts w:eastAsiaTheme="minorEastAsia" w:cs="Times"/>
                <w:szCs w:val="20"/>
                <w:lang w:eastAsia="ja-JP"/>
              </w:rPr>
              <w:t>Constant Elasticity of Substitution</w:t>
            </w:r>
          </w:p>
        </w:tc>
      </w:tr>
      <w:tr w:rsidR="00DE5B3A" w:rsidRPr="00DD6087" w14:paraId="5FD34CE5" w14:textId="77777777" w:rsidTr="00DD2246">
        <w:tc>
          <w:tcPr>
            <w:tcW w:w="954" w:type="dxa"/>
          </w:tcPr>
          <w:p w14:paraId="467D1908" w14:textId="77777777" w:rsidR="00DE5B3A" w:rsidRPr="00DD6087" w:rsidRDefault="00DE5B3A" w:rsidP="00DD6087">
            <w:r>
              <w:t>CGE</w:t>
            </w:r>
          </w:p>
        </w:tc>
        <w:tc>
          <w:tcPr>
            <w:tcW w:w="3744" w:type="dxa"/>
          </w:tcPr>
          <w:p w14:paraId="4836226B" w14:textId="77777777" w:rsidR="00DE5B3A" w:rsidRPr="00DD6087" w:rsidRDefault="00DE5B3A" w:rsidP="00DD6087">
            <w:r>
              <w:t xml:space="preserve">Computable General Equilibrium </w:t>
            </w:r>
          </w:p>
        </w:tc>
      </w:tr>
      <w:tr w:rsidR="00DE5B3A" w:rsidRPr="00DD6087" w14:paraId="172146F5" w14:textId="77777777" w:rsidTr="00DD2246">
        <w:tc>
          <w:tcPr>
            <w:tcW w:w="954" w:type="dxa"/>
          </w:tcPr>
          <w:p w14:paraId="4839C7DB" w14:textId="77777777" w:rsidR="00DE5B3A" w:rsidRDefault="00DE5B3A" w:rsidP="00DD6087">
            <w:r>
              <w:t>EPPA</w:t>
            </w:r>
          </w:p>
        </w:tc>
        <w:tc>
          <w:tcPr>
            <w:tcW w:w="3744" w:type="dxa"/>
          </w:tcPr>
          <w:p w14:paraId="6BB4EE27" w14:textId="77777777" w:rsidR="00DE5B3A" w:rsidRDefault="00DE5B3A" w:rsidP="00DD6087">
            <w:r>
              <w:t>Emissions Prediction and Policy Analysis</w:t>
            </w:r>
          </w:p>
        </w:tc>
      </w:tr>
      <w:tr w:rsidR="00DE5B3A" w:rsidRPr="00DD6087" w14:paraId="14D7F762" w14:textId="77777777" w:rsidTr="00DD2246">
        <w:tc>
          <w:tcPr>
            <w:tcW w:w="954" w:type="dxa"/>
          </w:tcPr>
          <w:p w14:paraId="72ABD0FC" w14:textId="77777777" w:rsidR="00DE5B3A" w:rsidRPr="00DD6087" w:rsidRDefault="00DE5B3A" w:rsidP="00DD6087">
            <w:r>
              <w:t>EU</w:t>
            </w:r>
          </w:p>
        </w:tc>
        <w:tc>
          <w:tcPr>
            <w:tcW w:w="3744" w:type="dxa"/>
          </w:tcPr>
          <w:p w14:paraId="447D454A" w14:textId="77777777" w:rsidR="00DE5B3A" w:rsidRPr="00DD6087" w:rsidRDefault="00DE5B3A" w:rsidP="00DD6087">
            <w:r>
              <w:t>European Union</w:t>
            </w:r>
          </w:p>
        </w:tc>
      </w:tr>
      <w:tr w:rsidR="00DE5B3A" w:rsidRPr="00DD6087" w14:paraId="5015903B" w14:textId="77777777" w:rsidTr="00DD2246">
        <w:tc>
          <w:tcPr>
            <w:tcW w:w="954" w:type="dxa"/>
          </w:tcPr>
          <w:p w14:paraId="3C3A39BA" w14:textId="77777777" w:rsidR="00DE5B3A" w:rsidRDefault="00DE5B3A" w:rsidP="00DD6087">
            <w:r>
              <w:t>FT</w:t>
            </w:r>
          </w:p>
        </w:tc>
        <w:tc>
          <w:tcPr>
            <w:tcW w:w="3744" w:type="dxa"/>
          </w:tcPr>
          <w:p w14:paraId="20C56738" w14:textId="77777777" w:rsidR="00DE5B3A" w:rsidRDefault="00DE5B3A" w:rsidP="00DD6087">
            <w:r>
              <w:t>Fischer-Tropsch</w:t>
            </w:r>
          </w:p>
        </w:tc>
      </w:tr>
      <w:tr w:rsidR="00DE5B3A" w:rsidRPr="00DD6087" w14:paraId="2E3EEE00" w14:textId="77777777" w:rsidTr="00DD2246">
        <w:tc>
          <w:tcPr>
            <w:tcW w:w="954" w:type="dxa"/>
          </w:tcPr>
          <w:p w14:paraId="664B0CCF" w14:textId="77777777" w:rsidR="00DE5B3A" w:rsidRPr="00DD6087" w:rsidRDefault="00DE5B3A" w:rsidP="00DD6087">
            <w:r w:rsidRPr="00DD6087">
              <w:t>GD</w:t>
            </w:r>
            <w:r>
              <w:t>P</w:t>
            </w:r>
          </w:p>
        </w:tc>
        <w:tc>
          <w:tcPr>
            <w:tcW w:w="3744" w:type="dxa"/>
          </w:tcPr>
          <w:p w14:paraId="6837582F" w14:textId="77777777" w:rsidR="00DE5B3A" w:rsidRPr="00DD6087" w:rsidRDefault="00DE5B3A" w:rsidP="00DD6087">
            <w:r>
              <w:t>Gross Domestic Product</w:t>
            </w:r>
          </w:p>
        </w:tc>
      </w:tr>
      <w:tr w:rsidR="00DE5B3A" w:rsidRPr="00DD6087" w14:paraId="56D3CA66" w14:textId="77777777" w:rsidTr="00DD2246">
        <w:tc>
          <w:tcPr>
            <w:tcW w:w="954" w:type="dxa"/>
          </w:tcPr>
          <w:p w14:paraId="3F3D3132" w14:textId="77777777" w:rsidR="00DE5B3A" w:rsidRDefault="00DE5B3A" w:rsidP="00DD6087">
            <w:r>
              <w:t>GHG</w:t>
            </w:r>
          </w:p>
        </w:tc>
        <w:tc>
          <w:tcPr>
            <w:tcW w:w="3744" w:type="dxa"/>
          </w:tcPr>
          <w:p w14:paraId="299511AC" w14:textId="77777777" w:rsidR="00DE5B3A" w:rsidRDefault="00DE5B3A" w:rsidP="00DD6087">
            <w:r>
              <w:t>Greenhouse Gas</w:t>
            </w:r>
          </w:p>
        </w:tc>
      </w:tr>
      <w:tr w:rsidR="00DE5B3A" w:rsidRPr="00DD6087" w14:paraId="1F81DE51" w14:textId="77777777" w:rsidTr="00DD2246">
        <w:tc>
          <w:tcPr>
            <w:tcW w:w="954" w:type="dxa"/>
          </w:tcPr>
          <w:p w14:paraId="16089FDF" w14:textId="77777777" w:rsidR="00DE5B3A" w:rsidRPr="00DD6087" w:rsidRDefault="00DE5B3A" w:rsidP="00DD6087">
            <w:r>
              <w:t>GTAP</w:t>
            </w:r>
          </w:p>
        </w:tc>
        <w:tc>
          <w:tcPr>
            <w:tcW w:w="3744" w:type="dxa"/>
          </w:tcPr>
          <w:p w14:paraId="63E9E84E" w14:textId="77777777" w:rsidR="00DE5B3A" w:rsidRPr="00DD6087" w:rsidRDefault="00DE5B3A" w:rsidP="00DD6087">
            <w:r>
              <w:t>Global Trade Analysis Project</w:t>
            </w:r>
          </w:p>
        </w:tc>
      </w:tr>
      <w:tr w:rsidR="00DE5B3A" w:rsidRPr="00DD6087" w14:paraId="4D4B3F54" w14:textId="77777777" w:rsidTr="00DD2246">
        <w:tc>
          <w:tcPr>
            <w:tcW w:w="954" w:type="dxa"/>
          </w:tcPr>
          <w:p w14:paraId="543A8511" w14:textId="77777777" w:rsidR="00DE5B3A" w:rsidRPr="00DD6087" w:rsidRDefault="00DE5B3A" w:rsidP="00DD6087">
            <w:r>
              <w:t>I-O</w:t>
            </w:r>
          </w:p>
        </w:tc>
        <w:tc>
          <w:tcPr>
            <w:tcW w:w="3744" w:type="dxa"/>
          </w:tcPr>
          <w:p w14:paraId="640FCD7E" w14:textId="77777777" w:rsidR="00DE5B3A" w:rsidRPr="00DD6087" w:rsidRDefault="00DE5B3A" w:rsidP="00DD6087">
            <w:r>
              <w:t>Input-Output</w:t>
            </w:r>
          </w:p>
        </w:tc>
      </w:tr>
      <w:tr w:rsidR="00DE5B3A" w:rsidRPr="00DD6087" w14:paraId="2AC7B7AA" w14:textId="77777777" w:rsidTr="00DD2246">
        <w:tc>
          <w:tcPr>
            <w:tcW w:w="954" w:type="dxa"/>
          </w:tcPr>
          <w:p w14:paraId="5AC94A36" w14:textId="77777777" w:rsidR="00DE5B3A" w:rsidRDefault="00DE5B3A" w:rsidP="00DD6087">
            <w:r>
              <w:t>MAGNET</w:t>
            </w:r>
          </w:p>
        </w:tc>
        <w:tc>
          <w:tcPr>
            <w:tcW w:w="3744" w:type="dxa"/>
          </w:tcPr>
          <w:p w14:paraId="7730EB81" w14:textId="77777777" w:rsidR="00DE5B3A" w:rsidRDefault="00DE5B3A" w:rsidP="00DE7A82">
            <w:r>
              <w:rPr>
                <w:rFonts w:eastAsiaTheme="minorEastAsia" w:cs="Times"/>
                <w:szCs w:val="20"/>
                <w:lang w:eastAsia="ja-JP"/>
              </w:rPr>
              <w:t>Modular Applied General Equilibrium Tool</w:t>
            </w:r>
          </w:p>
        </w:tc>
      </w:tr>
      <w:tr w:rsidR="00DE5B3A" w:rsidRPr="00DD6087" w14:paraId="73597B8E" w14:textId="77777777" w:rsidTr="00DD2246">
        <w:tc>
          <w:tcPr>
            <w:tcW w:w="954" w:type="dxa"/>
          </w:tcPr>
          <w:p w14:paraId="4ADDBBB7" w14:textId="77777777" w:rsidR="00DE5B3A" w:rsidRDefault="00DE5B3A" w:rsidP="00DD6087">
            <w:r>
              <w:t>MARKAL</w:t>
            </w:r>
          </w:p>
        </w:tc>
        <w:tc>
          <w:tcPr>
            <w:tcW w:w="3744" w:type="dxa"/>
          </w:tcPr>
          <w:p w14:paraId="377735D8" w14:textId="77777777" w:rsidR="00DE5B3A" w:rsidRDefault="00DE5B3A" w:rsidP="00DD6087">
            <w:r>
              <w:t>Market Allocation</w:t>
            </w:r>
          </w:p>
        </w:tc>
      </w:tr>
      <w:tr w:rsidR="00DE5B3A" w:rsidRPr="00DD6087" w14:paraId="10C0B83B" w14:textId="77777777" w:rsidTr="00DD2246">
        <w:tc>
          <w:tcPr>
            <w:tcW w:w="954" w:type="dxa"/>
          </w:tcPr>
          <w:p w14:paraId="4AE5D97E" w14:textId="77777777" w:rsidR="00DE5B3A" w:rsidRPr="00DD6087" w:rsidRDefault="00DE5B3A" w:rsidP="00DD6087">
            <w:r>
              <w:t>PE</w:t>
            </w:r>
          </w:p>
        </w:tc>
        <w:tc>
          <w:tcPr>
            <w:tcW w:w="3744" w:type="dxa"/>
          </w:tcPr>
          <w:p w14:paraId="6ED5879E" w14:textId="77777777" w:rsidR="00DE5B3A" w:rsidRPr="00DD6087" w:rsidRDefault="00DE5B3A" w:rsidP="00DD6087">
            <w:r>
              <w:t>Partial Equilibrium</w:t>
            </w:r>
          </w:p>
        </w:tc>
      </w:tr>
      <w:tr w:rsidR="00DE5B3A" w:rsidRPr="00DD6087" w14:paraId="08999599" w14:textId="77777777" w:rsidTr="00DD2246">
        <w:tc>
          <w:tcPr>
            <w:tcW w:w="954" w:type="dxa"/>
          </w:tcPr>
          <w:p w14:paraId="4C685E43" w14:textId="77777777" w:rsidR="00DE5B3A" w:rsidRDefault="00DE5B3A" w:rsidP="00DD6087">
            <w:r>
              <w:t>PEF</w:t>
            </w:r>
          </w:p>
        </w:tc>
        <w:tc>
          <w:tcPr>
            <w:tcW w:w="3744" w:type="dxa"/>
          </w:tcPr>
          <w:p w14:paraId="5AF51E55" w14:textId="77777777" w:rsidR="00DE5B3A" w:rsidRDefault="00DE5B3A" w:rsidP="00DD6087">
            <w:proofErr w:type="spellStart"/>
            <w:r>
              <w:t>Polyethynene</w:t>
            </w:r>
            <w:proofErr w:type="spellEnd"/>
            <w:r>
              <w:t xml:space="preserve"> </w:t>
            </w:r>
            <w:proofErr w:type="spellStart"/>
            <w:r>
              <w:t>Furanoate</w:t>
            </w:r>
            <w:proofErr w:type="spellEnd"/>
          </w:p>
        </w:tc>
      </w:tr>
      <w:tr w:rsidR="00DE5B3A" w:rsidRPr="00DD6087" w14:paraId="1D3C6E84" w14:textId="77777777" w:rsidTr="00DD2246">
        <w:tc>
          <w:tcPr>
            <w:tcW w:w="954" w:type="dxa"/>
          </w:tcPr>
          <w:p w14:paraId="070CC595" w14:textId="77777777" w:rsidR="00DE5B3A" w:rsidRDefault="00DE5B3A" w:rsidP="00DD6087">
            <w:r>
              <w:t>PLA</w:t>
            </w:r>
          </w:p>
        </w:tc>
        <w:tc>
          <w:tcPr>
            <w:tcW w:w="3744" w:type="dxa"/>
          </w:tcPr>
          <w:p w14:paraId="1004A50C" w14:textId="77777777" w:rsidR="00DE5B3A" w:rsidRDefault="00DE5B3A" w:rsidP="00DD6087">
            <w:proofErr w:type="spellStart"/>
            <w:r>
              <w:t>Polylactic</w:t>
            </w:r>
            <w:proofErr w:type="spellEnd"/>
            <w:r>
              <w:t xml:space="preserve"> Acid</w:t>
            </w:r>
          </w:p>
        </w:tc>
      </w:tr>
      <w:tr w:rsidR="00DE5B3A" w:rsidRPr="00DD6087" w14:paraId="42A6E97F" w14:textId="77777777" w:rsidTr="00DD2246">
        <w:tc>
          <w:tcPr>
            <w:tcW w:w="954" w:type="dxa"/>
          </w:tcPr>
          <w:p w14:paraId="3268776D" w14:textId="77777777" w:rsidR="00DE5B3A" w:rsidRDefault="00DE5B3A" w:rsidP="00DD6087">
            <w:r>
              <w:t>PPP</w:t>
            </w:r>
          </w:p>
        </w:tc>
        <w:tc>
          <w:tcPr>
            <w:tcW w:w="3744" w:type="dxa"/>
          </w:tcPr>
          <w:p w14:paraId="6CBA5049" w14:textId="77777777" w:rsidR="00DE5B3A" w:rsidRDefault="00DE5B3A" w:rsidP="00DD6087">
            <w:r>
              <w:t>Purchasing Power Parity</w:t>
            </w:r>
          </w:p>
        </w:tc>
      </w:tr>
      <w:tr w:rsidR="00A727DA" w:rsidRPr="00DD6087" w14:paraId="634A25E6" w14:textId="77777777" w:rsidTr="00DD2246">
        <w:tc>
          <w:tcPr>
            <w:tcW w:w="954" w:type="dxa"/>
          </w:tcPr>
          <w:p w14:paraId="4C7AA17F" w14:textId="5F922902" w:rsidR="00A727DA" w:rsidRDefault="00A727DA" w:rsidP="00DD6087">
            <w:r>
              <w:t>RES</w:t>
            </w:r>
          </w:p>
        </w:tc>
        <w:tc>
          <w:tcPr>
            <w:tcW w:w="3744" w:type="dxa"/>
          </w:tcPr>
          <w:p w14:paraId="1792516B" w14:textId="053C2C63" w:rsidR="00A727DA" w:rsidRDefault="00A727DA" w:rsidP="00DD6087">
            <w:r>
              <w:t>Renewable Energy Sources</w:t>
            </w:r>
          </w:p>
        </w:tc>
      </w:tr>
      <w:tr w:rsidR="00DE5B3A" w:rsidRPr="00DD6087" w14:paraId="5059123F" w14:textId="77777777" w:rsidTr="00DD2246">
        <w:tc>
          <w:tcPr>
            <w:tcW w:w="954" w:type="dxa"/>
          </w:tcPr>
          <w:p w14:paraId="1858730C" w14:textId="77777777" w:rsidR="00DE5B3A" w:rsidRDefault="00DE5B3A" w:rsidP="00DD6087">
            <w:r>
              <w:t>SA</w:t>
            </w:r>
          </w:p>
        </w:tc>
        <w:tc>
          <w:tcPr>
            <w:tcW w:w="3744" w:type="dxa"/>
          </w:tcPr>
          <w:p w14:paraId="144258E5" w14:textId="77777777" w:rsidR="00DE5B3A" w:rsidRDefault="00DE5B3A" w:rsidP="00DD6087">
            <w:r>
              <w:t>Succinic Acid</w:t>
            </w:r>
          </w:p>
        </w:tc>
      </w:tr>
    </w:tbl>
    <w:p w14:paraId="03AF34C4" w14:textId="2C865C33" w:rsidR="00472CEC" w:rsidRDefault="00F959DC" w:rsidP="00ED45ED">
      <w:pPr>
        <w:pStyle w:val="Heading2"/>
        <w:numPr>
          <w:ilvl w:val="0"/>
          <w:numId w:val="25"/>
        </w:numPr>
        <w:ind w:left="426" w:hanging="426"/>
      </w:pPr>
      <w:r w:rsidRPr="00472CEC">
        <w:br w:type="column"/>
      </w:r>
      <w:r w:rsidR="0099404D" w:rsidRPr="00472CEC">
        <w:t>Introduction</w:t>
      </w:r>
    </w:p>
    <w:p w14:paraId="38AFA9DA" w14:textId="0BD9625A" w:rsidR="00AC0F5A" w:rsidRDefault="00DD778E" w:rsidP="00AC0F5A">
      <w:r>
        <w:t>The role of biomass in today’s ec</w:t>
      </w:r>
      <w:r w:rsidR="009E1806">
        <w:t>onomies</w:t>
      </w:r>
      <w:r>
        <w:t xml:space="preserve"> </w:t>
      </w:r>
      <w:r w:rsidR="00796858">
        <w:t>extends</w:t>
      </w:r>
      <w:r>
        <w:t xml:space="preserve"> beyond traditional </w:t>
      </w:r>
      <w:r w:rsidR="00075DFC">
        <w:t xml:space="preserve">sectors </w:t>
      </w:r>
      <w:r>
        <w:t>such</w:t>
      </w:r>
      <w:r w:rsidR="00EE4D69">
        <w:t xml:space="preserve"> as</w:t>
      </w:r>
      <w:r>
        <w:t xml:space="preserve"> food, feed, materials (</w:t>
      </w:r>
      <w:r w:rsidR="003D0603">
        <w:t xml:space="preserve">e.g., </w:t>
      </w:r>
      <w:r w:rsidR="00EE4D69">
        <w:t xml:space="preserve">plant </w:t>
      </w:r>
      <w:r>
        <w:t xml:space="preserve">fibers, </w:t>
      </w:r>
      <w:r w:rsidR="00EE4D69">
        <w:t>lumber</w:t>
      </w:r>
      <w:r w:rsidR="000178C8">
        <w:t>, paper and pulp</w:t>
      </w:r>
      <w:r>
        <w:t>)</w:t>
      </w:r>
      <w:r w:rsidR="00075DFC">
        <w:t xml:space="preserve"> and traditional </w:t>
      </w:r>
      <w:r w:rsidR="002B6128">
        <w:t>uses</w:t>
      </w:r>
      <w:r w:rsidR="00784447">
        <w:t xml:space="preserve"> for energy</w:t>
      </w:r>
      <w:r w:rsidR="00075DFC">
        <w:t xml:space="preserve"> (inefficient heating and cooking)</w:t>
      </w:r>
      <w:r w:rsidR="00E52E2B">
        <w:t>.</w:t>
      </w:r>
      <w:r w:rsidR="00AC24BB">
        <w:t xml:space="preserve"> </w:t>
      </w:r>
      <w:r w:rsidR="00063FAF">
        <w:t>While m</w:t>
      </w:r>
      <w:r w:rsidR="00784447">
        <w:t xml:space="preserve">ore than half of current biomass use for energy is </w:t>
      </w:r>
      <w:r w:rsidR="00063FAF">
        <w:t xml:space="preserve">traditional, </w:t>
      </w:r>
      <w:r w:rsidR="00784447">
        <w:t xml:space="preserve">modern </w:t>
      </w:r>
      <w:r w:rsidR="008B74BF">
        <w:t xml:space="preserve">and efficient </w:t>
      </w:r>
      <w:r w:rsidR="00784447">
        <w:t>bioenergy</w:t>
      </w:r>
      <w:r w:rsidR="00531CB5">
        <w:t xml:space="preserve"> </w:t>
      </w:r>
      <w:r w:rsidR="00CE2E94">
        <w:t>supply</w:t>
      </w:r>
      <w:r w:rsidR="008B74BF">
        <w:t xml:space="preserve"> </w:t>
      </w:r>
      <w:r w:rsidR="000434AD">
        <w:t>of</w:t>
      </w:r>
      <w:r w:rsidR="0051174D">
        <w:t xml:space="preserve"> electricity, heat and biofuels for road transport </w:t>
      </w:r>
      <w:r w:rsidR="00EB3F4E">
        <w:t>is</w:t>
      </w:r>
      <w:r w:rsidR="008B74BF">
        <w:t xml:space="preserve"> growing rapidly and </w:t>
      </w:r>
      <w:r w:rsidR="005C20AE">
        <w:t>is</w:t>
      </w:r>
      <w:r w:rsidR="008B74BF">
        <w:t xml:space="preserve"> expected to continue so in the future</w:t>
      </w:r>
      <w:r w:rsidR="0051174D">
        <w:t xml:space="preserve"> </w:t>
      </w:r>
      <w:r w:rsidR="00A01DC4">
        <w:fldChar w:fldCharType="begin" w:fldLock="1"/>
      </w:r>
      <w:r w:rsidR="00A01DC4">
        <w:instrText>ADDIN CSL_CITATION { "citationItems" : [ { "id" : "ITEM-1", "itemData" : { "ISBN" : "9781107607101", "author" : [ { "dropping-particle" : "", "family" : "Chum", "given" : "H", "non-dropping-particle" : "", "parse-names" : false, "suffix" : "" }, { "dropping-particle" : "", "family" : "Faaij", "given" : "A", "non-dropping-particle" : "", "parse-names" : false, "suffix" : "" }, { "dropping-particle" : "", "family" : "Moreira", "given" : "J", "non-dropping-particle" : "", "parse-names" : false, "suffix" : "" }, { "dropping-particle" : "", "family" : "Berndes", "given" : "G", "non-dropping-particle" : "", "parse-names" : false, "suffix" : "" }, { "dropping-particle" : "", "family" : "Dhamija", "given" : "P", "non-dropping-particle" : "", "parse-names" : false, "suffix" : "" }, { "dropping-particle" : "", "family" : "Dong", "given" : "H", "non-dropping-particle" : "", "parse-names" : false, "suffix" : "" }, { "dropping-particle" : "", "family" : "Gabrielle", "given" : "B", "non-dropping-particle" : "", "parse-names" : false, "suffix" : "" }, { "dropping-particle" : "", "family" : "Eng", "given" : "a Goss", "non-dropping-particle" : "", "parse-names" : false, "suffix" : "" }, { "dropping-particle" : "", "family" : "Cerutti", "given" : "O Masera", "non-dropping-particle" : "", "parse-names" : false, "suffix" : "" }, { "dropping-particle" : "", "family" : "Mcintyre", "given" : "T", "non-dropping-particle" : "", "parse-names" : false, "suffix" : "" }, { "dropping-particle" : "", "family" : "Minowa", "given" : "T", "non-dropping-particle" : "", "parse-names" : false, "suffix" : "" }, { "dropping-particle" : "", "family" : "Pingoud", "given" : "K", "non-dropping-particle" : "", "parse-names" : false, "suffix" : "" } ], "container-title" : "IPCC Special Report on Renewable Energy Sources and Climate Change Mitigation", "editor" : [ { "dropping-particle" : "", "family" : "Sokona", "given" : "Y.", "non-dropping-particle" : "", "parse-names" : false, "suffix" : "" }, { "dropping-particle" : "", "family" : "Seyboth", "given" : "K", "non-dropping-particle" : "", "parse-names" : false, "suffix" : "" }, { "dropping-particle" : "", "family" : "Matschoss", "given" : "P", "non-dropping-particle" : "", "parse-names" : false, "suffix" : "" }, { "dropping-particle" : "", "family" : "Kadner", "given" : "S", "non-dropping-particle" : "", "parse-names" : false, "suffix" : "" }, { "dropping-particle" : "", "family" : "Zwickel", "given" : "T", "non-dropping-particle" : "", "parse-names" : false, "suffix" : "" }, { "dropping-particle" : "", "family" : "Eickemeier", "given" : "P", "non-dropping-particle" : "", "parse-names" : false, "suffix" : "" }, { "dropping-particle" : "", "family" : "Hansen", "given" : "G", "non-dropping-particle" : "", "parse-names" : false, "suffix" : "" }, { "dropping-particle" : "", "family" : "Schlomer", "given" : "S", "non-dropping-particle" : "", "parse-names" : false, "suffix" : "" }, { "dropping-particle" : "", "family" : "Stechow", "given" : "C", "non-dropping-particle" : "von", "parse-names" : false, "suffix" : "" } ], "id" : "ITEM-1", "issued" : { "date-parts" : [ [ "2011" ] ] }, "page" : "209-332", "publisher" : "Cambridge University Press", "publisher-place" : "Cambridge, United Kingdom and New York, NY, USA", "title" : "Bioenergy", "type" : "chapter" }, "uris" : [ "http://www.mendeley.com/documents/?uuid=23af9c1f-3210-4487-b494-5ed866fe8aca" ] } ], "mendeley" : { "formattedCitation" : "[1]", "plainTextFormattedCitation" : "[1]", "previouslyFormattedCitation" : "[1]" }, "properties" : { "noteIndex" : 0 }, "schema" : "https://github.com/citation-style-language/schema/raw/master/csl-citation.json" }</w:instrText>
      </w:r>
      <w:r w:rsidR="00A01DC4">
        <w:fldChar w:fldCharType="separate"/>
      </w:r>
      <w:r w:rsidR="00A01DC4" w:rsidRPr="00A01DC4">
        <w:rPr>
          <w:noProof/>
        </w:rPr>
        <w:t>[1]</w:t>
      </w:r>
      <w:r w:rsidR="00A01DC4">
        <w:fldChar w:fldCharType="end"/>
      </w:r>
      <w:r w:rsidR="000B3242">
        <w:t xml:space="preserve">. </w:t>
      </w:r>
      <w:r w:rsidR="00012ECD">
        <w:t>Advanced</w:t>
      </w:r>
      <w:r w:rsidR="00784447">
        <w:t xml:space="preserve"> </w:t>
      </w:r>
      <w:r w:rsidR="00BF099A">
        <w:t>bioeconomy</w:t>
      </w:r>
      <w:r w:rsidR="00920E7B">
        <w:t xml:space="preserve"> </w:t>
      </w:r>
      <w:r w:rsidR="00784447">
        <w:t xml:space="preserve">sectors are </w:t>
      </w:r>
      <w:r w:rsidR="00314F58">
        <w:t xml:space="preserve">also </w:t>
      </w:r>
      <w:r w:rsidR="00FE1342">
        <w:t>being gradually</w:t>
      </w:r>
      <w:r w:rsidR="00D72966">
        <w:t xml:space="preserve"> introduced in </w:t>
      </w:r>
      <w:r w:rsidR="00374566">
        <w:t xml:space="preserve">regional </w:t>
      </w:r>
      <w:r w:rsidR="00D72966">
        <w:t>econom</w:t>
      </w:r>
      <w:r w:rsidR="00374566">
        <w:t>ies</w:t>
      </w:r>
      <w:r w:rsidR="00784447">
        <w:t>.</w:t>
      </w:r>
      <w:r w:rsidR="000B3242">
        <w:t xml:space="preserve"> </w:t>
      </w:r>
      <w:r w:rsidR="00BC1F9F">
        <w:t>A</w:t>
      </w:r>
      <w:r w:rsidR="00BA3E60">
        <w:t xml:space="preserve">viation and shipping </w:t>
      </w:r>
      <w:r w:rsidR="006D3E0B">
        <w:t xml:space="preserve">are two sectors that </w:t>
      </w:r>
      <w:r w:rsidR="00BA3E60">
        <w:t xml:space="preserve">rely </w:t>
      </w:r>
      <w:r w:rsidR="0008416D">
        <w:t>exclusively</w:t>
      </w:r>
      <w:r w:rsidR="006D3E0B">
        <w:t xml:space="preserve"> </w:t>
      </w:r>
      <w:r w:rsidR="00BA3E60">
        <w:t xml:space="preserve">on biofuel developments to </w:t>
      </w:r>
      <w:r w:rsidR="00733B76">
        <w:t xml:space="preserve">partly decarbonize </w:t>
      </w:r>
      <w:r w:rsidR="00BE1BD2">
        <w:t>their energy use</w:t>
      </w:r>
      <w:r w:rsidR="00A01DC4">
        <w:t xml:space="preserve"> </w:t>
      </w:r>
      <w:r w:rsidR="00A01DC4">
        <w:fldChar w:fldCharType="begin" w:fldLock="1"/>
      </w:r>
      <w:r w:rsidR="00776565">
        <w:instrText>ADDIN CSL_CITATION { "citationItems" : [ { "id" : "ITEM-1", "itemData" : { "author" : [ { "dropping-particle" : "", "family" : "Aviation Transport Action Group", "given" : "", "non-dropping-particle" : "", "parse-names" : false, "suffix" : "" } ], "id" : "ITEM-1", "issued" : { "date-parts" : [ [ "2012" ] ] }, "publisher-place" : "Doha", "title" : "A sustainable \ufb02ightpath towards reducing emissions - Position paper presented at UNFCCC Climate Talks", "type" : "report" }, "uris" : [ "http://www.mendeley.com/documents/?uuid=f6e0f472-5d7a-49f2-bf3a-fad6db340260" ] }, { "id" : "ITEM-2", "itemData" : { "abstract" : "Introduction Biofuels could be one of the options to realize a lower carbon intensity in the propulsion of ships and also possibly reduce the effect of ship emissions on local air quality. Therefore, EMSA, the European Maritime Safety Agency, is evaluating if and how biofuels could be used in the shipping sector as an alternative fuel. To determine the potential of biofuels for ships, a clearer picture is needed on technical and organizational limitations of biofuels in ships, both on board of the ship as in the fuel supply chain to the ship. Economic and sustainability analysis of biofuels should be included in this picture, as well as an overview on current and potential policy measures to stimulate the use of biofuels in shipping. Ecofys has determined the potential of biofuels, based on analysis of collected data through literature review, own expertise and experiences, direct communication with EMSA, research publications, market developments based on press and other media, and consultations with relevant stakeholders in the shipping market.", "author" : [ { "dropping-particle" : "", "family" : "Florentinus", "given" : "Anouk", "non-dropping-particle" : "", "parse-names" : false, "suffix" : "" }, { "dropping-particle" : "", "family" : "Hamelinck", "given" : "Carlo", "non-dropping-particle" : "", "parse-names" : false, "suffix" : "" }, { "dropping-particle" : "van den", "family" : "Bos", "given" : "Arno", "non-dropping-particle" : "", "parse-names" : false, "suffix" : "" }, { "dropping-particle" : "", "family" : "Winkel", "given" : "Rob", "non-dropping-particle" : "", "parse-names" : false, "suffix" : "" }, { "dropping-particle" : "", "family" : "Maarten", "given" : "Cuijpers", "non-dropping-particle" : "", "parse-names" : false, "suffix" : "" } ], "id" : "ITEM-2", "issued" : { "date-parts" : [ [ "2012" ] ] }, "number-of-pages" : "1-114", "publisher-place" : "Utrecht", "title" : "Potential of biofuels for shipping", "type" : "report" }, "uris" : [ "http://www.mendeley.com/documents/?uuid=58614f7d-5fb8-4263-be8f-fbd33ddc9f61" ] } ], "mendeley" : { "formattedCitation" : "[2,3]", "plainTextFormattedCitation" : "[2,3]", "previouslyFormattedCitation" : "[2,3]" }, "properties" : { "noteIndex" : 0 }, "schema" : "https://github.com/citation-style-language/schema/raw/master/csl-citation.json" }</w:instrText>
      </w:r>
      <w:r w:rsidR="00A01DC4">
        <w:fldChar w:fldCharType="separate"/>
      </w:r>
      <w:r w:rsidR="00E26378" w:rsidRPr="00E26378">
        <w:rPr>
          <w:noProof/>
        </w:rPr>
        <w:t>[2,3]</w:t>
      </w:r>
      <w:r w:rsidR="00A01DC4">
        <w:fldChar w:fldCharType="end"/>
      </w:r>
      <w:r w:rsidR="00BA3E60">
        <w:t xml:space="preserve">. </w:t>
      </w:r>
      <w:r w:rsidR="00A3343E">
        <w:t>Bioc</w:t>
      </w:r>
      <w:r w:rsidR="001F5CDF">
        <w:t xml:space="preserve">hemicals </w:t>
      </w:r>
      <w:r w:rsidR="00A3343E">
        <w:t xml:space="preserve">and </w:t>
      </w:r>
      <w:r w:rsidR="00FA7CD3">
        <w:t>bio</w:t>
      </w:r>
      <w:r w:rsidR="00A3343E">
        <w:t xml:space="preserve">chemical products </w:t>
      </w:r>
      <w:r w:rsidR="0008416D">
        <w:t xml:space="preserve">(e.g., </w:t>
      </w:r>
      <w:r w:rsidR="00A3343E">
        <w:t>bioplastics</w:t>
      </w:r>
      <w:r w:rsidR="0008416D">
        <w:t>)</w:t>
      </w:r>
      <w:r w:rsidR="00A3343E">
        <w:t xml:space="preserve"> </w:t>
      </w:r>
      <w:r w:rsidR="007B4AB6">
        <w:t>are already produced globally</w:t>
      </w:r>
      <w:r w:rsidR="00C05ADE">
        <w:t xml:space="preserve"> and </w:t>
      </w:r>
      <w:r w:rsidR="006F1CDB">
        <w:t>consume</w:t>
      </w:r>
      <w:r w:rsidR="00C05ADE">
        <w:t xml:space="preserve"> about 4.5% of </w:t>
      </w:r>
      <w:r w:rsidR="006F1CDB">
        <w:t xml:space="preserve">total biomass used </w:t>
      </w:r>
      <w:r w:rsidR="00C05ADE">
        <w:t>for energy and biochemical uses</w:t>
      </w:r>
      <w:r w:rsidR="00742BF2">
        <w:t xml:space="preserve"> </w:t>
      </w:r>
      <w:r w:rsidR="00742BF2">
        <w:fldChar w:fldCharType="begin" w:fldLock="1"/>
      </w:r>
      <w:r w:rsidR="00426DBE">
        <w:instrText>ADDIN CSL_CITATION { "citationItems" : [ { "id" : "ITEM-1", "itemData" : { "DOI" : "10.1089/ind.2015.29021.stp", "ISSN" : "15509087", "author" : [ { "dropping-particle" : "", "family" : "Carus", "given" : "Michael", "non-dropping-particle" : "", "parse-names" : false, "suffix" : "" }, { "dropping-particle" : "", "family" : "Essel", "given" : "Roland", "non-dropping-particle" : "", "parse-names" : false, "suffix" : "" } ], "id" : "ITEM-1", "issue" : "October", "issued" : { "date-parts" : [ [ "2015" ] ] }, "page" : "1-4", "title" : "Global bioeconomy in the conflict between biomass supply and demand", "type" : "article-journal" }, "uris" : [ "http://www.mendeley.com/documents/?uuid=69242226-ccca-4950-8157-de30091c5051" ] } ], "mendeley" : { "formattedCitation" : "[4]", "plainTextFormattedCitation" : "[4]", "previouslyFormattedCitation" : "[4]" }, "properties" : { "noteIndex" : 0 }, "schema" : "https://github.com/citation-style-language/schema/raw/master/csl-citation.json" }</w:instrText>
      </w:r>
      <w:r w:rsidR="00742BF2">
        <w:fldChar w:fldCharType="separate"/>
      </w:r>
      <w:r w:rsidR="00742BF2" w:rsidRPr="00742BF2">
        <w:rPr>
          <w:noProof/>
        </w:rPr>
        <w:t>[4]</w:t>
      </w:r>
      <w:r w:rsidR="00742BF2">
        <w:fldChar w:fldCharType="end"/>
      </w:r>
      <w:r w:rsidR="00C05ADE">
        <w:t>. In 2016</w:t>
      </w:r>
      <w:r w:rsidR="00E42957">
        <w:t>,</w:t>
      </w:r>
      <w:r w:rsidR="00C05ADE">
        <w:t xml:space="preserve"> global </w:t>
      </w:r>
      <w:r w:rsidR="00A241F8">
        <w:t>production</w:t>
      </w:r>
      <w:r w:rsidR="00731491">
        <w:t xml:space="preserve"> capacity </w:t>
      </w:r>
      <w:r w:rsidR="008D30EA">
        <w:t xml:space="preserve">of bioplastics </w:t>
      </w:r>
      <w:r w:rsidR="00731491">
        <w:t>reach</w:t>
      </w:r>
      <w:r w:rsidR="00C05ADE">
        <w:t>ed</w:t>
      </w:r>
      <w:r w:rsidR="00731491">
        <w:t xml:space="preserve"> 2 Mt </w:t>
      </w:r>
      <w:r w:rsidR="00770F92">
        <w:t xml:space="preserve">and is expected to quadruple before 2020 </w:t>
      </w:r>
      <w:r w:rsidR="00776565">
        <w:fldChar w:fldCharType="begin" w:fldLock="1"/>
      </w:r>
      <w:r w:rsidR="00426DBE">
        <w:instrText>ADDIN CSL_CITATION { "citationItems" : [ { "id" : "ITEM-1", "itemData" : { "author" : [ { "dropping-particle" : "", "family" : "EUBP", "given" : "", "non-dropping-particle" : "", "parse-names" : false, "suffix" : "" } ], "id" : "ITEM-1", "issued" : { "date-parts" : [ [ "2016" ] ] }, "number-of-pages" : "1-6", "publisher-place" : "Berlin", "title" : "Biopalstics Facts and Figures", "type" : "report" }, "uris" : [ "http://www.mendeley.com/documents/?uuid=31453c29-75ea-46d8-9334-fb13387e111d" ] } ], "mendeley" : { "formattedCitation" : "[5]", "plainTextFormattedCitation" : "[5]", "previouslyFormattedCitation" : "[5]" }, "properties" : { "noteIndex" : 0 }, "schema" : "https://github.com/citation-style-language/schema/raw/master/csl-citation.json" }</w:instrText>
      </w:r>
      <w:r w:rsidR="00776565">
        <w:fldChar w:fldCharType="separate"/>
      </w:r>
      <w:r w:rsidR="00742BF2" w:rsidRPr="00742BF2">
        <w:rPr>
          <w:noProof/>
        </w:rPr>
        <w:t>[5]</w:t>
      </w:r>
      <w:r w:rsidR="00776565">
        <w:fldChar w:fldCharType="end"/>
      </w:r>
      <w:r w:rsidR="00117F5D">
        <w:t>.</w:t>
      </w:r>
      <w:r w:rsidR="00D04F4F">
        <w:t xml:space="preserve">These developments </w:t>
      </w:r>
      <w:r w:rsidR="00E42957">
        <w:t>indicate</w:t>
      </w:r>
      <w:r w:rsidR="00D5282F">
        <w:t xml:space="preserve"> </w:t>
      </w:r>
      <w:r w:rsidR="00D04F4F">
        <w:t xml:space="preserve">prospects for </w:t>
      </w:r>
      <w:r w:rsidR="00851276">
        <w:t xml:space="preserve">mid-term </w:t>
      </w:r>
      <w:r w:rsidR="00E57927">
        <w:t xml:space="preserve">and long-term </w:t>
      </w:r>
      <w:r w:rsidR="0045524D">
        <w:t>bioeconomy growth</w:t>
      </w:r>
      <w:r w:rsidR="008F18AA">
        <w:t>,</w:t>
      </w:r>
      <w:r w:rsidR="001551CD">
        <w:t xml:space="preserve"> which </w:t>
      </w:r>
      <w:r w:rsidR="00397E92">
        <w:t>is</w:t>
      </w:r>
      <w:r w:rsidR="001551CD">
        <w:t xml:space="preserve"> often </w:t>
      </w:r>
      <w:r w:rsidR="00397E92">
        <w:t xml:space="preserve">also </w:t>
      </w:r>
      <w:r w:rsidR="001551CD">
        <w:t xml:space="preserve">seen </w:t>
      </w:r>
      <w:r w:rsidR="00D04F4F">
        <w:t xml:space="preserve">as </w:t>
      </w:r>
      <w:r w:rsidR="00DE19AC">
        <w:t>a</w:t>
      </w:r>
      <w:r w:rsidR="00D04F4F">
        <w:t xml:space="preserve"> strateg</w:t>
      </w:r>
      <w:r w:rsidR="00DE19AC">
        <w:t>y</w:t>
      </w:r>
      <w:r w:rsidR="00D04F4F">
        <w:t xml:space="preserve"> to secure societal challenges such as energy </w:t>
      </w:r>
      <w:r w:rsidR="00194302">
        <w:t>access</w:t>
      </w:r>
      <w:r w:rsidR="00F50001">
        <w:t>, economic growth, employment and regional development</w:t>
      </w:r>
      <w:r w:rsidR="00B51822">
        <w:t>,</w:t>
      </w:r>
      <w:r w:rsidR="00F50001">
        <w:t xml:space="preserve"> while </w:t>
      </w:r>
      <w:r w:rsidR="0079747F">
        <w:t>ensuring long-</w:t>
      </w:r>
      <w:r w:rsidR="0051561A">
        <w:t>term environmental sustainability</w:t>
      </w:r>
      <w:r w:rsidR="00BD171C">
        <w:t xml:space="preserve"> </w:t>
      </w:r>
      <w:r w:rsidR="00426DBE">
        <w:fldChar w:fldCharType="begin" w:fldLock="1"/>
      </w:r>
      <w:r w:rsidR="003F774A">
        <w:instrText>ADDIN CSL_CITATION { "citationItems" : [ { "id" : "ITEM-1", "itemData" : { "author" : [ { "dropping-particle" : "", "family" : "EC", "given" : "", "non-dropping-particle" : "", "parse-names" : false, "suffix" : "" } ], "id" : "ITEM-1", "issued" : { "date-parts" : [ [ "2012" ] ] }, "publisher-place" : "Brussels", "title" : "Innovating for Sustainable Growth: A Bioeconomy for Europe", "type" : "report" }, "uris" : [ "http://www.mendeley.com/documents/?uuid=657188c3-a908-45da-bbb5-4541e655aebb" ] } ], "mendeley" : { "formattedCitation" : "[6]", "plainTextFormattedCitation" : "[6]", "previouslyFormattedCitation" : "[6]" }, "properties" : { "noteIndex" : 0 }, "schema" : "https://github.com/citation-style-language/schema/raw/master/csl-citation.json" }</w:instrText>
      </w:r>
      <w:r w:rsidR="00426DBE">
        <w:fldChar w:fldCharType="separate"/>
      </w:r>
      <w:r w:rsidR="001F5AE6" w:rsidRPr="001F5AE6">
        <w:rPr>
          <w:noProof/>
        </w:rPr>
        <w:t>[6]</w:t>
      </w:r>
      <w:r w:rsidR="00426DBE">
        <w:fldChar w:fldCharType="end"/>
      </w:r>
      <w:r w:rsidR="007A7A3E">
        <w:t>.</w:t>
      </w:r>
      <w:r w:rsidR="00B51822">
        <w:t xml:space="preserve"> </w:t>
      </w:r>
    </w:p>
    <w:p w14:paraId="018B1509" w14:textId="77777777" w:rsidR="00AC0F5A" w:rsidRDefault="00AC0F5A" w:rsidP="00AC0F5A"/>
    <w:p w14:paraId="5134F8B1" w14:textId="6A145F0D" w:rsidR="00A23752" w:rsidRDefault="002F6C34" w:rsidP="003F791C">
      <w:pPr>
        <w:autoSpaceDE w:val="0"/>
        <w:autoSpaceDN w:val="0"/>
        <w:adjustRightInd w:val="0"/>
      </w:pPr>
      <w:r>
        <w:t>Analys</w:t>
      </w:r>
      <w:r w:rsidR="00264478">
        <w:t>e</w:t>
      </w:r>
      <w:r>
        <w:t xml:space="preserve">s </w:t>
      </w:r>
      <w:r w:rsidR="006E2F3D">
        <w:t>of</w:t>
      </w:r>
      <w:r>
        <w:t xml:space="preserve"> the </w:t>
      </w:r>
      <w:r w:rsidR="0071754B">
        <w:t xml:space="preserve">potential </w:t>
      </w:r>
      <w:r w:rsidR="00650131">
        <w:t xml:space="preserve">macro-economic </w:t>
      </w:r>
      <w:r w:rsidR="006E2F3D">
        <w:t xml:space="preserve">impacts of bioeconomy </w:t>
      </w:r>
      <w:r w:rsidR="00FF01B6">
        <w:t xml:space="preserve">development </w:t>
      </w:r>
      <w:r w:rsidR="006E2F3D">
        <w:t xml:space="preserve">can be helpful </w:t>
      </w:r>
      <w:r w:rsidR="00B058A0">
        <w:t xml:space="preserve">to the extent </w:t>
      </w:r>
      <w:r w:rsidR="006E2F3D">
        <w:t xml:space="preserve">they can provide </w:t>
      </w:r>
      <w:r w:rsidR="00AC0F5A">
        <w:t xml:space="preserve">insights on </w:t>
      </w:r>
      <w:r w:rsidR="00FE5A64">
        <w:t>such</w:t>
      </w:r>
      <w:r w:rsidR="00AC0F5A">
        <w:t xml:space="preserve"> indicators. To date, such analyses are scarce because</w:t>
      </w:r>
      <w:r w:rsidR="00BA57B3">
        <w:t xml:space="preserve"> r</w:t>
      </w:r>
      <w:r w:rsidR="00B0261E">
        <w:t>ecent</w:t>
      </w:r>
      <w:r w:rsidR="006A1904">
        <w:t xml:space="preserve"> </w:t>
      </w:r>
      <w:r w:rsidR="001D7A43">
        <w:t xml:space="preserve">advances in conversion of different biomass </w:t>
      </w:r>
      <w:r w:rsidR="006C41A3">
        <w:t xml:space="preserve">feedstocks </w:t>
      </w:r>
      <w:r w:rsidR="006A1904">
        <w:t xml:space="preserve">to </w:t>
      </w:r>
      <w:r w:rsidR="006C41A3">
        <w:t xml:space="preserve">an array of </w:t>
      </w:r>
      <w:r w:rsidR="002B445F">
        <w:t>food, feed, material</w:t>
      </w:r>
      <w:r w:rsidR="006629BA">
        <w:t xml:space="preserve">, </w:t>
      </w:r>
      <w:r w:rsidR="006C41A3">
        <w:t xml:space="preserve">energy and </w:t>
      </w:r>
      <w:r w:rsidR="00AA518D">
        <w:t>biochemical</w:t>
      </w:r>
      <w:r w:rsidR="00DC2C4D">
        <w:t>s</w:t>
      </w:r>
      <w:r w:rsidR="006C41A3">
        <w:t xml:space="preserve"> </w:t>
      </w:r>
      <w:r w:rsidR="000B096C">
        <w:t>have</w:t>
      </w:r>
      <w:r w:rsidR="00987722">
        <w:t xml:space="preserve"> created</w:t>
      </w:r>
      <w:r w:rsidR="006C41A3">
        <w:t xml:space="preserve"> complex dynamics through which biomass participate</w:t>
      </w:r>
      <w:r w:rsidR="0065554C">
        <w:t>s</w:t>
      </w:r>
      <w:r w:rsidR="006C41A3">
        <w:t xml:space="preserve"> in different sectors</w:t>
      </w:r>
      <w:r w:rsidR="00861B6B">
        <w:t xml:space="preserve"> of the economy</w:t>
      </w:r>
      <w:r w:rsidR="00950F2E">
        <w:t xml:space="preserve">. </w:t>
      </w:r>
      <w:r w:rsidR="00C93266">
        <w:t>General equilibrium (CGE), partial equilibrium (PE) and input-output</w:t>
      </w:r>
      <w:r w:rsidR="00D17706">
        <w:t xml:space="preserve"> (I-O)</w:t>
      </w:r>
      <w:r w:rsidR="00C93266">
        <w:t xml:space="preserve"> economic models </w:t>
      </w:r>
      <w:r w:rsidR="00080D44">
        <w:t>are able to address</w:t>
      </w:r>
      <w:r w:rsidR="00C93266">
        <w:t xml:space="preserve"> </w:t>
      </w:r>
      <w:r w:rsidR="00FA7CD3">
        <w:t>such</w:t>
      </w:r>
      <w:r w:rsidR="00C93266">
        <w:t xml:space="preserve"> interactions.</w:t>
      </w:r>
      <w:r w:rsidR="00156DC3">
        <w:t xml:space="preserve"> E</w:t>
      </w:r>
      <w:r w:rsidR="00C93266">
        <w:t xml:space="preserve">ach </w:t>
      </w:r>
      <w:r w:rsidR="00AE6D29">
        <w:t xml:space="preserve">modelling </w:t>
      </w:r>
      <w:r w:rsidR="00C93266">
        <w:t>approach has strengths and weaknesses as they are designed to answer specific questions related to bioeconomy.</w:t>
      </w:r>
      <w:r w:rsidR="0084139F">
        <w:t xml:space="preserve"> </w:t>
      </w:r>
      <w:r w:rsidR="00D9366E">
        <w:t>Considering</w:t>
      </w:r>
      <w:r w:rsidR="006E1B8E">
        <w:t>, however,</w:t>
      </w:r>
      <w:r w:rsidR="00D9366E">
        <w:t xml:space="preserve"> that the bioeconomy lies at the interface of many different economic sectors</w:t>
      </w:r>
      <w:r w:rsidR="00A17CCB">
        <w:t xml:space="preserve"> and the concerns that indirect effects of biomass can be induced in indirect sectors and regions</w:t>
      </w:r>
      <w:r w:rsidR="00D9366E">
        <w:t xml:space="preserve">, PE and I-O models are less appropriate as they do not model the whole </w:t>
      </w:r>
      <w:r w:rsidR="000F566F">
        <w:t xml:space="preserve">world </w:t>
      </w:r>
      <w:r w:rsidR="00D9366E">
        <w:t>economy</w:t>
      </w:r>
      <w:r w:rsidR="00DC2C4D">
        <w:t xml:space="preserve"> or include price effects, respectively</w:t>
      </w:r>
      <w:r w:rsidR="00D9366E">
        <w:t>. CGE models</w:t>
      </w:r>
      <w:r w:rsidR="0086488D">
        <w:t>, on the other hand,</w:t>
      </w:r>
      <w:r w:rsidR="00D9366E">
        <w:t xml:space="preserve"> are more suitable and </w:t>
      </w:r>
      <w:r w:rsidR="00277BD6">
        <w:t>have been</w:t>
      </w:r>
      <w:r w:rsidR="00C93266">
        <w:t xml:space="preserve"> used to assess economy-wide impacts, </w:t>
      </w:r>
      <w:r w:rsidR="00D9366E">
        <w:t>capturing</w:t>
      </w:r>
      <w:r w:rsidR="00C93266">
        <w:t xml:space="preserve"> linkages and interactions between different sectors </w:t>
      </w:r>
      <w:r w:rsidR="00CD5D78">
        <w:t xml:space="preserve">to </w:t>
      </w:r>
      <w:r w:rsidR="007C3478">
        <w:t>demonstrate</w:t>
      </w:r>
      <w:r w:rsidR="00C93266">
        <w:t xml:space="preserve"> direct and </w:t>
      </w:r>
      <w:r w:rsidR="000217F7">
        <w:t>indirect effects of biomass use</w:t>
      </w:r>
      <w:r w:rsidR="003F791C">
        <w:t xml:space="preserve"> </w:t>
      </w:r>
      <w:r w:rsidR="003F791C">
        <w:fldChar w:fldCharType="begin" w:fldLock="1"/>
      </w:r>
      <w:r w:rsidR="00BE0C7C">
        <w:instrText>ADDIN CSL_CITATION { "citationItems" : [ { "id" : "ITEM-1", "itemData" : { "author" : [ { "dropping-particle" : "", "family" : "Rajagopal", "given" : "D", "non-dropping-particle" : "", "parse-names" : false, "suffix" : "" }, { "dropping-particle" : "", "family" : "Zilberman", "given" : "D", "non-dropping-particle" : "", "parse-names" : false, "suffix" : "" } ], "id" : "ITEM-1", "issued" : { "date-parts" : [ [ "2007" ] ] }, "number-of-pages" : "1-109", "publisher-place" : "Washington D.C.", "title" : "Review of environmental, economic and policy aspects of biofuels", "type" : "report" }, "uris" : [ "http://www.mendeley.com/documents/?uuid=b9491f57-7286-408d-a994-465d5172a8ae" ] }, { "id" : "ITEM-2", "itemData" : { "author" : [ { "dropping-particle" : "", "family" : "Sadoulet", "given" : "E", "non-dropping-particle" : "", "parse-names" : false, "suffix" : "" }, { "dropping-particle" : "", "family" : "Javry", "given" : "A", "non-dropping-particle" : "de", "parse-names" : false, "suffix" : "" } ], "id" : "ITEM-2", "issued" : { "date-parts" : [ [ "1995" ] ] }, "publisher" : "The Johns Hopkins University Press", "publisher-place" : "Baltimore MD", "title" : "Quantitative Development Policy Analysis", "type" : "book" }, "uris" : [ "http://www.mendeley.com/documents/?uuid=e93433cc-78e1-4a60-b2b5-844d181a3de4" ] } ], "mendeley" : { "formattedCitation" : "[7,8]", "plainTextFormattedCitation" : "[7,8]", "previouslyFormattedCitation" : "[7,8]" }, "properties" : { "noteIndex" : 0 }, "schema" : "https://github.com/citation-style-language/schema/raw/master/csl-citation.json" }</w:instrText>
      </w:r>
      <w:r w:rsidR="003F791C">
        <w:fldChar w:fldCharType="separate"/>
      </w:r>
      <w:r w:rsidR="003F791C" w:rsidRPr="003F791C">
        <w:rPr>
          <w:noProof/>
        </w:rPr>
        <w:t>[7,8]</w:t>
      </w:r>
      <w:r w:rsidR="003F791C">
        <w:fldChar w:fldCharType="end"/>
      </w:r>
      <w:r w:rsidR="003F791C">
        <w:t>.</w:t>
      </w:r>
      <w:r w:rsidR="000217F7">
        <w:t xml:space="preserve"> </w:t>
      </w:r>
      <w:r w:rsidR="00C927C0">
        <w:t xml:space="preserve">The global dimension is key as the availability of biomass, international trade and sustainability issues </w:t>
      </w:r>
      <w:r w:rsidR="003F791C">
        <w:t>inherently occur at global scale</w:t>
      </w:r>
      <w:r w:rsidR="00C927C0">
        <w:t xml:space="preserve">. </w:t>
      </w:r>
      <w:r w:rsidR="00714F1E">
        <w:t>For example</w:t>
      </w:r>
      <w:r w:rsidR="0095686A">
        <w:t>,</w:t>
      </w:r>
      <w:r w:rsidR="00714F1E">
        <w:t xml:space="preserve"> </w:t>
      </w:r>
      <w:r w:rsidR="00C927C0">
        <w:t>CGE models</w:t>
      </w:r>
      <w:r w:rsidR="00714F1E">
        <w:t xml:space="preserve"> </w:t>
      </w:r>
      <w:r w:rsidR="00D9366E">
        <w:t xml:space="preserve">have been used to address implications of </w:t>
      </w:r>
      <w:r w:rsidR="00CD5D78">
        <w:t xml:space="preserve">biofuel </w:t>
      </w:r>
      <w:r w:rsidR="00D9366E">
        <w:t xml:space="preserve">policies </w:t>
      </w:r>
      <w:r w:rsidR="000217F7">
        <w:t>o</w:t>
      </w:r>
      <w:r w:rsidR="00D9366E">
        <w:t>n agricultural markets, land use change and related emissions</w:t>
      </w:r>
      <w:r w:rsidR="00A17DF7">
        <w:t xml:space="preserve">. This </w:t>
      </w:r>
      <w:r w:rsidR="0095686A">
        <w:t xml:space="preserve">led </w:t>
      </w:r>
      <w:r w:rsidR="00D9366E">
        <w:t xml:space="preserve">to improved endogenous modelling of land markets </w:t>
      </w:r>
      <w:r w:rsidR="00A96344">
        <w:t xml:space="preserve">in CGE models </w:t>
      </w:r>
      <w:r w:rsidR="00D9366E">
        <w:fldChar w:fldCharType="begin" w:fldLock="1"/>
      </w:r>
      <w:r w:rsidR="00BE0C7C">
        <w:instrText>ADDIN CSL_CITATION { "citationItems" : [ { "id" : "ITEM-1", "itemData" : { "DOI" : "10.4155/bfs.11.154", "ISSN" : "1759-7269", "author" : [ { "dropping-particle" : "", "family" : "Wicke", "given" : "Birka", "non-dropping-particle" : "", "parse-names" : false, "suffix" : "" }, { "dropping-particle" : "", "family" : "Verweij", "given" : "Pita", "non-dropping-particle" : "", "parse-names" : false, "suffix" : "" }, { "dropping-particle" : "", "family" : "Meijl", "given" : "Hans", "non-dropping-particle" : "van", "parse-names" : false, "suffix" : "" }, { "dropping-particle" : "", "family" : "Vuuren", "given" : "Detlef P", "non-dropping-particle" : "van", "parse-names" : false, "suffix" : "" }, { "dropping-particle" : "", "family" : "Faaij", "given" : "Andre P C", "non-dropping-particle" : "", "parse-names" : false, "suffix" : "" } ], "container-title" : "Biofuels", "id" : "ITEM-1", "issue" : "1", "issued" : { "date-parts" : [ [ "2012", "1", "1" ] ] }, "note" : "doi: 10.4155/bfs.11.154", "page" : "87-100", "publisher" : "Taylor &amp; Francis", "title" : "Indirect land use change: review of existing models and strategies for mitigation", "type" : "article-journal", "volume" : "3" }, "uris" : [ "http://www.mendeley.com/documents/?uuid=5bb64dbf-931d-4fb7-bf1f-82c33731813e" ] } ], "mendeley" : { "formattedCitation" : "[9]", "plainTextFormattedCitation" : "[9]", "previouslyFormattedCitation" : "[9]" }, "properties" : { "noteIndex" : 0 }, "schema" : "https://github.com/citation-style-language/schema/raw/master/csl-citation.json" }</w:instrText>
      </w:r>
      <w:r w:rsidR="00D9366E">
        <w:fldChar w:fldCharType="separate"/>
      </w:r>
      <w:r w:rsidR="003F791C" w:rsidRPr="003F791C">
        <w:rPr>
          <w:noProof/>
        </w:rPr>
        <w:t>[9]</w:t>
      </w:r>
      <w:r w:rsidR="00D9366E">
        <w:fldChar w:fldCharType="end"/>
      </w:r>
      <w:r w:rsidR="00D9366E">
        <w:t>.</w:t>
      </w:r>
      <w:r w:rsidR="00394FBB">
        <w:t xml:space="preserve"> </w:t>
      </w:r>
      <w:r w:rsidR="00CD5D78">
        <w:t xml:space="preserve">Recent efforts </w:t>
      </w:r>
      <w:r w:rsidR="000217F7">
        <w:t>also</w:t>
      </w:r>
      <w:r w:rsidR="00CD5D78">
        <w:t xml:space="preserve"> focused on improving</w:t>
      </w:r>
      <w:r w:rsidR="00265CD1">
        <w:t xml:space="preserve"> modeling of</w:t>
      </w:r>
      <w:r w:rsidR="00CD5D78">
        <w:t xml:space="preserve"> biofuel</w:t>
      </w:r>
      <w:r w:rsidR="00265CD1">
        <w:t>s</w:t>
      </w:r>
      <w:r w:rsidR="00CD5D78">
        <w:t xml:space="preserve"> </w:t>
      </w:r>
      <w:r w:rsidR="000217F7">
        <w:t xml:space="preserve">by introducing </w:t>
      </w:r>
      <w:r w:rsidR="00CD5D78">
        <w:t xml:space="preserve">of ethanol, biodiesel and their by-products </w:t>
      </w:r>
      <w:r w:rsidR="00CD5D78">
        <w:fldChar w:fldCharType="begin" w:fldLock="1"/>
      </w:r>
      <w:r w:rsidR="00BE0C7C">
        <w:instrText>ADDIN CSL_CITATION { "citationItems" : [ { "id" : "ITEM-1", "itemData" : { "DOI" : "10.1016/j.biombioe.2010.09.001", "ISSN" : "09619534", "abstract" : "The European Union aims to increase the share of renewable energy in its total energy consumption to reduce greenhouse gas emissions and make the economy more CO2 neutral. This policy is further motivated by a desire to reduce dependency on fossil fuel imports and to stimulate rural development and the agricultural sector.", "author" : [ { "dropping-particle" : "", "family" : "Banse", "given" : "Martin", "non-dropping-particle" : "", "parse-names" : false, "suffix" : "" }, { "dropping-particle" : "", "family" : "Meijl", "given" : "Hans", "non-dropping-particle" : "van", "parse-names" : false, "suffix" : "" }, { "dropping-particle" : "", "family" : "Tabeau", "given" : "Andrzej", "non-dropping-particle" : "", "parse-names" : false, "suffix" : "" }, { "dropping-particle" : "", "family" : "Woltjer", "given" : "Geert", "non-dropping-particle" : "", "parse-names" : false, "suffix" : "" }, { "dropping-particle" : "", "family" : "Hellmann", "given" : "Fritz", "non-dropping-particle" : "", "parse-names" : false, "suffix" : "" }, { "dropping-particle" : "", "family" : "Verburg", "given" : "Peter H.", "non-dropping-particle" : "", "parse-names" : false, "suffix" : "" } ], "container-title" : "Biomass and Bioenergy", "id" : "ITEM-1", "issue" : "6", "issued" : { "date-parts" : [ [ "2011", "6" ] ] }, "page" : "2385-2390", "title" : "Impact of EU biofuel policies on world agricultural production and land use", "type" : "article-journal", "volume" : "35" }, "uris" : [ "http://www.mendeley.com/documents/?uuid=41bc1410-13ab-44c9-b65b-7d60435b7b72" ] }, { "id" : "ITEM-2", "itemData" : { "abstract" : "Report prepared for the European Commission DG Trade. Implementing Framework Contract No TRADE/07 A, 2011. 2.", "author" : [ { "dropping-particle" : "", "family" : "Laborde", "given" : "David", "non-dropping-particle" : "", "parse-names" : false, "suffix" : "" } ], "id" : "ITEM-2", "issued" : { "date-parts" : [ [ "2011" ] ] }, "number-of-pages" : "1-111", "publisher-place" : "Washington D.C.", "title" : "Assessing the land use change consequences of European biofuel policies", "type" : "report" }, "uris" : [ "http://www.mendeley.com/documents/?uuid=06328e69-f8ef-4bf5-a5e3-f8564de3f246" ] } ], "mendeley" : { "formattedCitation" : "[10,11]", "plainTextFormattedCitation" : "[10,11]", "previouslyFormattedCitation" : "[10,11]" }, "properties" : { "noteIndex" : 0 }, "schema" : "https://github.com/citation-style-language/schema/raw/master/csl-citation.json" }</w:instrText>
      </w:r>
      <w:r w:rsidR="00CD5D78">
        <w:fldChar w:fldCharType="separate"/>
      </w:r>
      <w:r w:rsidR="003F791C" w:rsidRPr="003F791C">
        <w:rPr>
          <w:noProof/>
        </w:rPr>
        <w:t>[10,11]</w:t>
      </w:r>
      <w:r w:rsidR="00CD5D78">
        <w:fldChar w:fldCharType="end"/>
      </w:r>
      <w:r w:rsidR="005C752A">
        <w:t xml:space="preserve"> and</w:t>
      </w:r>
      <w:r w:rsidR="00CD5D78">
        <w:t xml:space="preserve"> of prospective biomass feedstocks</w:t>
      </w:r>
      <w:r w:rsidR="00A96344">
        <w:t xml:space="preserve"> for advanced biofuels production</w:t>
      </w:r>
      <w:r w:rsidR="00CD5D78">
        <w:t xml:space="preserve"> such as corn </w:t>
      </w:r>
      <w:proofErr w:type="spellStart"/>
      <w:r w:rsidR="00CD5D78">
        <w:t>stover</w:t>
      </w:r>
      <w:proofErr w:type="spellEnd"/>
      <w:r w:rsidR="00CD5D78">
        <w:t xml:space="preserve">, energy crops, palm oil residues </w:t>
      </w:r>
      <w:r w:rsidR="00CD5D78">
        <w:fldChar w:fldCharType="begin" w:fldLock="1"/>
      </w:r>
      <w:r w:rsidR="00BE0C7C">
        <w:instrText>ADDIN CSL_CITATION { "citationItems" : [ { "id" : "ITEM-1", "itemData" : { "DOI" : "10.1155/2013/315787", "ISBN" : "2090-2123\\r2090-2131", "ISSN" : "2090-2123", "abstract" : "Much research has estimated induced land use changes (ILUCs) and emissions for first generation biofuels. Relatively little has provided estimates for the second generation biofuels. This paper estimates ILUC emissions for the first and second generation biofuels. Estimated ILUCemissions are uncertain not only because their associated land use changes are uncertain, but also because of uncertainty in the land use emission factors (EFs). This paper also examines uncertainties related to these factors. The results suggest that converting crop residues to biofuel hasno significant ILUCemissions, but that isnot the case fordedicated energy crops. Use of dedicated energy crops transfersmanaged natural land andmarginal land (cropland-pasture) to crop production. Producing biogasoline from miscanthus generates the lowest land requirement among alterative pathways. The largest land requirement is associated with switchgrass. The difference is due largely to the assumed yields of switchgrass and miscanthus. The three major conclusions fromuncertainty in emissions analyses are (1) inclusion or exclusion of cropland-pasture makes a huge difference; (2) changes in soil carbon sequestration due to changes in land cover vegetation play an important role; and (3) there is wide divergence among the emission factor sources, especially for dedicated crop conversion to ethanol. 1.", "author" : [ { "dropping-particle" : "", "family" : "Taheripour", "given" : "Farzad", "non-dropping-particle" : "", "parse-names" : false, "suffix" : "" }, { "dropping-particle" : "", "family" : "Tyner", "given" : "Wallace E.", "non-dropping-particle" : "", "parse-names" : false, "suffix" : "" } ], "container-title" : "Economics Research International", "id" : "ITEM-1", "issued" : { "date-parts" : [ [ "2013" ] ] }, "page" : "1-12", "title" : "Induced Land Use Emissions due to First and Second Generation Biofuels and Uncertainty in Land Use Emission Factors", "type" : "article-journal", "volume" : "2013" }, "uris" : [ "http://www.mendeley.com/documents/?uuid=31996d43-d351-4a10-9021-4d8e900d5dc5" ] }, { "id" : "ITEM-2", "itemData" : { "ISBN" : "9789086155835", "abstract" : "The report gives a brief overview of availability of biomass in Malaysia and the assumptions underlying the National Biomass Strategy (2011) in Section 2. Section 3 provides information on the methodology used, i.e. the structure and assumptions of the CGE model called MAGNET. Section 4 presents a detailed description of the cost structures of four key biomass-based products that are analysed. Section 5 presents the main results. Three tables illustrate the impact on GDP for each product under different assumptions about the efficiency of the biobased technology and the level of fossil resources prices. The report ends with brief conclusions.", "author" : [ { "dropping-particle" : "", "family" : "Meijl", "given" : "H", "non-dropping-particle" : "van", "parse-names" : false, "suffix" : "" }, { "dropping-particle" : "", "family" : "Smeets", "given" : "E", "non-dropping-particle" : "", "parse-names" : false, "suffix" : "" }, { "dropping-particle" : "", "family" : "Dijk", "given" : "M", "non-dropping-particle" : "van", "parse-names" : false, "suffix" : "" }, { "dropping-particle" : "", "family" : "Powell", "given" : "J", "non-dropping-particle" : "", "parse-names" : false, "suffix" : "" } ], "container-title" : "LEI report 2012-042", "id" : "ITEM-2", "issued" : { "date-parts" : [ [ "2012" ] ] }, "title" : "Macro-economic impact study for Bio-based Malaysia", "type" : "book" }, "uris" : [ "http://www.mendeley.com/documents/?uuid=7a686290-5bbb-41de-84f8-ca0fa7428053" ] } ], "mendeley" : { "formattedCitation" : "[12,13]", "plainTextFormattedCitation" : "[12,13]", "previouslyFormattedCitation" : "[12,13]" }, "properties" : { "noteIndex" : 0 }, "schema" : "https://github.com/citation-style-language/schema/raw/master/csl-citation.json" }</w:instrText>
      </w:r>
      <w:r w:rsidR="00CD5D78">
        <w:fldChar w:fldCharType="separate"/>
      </w:r>
      <w:r w:rsidR="003F791C" w:rsidRPr="003F791C">
        <w:rPr>
          <w:noProof/>
        </w:rPr>
        <w:t>[12,13]</w:t>
      </w:r>
      <w:r w:rsidR="00CD5D78">
        <w:fldChar w:fldCharType="end"/>
      </w:r>
      <w:r w:rsidR="00CD5D78">
        <w:t>.</w:t>
      </w:r>
    </w:p>
    <w:p w14:paraId="348E62ED" w14:textId="77777777" w:rsidR="00A23752" w:rsidRDefault="00A23752" w:rsidP="00374136"/>
    <w:p w14:paraId="48C3A124" w14:textId="64FAABE6" w:rsidR="00037718" w:rsidRDefault="004D0DFD" w:rsidP="009418D8">
      <w:r>
        <w:t xml:space="preserve">However, </w:t>
      </w:r>
      <w:r w:rsidR="008A36CA">
        <w:t xml:space="preserve">most efforts </w:t>
      </w:r>
      <w:r w:rsidR="00973FC7">
        <w:t xml:space="preserve">have </w:t>
      </w:r>
      <w:r w:rsidR="008A36CA">
        <w:t xml:space="preserve">focused on biofuels and less on bioelectricity, biomass heat </w:t>
      </w:r>
      <w:r w:rsidR="006809B5">
        <w:t>(</w:t>
      </w:r>
      <w:proofErr w:type="spellStart"/>
      <w:r w:rsidR="006809B5">
        <w:t>bioheat</w:t>
      </w:r>
      <w:proofErr w:type="spellEnd"/>
      <w:r w:rsidR="006809B5">
        <w:t xml:space="preserve">) </w:t>
      </w:r>
      <w:r w:rsidR="008A36CA">
        <w:t xml:space="preserve">and </w:t>
      </w:r>
      <w:r w:rsidR="00D7480B">
        <w:t xml:space="preserve">new </w:t>
      </w:r>
      <w:r w:rsidR="000F1501">
        <w:t>bioeconomy</w:t>
      </w:r>
      <w:r w:rsidR="00D7480B">
        <w:t xml:space="preserve"> sectors</w:t>
      </w:r>
      <w:r w:rsidR="00FA4CEE">
        <w:t xml:space="preserve"> (e.g., biochemicals)</w:t>
      </w:r>
      <w:r w:rsidR="00A62322">
        <w:t>.</w:t>
      </w:r>
      <w:r w:rsidR="00CE7C4D">
        <w:t xml:space="preserve"> </w:t>
      </w:r>
      <w:r w:rsidR="003A6CA9">
        <w:t xml:space="preserve">Thus </w:t>
      </w:r>
      <w:r w:rsidR="00054E4D">
        <w:t>state-</w:t>
      </w:r>
      <w:r w:rsidR="00E050C8">
        <w:t xml:space="preserve">of </w:t>
      </w:r>
      <w:r w:rsidR="00054E4D">
        <w:t>the-</w:t>
      </w:r>
      <w:r w:rsidR="00E050C8">
        <w:t xml:space="preserve">art </w:t>
      </w:r>
      <w:r w:rsidR="00B74ED8">
        <w:t xml:space="preserve">CGE models </w:t>
      </w:r>
      <w:r w:rsidR="003A6CA9">
        <w:t xml:space="preserve">provide </w:t>
      </w:r>
      <w:r w:rsidR="009475EA">
        <w:t xml:space="preserve">limited </w:t>
      </w:r>
      <w:r w:rsidR="00394FBB">
        <w:t>info</w:t>
      </w:r>
      <w:r w:rsidR="00985AE0">
        <w:t xml:space="preserve">rmation on underlying elements that </w:t>
      </w:r>
      <w:r w:rsidR="00394FBB">
        <w:t>can be critical for bioeconomy</w:t>
      </w:r>
      <w:r w:rsidR="00E27464">
        <w:t xml:space="preserve"> especially </w:t>
      </w:r>
      <w:r w:rsidR="00FB3C54">
        <w:t>related with</w:t>
      </w:r>
      <w:r w:rsidR="00E27464">
        <w:t xml:space="preserve"> technology and technical change</w:t>
      </w:r>
      <w:r w:rsidR="00394FBB">
        <w:t xml:space="preserve"> </w:t>
      </w:r>
      <w:r w:rsidR="00394FBB">
        <w:fldChar w:fldCharType="begin" w:fldLock="1"/>
      </w:r>
      <w:r w:rsidR="00BE0C7C">
        <w:instrText>ADDIN CSL_CITATION { "citationItems" : [ { "id" : "ITEM-1", "itemData" : { "DOI" : "10.1111/gcbb.12176", "ISBN" : "17571693", "ISSN" : "17571707", "abstract" : "Existing assessments of biomass supply and demand and their impacts face various types of limitations and uncertainties, partly due to the type of tools and methods applied (e.g., partial representation of sectors, lack of geographical details, and aggregated representation of technologies involved). Improved collaboration between existing modeling approaches may provide new, more comprehensive insights, especially into issues that involve multiple economic sectors, different temporal and spatial scales, or various impact categories. Model collaboration consists of aligning and harmonizing input data and scenarios, model comparison and/or model linkage. Improved collaboration between existing modeling approaches can help assess (i) the causes of differences and similarities in model output, which is important for interpreting the results for policy-making and (ii) the linkages, feedbacks, and trade-offs between different systems and impacts (e.g., economic and natural), which is key to a more comprehensive understanding of the impacts of biomass supply and demand. But, full consistency or integration in assumptions, structure, solution algorithms, dynamics and feedbacks can be difficult to achieve. And, if it is done, it frequently implies a trade-off in terms of resolution (spatial, temporal, and structural) and/or computation. Three key research areas are selected to illustrate how model collaboration can provide additional ways for tackling some of the shortcomings and uncertainties in the assessment of biomass supply and demand and their impacts. These research areas are livestock production, agricultural residues, and greenhouse gas emissions from land-use change. Describing how model collaboration might look like in these examples, we show how improved model collaboration can strengthen our ability to project biomass supply, demand, and impacts. This in turn can aid in improving the information for policy-makers and in taking better-informed decisions.", "author" : [ { "dropping-particle" : "", "family" : "Wicke", "given" : "Birka", "non-dropping-particle" : "", "parse-names" : false, "suffix" : "" }, { "dropping-particle" : "", "family" : "Hilst", "given" : "Floor", "non-dropping-particle" : "van der", "parse-names" : false, "suffix" : "" }, { "dropping-particle" : "", "family" : "Daioglou", "given" : "Vassilis", "non-dropping-particle" : "", "parse-names" : false, "suffix" : "" }, { "dropping-particle" : "", "family" : "Banse", "given" : "Martin", "non-dropping-particle" : "", "parse-names" : false, "suffix" : "" }, { "dropping-particle" : "", "family" : "Beringer", "given" : "Tim", "non-dropping-particle" : "", "parse-names" : false, "suffix" : "" }, { "dropping-particle" : "", "family" : "Gerssen-Gondelach", "given" : "Sarah", "non-dropping-particle" : "", "parse-names" : false, "suffix" : "" }, { "dropping-particle" : "", "family" : "Heijnen", "given" : "Sanne", "non-dropping-particle" : "", "parse-names" : false, "suffix" : "" }, { "dropping-particle" : "", "family" : "Karssenberg", "given" : "Derek", "non-dropping-particle" : "", "parse-names" : false, "suffix" : "" }, { "dropping-particle" : "", "family" : "Laborde", "given" : "David", "non-dropping-particle" : "", "parse-names" : false, "suffix" : "" }, { "dropping-particle" : "", "family" : "Lippe", "given" : "Melvin", "non-dropping-particle" : "", "parse-names" : false, "suffix" : "" }, { "dropping-particle" : "", "family" : "Meijl", "given" : "Hans", "non-dropping-particle" : "van", "parse-names" : false, "suffix" : "" }, { "dropping-particle" : "", "family" : "Nassar", "given" : "Andr\u00e9", "non-dropping-particle" : "", "parse-names" : false, "suffix" : "" }, { "dropping-particle" : "", "family" : "Powell", "given" : "Jeff", "non-dropping-particle" : "", "parse-names" : false, "suffix" : "" }, { "dropping-particle" : "", "family" : "Prins", "given" : "Anne Gerdien", "non-dropping-particle" : "", "parse-names" : false, "suffix" : "" }, { "dropping-particle" : "", "family" : "Rose", "given" : "Steve N K", "non-dropping-particle" : "", "parse-names" : false, "suffix" : "" }, { "dropping-particle" : "", "family" : "Smeets", "given" : "Edward M W", "non-dropping-particle" : "", "parse-names" : false, "suffix" : "" }, { "dropping-particle" : "", "family" : "Stehfest", "given" : "Elke", "non-dropping-particle" : "", "parse-names" : false, "suffix" : "" }, { "dropping-particle" : "", "family" : "Tyner", "given" : "Wallace E.", "non-dropping-particle" : "", "parse-names" : false, "suffix" : "" }, { "dropping-particle" : "", "family" : "Verstegen", "given" : "Judith A.", "non-dropping-particle" : "", "parse-names" : false, "suffix" : "" }, { "dropping-particle" : "", "family" : "Valin", "given" : "Hugo", "non-dropping-particle" : "", "parse-names" : false, "suffix" : "" }, { "dropping-particle" : "", "family" : "Vuuren", "given" : "Detlef P.", "non-dropping-particle" : "van", "parse-names" : false, "suffix" : "" }, { "dropping-particle" : "", "family" : "Yeh", "given" : "Sonia", "non-dropping-particle" : "", "parse-names" : false, "suffix" : "" }, { "dropping-particle" : "", "family" : "Faaij", "given" : "Andr\u00e9 P C", "non-dropping-particle" : "", "parse-names" : false, "suffix" : "" } ], "container-title" : "GCB Bioenergy", "id" : "ITEM-1", "issue" : "3", "issued" : { "date-parts" : [ [ "2015" ] ] }, "page" : "422-437", "title" : "Model collaboration for the improved assessment of biomass supply, demand, and impacts", "type" : "article-journal", "volume" : "7" }, "uris" : [ "http://www.mendeley.com/documents/?uuid=c9f0ae61-eb82-4ea7-bddc-6200dec63638" ] } ], "mendeley" : { "formattedCitation" : "[14]", "plainTextFormattedCitation" : "[14]", "previouslyFormattedCitation" : "[14]" }, "properties" : { "noteIndex" : 0 }, "schema" : "https://github.com/citation-style-language/schema/raw/master/csl-citation.json" }</w:instrText>
      </w:r>
      <w:r w:rsidR="00394FBB">
        <w:fldChar w:fldCharType="separate"/>
      </w:r>
      <w:r w:rsidR="003F791C" w:rsidRPr="003F791C">
        <w:rPr>
          <w:noProof/>
        </w:rPr>
        <w:t>[14]</w:t>
      </w:r>
      <w:r w:rsidR="00394FBB">
        <w:fldChar w:fldCharType="end"/>
      </w:r>
      <w:r w:rsidR="00394FBB">
        <w:t xml:space="preserve">. </w:t>
      </w:r>
      <w:r w:rsidR="00E27464">
        <w:t xml:space="preserve">The complex characteristics of advanced biomass conversion technologies and emerging sectors </w:t>
      </w:r>
      <w:r w:rsidR="00794A2E">
        <w:t xml:space="preserve">that </w:t>
      </w:r>
      <w:r w:rsidR="009D4313">
        <w:t xml:space="preserve">would </w:t>
      </w:r>
      <w:r w:rsidR="00794A2E">
        <w:t xml:space="preserve">need to be taken into account </w:t>
      </w:r>
      <w:r w:rsidR="00E27464">
        <w:t xml:space="preserve">are many. Firstly, novel technologies may convert a variety of non-food biomass feedstocks such as agricultural residues and energy crops (short rotation forestry, perennial crops) to biofuels and fermentable sugars as feedstock for the chemical industry. While agricultural residues do not </w:t>
      </w:r>
      <w:r w:rsidR="00FD665E">
        <w:t xml:space="preserve">(directly) </w:t>
      </w:r>
      <w:r w:rsidR="00E27464">
        <w:t>compete for land with food crops, energy crops could require land currently used for food</w:t>
      </w:r>
      <w:r w:rsidR="00E27464">
        <w:fldChar w:fldCharType="begin" w:fldLock="1"/>
      </w:r>
      <w:r w:rsidR="00E27464">
        <w:instrText>ADDIN CSL_CITATION { "citationItems" : [ { "id" : "ITEM-1", "itemData" : { "ISBN" : "9781107607101", "author" : [ { "dropping-particle" : "", "family" : "Chum", "given" : "H", "non-dropping-particle" : "", "parse-names" : false, "suffix" : "" }, { "dropping-particle" : "", "family" : "Faaij", "given" : "A", "non-dropping-particle" : "", "parse-names" : false, "suffix" : "" }, { "dropping-particle" : "", "family" : "Moreira", "given" : "J", "non-dropping-particle" : "", "parse-names" : false, "suffix" : "" }, { "dropping-particle" : "", "family" : "Berndes", "given" : "G", "non-dropping-particle" : "", "parse-names" : false, "suffix" : "" }, { "dropping-particle" : "", "family" : "Dhamija", "given" : "P", "non-dropping-particle" : "", "parse-names" : false, "suffix" : "" }, { "dropping-particle" : "", "family" : "Dong", "given" : "H", "non-dropping-particle" : "", "parse-names" : false, "suffix" : "" }, { "dropping-particle" : "", "family" : "Gabrielle", "given" : "B", "non-dropping-particle" : "", "parse-names" : false, "suffix" : "" }, { "dropping-particle" : "", "family" : "Eng", "given" : "a Goss", "non-dropping-particle" : "", "parse-names" : false, "suffix" : "" }, { "dropping-particle" : "", "family" : "Cerutti", "given" : "O Masera", "non-dropping-particle" : "", "parse-names" : false, "suffix" : "" }, { "dropping-particle" : "", "family" : "Mcintyre", "given" : "T", "non-dropping-particle" : "", "parse-names" : false, "suffix" : "" }, { "dropping-particle" : "", "family" : "Minowa", "given" : "T", "non-dropping-particle" : "", "parse-names" : false, "suffix" : "" }, { "dropping-particle" : "", "family" : "Pingoud", "given" : "K", "non-dropping-particle" : "", "parse-names" : false, "suffix" : "" } ], "container-title" : "IPCC Special Report on Renewable Energy Sources and Climate Change Mitigation", "editor" : [ { "dropping-particle" : "", "family" : "Sokona", "given" : "Y.", "non-dropping-particle" : "", "parse-names" : false, "suffix" : "" }, { "dropping-particle" : "", "family" : "Seyboth", "given" : "K", "non-dropping-particle" : "", "parse-names" : false, "suffix" : "" }, { "dropping-particle" : "", "family" : "Matschoss", "given" : "P", "non-dropping-particle" : "", "parse-names" : false, "suffix" : "" }, { "dropping-particle" : "", "family" : "Kadner", "given" : "S", "non-dropping-particle" : "", "parse-names" : false, "suffix" : "" }, { "dropping-particle" : "", "family" : "Zwickel", "given" : "T", "non-dropping-particle" : "", "parse-names" : false, "suffix" : "" }, { "dropping-particle" : "", "family" : "Eickemeier", "given" : "P", "non-dropping-particle" : "", "parse-names" : false, "suffix" : "" }, { "dropping-particle" : "", "family" : "Hansen", "given" : "G", "non-dropping-particle" : "", "parse-names" : false, "suffix" : "" }, { "dropping-particle" : "", "family" : "Schlomer", "given" : "S", "non-dropping-particle" : "", "parse-names" : false, "suffix" : "" }, { "dropping-particle" : "", "family" : "Stechow", "given" : "C", "non-dropping-particle" : "von", "parse-names" : false, "suffix" : "" } ], "id" : "ITEM-1", "issued" : { "date-parts" : [ [ "2011" ] ] }, "page" : "209-332", "publisher" : "Cambridge University Press", "publisher-place" : "Cambridge, United Kingdom and New York, NY, USA", "title" : "Bioenergy", "type" : "chapter" }, "uris" : [ "http://www.mendeley.com/documents/?uuid=23af9c1f-3210-4487-b494-5ed866fe8aca" ] } ], "mendeley" : { "formattedCitation" : "[1]", "plainTextFormattedCitation" : "[1]", "previouslyFormattedCitation" : "[1]" }, "properties" : { "noteIndex" : 0 }, "schema" : "https://github.com/citation-style-language/schema/raw/master/csl-citation.json" }</w:instrText>
      </w:r>
      <w:r w:rsidR="00E27464">
        <w:fldChar w:fldCharType="separate"/>
      </w:r>
      <w:r w:rsidR="00E27464" w:rsidRPr="002833EA">
        <w:rPr>
          <w:noProof/>
        </w:rPr>
        <w:t>[1]</w:t>
      </w:r>
      <w:r w:rsidR="00E27464">
        <w:fldChar w:fldCharType="end"/>
      </w:r>
      <w:r w:rsidR="00E27464">
        <w:t xml:space="preserve">. Secondly, in view of emerging bioeconomy sectors, competition for the same biomass resources could intensify if demand for biochemicals and renewable jet fuels (RJF) increases. This could influence biomass cost-prices due to versatile supply and demand dynamics, it could </w:t>
      </w:r>
      <w:r w:rsidR="009418D8">
        <w:t>affect</w:t>
      </w:r>
      <w:r w:rsidR="00E27464">
        <w:t xml:space="preserve"> the role of biomass in climate change mitigation strategies and consequently </w:t>
      </w:r>
      <w:r w:rsidR="00CD7A42">
        <w:t>on policy design</w:t>
      </w:r>
      <w:r w:rsidR="00E27464">
        <w:t xml:space="preserve">. Thirdly, biorefinery technologies gradually become an integral part of bioeconomy strategies. Advanced biorefineries, break down different biomass constituents and supply multiple material and energy outputs, which can be used by different end-use sectors </w:t>
      </w:r>
      <w:r w:rsidR="00E27464">
        <w:fldChar w:fldCharType="begin" w:fldLock="1"/>
      </w:r>
      <w:r w:rsidR="00BE0C7C">
        <w:instrText>ADDIN CSL_CITATION { "citationItems" : [ { "id" : "ITEM-1", "itemData" : { "abstract" : "This report was prepared by Task 42: Biorefineries. It address the main bio-based chemicals that potentially could be co-produced with secondary energy carriers in integrated biorefinery facilities. The report deals with the current production of bio-based chemicals, chemicals that potentially could be produced from major biorefinery platforms, market growth predictions for the production of bio-based chemicals, and an overview of commercial and near market bio-based chemicals (C1-C6, Cn).", "author" : [ { "dropping-particle" : "De", "family" : "Jong", "given" : "E", "non-dropping-particle" : "", "parse-names" : false, "suffix" : "" } ], "container-title" : "A report prepared for IEA Bioenergy-Task", "id" : "ITEM-1", "issued" : { "date-parts" : [ [ "2011" ] ] }, "page" : "36", "title" : "Bio-based Chemicals Value Added Products from Biorefineries", "type" : "article-journal" }, "uris" : [ "http://www.mendeley.com/documents/?uuid=f329c742-fe39-4a4e-bbb6-7156eb404ef9" ] } ], "mendeley" : { "formattedCitation" : "[15]", "plainTextFormattedCitation" : "[15]", "previouslyFormattedCitation" : "[15]" }, "properties" : { "noteIndex" : 0 }, "schema" : "https://github.com/citation-style-language/schema/raw/master/csl-citation.json" }</w:instrText>
      </w:r>
      <w:r w:rsidR="00E27464">
        <w:fldChar w:fldCharType="separate"/>
      </w:r>
      <w:r w:rsidR="003F791C" w:rsidRPr="003F791C">
        <w:rPr>
          <w:noProof/>
        </w:rPr>
        <w:t>[15]</w:t>
      </w:r>
      <w:r w:rsidR="00E27464">
        <w:fldChar w:fldCharType="end"/>
      </w:r>
      <w:r w:rsidR="00E27464">
        <w:t xml:space="preserve">. At the same time, cascading </w:t>
      </w:r>
      <w:r w:rsidR="00037718">
        <w:t xml:space="preserve">biomass </w:t>
      </w:r>
      <w:r w:rsidR="00E27464">
        <w:t>use</w:t>
      </w:r>
      <w:r w:rsidR="00037718">
        <w:t>s</w:t>
      </w:r>
      <w:r w:rsidR="00E27464">
        <w:t xml:space="preserve"> from higher value applications at the beginning of their life (e.g., bioplastics) towards lower value applications by the</w:t>
      </w:r>
      <w:r w:rsidR="00037718">
        <w:t>ir</w:t>
      </w:r>
      <w:r w:rsidR="00E27464">
        <w:t xml:space="preserve"> </w:t>
      </w:r>
      <w:r w:rsidR="00037718">
        <w:t>end-of-</w:t>
      </w:r>
      <w:r w:rsidR="00E27464">
        <w:t xml:space="preserve">life (e.g., bioplastics incineration and energy recovery) increase the overall efficiency of biomass use but also the complexity on how these dynamics can be captured by models </w:t>
      </w:r>
      <w:r w:rsidR="00E27464">
        <w:fldChar w:fldCharType="begin" w:fldLock="1"/>
      </w:r>
      <w:r w:rsidR="00BE0C7C">
        <w:instrText>ADDIN CSL_CITATION { "citationItems" : [ { "id" : "ITEM-1", "itemData" : { "DOI" : "10.1002/bbb.1351", "ISSN" : "1932104X", "author" : [ { "dropping-particle" : "", "family" : "Keegan", "given" : "Dearbhla", "non-dropping-particle" : "", "parse-names" : false, "suffix" : "" }, { "dropping-particle" : "", "family" : "Kretschmer", "given" : "Bettina", "non-dropping-particle" : "", "parse-names" : false, "suffix" : "" }, { "dropping-particle" : "", "family" : "Elbersen", "given" : "Berien", "non-dropping-particle" : "", "parse-names" : false, "suffix" : "" }, { "dropping-particle" : "", "family" : "Panoutsou", "given" : "Calliope", "non-dropping-particle" : "", "parse-names" : false, "suffix" : "" } ], "container-title" : "Biofuels, Bioproducts and Biorefining", "id" : "ITEM-1", "issue" : "2", "issued" : { "date-parts" : [ [ "2013", "3", "7" ] ] }, "page" : "193-206", "title" : "Cascading use: a systematic approach to biomass beyond the energy sector", "type" : "article-journal", "volume" : "7" }, "uris" : [ "http://www.mendeley.com/documents/?uuid=e2298ea7-522e-4eb1-8df8-7dcb956d2c1a" ] } ], "mendeley" : { "formattedCitation" : "[16]", "plainTextFormattedCitation" : "[16]", "previouslyFormattedCitation" : "[16]" }, "properties" : { "noteIndex" : 0 }, "schema" : "https://github.com/citation-style-language/schema/raw/master/csl-citation.json" }</w:instrText>
      </w:r>
      <w:r w:rsidR="00E27464">
        <w:fldChar w:fldCharType="separate"/>
      </w:r>
      <w:r w:rsidR="003F791C" w:rsidRPr="003F791C">
        <w:rPr>
          <w:noProof/>
        </w:rPr>
        <w:t>[16]</w:t>
      </w:r>
      <w:r w:rsidR="00E27464">
        <w:fldChar w:fldCharType="end"/>
      </w:r>
      <w:r w:rsidR="00E27464">
        <w:t xml:space="preserve">. </w:t>
      </w:r>
    </w:p>
    <w:p w14:paraId="55D3E886" w14:textId="77777777" w:rsidR="00037718" w:rsidRDefault="00037718" w:rsidP="009418D8"/>
    <w:p w14:paraId="19E10675" w14:textId="2260E75F" w:rsidR="009418D8" w:rsidRDefault="006A3C8C" w:rsidP="009418D8">
      <w:r>
        <w:lastRenderedPageBreak/>
        <w:t xml:space="preserve">With regards to </w:t>
      </w:r>
      <w:r w:rsidR="008F7CF0">
        <w:t>addressing biomass uses in CGE models that go beyond energy applications and in particular for biochemicals with a focus on macro-economic effects</w:t>
      </w:r>
      <w:r w:rsidR="00037718">
        <w:t>,</w:t>
      </w:r>
      <w:r>
        <w:t xml:space="preserve"> there are additional challenges</w:t>
      </w:r>
      <w:r w:rsidR="008F7CF0">
        <w:t>.</w:t>
      </w:r>
      <w:r w:rsidR="001965F1">
        <w:t xml:space="preserve"> </w:t>
      </w:r>
      <w:r w:rsidR="00C93266">
        <w:t xml:space="preserve">To date, the biochemical sector is too small and there is no clear distinction in statistics and databases (e.g., </w:t>
      </w:r>
      <w:r w:rsidR="00957465">
        <w:t>Global Trade Analysis Project (</w:t>
      </w:r>
      <w:r w:rsidR="00C93266">
        <w:t>GTAP</w:t>
      </w:r>
      <w:r w:rsidR="00957465">
        <w:t>)</w:t>
      </w:r>
      <w:r w:rsidR="00C93266">
        <w:t xml:space="preserve">), which are used by CGE models. Furthermore, the chemical industry sector is aggregated at a high level, while in reality the sectoral flows of the industry are </w:t>
      </w:r>
      <w:r w:rsidR="00037718">
        <w:t xml:space="preserve">much more </w:t>
      </w:r>
      <w:r w:rsidR="00C93266">
        <w:t xml:space="preserve">complex. As </w:t>
      </w:r>
      <w:r w:rsidR="000C63AF">
        <w:t>biomass conversion</w:t>
      </w:r>
      <w:r w:rsidR="00C93266">
        <w:t xml:space="preserve"> technologies </w:t>
      </w:r>
      <w:r w:rsidR="000C63AF">
        <w:t xml:space="preserve">to biochemicals </w:t>
      </w:r>
      <w:r w:rsidR="00C93266">
        <w:t>may offer</w:t>
      </w:r>
      <w:r w:rsidR="000C63AF">
        <w:t xml:space="preserve"> renewable </w:t>
      </w:r>
      <w:r w:rsidR="00C93266">
        <w:t>alternatives at different levels</w:t>
      </w:r>
      <w:r w:rsidR="000C63AF">
        <w:t xml:space="preserve"> </w:t>
      </w:r>
      <w:r w:rsidR="000C63AF">
        <w:fldChar w:fldCharType="begin" w:fldLock="1"/>
      </w:r>
      <w:r w:rsidR="00BE0C7C">
        <w:instrText>ADDIN CSL_CITATION { "citationItems" : [ { "id" : "ITEM-1", "itemData" : { "author" : [ { "dropping-particle" : "", "family" : "Tsiropoulos", "given" : "I", "non-dropping-particle" : "", "parse-names" : false, "suffix" : "" }, { "dropping-particle" : "", "family" : "Hoefnagels", "given" : "R", "non-dropping-particle" : "", "parse-names" : false, "suffix" : "" }, { "dropping-particle" : "", "family" : "Jong", "given" : "S", "non-dropping-particle" : "de", "parse-names" : false, "suffix" : "" }, { "dropping-particle" : "", "family" : "Broek", "given" : "M", "non-dropping-particle" : "van den", "parse-names" : false, "suffix" : "" }, { "dropping-particle" : "", "family" : "Patel", "given" : "M.K.", "non-dropping-particle" : "", "parse-names" : false, "suffix" : "" }, { "dropping-particle" : "", "family" : "Faaij", "given" : "A.P.C.", "non-dropping-particle" : "", "parse-names" : false, "suffix" : "" } ], "container-title" : "Submitted", "id" : "ITEM-1", "issued" : { "date-parts" : [ [ "2016" ] ] }, "title" : "Emerging bioeconomy sectors in energy systems modelling \u2013 integrated systems analysis of electricity, heat, road, aviation fuels and chemicals: a case study for the Netherlands", "type" : "article-journal" }, "uris" : [ "http://www.mendeley.com/documents/?uuid=12803dca-5789-43dd-a658-43676406ca1f" ] } ], "mendeley" : { "formattedCitation" : "[17]", "plainTextFormattedCitation" : "[17]", "previouslyFormattedCitation" : "[17]" }, "properties" : { "noteIndex" : 0 }, "schema" : "https://github.com/citation-style-language/schema/raw/master/csl-citation.json" }</w:instrText>
      </w:r>
      <w:r w:rsidR="000C63AF">
        <w:fldChar w:fldCharType="separate"/>
      </w:r>
      <w:r w:rsidR="003F791C" w:rsidRPr="003F791C">
        <w:rPr>
          <w:noProof/>
        </w:rPr>
        <w:t>[17]</w:t>
      </w:r>
      <w:r w:rsidR="000C63AF">
        <w:fldChar w:fldCharType="end"/>
      </w:r>
      <w:r w:rsidR="00C93266">
        <w:t>, disaggregation of the chemical industry sector in CGE models is required.</w:t>
      </w:r>
      <w:r w:rsidR="00E27464">
        <w:t xml:space="preserve"> </w:t>
      </w:r>
      <w:r w:rsidR="00621A15">
        <w:fldChar w:fldCharType="begin" w:fldLock="1"/>
      </w:r>
      <w:r w:rsidR="00BE0C7C">
        <w:instrText>ADDIN CSL_CITATION { "citationItems" : [ { "id" : "ITEM-1", "itemData" : { "author" : [ { "dropping-particle" : "", "family" : "Choumert", "given" : "Frederic", "non-dropping-particle" : "", "parse-names" : false, "suffix" : "" }, { "dropping-particle" : "", "family" : "Paltsev", "given" : "Sergey", "non-dropping-particle" : "", "parse-names" : false, "suffix" : "" }, { "dropping-particle" : "", "family" : "Reilly", "given" : "John", "non-dropping-particle" : "", "parse-names" : false, "suffix" : "" } ], "id" : "ITEM-1", "issue" : "9", "issued" : { "date-parts" : [ [ "2006" ] ] }, "number-of-pages" : "1-56", "publisher-place" : "Massachusetts", "title" : "Improving the Refining Sector in EPPA", "type" : "report" }, "uris" : [ "http://www.mendeley.com/documents/?uuid=65fcdead-0a19-4ab4-aba8-b4b2146be77d" ] } ], "mendeley" : { "formattedCitation" : "[18]", "plainTextFormattedCitation" : "[18]", "previouslyFormattedCitation" : "[18]" }, "properties" : { "noteIndex" : 0 }, "schema" : "https://github.com/citation-style-language/schema/raw/master/csl-citation.json" }</w:instrText>
      </w:r>
      <w:r w:rsidR="00621A15">
        <w:fldChar w:fldCharType="separate"/>
      </w:r>
      <w:r w:rsidR="003F791C" w:rsidRPr="003F791C">
        <w:rPr>
          <w:noProof/>
        </w:rPr>
        <w:t>[18]</w:t>
      </w:r>
      <w:r w:rsidR="00621A15">
        <w:fldChar w:fldCharType="end"/>
      </w:r>
      <w:r w:rsidR="00621A15">
        <w:t xml:space="preserve"> </w:t>
      </w:r>
      <w:r w:rsidR="00C93266">
        <w:t xml:space="preserve">have presented a method on how to improve the oil-refining sector in the CGE model </w:t>
      </w:r>
      <w:r w:rsidR="00DD6087">
        <w:t>Emissions Prediction and Policy Analysis (</w:t>
      </w:r>
      <w:r w:rsidR="00C93266">
        <w:t>EPPA</w:t>
      </w:r>
      <w:r w:rsidR="00DD6087">
        <w:t>)</w:t>
      </w:r>
      <w:r w:rsidR="00C93266">
        <w:t xml:space="preserve">, however, chemical products still remain at an aggregate level. </w:t>
      </w:r>
      <w:r w:rsidR="004B46FD">
        <w:t>Also</w:t>
      </w:r>
      <w:r w:rsidR="00C93266">
        <w:t xml:space="preserve">, there is limited information on biochemical technology cost-structures and their technological progress. </w:t>
      </w:r>
      <w:r w:rsidR="00B0329D">
        <w:fldChar w:fldCharType="begin" w:fldLock="1"/>
      </w:r>
      <w:r w:rsidR="00BE0C7C">
        <w:instrText>ADDIN CSL_CITATION { "citationItems" : [ { "id" : "ITEM-1", "itemData" : { "DOI" : "10.1016/j.enpol.2013.04.026", "ISSN" : "03014215", "abstract" : "Biomass is considered one of the most important options in the transition to a sustainable energy system with reduced greenhouse gas (GHG) emissions and increased security of enegry supply. In order to facilitate this transition with targeted policies and implementation strategies, it is of vital importance to understand the economic benefits, uncertainties and risks of this transition. This article presents a quantification of the economic impacts on value added, employment shares and the trade balance as well as required biomass and avoided primary energy and greenhouse gases related to large scale biomass deployment on a country level (the Netherlands) for different future scenarios to 2030. This is done by using the macro-economic computable general equilibrium (CGE) model LEITAP, capable of quantifying direct and indirect effects of a bio-based economy combined with a spread sheet tool to address underlying technological details. Although the combined approach has limitations, the results of the projections show that substitution of fossil energy carriers by biomass, could have positive economic effects, as well as reducing GHG emissions and fossil energy requirement. Key factors to achieve these targets are enhanced technological development and the import of sustainable biomass resources to the Netherlands.", "author" : [ { "dropping-particle" : "", "family" : "Hoefnagels", "given" : "Ric", "non-dropping-particle" : "", "parse-names" : false, "suffix" : "" }, { "dropping-particle" : "", "family" : "Banse", "given" : "Martin", "non-dropping-particle" : "", "parse-names" : false, "suffix" : "" }, { "dropping-particle" : "", "family" : "Dornburg", "given" : "Veronika", "non-dropping-particle" : "", "parse-names" : false, "suffix" : "" }, { "dropping-particle" : "", "family" : "Faaij", "given" : "Andr\u00e9", "non-dropping-particle" : "", "parse-names" : false, "suffix" : "" } ], "container-title" : "Energy Policy", "id" : "ITEM-1", "issued" : { "date-parts" : [ [ "2013", "8" ] ] }, "page" : "1-18", "publisher" : "Elsevier", "title" : "Macro-economic impact of large-scale deployment of biomass resources for energy and materials on a national level\u2014A combined approach for the Netherlands", "type" : "article-journal", "volume" : "59" }, "uris" : [ "http://www.mendeley.com/documents/?uuid=3d7c3bbb-3360-4d54-9469-da8f6f488b68" ] } ], "mendeley" : { "formattedCitation" : "[19]", "plainTextFormattedCitation" : "[19]", "previouslyFormattedCitation" : "[19]" }, "properties" : { "noteIndex" : 0 }, "schema" : "https://github.com/citation-style-language/schema/raw/master/csl-citation.json" }</w:instrText>
      </w:r>
      <w:r w:rsidR="00B0329D">
        <w:fldChar w:fldCharType="separate"/>
      </w:r>
      <w:r w:rsidR="003F791C" w:rsidRPr="003F791C">
        <w:rPr>
          <w:noProof/>
        </w:rPr>
        <w:t>[19]</w:t>
      </w:r>
      <w:r w:rsidR="00B0329D">
        <w:fldChar w:fldCharType="end"/>
      </w:r>
      <w:r w:rsidR="00B0329D">
        <w:t xml:space="preserve"> assessed macro-economic impacts of bioeconomy </w:t>
      </w:r>
      <w:r w:rsidR="00C93266">
        <w:t>by combining the macro</w:t>
      </w:r>
      <w:r w:rsidR="002869BF">
        <w:t>-</w:t>
      </w:r>
      <w:r w:rsidR="00C93266">
        <w:t xml:space="preserve">economic model LEITAP with a bottom-up excel tool. However, as the authors indicate, </w:t>
      </w:r>
      <w:r w:rsidR="00A903CD">
        <w:t>the macro-economic model</w:t>
      </w:r>
      <w:r w:rsidR="00C93266">
        <w:t xml:space="preserve"> could benefit by improved cost-structures, especially on capital-intensive </w:t>
      </w:r>
      <w:r w:rsidR="00CB10F9">
        <w:t>2</w:t>
      </w:r>
      <w:r w:rsidR="00CB10F9" w:rsidRPr="00CB10F9">
        <w:rPr>
          <w:vertAlign w:val="superscript"/>
        </w:rPr>
        <w:t>nd</w:t>
      </w:r>
      <w:r w:rsidR="00CB10F9">
        <w:t xml:space="preserve"> </w:t>
      </w:r>
      <w:r w:rsidR="00C93266">
        <w:t xml:space="preserve">generation </w:t>
      </w:r>
      <w:r w:rsidR="00244BEF">
        <w:t xml:space="preserve">technologies </w:t>
      </w:r>
      <w:r w:rsidR="00CD273C">
        <w:t xml:space="preserve">that </w:t>
      </w:r>
      <w:r w:rsidR="006C5050">
        <w:t>utilize</w:t>
      </w:r>
      <w:r w:rsidR="00CD273C">
        <w:t xml:space="preserve"> low-</w:t>
      </w:r>
      <w:r w:rsidR="00C93266">
        <w:t>cost biomass feedstocks. Furthermore, the biochemical sector in LEITAP has been modeled implicitly and the biochemical product portfolio is limited</w:t>
      </w:r>
      <w:r w:rsidR="00C93266" w:rsidRPr="003B473C">
        <w:t xml:space="preserve">. </w:t>
      </w:r>
      <w:r w:rsidR="006C5050" w:rsidRPr="003B473C">
        <w:fldChar w:fldCharType="begin" w:fldLock="1"/>
      </w:r>
      <w:r w:rsidR="00BE0C7C">
        <w:instrText>ADDIN CSL_CITATION { "citationItems" : [ { "id" : "ITEM-1", "itemData" : { "ISBN" : "9789086155835", "abstract" : "The report gives a brief overview of availability of biomass in Malaysia and the assumptions underlying the National Biomass Strategy (2011) in Section 2. Section 3 provides information on the methodology used, i.e. the structure and assumptions of the CGE model called MAGNET. Section 4 presents a detailed description of the cost structures of four key biomass-based products that are analysed. Section 5 presents the main results. Three tables illustrate the impact on GDP for each product under different assumptions about the efficiency of the biobased technology and the level of fossil resources prices. The report ends with brief conclusions.", "author" : [ { "dropping-particle" : "", "family" : "Meijl", "given" : "H", "non-dropping-particle" : "van", "parse-names" : false, "suffix" : "" }, { "dropping-particle" : "", "family" : "Smeets", "given" : "E", "non-dropping-particle" : "", "parse-names" : false, "suffix" : "" }, { "dropping-particle" : "", "family" : "Dijk", "given" : "M", "non-dropping-particle" : "van", "parse-names" : false, "suffix" : "" }, { "dropping-particle" : "", "family" : "Powell", "given" : "J", "non-dropping-particle" : "", "parse-names" : false, "suffix" : "" } ], "container-title" : "LEI report 2012-042", "id" : "ITEM-1", "issued" : { "date-parts" : [ [ "2012" ] ] }, "title" : "Macro-economic impact study for Bio-based Malaysia", "type" : "book" }, "uris" : [ "http://www.mendeley.com/documents/?uuid=7a686290-5bbb-41de-84f8-ca0fa7428053" ] } ], "mendeley" : { "formattedCitation" : "[13]", "plainTextFormattedCitation" : "[13]", "previouslyFormattedCitation" : "[13]" }, "properties" : { "noteIndex" : 0 }, "schema" : "https://github.com/citation-style-language/schema/raw/master/csl-citation.json" }</w:instrText>
      </w:r>
      <w:r w:rsidR="006C5050" w:rsidRPr="003B473C">
        <w:fldChar w:fldCharType="separate"/>
      </w:r>
      <w:r w:rsidR="003F791C" w:rsidRPr="003F791C">
        <w:rPr>
          <w:noProof/>
        </w:rPr>
        <w:t>[13]</w:t>
      </w:r>
      <w:r w:rsidR="006C5050" w:rsidRPr="003B473C">
        <w:fldChar w:fldCharType="end"/>
      </w:r>
      <w:r w:rsidR="00C93266" w:rsidRPr="003B473C">
        <w:t xml:space="preserve"> and</w:t>
      </w:r>
      <w:r w:rsidR="00C93266">
        <w:t xml:space="preserve"> </w:t>
      </w:r>
      <w:r w:rsidR="003B473C">
        <w:fldChar w:fldCharType="begin" w:fldLock="1"/>
      </w:r>
      <w:r w:rsidR="00BE0C7C">
        <w:instrText>ADDIN CSL_CITATION { "citationItems" : [ { "id" : "ITEM-1", "itemData" : { "ISBN" : "9789086154319", "author" : [ { "dropping-particle" : "", "family" : "Nowicky", "given" : "P", "non-dropping-particle" : "", "parse-names" : false, "suffix" : "" }, { "dropping-particle" : "", "family" : "Leeuwen", "given" : "M", "non-dropping-particle" : "van", "parse-names" : false, "suffix" : "" }, { "dropping-particle" : "", "family" : "Bos", "given" : "H", "non-dropping-particle" : "", "parse-names" : false, "suffix" : "" }, { "dropping-particle" : "", "family" : "Chant", "given" : "L", "non-dropping-particle" : "", "parse-names" : false, "suffix" : "" }, { "dropping-particle" : "", "family" : "Molenveld", "given" : "K", "non-dropping-particle" : "", "parse-names" : false, "suffix" : "" }, { "dropping-particle" : "", "family" : "Tabeau", "given" : "A", "non-dropping-particle" : "", "parse-names" : false, "suffix" : "" } ], "id" : "ITEM-1", "issued" : { "date-parts" : [ [ "2010" ] ] }, "number-of-pages" : "1-59", "publisher-place" : "The Hague", "title" : "Influence of the biobased economy on agricultural markets - Preparation of a modelling approach", "type" : "report" }, "uris" : [ "http://www.mendeley.com/documents/?uuid=d5e90c1b-0598-449e-a619-01d2d924f544" ] } ], "mendeley" : { "formattedCitation" : "[20]", "plainTextFormattedCitation" : "[20]", "previouslyFormattedCitation" : "[20]" }, "properties" : { "noteIndex" : 0 }, "schema" : "https://github.com/citation-style-language/schema/raw/master/csl-citation.json" }</w:instrText>
      </w:r>
      <w:r w:rsidR="003B473C">
        <w:fldChar w:fldCharType="separate"/>
      </w:r>
      <w:r w:rsidR="003F791C" w:rsidRPr="003F791C">
        <w:rPr>
          <w:noProof/>
        </w:rPr>
        <w:t>[20]</w:t>
      </w:r>
      <w:r w:rsidR="003B473C">
        <w:fldChar w:fldCharType="end"/>
      </w:r>
      <w:r w:rsidR="003B473C">
        <w:t xml:space="preserve"> </w:t>
      </w:r>
      <w:r w:rsidR="00C93266">
        <w:t>prepared two studies that assessed biochemicals in CGE modeling frameworks.</w:t>
      </w:r>
      <w:r w:rsidR="003B473C">
        <w:t xml:space="preserve"> </w:t>
      </w:r>
      <w:r w:rsidR="009418D8">
        <w:t>To our knowledge none of the studies provid</w:t>
      </w:r>
      <w:r w:rsidR="00223331">
        <w:t>e</w:t>
      </w:r>
      <w:r w:rsidR="009273F6">
        <w:t>s</w:t>
      </w:r>
      <w:r w:rsidR="009418D8">
        <w:t xml:space="preserve"> a comprehensive analysis of the bioeconomy that takes recent developments across the value chain into account.</w:t>
      </w:r>
    </w:p>
    <w:p w14:paraId="68C16DE0" w14:textId="77777777" w:rsidR="009418D8" w:rsidRDefault="009418D8" w:rsidP="009418D8"/>
    <w:p w14:paraId="7C875111" w14:textId="013125F2" w:rsidR="005F157D" w:rsidRDefault="005D3A83" w:rsidP="001C1572">
      <w:r>
        <w:t xml:space="preserve">On the other hand, energy system models, such as the </w:t>
      </w:r>
      <w:proofErr w:type="spellStart"/>
      <w:r>
        <w:t>MARKet</w:t>
      </w:r>
      <w:proofErr w:type="spellEnd"/>
      <w:r>
        <w:t xml:space="preserve"> </w:t>
      </w:r>
      <w:proofErr w:type="spellStart"/>
      <w:r>
        <w:t>ALlocation</w:t>
      </w:r>
      <w:proofErr w:type="spellEnd"/>
      <w:r>
        <w:t xml:space="preserve"> (MARKAL)</w:t>
      </w:r>
      <w:r w:rsidR="00862083">
        <w:t xml:space="preserve"> model, are a</w:t>
      </w:r>
      <w:r w:rsidR="005F157D">
        <w:t xml:space="preserve">ble to address </w:t>
      </w:r>
      <w:r w:rsidR="00F60035">
        <w:t>more</w:t>
      </w:r>
      <w:r w:rsidR="00862083">
        <w:t xml:space="preserve"> complexit</w:t>
      </w:r>
      <w:r w:rsidR="007E108E">
        <w:t>ies</w:t>
      </w:r>
      <w:r w:rsidR="00862083">
        <w:t xml:space="preserve">, as they are technology-rich and explicit. </w:t>
      </w:r>
      <w:r w:rsidR="00F60035">
        <w:t>For example, t</w:t>
      </w:r>
      <w:r w:rsidR="009418D8">
        <w:t xml:space="preserve">he Dutch energy system model MARKAL-NL-UU has been extended to include different biomass feedstocks linked to a large portfolio of biomass conversion technologies, including those that may deliver to emerging bioeconomy sectors (biochemicals, RJF) </w:t>
      </w:r>
      <w:r w:rsidR="009418D8">
        <w:fldChar w:fldCharType="begin" w:fldLock="1"/>
      </w:r>
      <w:r w:rsidR="00BE0C7C">
        <w:instrText>ADDIN CSL_CITATION { "citationItems" : [ { "id" : "ITEM-1", "itemData" : { "author" : [ { "dropping-particle" : "", "family" : "Tsiropoulos", "given" : "I", "non-dropping-particle" : "", "parse-names" : false, "suffix" : "" }, { "dropping-particle" : "", "family" : "Hoefnagels", "given" : "R", "non-dropping-particle" : "", "parse-names" : false, "suffix" : "" }, { "dropping-particle" : "", "family" : "Jong", "given" : "S", "non-dropping-particle" : "de", "parse-names" : false, "suffix" : "" }, { "dropping-particle" : "", "family" : "Broek", "given" : "M", "non-dropping-particle" : "van den", "parse-names" : false, "suffix" : "" }, { "dropping-particle" : "", "family" : "Patel", "given" : "M.K.", "non-dropping-particle" : "", "parse-names" : false, "suffix" : "" }, { "dropping-particle" : "", "family" : "Faaij", "given" : "A.P.C.", "non-dropping-particle" : "", "parse-names" : false, "suffix" : "" } ], "container-title" : "Submitted", "id" : "ITEM-1", "issued" : { "date-parts" : [ [ "2016" ] ] }, "title" : "Emerging bioeconomy sectors in energy systems modelling \u2013 integrated systems analysis of electricity, heat, road, aviation fuels and chemicals: a case study for the Netherlands", "type" : "article-journal" }, "uris" : [ "http://www.mendeley.com/documents/?uuid=12803dca-5789-43dd-a658-43676406ca1f" ] } ], "mendeley" : { "formattedCitation" : "[17]", "plainTextFormattedCitation" : "[17]", "previouslyFormattedCitation" : "[17]" }, "properties" : { "noteIndex" : 0 }, "schema" : "https://github.com/citation-style-language/schema/raw/master/csl-citation.json" }</w:instrText>
      </w:r>
      <w:r w:rsidR="009418D8">
        <w:fldChar w:fldCharType="separate"/>
      </w:r>
      <w:r w:rsidR="003F791C" w:rsidRPr="003F791C">
        <w:rPr>
          <w:noProof/>
        </w:rPr>
        <w:t>[17]</w:t>
      </w:r>
      <w:r w:rsidR="009418D8">
        <w:fldChar w:fldCharType="end"/>
      </w:r>
      <w:r w:rsidR="009418D8">
        <w:t xml:space="preserve">. To date, this model is one of the few that can </w:t>
      </w:r>
      <w:r w:rsidR="00F75B6E">
        <w:t xml:space="preserve">assess </w:t>
      </w:r>
      <w:r w:rsidR="009418D8">
        <w:t>with sufficient details technology and technology progress for mid-term bioeconomy developments.</w:t>
      </w:r>
      <w:r w:rsidR="0047546D">
        <w:t xml:space="preserve"> While such models are not capable to assess macro-economic indicators</w:t>
      </w:r>
      <w:r w:rsidR="00DE46DA">
        <w:t xml:space="preserve"> and ignore interactions with the rest of the economy, they can be useful to  improve technology details in macro-economic models. </w:t>
      </w:r>
    </w:p>
    <w:p w14:paraId="6E3DF94D" w14:textId="77777777" w:rsidR="005F157D" w:rsidRDefault="005F157D" w:rsidP="001C1572"/>
    <w:p w14:paraId="37338314" w14:textId="273C4EEA" w:rsidR="006278DD" w:rsidRDefault="001617C5" w:rsidP="001C1572">
      <w:r w:rsidRPr="001617C5">
        <w:rPr>
          <w:rFonts w:eastAsiaTheme="minorEastAsia" w:cs="Times"/>
          <w:szCs w:val="20"/>
          <w:lang w:eastAsia="ja-JP"/>
        </w:rPr>
        <w:t>In th</w:t>
      </w:r>
      <w:r>
        <w:rPr>
          <w:rFonts w:eastAsiaTheme="minorEastAsia" w:cs="Times"/>
          <w:szCs w:val="20"/>
          <w:lang w:eastAsia="ja-JP"/>
        </w:rPr>
        <w:t xml:space="preserve">e present study, </w:t>
      </w:r>
      <w:r w:rsidR="00D07606">
        <w:rPr>
          <w:rFonts w:eastAsiaTheme="minorEastAsia" w:cs="Times"/>
          <w:szCs w:val="20"/>
          <w:lang w:eastAsia="ja-JP"/>
        </w:rPr>
        <w:t>we</w:t>
      </w:r>
      <w:r w:rsidR="00D962F2">
        <w:rPr>
          <w:rFonts w:eastAsiaTheme="minorEastAsia" w:cs="Times"/>
          <w:szCs w:val="20"/>
          <w:lang w:eastAsia="ja-JP"/>
        </w:rPr>
        <w:t xml:space="preserve"> expand the </w:t>
      </w:r>
      <w:r w:rsidR="009B7909">
        <w:rPr>
          <w:rFonts w:eastAsiaTheme="minorEastAsia" w:cs="Times"/>
          <w:szCs w:val="20"/>
          <w:lang w:eastAsia="ja-JP"/>
        </w:rPr>
        <w:t xml:space="preserve">Modular Applied </w:t>
      </w:r>
      <w:proofErr w:type="spellStart"/>
      <w:r w:rsidR="009B7909">
        <w:rPr>
          <w:rFonts w:eastAsiaTheme="minorEastAsia" w:cs="Times"/>
          <w:szCs w:val="20"/>
          <w:lang w:eastAsia="ja-JP"/>
        </w:rPr>
        <w:t>GeNeral</w:t>
      </w:r>
      <w:proofErr w:type="spellEnd"/>
      <w:r w:rsidR="009B7909">
        <w:rPr>
          <w:rFonts w:eastAsiaTheme="minorEastAsia" w:cs="Times"/>
          <w:szCs w:val="20"/>
          <w:lang w:eastAsia="ja-JP"/>
        </w:rPr>
        <w:t xml:space="preserve"> Equilibrium Tool (</w:t>
      </w:r>
      <w:r w:rsidR="00D962F2">
        <w:rPr>
          <w:rFonts w:eastAsiaTheme="minorEastAsia" w:cs="Times"/>
          <w:szCs w:val="20"/>
          <w:lang w:eastAsia="ja-JP"/>
        </w:rPr>
        <w:t>MAGNET</w:t>
      </w:r>
      <w:r w:rsidR="009B7909">
        <w:rPr>
          <w:rFonts w:eastAsiaTheme="minorEastAsia" w:cs="Times"/>
          <w:szCs w:val="20"/>
          <w:lang w:eastAsia="ja-JP"/>
        </w:rPr>
        <w:t>)</w:t>
      </w:r>
      <w:r w:rsidR="00D962F2">
        <w:rPr>
          <w:rFonts w:eastAsiaTheme="minorEastAsia" w:cs="Times"/>
          <w:szCs w:val="20"/>
          <w:lang w:eastAsia="ja-JP"/>
        </w:rPr>
        <w:t xml:space="preserve"> CGE model with bioeconomy sector</w:t>
      </w:r>
      <w:r w:rsidR="003B68AB">
        <w:rPr>
          <w:rFonts w:eastAsiaTheme="minorEastAsia" w:cs="Times"/>
          <w:szCs w:val="20"/>
          <w:lang w:eastAsia="ja-JP"/>
        </w:rPr>
        <w:t>s and</w:t>
      </w:r>
      <w:r w:rsidR="00D962F2">
        <w:rPr>
          <w:rFonts w:eastAsiaTheme="minorEastAsia" w:cs="Times"/>
          <w:szCs w:val="20"/>
          <w:lang w:eastAsia="ja-JP"/>
        </w:rPr>
        <w:t xml:space="preserve"> </w:t>
      </w:r>
      <w:r w:rsidR="003B68AB">
        <w:rPr>
          <w:rFonts w:eastAsiaTheme="minorEastAsia" w:cs="Times"/>
          <w:szCs w:val="20"/>
          <w:lang w:eastAsia="ja-JP"/>
        </w:rPr>
        <w:t>i</w:t>
      </w:r>
      <w:r w:rsidR="00D962F2">
        <w:rPr>
          <w:rFonts w:eastAsiaTheme="minorEastAsia" w:cs="Times"/>
          <w:szCs w:val="20"/>
          <w:lang w:eastAsia="ja-JP"/>
        </w:rPr>
        <w:t xml:space="preserve">n particular </w:t>
      </w:r>
      <w:r w:rsidR="00F50242">
        <w:rPr>
          <w:rFonts w:eastAsiaTheme="minorEastAsia" w:cs="Times"/>
          <w:szCs w:val="20"/>
          <w:lang w:eastAsia="ja-JP"/>
        </w:rPr>
        <w:t>2</w:t>
      </w:r>
      <w:r w:rsidR="00F50242" w:rsidRPr="00F50242">
        <w:rPr>
          <w:rFonts w:eastAsiaTheme="minorEastAsia" w:cs="Times"/>
          <w:szCs w:val="20"/>
          <w:vertAlign w:val="superscript"/>
          <w:lang w:eastAsia="ja-JP"/>
        </w:rPr>
        <w:t>nd</w:t>
      </w:r>
      <w:r w:rsidR="00F50242">
        <w:rPr>
          <w:rFonts w:eastAsiaTheme="minorEastAsia" w:cs="Times"/>
          <w:szCs w:val="20"/>
          <w:lang w:eastAsia="ja-JP"/>
        </w:rPr>
        <w:t xml:space="preserve"> </w:t>
      </w:r>
      <w:r w:rsidR="00D962F2">
        <w:rPr>
          <w:rFonts w:eastAsiaTheme="minorEastAsia" w:cs="Times"/>
          <w:szCs w:val="20"/>
          <w:lang w:eastAsia="ja-JP"/>
        </w:rPr>
        <w:t xml:space="preserve">generation </w:t>
      </w:r>
      <w:r w:rsidR="0034107F">
        <w:rPr>
          <w:rFonts w:eastAsiaTheme="minorEastAsia" w:cs="Times"/>
          <w:szCs w:val="20"/>
          <w:lang w:eastAsia="ja-JP"/>
        </w:rPr>
        <w:t xml:space="preserve">road </w:t>
      </w:r>
      <w:r w:rsidR="00D07606">
        <w:rPr>
          <w:rFonts w:eastAsiaTheme="minorEastAsia" w:cs="Times"/>
          <w:szCs w:val="20"/>
          <w:lang w:eastAsia="ja-JP"/>
        </w:rPr>
        <w:t>transport fuels</w:t>
      </w:r>
      <w:r w:rsidR="00D962F2">
        <w:rPr>
          <w:rFonts w:eastAsiaTheme="minorEastAsia" w:cs="Times"/>
          <w:szCs w:val="20"/>
          <w:lang w:eastAsia="ja-JP"/>
        </w:rPr>
        <w:t xml:space="preserve">, electricity, heat and </w:t>
      </w:r>
      <w:r w:rsidR="00D07606">
        <w:rPr>
          <w:rFonts w:eastAsiaTheme="minorEastAsia" w:cs="Times"/>
          <w:szCs w:val="20"/>
          <w:lang w:eastAsia="ja-JP"/>
        </w:rPr>
        <w:t>chemical</w:t>
      </w:r>
      <w:r w:rsidR="00C253B6">
        <w:rPr>
          <w:rFonts w:eastAsiaTheme="minorEastAsia" w:cs="Times"/>
          <w:szCs w:val="20"/>
          <w:lang w:eastAsia="ja-JP"/>
        </w:rPr>
        <w:t>s</w:t>
      </w:r>
      <w:r w:rsidR="00D07606">
        <w:rPr>
          <w:rFonts w:eastAsiaTheme="minorEastAsia" w:cs="Times"/>
          <w:szCs w:val="20"/>
          <w:lang w:eastAsia="ja-JP"/>
        </w:rPr>
        <w:t xml:space="preserve"> from biomass</w:t>
      </w:r>
      <w:r w:rsidR="00D962F2">
        <w:rPr>
          <w:rFonts w:eastAsiaTheme="minorEastAsia" w:cs="Times"/>
          <w:szCs w:val="20"/>
          <w:lang w:eastAsia="ja-JP"/>
        </w:rPr>
        <w:t xml:space="preserve">. </w:t>
      </w:r>
      <w:r w:rsidR="005C0F34">
        <w:rPr>
          <w:rFonts w:eastAsiaTheme="minorEastAsia" w:cs="Times"/>
          <w:szCs w:val="20"/>
          <w:lang w:eastAsia="ja-JP"/>
        </w:rPr>
        <w:t xml:space="preserve">Furthermore, we improve </w:t>
      </w:r>
      <w:r w:rsidR="00D07606">
        <w:rPr>
          <w:rFonts w:eastAsiaTheme="minorEastAsia" w:cs="Times"/>
          <w:szCs w:val="20"/>
          <w:lang w:eastAsia="ja-JP"/>
        </w:rPr>
        <w:t xml:space="preserve">biomass supply including </w:t>
      </w:r>
      <w:r w:rsidR="005C0F34">
        <w:rPr>
          <w:rFonts w:eastAsiaTheme="minorEastAsia" w:cs="Times"/>
          <w:szCs w:val="20"/>
          <w:lang w:eastAsia="ja-JP"/>
        </w:rPr>
        <w:t>agricultural residues, forestry residues and pretreatment of those</w:t>
      </w:r>
      <w:r w:rsidR="00D07606">
        <w:rPr>
          <w:rFonts w:eastAsiaTheme="minorEastAsia" w:cs="Times"/>
          <w:szCs w:val="20"/>
          <w:lang w:eastAsia="ja-JP"/>
        </w:rPr>
        <w:t xml:space="preserve"> feedstocks to pellets for international biomass trade</w:t>
      </w:r>
      <w:r w:rsidR="005C0F34">
        <w:rPr>
          <w:rFonts w:eastAsiaTheme="minorEastAsia" w:cs="Times"/>
          <w:szCs w:val="20"/>
          <w:lang w:eastAsia="ja-JP"/>
        </w:rPr>
        <w:t xml:space="preserve">. </w:t>
      </w:r>
      <w:r w:rsidR="00A267E4">
        <w:rPr>
          <w:rFonts w:eastAsiaTheme="minorEastAsia" w:cs="Times"/>
          <w:szCs w:val="20"/>
          <w:lang w:eastAsia="ja-JP"/>
        </w:rPr>
        <w:t xml:space="preserve">We use scenario analysis to address effects of important assumptions on technical change. </w:t>
      </w:r>
      <w:r w:rsidR="00A74B70">
        <w:rPr>
          <w:rFonts w:eastAsiaTheme="minorEastAsia" w:cs="Times"/>
          <w:szCs w:val="20"/>
          <w:lang w:eastAsia="ja-JP"/>
        </w:rPr>
        <w:t>In the present study the model is demonstrated for mid</w:t>
      </w:r>
      <w:r w:rsidR="009418D8">
        <w:rPr>
          <w:rFonts w:eastAsiaTheme="minorEastAsia" w:cs="Times"/>
          <w:szCs w:val="20"/>
          <w:lang w:eastAsia="ja-JP"/>
        </w:rPr>
        <w:t>-</w:t>
      </w:r>
      <w:r w:rsidR="00A74B70">
        <w:rPr>
          <w:rFonts w:eastAsiaTheme="minorEastAsia" w:cs="Times"/>
          <w:szCs w:val="20"/>
          <w:lang w:eastAsia="ja-JP"/>
        </w:rPr>
        <w:t>term assessment of bioeconomy developments in the Netherlands</w:t>
      </w:r>
      <w:r w:rsidR="00141169">
        <w:rPr>
          <w:rFonts w:eastAsiaTheme="minorEastAsia" w:cs="Times"/>
          <w:szCs w:val="20"/>
          <w:lang w:eastAsia="ja-JP"/>
        </w:rPr>
        <w:t xml:space="preserve"> to 2030</w:t>
      </w:r>
      <w:r w:rsidR="00A74B70">
        <w:rPr>
          <w:rFonts w:eastAsiaTheme="minorEastAsia" w:cs="Times"/>
          <w:szCs w:val="20"/>
          <w:lang w:eastAsia="ja-JP"/>
        </w:rPr>
        <w:t xml:space="preserve">. </w:t>
      </w:r>
      <w:r w:rsidR="003E639B">
        <w:rPr>
          <w:rFonts w:eastAsiaTheme="minorEastAsia" w:cs="Times"/>
          <w:szCs w:val="20"/>
          <w:lang w:eastAsia="ja-JP"/>
        </w:rPr>
        <w:t>To that end, we use a framework w</w:t>
      </w:r>
      <w:r w:rsidR="00D3326B">
        <w:rPr>
          <w:rFonts w:eastAsiaTheme="minorEastAsia" w:cs="Times"/>
          <w:szCs w:val="20"/>
          <w:lang w:eastAsia="ja-JP"/>
        </w:rPr>
        <w:t>h</w:t>
      </w:r>
      <w:r w:rsidR="003E639B">
        <w:rPr>
          <w:rFonts w:eastAsiaTheme="minorEastAsia" w:cs="Times"/>
          <w:szCs w:val="20"/>
          <w:lang w:eastAsia="ja-JP"/>
        </w:rPr>
        <w:t>ere the en</w:t>
      </w:r>
      <w:r w:rsidR="00D41699">
        <w:rPr>
          <w:rFonts w:eastAsiaTheme="minorEastAsia" w:cs="Times"/>
          <w:szCs w:val="20"/>
          <w:lang w:eastAsia="ja-JP"/>
        </w:rPr>
        <w:t xml:space="preserve">ergy system model MARKAL-NL-UU </w:t>
      </w:r>
      <w:r w:rsidR="00D41699">
        <w:rPr>
          <w:rFonts w:eastAsiaTheme="minorEastAsia" w:cs="Times"/>
          <w:szCs w:val="20"/>
          <w:lang w:eastAsia="ja-JP"/>
        </w:rPr>
        <w:fldChar w:fldCharType="begin" w:fldLock="1"/>
      </w:r>
      <w:r w:rsidR="00BE0C7C">
        <w:rPr>
          <w:rFonts w:eastAsiaTheme="minorEastAsia" w:cs="Times"/>
          <w:szCs w:val="20"/>
          <w:lang w:eastAsia="ja-JP"/>
        </w:rPr>
        <w:instrText>ADDIN CSL_CITATION { "citationItems" : [ { "id" : "ITEM-1", "itemData" : { "author" : [ { "dropping-particle" : "", "family" : "Tsiropoulos", "given" : "I", "non-dropping-particle" : "", "parse-names" : false, "suffix" : "" }, { "dropping-particle" : "", "family" : "Hoefnagels", "given" : "R", "non-dropping-particle" : "", "parse-names" : false, "suffix" : "" }, { "dropping-particle" : "", "family" : "Jong", "given" : "S", "non-dropping-particle" : "de", "parse-names" : false, "suffix" : "" }, { "dropping-particle" : "", "family" : "Broek", "given" : "M", "non-dropping-particle" : "van den", "parse-names" : false, "suffix" : "" }, { "dropping-particle" : "", "family" : "Patel", "given" : "M.K.", "non-dropping-particle" : "", "parse-names" : false, "suffix" : "" }, { "dropping-particle" : "", "family" : "Faaij", "given" : "A.P.C.", "non-dropping-particle" : "", "parse-names" : false, "suffix" : "" } ], "container-title" : "Submitted", "id" : "ITEM-1", "issued" : { "date-parts" : [ [ "2016" ] ] }, "title" : "Emerging bioeconomy sectors in energy systems modelling \u2013 integrated systems analysis of electricity, heat, road, aviation fuels and chemicals: a case study for the Netherlands", "type" : "article-journal" }, "uris" : [ "http://www.mendeley.com/documents/?uuid=12803dca-5789-43dd-a658-43676406ca1f" ] } ], "mendeley" : { "formattedCitation" : "[17]", "plainTextFormattedCitation" : "[17]", "previouslyFormattedCitation" : "[17]" }, "properties" : { "noteIndex" : 0 }, "schema" : "https://github.com/citation-style-language/schema/raw/master/csl-citation.json" }</w:instrText>
      </w:r>
      <w:r w:rsidR="00D41699">
        <w:rPr>
          <w:rFonts w:eastAsiaTheme="minorEastAsia" w:cs="Times"/>
          <w:szCs w:val="20"/>
          <w:lang w:eastAsia="ja-JP"/>
        </w:rPr>
        <w:fldChar w:fldCharType="separate"/>
      </w:r>
      <w:r w:rsidR="003F791C" w:rsidRPr="003F791C">
        <w:rPr>
          <w:rFonts w:eastAsiaTheme="minorEastAsia" w:cs="Times"/>
          <w:noProof/>
          <w:szCs w:val="20"/>
          <w:lang w:eastAsia="ja-JP"/>
        </w:rPr>
        <w:t>[17]</w:t>
      </w:r>
      <w:r w:rsidR="00D41699">
        <w:rPr>
          <w:rFonts w:eastAsiaTheme="minorEastAsia" w:cs="Times"/>
          <w:szCs w:val="20"/>
          <w:lang w:eastAsia="ja-JP"/>
        </w:rPr>
        <w:fldChar w:fldCharType="end"/>
      </w:r>
      <w:r w:rsidR="003E639B">
        <w:rPr>
          <w:rFonts w:eastAsiaTheme="minorEastAsia" w:cs="Times"/>
          <w:szCs w:val="20"/>
          <w:lang w:eastAsia="ja-JP"/>
        </w:rPr>
        <w:t xml:space="preserve">, is used side by side with MAGNET, and we compare results obtained by the two models and highlight points of interaction that can lead to improved representation of bioeconomy in CGE models. </w:t>
      </w:r>
    </w:p>
    <w:p w14:paraId="36816856" w14:textId="53D6DEE1" w:rsidR="007E3D16" w:rsidRDefault="00184D32" w:rsidP="00ED45ED">
      <w:pPr>
        <w:pStyle w:val="Heading2"/>
        <w:numPr>
          <w:ilvl w:val="0"/>
          <w:numId w:val="25"/>
        </w:numPr>
        <w:ind w:left="426" w:hanging="426"/>
      </w:pPr>
      <w:r>
        <w:t>Materials and m</w:t>
      </w:r>
      <w:r w:rsidR="0099404D" w:rsidRPr="007E3D16">
        <w:t>ethod</w:t>
      </w:r>
      <w:r>
        <w:t>s</w:t>
      </w:r>
    </w:p>
    <w:p w14:paraId="3A19F63C" w14:textId="0A3C71BC" w:rsidR="005945D8" w:rsidRDefault="0038231E" w:rsidP="005945D8">
      <w:r>
        <w:t>To assess the macro</w:t>
      </w:r>
      <w:r w:rsidR="002869BF">
        <w:t>-</w:t>
      </w:r>
      <w:r>
        <w:t>economic impacts of bioeconomy development we use the multi-sector and multi-region macro</w:t>
      </w:r>
      <w:r w:rsidR="002869BF">
        <w:t>-</w:t>
      </w:r>
      <w:r>
        <w:t>economic CGE model MAGNET</w:t>
      </w:r>
      <w:r w:rsidR="000C0CA7">
        <w:t xml:space="preserve"> </w:t>
      </w:r>
      <w:r w:rsidR="000C0CA7">
        <w:fldChar w:fldCharType="begin" w:fldLock="1"/>
      </w:r>
      <w:r w:rsidR="00BE0C7C">
        <w:instrText>ADDIN CSL_CITATION { "citationItems" : [ { "id" : "ITEM-1", "itemData" : { "author" : [ { "dropping-particle" : "", "family" : "Woltjer", "given" : "Geert", "non-dropping-particle" : "", "parse-names" : false, "suffix" : "" }, { "dropping-particle" : "", "family" : "Kavallari", "given" : "Aikaterini", "non-dropping-particle" : "", "parse-names" : false, "suffix" : "" }, { "dropping-particle" : "Van", "family" : "Meijl", "given" : "Hans", "non-dropping-particle" : "", "parse-names" : false, "suffix" : "" }, { "dropping-particle" : "", "family" : "Powell", "given" : "Jeff", "non-dropping-particle" : "", "parse-names" : false, "suffix" : "" }, { "dropping-particle" : "", "family" : "Rutten", "given" : "Martine", "non-dropping-particle" : "", "parse-names" : false, "suffix" : "" }, { "dropping-particle" : "", "family" : "Shutes", "given" : "Lindsay", "non-dropping-particle" : "", "parse-names" : false, "suffix" : "" } ], "id" : "ITEM-1", "issued" : { "date-parts" : [ [ "2014" ] ] }, "publisher-place" : "Wageningen", "title" : "The MAGNET model - Module description", "type" : "report" }, "uris" : [ "http://www.mendeley.com/documents/?uuid=2db5908a-e380-4b10-b22b-7afcf8f79dad" ] } ], "mendeley" : { "formattedCitation" : "[21]", "plainTextFormattedCitation" : "[21]", "previouslyFormattedCitation" : "[21]" }, "properties" : { "noteIndex" : 0 }, "schema" : "https://github.com/citation-style-language/schema/raw/master/csl-citation.json" }</w:instrText>
      </w:r>
      <w:r w:rsidR="000C0CA7">
        <w:fldChar w:fldCharType="separate"/>
      </w:r>
      <w:r w:rsidR="003F791C" w:rsidRPr="003F791C">
        <w:rPr>
          <w:noProof/>
        </w:rPr>
        <w:t>[21]</w:t>
      </w:r>
      <w:r w:rsidR="000C0CA7">
        <w:fldChar w:fldCharType="end"/>
      </w:r>
      <w:r>
        <w:t>.</w:t>
      </w:r>
      <w:r w:rsidR="0050241C">
        <w:t xml:space="preserve"> </w:t>
      </w:r>
      <w:r>
        <w:t>In order to</w:t>
      </w:r>
      <w:r w:rsidR="0099085D">
        <w:t xml:space="preserve"> improve technology details in MAGNET (</w:t>
      </w:r>
      <w:r w:rsidR="0034107F">
        <w:t xml:space="preserve">e.g., </w:t>
      </w:r>
      <w:r w:rsidR="004E02D2">
        <w:t xml:space="preserve">technology </w:t>
      </w:r>
      <w:r w:rsidR="0099085D">
        <w:t>cost-structures, learning pathways, biomass conversion technolog</w:t>
      </w:r>
      <w:r w:rsidR="004E02D2">
        <w:t>y portfolio</w:t>
      </w:r>
      <w:r w:rsidR="0099085D">
        <w:t>),</w:t>
      </w:r>
      <w:r w:rsidR="00636CA1">
        <w:t xml:space="preserve"> </w:t>
      </w:r>
      <w:r w:rsidR="005945D8">
        <w:t xml:space="preserve">we </w:t>
      </w:r>
      <w:r w:rsidR="0088768A">
        <w:t xml:space="preserve">also </w:t>
      </w:r>
      <w:r w:rsidR="005945D8">
        <w:t>use MARKAL-NL-UU, a li</w:t>
      </w:r>
      <w:r w:rsidR="00266539">
        <w:t xml:space="preserve">near cost-optimization </w:t>
      </w:r>
      <w:r w:rsidR="00B166EC">
        <w:t xml:space="preserve">energy system </w:t>
      </w:r>
      <w:r w:rsidR="00266539">
        <w:t xml:space="preserve">model </w:t>
      </w:r>
      <w:r w:rsidR="000C0CA7">
        <w:fldChar w:fldCharType="begin" w:fldLock="1"/>
      </w:r>
      <w:r w:rsidR="00BE0C7C">
        <w:instrText>ADDIN CSL_CITATION { "citationItems" : [ { "id" : "ITEM-1", "itemData" : { "author" : [ { "dropping-particle" : "", "family" : "Tsiropoulos", "given" : "I", "non-dropping-particle" : "", "parse-names" : false, "suffix" : "" }, { "dropping-particle" : "", "family" : "Hoefnagels", "given" : "R", "non-dropping-particle" : "", "parse-names" : false, "suffix" : "" }, { "dropping-particle" : "", "family" : "Jong", "given" : "S", "non-dropping-particle" : "de", "parse-names" : false, "suffix" : "" }, { "dropping-particle" : "", "family" : "Broek", "given" : "M", "non-dropping-particle" : "van den", "parse-names" : false, "suffix" : "" }, { "dropping-particle" : "", "family" : "Patel", "given" : "M.K.", "non-dropping-particle" : "", "parse-names" : false, "suffix" : "" }, { "dropping-particle" : "", "family" : "Faaij", "given" : "A.P.C.", "non-dropping-particle" : "", "parse-names" : false, "suffix" : "" } ], "container-title" : "Submitted", "id" : "ITEM-1", "issued" : { "date-parts" : [ [ "2016" ] ] }, "title" : "Emerging bioeconomy sectors in energy systems modelling \u2013 integrated systems analysis of electricity, heat, road, aviation fuels and chemicals: a case study for the Netherlands", "type" : "article-journal" }, "uris" : [ "http://www.mendeley.com/documents/?uuid=12803dca-5789-43dd-a658-43676406ca1f" ] } ], "mendeley" : { "formattedCitation" : "[17]", "plainTextFormattedCitation" : "[17]", "previouslyFormattedCitation" : "[17]" }, "properties" : { "noteIndex" : 0 }, "schema" : "https://github.com/citation-style-language/schema/raw/master/csl-citation.json" }</w:instrText>
      </w:r>
      <w:r w:rsidR="000C0CA7">
        <w:fldChar w:fldCharType="separate"/>
      </w:r>
      <w:r w:rsidR="003F791C" w:rsidRPr="003F791C">
        <w:rPr>
          <w:noProof/>
        </w:rPr>
        <w:t>[17]</w:t>
      </w:r>
      <w:r w:rsidR="000C0CA7">
        <w:fldChar w:fldCharType="end"/>
      </w:r>
      <w:r w:rsidR="006514B0">
        <w:t xml:space="preserve">. </w:t>
      </w:r>
      <w:r w:rsidR="003D3457">
        <w:t>MARKAL-NL-UU is a regional model that has been developed to demonstrate techno-economic impacts of bioeconomy developments for the Netherlands to 2030. MAGNET</w:t>
      </w:r>
      <w:r w:rsidR="00AD7FF5">
        <w:t xml:space="preserve"> has the same temporal scope, </w:t>
      </w:r>
      <w:r w:rsidR="00FC265A">
        <w:t>and</w:t>
      </w:r>
      <w:r w:rsidR="00AD7FF5">
        <w:t xml:space="preserve"> the basis for introducing new bioeconomy </w:t>
      </w:r>
      <w:r w:rsidR="001529DC">
        <w:t>technologies/</w:t>
      </w:r>
      <w:r w:rsidR="00AD7FF5">
        <w:t xml:space="preserve">sectors </w:t>
      </w:r>
      <w:r w:rsidR="004E02D2">
        <w:t xml:space="preserve">in the model is </w:t>
      </w:r>
      <w:r w:rsidR="00B34887">
        <w:t>also the Netherlands. As MAGNET is a global model, the</w:t>
      </w:r>
      <w:r w:rsidR="00C927C0">
        <w:t xml:space="preserve"> cost</w:t>
      </w:r>
      <w:r w:rsidR="001529DC">
        <w:t>-</w:t>
      </w:r>
      <w:r w:rsidR="00C927C0">
        <w:t>structures and</w:t>
      </w:r>
      <w:r w:rsidR="00B34887">
        <w:t xml:space="preserve"> </w:t>
      </w:r>
      <w:r w:rsidR="00C927C0">
        <w:t>technology</w:t>
      </w:r>
      <w:r w:rsidR="00091292">
        <w:t xml:space="preserve"> changes </w:t>
      </w:r>
      <w:r w:rsidR="00B34887">
        <w:t xml:space="preserve">are implicitly assumed to be </w:t>
      </w:r>
      <w:r w:rsidR="00373A0A">
        <w:t>similar</w:t>
      </w:r>
      <w:r w:rsidR="00B34887">
        <w:t xml:space="preserve"> for the rest of the world.</w:t>
      </w:r>
      <w:r w:rsidR="00C927C0">
        <w:t xml:space="preserve"> Starting points, in terms of value added and production values, for different countries are different and based on statistical economic and technical data.</w:t>
      </w:r>
      <w:r w:rsidR="00B34887">
        <w:t xml:space="preserve"> </w:t>
      </w:r>
      <w:r w:rsidR="005945D8">
        <w:t>The models use similar exogenous parameters, but due to their different modeling paradigms some inputs are differentiated (</w:t>
      </w:r>
      <w:r w:rsidR="005945D8">
        <w:fldChar w:fldCharType="begin"/>
      </w:r>
      <w:r w:rsidR="005945D8">
        <w:instrText xml:space="preserve"> REF _Ref447548177 \h </w:instrText>
      </w:r>
      <w:r w:rsidR="005945D8">
        <w:fldChar w:fldCharType="separate"/>
      </w:r>
      <w:r w:rsidR="009B58B7">
        <w:t xml:space="preserve">Figure </w:t>
      </w:r>
      <w:r w:rsidR="009B58B7">
        <w:rPr>
          <w:noProof/>
        </w:rPr>
        <w:t>1</w:t>
      </w:r>
      <w:r w:rsidR="005945D8">
        <w:fldChar w:fldCharType="end"/>
      </w:r>
      <w:r w:rsidR="005945D8">
        <w:t>).</w:t>
      </w:r>
      <w:r w:rsidR="008A7CBE">
        <w:t xml:space="preserve"> </w:t>
      </w:r>
      <w:r w:rsidR="005945D8">
        <w:t xml:space="preserve">The </w:t>
      </w:r>
      <w:r w:rsidR="008A7CBE">
        <w:t>output</w:t>
      </w:r>
      <w:r w:rsidR="005945D8">
        <w:t xml:space="preserve"> </w:t>
      </w:r>
      <w:r w:rsidR="008A7CBE">
        <w:t xml:space="preserve">provided by MARKAL-NL-UU on promising </w:t>
      </w:r>
      <w:r w:rsidR="005945D8">
        <w:t xml:space="preserve">technologies is </w:t>
      </w:r>
      <w:r w:rsidR="008A7CBE">
        <w:t xml:space="preserve">used as </w:t>
      </w:r>
      <w:r w:rsidR="005945D8">
        <w:t>a criterion on the sectoral disaggregation of MAGNET</w:t>
      </w:r>
      <w:r w:rsidR="00B804D9">
        <w:t xml:space="preserve"> </w:t>
      </w:r>
      <w:r w:rsidR="004E76EB">
        <w:t>which</w:t>
      </w:r>
      <w:r w:rsidR="00A426CA">
        <w:t xml:space="preserve"> uses</w:t>
      </w:r>
      <w:r w:rsidR="008A7CBE">
        <w:t xml:space="preserve"> MARKAL-NL-UU</w:t>
      </w:r>
      <w:r w:rsidR="00A426CA">
        <w:t xml:space="preserve"> </w:t>
      </w:r>
      <w:r w:rsidR="008A7CBE">
        <w:t xml:space="preserve">cost-structures as input data </w:t>
      </w:r>
      <w:r w:rsidR="00B804D9">
        <w:t>(</w:t>
      </w:r>
      <w:r w:rsidR="00E57148">
        <w:t xml:space="preserve">section </w:t>
      </w:r>
      <w:r w:rsidR="00ED45ED">
        <w:fldChar w:fldCharType="begin"/>
      </w:r>
      <w:r w:rsidR="00ED45ED">
        <w:instrText xml:space="preserve"> REF _Ref448221813 \r \h </w:instrText>
      </w:r>
      <w:r w:rsidR="00ED45ED">
        <w:fldChar w:fldCharType="separate"/>
      </w:r>
      <w:r w:rsidR="009B58B7">
        <w:t>2.2</w:t>
      </w:r>
      <w:r w:rsidR="00ED45ED">
        <w:fldChar w:fldCharType="end"/>
      </w:r>
      <w:r w:rsidR="00B804D9">
        <w:t>)</w:t>
      </w:r>
      <w:r w:rsidR="005945D8">
        <w:t>. Scenario analysis is used to assess the influence of technological learning and openness of biomass trade (</w:t>
      </w:r>
      <w:r w:rsidR="00B16F82">
        <w:t xml:space="preserve">section </w:t>
      </w:r>
      <w:r w:rsidR="00B16F82">
        <w:fldChar w:fldCharType="begin"/>
      </w:r>
      <w:r w:rsidR="00B16F82">
        <w:instrText xml:space="preserve"> REF _Ref448324274 \r \h </w:instrText>
      </w:r>
      <w:r w:rsidR="00B16F82">
        <w:fldChar w:fldCharType="separate"/>
      </w:r>
      <w:r w:rsidR="009B58B7">
        <w:t>2.1.1</w:t>
      </w:r>
      <w:r w:rsidR="00B16F82">
        <w:fldChar w:fldCharType="end"/>
      </w:r>
      <w:r w:rsidR="00B16F82">
        <w:t xml:space="preserve">). </w:t>
      </w:r>
      <w:r w:rsidR="005945D8">
        <w:t>Scenario</w:t>
      </w:r>
      <w:r w:rsidR="001B3F47">
        <w:t xml:space="preserve"> assumptions of MARKAL-NL-UU and MAGNET are consistent</w:t>
      </w:r>
      <w:r w:rsidR="005945D8">
        <w:t>. Finally, the modelling f</w:t>
      </w:r>
      <w:r w:rsidR="00FC265A">
        <w:t xml:space="preserve">ramework includes comparison </w:t>
      </w:r>
      <w:r w:rsidR="00AB4E08">
        <w:t>between</w:t>
      </w:r>
      <w:r w:rsidR="00FC265A">
        <w:t xml:space="preserve"> </w:t>
      </w:r>
      <w:r w:rsidR="00AB03E5">
        <w:t xml:space="preserve">key outputs of </w:t>
      </w:r>
      <w:r w:rsidR="005945D8">
        <w:t>the two models.</w:t>
      </w:r>
    </w:p>
    <w:p w14:paraId="43DDE481" w14:textId="77777777" w:rsidR="00636CA1" w:rsidRDefault="00636CA1" w:rsidP="007E5745"/>
    <w:p w14:paraId="055124C8" w14:textId="2AFCF6D4" w:rsidR="008558A8" w:rsidRDefault="00A102BB" w:rsidP="006B51B7">
      <w:pPr>
        <w:keepNext/>
        <w:jc w:val="center"/>
      </w:pPr>
      <w:r>
        <w:rPr>
          <w:b/>
          <w:noProof/>
        </w:rPr>
        <w:drawing>
          <wp:inline distT="0" distB="0" distL="0" distR="0" wp14:anchorId="6782B096" wp14:editId="5BC46B62">
            <wp:extent cx="4287221" cy="5882400"/>
            <wp:effectExtent l="0" t="0" r="0" b="4445"/>
            <wp:docPr id="3" name="Picture 3" descr="U:\Work files\Utrecht University\Projects\MEV II\Papers\Paper 3\Figures\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ork files\Utrecht University\Projects\MEV II\Papers\Paper 3\Figures\Pictur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7221" cy="5882400"/>
                    </a:xfrm>
                    <a:prstGeom prst="rect">
                      <a:avLst/>
                    </a:prstGeom>
                    <a:noFill/>
                    <a:ln>
                      <a:noFill/>
                    </a:ln>
                  </pic:spPr>
                </pic:pic>
              </a:graphicData>
            </a:graphic>
          </wp:inline>
        </w:drawing>
      </w:r>
    </w:p>
    <w:p w14:paraId="18273F04" w14:textId="65BBD887" w:rsidR="003D01B1" w:rsidRDefault="008558A8" w:rsidP="003D01B1">
      <w:pPr>
        <w:pStyle w:val="Caption"/>
      </w:pPr>
      <w:bookmarkStart w:id="0" w:name="_Ref447548177"/>
      <w:r>
        <w:t xml:space="preserve">Figure </w:t>
      </w:r>
      <w:r w:rsidR="0019250C">
        <w:fldChar w:fldCharType="begin"/>
      </w:r>
      <w:r w:rsidR="0019250C">
        <w:instrText xml:space="preserve"> SEQ Figure \* ARABIC </w:instrText>
      </w:r>
      <w:r w:rsidR="0019250C">
        <w:fldChar w:fldCharType="separate"/>
      </w:r>
      <w:r w:rsidR="00BD3302">
        <w:rPr>
          <w:noProof/>
        </w:rPr>
        <w:t>1</w:t>
      </w:r>
      <w:r w:rsidR="0019250C">
        <w:rPr>
          <w:noProof/>
        </w:rPr>
        <w:fldChar w:fldCharType="end"/>
      </w:r>
      <w:bookmarkEnd w:id="0"/>
      <w:r w:rsidR="006B51B7">
        <w:t xml:space="preserve"> Modelling framework</w:t>
      </w:r>
    </w:p>
    <w:p w14:paraId="662139C6" w14:textId="29F8234E" w:rsidR="005F60B9" w:rsidRDefault="000C3006" w:rsidP="005F60B9">
      <w:pPr>
        <w:pStyle w:val="Heading3"/>
        <w:numPr>
          <w:ilvl w:val="1"/>
          <w:numId w:val="25"/>
        </w:numPr>
        <w:tabs>
          <w:tab w:val="left" w:pos="1298"/>
        </w:tabs>
        <w:ind w:left="426" w:hanging="426"/>
      </w:pPr>
      <w:r>
        <w:t>Bottom-up scenarios and inputs to MAGNET</w:t>
      </w:r>
      <w:r w:rsidR="005F60B9">
        <w:tab/>
      </w:r>
    </w:p>
    <w:p w14:paraId="23B250F3" w14:textId="270BA74F" w:rsidR="005F60B9" w:rsidRDefault="005F60B9" w:rsidP="005F60B9">
      <w:pPr>
        <w:pStyle w:val="Heading4"/>
        <w:numPr>
          <w:ilvl w:val="2"/>
          <w:numId w:val="25"/>
        </w:numPr>
        <w:ind w:left="567" w:hanging="567"/>
      </w:pPr>
      <w:bookmarkStart w:id="1" w:name="_Ref448324274"/>
      <w:r>
        <w:t>Description of the modeling framework</w:t>
      </w:r>
      <w:bookmarkEnd w:id="1"/>
      <w:r>
        <w:t xml:space="preserve"> </w:t>
      </w:r>
    </w:p>
    <w:p w14:paraId="54037147" w14:textId="456D5AE0" w:rsidR="009D71EB" w:rsidRDefault="00D35DB0" w:rsidP="004E208A">
      <w:r>
        <w:t xml:space="preserve">The </w:t>
      </w:r>
      <w:r w:rsidR="00345A3A">
        <w:t>bottom-up</w:t>
      </w:r>
      <w:r w:rsidR="00AB4E6A">
        <w:t xml:space="preserve"> linear cost-optimization</w:t>
      </w:r>
      <w:r w:rsidR="00345A3A">
        <w:t xml:space="preserve"> </w:t>
      </w:r>
      <w:r>
        <w:t xml:space="preserve">energy system model </w:t>
      </w:r>
      <w:r w:rsidR="00B25BE6">
        <w:t xml:space="preserve">of the Netherlands </w:t>
      </w:r>
      <w:r>
        <w:t xml:space="preserve">MARKAL-NL-UU is used to assess the cost-optimal technology portfolio of biomass conversion, other renewables, and fossil </w:t>
      </w:r>
      <w:r w:rsidR="00B25BE6">
        <w:t xml:space="preserve">fuel technologies </w:t>
      </w:r>
      <w:r w:rsidR="00534E65">
        <w:t xml:space="preserve">and related GHG emissions </w:t>
      </w:r>
      <w:r w:rsidR="00B25BE6">
        <w:t xml:space="preserve">to supply an </w:t>
      </w:r>
      <w:r>
        <w:t xml:space="preserve">exogenously determined demand for electricity, heat, transport, and chemicals </w:t>
      </w:r>
      <w:r w:rsidR="00B50FF4">
        <w:t xml:space="preserve">to 2030 </w:t>
      </w:r>
      <w:r w:rsidR="00345A3A">
        <w:fldChar w:fldCharType="begin" w:fldLock="1"/>
      </w:r>
      <w:r w:rsidR="00BE0C7C">
        <w:instrText>ADDIN CSL_CITATION { "citationItems" : [ { "id" : "ITEM-1", "itemData" : { "author" : [ { "dropping-particle" : "", "family" : "Tsiropoulos", "given" : "I", "non-dropping-particle" : "", "parse-names" : false, "suffix" : "" }, { "dropping-particle" : "", "family" : "Hoefnagels", "given" : "R", "non-dropping-particle" : "", "parse-names" : false, "suffix" : "" }, { "dropping-particle" : "", "family" : "Jong", "given" : "S", "non-dropping-particle" : "de", "parse-names" : false, "suffix" : "" }, { "dropping-particle" : "", "family" : "Broek", "given" : "M", "non-dropping-particle" : "van den", "parse-names" : false, "suffix" : "" }, { "dropping-particle" : "", "family" : "Patel", "given" : "M.K.", "non-dropping-particle" : "", "parse-names" : false, "suffix" : "" }, { "dropping-particle" : "", "family" : "Faaij", "given" : "A.P.C.", "non-dropping-particle" : "", "parse-names" : false, "suffix" : "" } ], "container-title" : "Submitted", "id" : "ITEM-1", "issued" : { "date-parts" : [ [ "2016" ] ] }, "title" : "Emerging bioeconomy sectors in energy systems modelling \u2013 integrated systems analysis of electricity, heat, road, aviation fuels and chemicals: a case study for the Netherlands", "type" : "article-journal" }, "uris" : [ "http://www.mendeley.com/documents/?uuid=12803dca-5789-43dd-a658-43676406ca1f" ] } ], "mendeley" : { "formattedCitation" : "[17]", "plainTextFormattedCitation" : "[17]", "previouslyFormattedCitation" : "[17]" }, "properties" : { "noteIndex" : 0 }, "schema" : "https://github.com/citation-style-language/schema/raw/master/csl-citation.json" }</w:instrText>
      </w:r>
      <w:r w:rsidR="00345A3A">
        <w:fldChar w:fldCharType="separate"/>
      </w:r>
      <w:r w:rsidR="003F791C" w:rsidRPr="003F791C">
        <w:rPr>
          <w:noProof/>
        </w:rPr>
        <w:t>[17]</w:t>
      </w:r>
      <w:r w:rsidR="00345A3A">
        <w:fldChar w:fldCharType="end"/>
      </w:r>
      <w:r w:rsidR="00E777CC">
        <w:t xml:space="preserve">. </w:t>
      </w:r>
      <w:r w:rsidR="005F423D">
        <w:t>MARKAL-NL</w:t>
      </w:r>
      <w:r w:rsidR="00C63283">
        <w:t>-</w:t>
      </w:r>
      <w:r w:rsidR="005F423D">
        <w:t xml:space="preserve">UU </w:t>
      </w:r>
      <w:r w:rsidR="00D74332">
        <w:t xml:space="preserve">uses </w:t>
      </w:r>
      <w:r w:rsidR="008C3E50">
        <w:t>fossil fuel and CO</w:t>
      </w:r>
      <w:r w:rsidR="008C3E50">
        <w:rPr>
          <w:vertAlign w:val="subscript"/>
        </w:rPr>
        <w:t>2</w:t>
      </w:r>
      <w:r w:rsidR="008C3E50">
        <w:t xml:space="preserve"> prices to 2030 based on the</w:t>
      </w:r>
      <w:r w:rsidR="006A051D">
        <w:t xml:space="preserve"> New Policies scenario of the</w:t>
      </w:r>
      <w:r w:rsidR="008C3E50">
        <w:t xml:space="preserve"> International Energy Agency’s World Energy Outlook 2014 </w:t>
      </w:r>
      <w:r w:rsidR="006A051D">
        <w:fldChar w:fldCharType="begin" w:fldLock="1"/>
      </w:r>
      <w:r w:rsidR="00BE0C7C">
        <w:instrText>ADDIN CSL_CITATION { "citationItems" : [ { "id" : "ITEM-1", "itemData" : { "author" : [ { "dropping-particle" : "", "family" : "OECD/IEA", "given" : "", "non-dropping-particle" : "", "parse-names" : false, "suffix" : "" } ], "id" : "ITEM-1", "issued" : { "date-parts" : [ [ "2014" ] ] }, "publisher" : "OECD/International Energy Agency", "publisher-place" : "Paris", "title" : "World Energy Outlook 2014", "type" : "book" }, "uris" : [ "http://www.mendeley.com/documents/?uuid=a4ff3ba0-7772-47f4-8423-6ccf7959e278" ] } ], "mendeley" : { "formattedCitation" : "[22]", "plainTextFormattedCitation" : "[22]", "previouslyFormattedCitation" : "[22]" }, "properties" : { "noteIndex" : 0 }, "schema" : "https://github.com/citation-style-language/schema/raw/master/csl-citation.json" }</w:instrText>
      </w:r>
      <w:r w:rsidR="006A051D">
        <w:fldChar w:fldCharType="separate"/>
      </w:r>
      <w:r w:rsidR="003F791C" w:rsidRPr="003F791C">
        <w:rPr>
          <w:noProof/>
        </w:rPr>
        <w:t>[22]</w:t>
      </w:r>
      <w:r w:rsidR="006A051D">
        <w:fldChar w:fldCharType="end"/>
      </w:r>
      <w:r w:rsidR="005F423D">
        <w:t xml:space="preserve">. Furthermore, </w:t>
      </w:r>
      <w:r w:rsidR="009B089B">
        <w:t xml:space="preserve">the model assumes that targets of the EU RED </w:t>
      </w:r>
      <w:r w:rsidR="009D433F">
        <w:t xml:space="preserve">on biofuel blending and </w:t>
      </w:r>
      <w:r w:rsidR="00D570C2">
        <w:t xml:space="preserve">renewable energy share </w:t>
      </w:r>
      <w:r w:rsidR="00262604">
        <w:t xml:space="preserve">on final energy consumption </w:t>
      </w:r>
      <w:r w:rsidR="00010F0C">
        <w:t xml:space="preserve"> </w:t>
      </w:r>
      <w:r w:rsidR="00D570C2">
        <w:t>are met by 2020</w:t>
      </w:r>
      <w:r w:rsidR="00895763">
        <w:t xml:space="preserve"> </w:t>
      </w:r>
      <w:r w:rsidR="00895763">
        <w:fldChar w:fldCharType="begin" w:fldLock="1"/>
      </w:r>
      <w:r w:rsidR="00BE0C7C">
        <w:instrText>ADDIN CSL_CITATION { "citationItems" : [ { "id" : "ITEM-1", "itemData" : { "DOI" : "10.3000/17252555.L_2009.140.eng", "ISBN" : "L 140/16", "abstract" : "DIRECTIVE on the promotion of the use of energy from renewable sources", "author" : [ { "dropping-particle" : "", "family" : "EC", "given" : "", "non-dropping-particle" : "", "parse-names" : false, "suffix" : "" } ], "container-title" : "Official Journal of the European Union", "id" : "ITEM-1", "issue" : "16", "issued" : { "date-parts" : [ [ "2009" ] ] }, "page" : "16-62", "title" : "Directive 2009/28/EC of the European Parliament and of the Council of 23 April 2009", "type" : "article-journal", "volume" : "140" }, "uris" : [ "http://www.mendeley.com/documents/?uuid=4803b6ed-bbcd-4394-bf7a-84700b947e36" ] } ], "mendeley" : { "formattedCitation" : "[23]", "plainTextFormattedCitation" : "[23]", "previouslyFormattedCitation" : "[23]" }, "properties" : { "noteIndex" : 0 }, "schema" : "https://github.com/citation-style-language/schema/raw/master/csl-citation.json" }</w:instrText>
      </w:r>
      <w:r w:rsidR="00895763">
        <w:fldChar w:fldCharType="separate"/>
      </w:r>
      <w:r w:rsidR="003F791C" w:rsidRPr="003F791C">
        <w:rPr>
          <w:noProof/>
        </w:rPr>
        <w:t>[23]</w:t>
      </w:r>
      <w:r w:rsidR="00895763">
        <w:fldChar w:fldCharType="end"/>
      </w:r>
      <w:r w:rsidR="00895763">
        <w:t>; these</w:t>
      </w:r>
      <w:r w:rsidR="00D570C2">
        <w:t xml:space="preserve"> are extended bas</w:t>
      </w:r>
      <w:r w:rsidR="00040D4E">
        <w:t>ed</w:t>
      </w:r>
      <w:r w:rsidR="00D570C2">
        <w:t xml:space="preserve"> o</w:t>
      </w:r>
      <w:r w:rsidR="00040D4E">
        <w:t>n</w:t>
      </w:r>
      <w:r w:rsidR="00D570C2">
        <w:t xml:space="preserve"> the Dutch Energy </w:t>
      </w:r>
      <w:r w:rsidR="00A102BB">
        <w:t>A</w:t>
      </w:r>
      <w:r w:rsidR="00D570C2">
        <w:t xml:space="preserve">greement to 2030 </w:t>
      </w:r>
      <w:r w:rsidR="00C63283">
        <w:fldChar w:fldCharType="begin" w:fldLock="1"/>
      </w:r>
      <w:r w:rsidR="00BE0C7C">
        <w:instrText>ADDIN CSL_CITATION { "citationItems" : [ { "id" : "ITEM-1", "itemData" : { "author" : [ { "dropping-particle" : "", "family" : "SER", "given" : "", "non-dropping-particle" : "", "parse-names" : false, "suffix" : "" } ], "id" : "ITEM-1", "issued" : { "date-parts" : [ [ "2013" ] ] }, "publisher-place" : "Den Hague", "title" : "Summary of Energy Agreement for Sustainable Growth", "type" : "report" }, "uris" : [ "http://www.mendeley.com/documents/?uuid=c33ae811-c5c1-4401-94cc-451800e8e3fd" ] } ], "mendeley" : { "formattedCitation" : "[24]", "plainTextFormattedCitation" : "[24]", "previouslyFormattedCitation" : "[24]" }, "properties" : { "noteIndex" : 0 }, "schema" : "https://github.com/citation-style-language/schema/raw/master/csl-citation.json" }</w:instrText>
      </w:r>
      <w:r w:rsidR="00C63283">
        <w:fldChar w:fldCharType="separate"/>
      </w:r>
      <w:r w:rsidR="003F791C" w:rsidRPr="003F791C">
        <w:rPr>
          <w:noProof/>
        </w:rPr>
        <w:t>[24]</w:t>
      </w:r>
      <w:r w:rsidR="00C63283">
        <w:fldChar w:fldCharType="end"/>
      </w:r>
      <w:r w:rsidR="00262604">
        <w:t>.</w:t>
      </w:r>
      <w:r w:rsidR="009D71EB">
        <w:t xml:space="preserve"> The exogenous inputs are consistent between MARKAL-NL-UU and MAGNET</w:t>
      </w:r>
      <w:r w:rsidR="00F428DF">
        <w:t xml:space="preserve"> (</w:t>
      </w:r>
      <w:r w:rsidR="00F428DF">
        <w:fldChar w:fldCharType="begin"/>
      </w:r>
      <w:r w:rsidR="00F428DF">
        <w:instrText xml:space="preserve"> REF _Ref447548177 \h </w:instrText>
      </w:r>
      <w:r w:rsidR="00F428DF">
        <w:fldChar w:fldCharType="separate"/>
      </w:r>
      <w:r w:rsidR="009B58B7">
        <w:t xml:space="preserve">Figure </w:t>
      </w:r>
      <w:r w:rsidR="009B58B7">
        <w:rPr>
          <w:noProof/>
        </w:rPr>
        <w:t>1</w:t>
      </w:r>
      <w:r w:rsidR="00F428DF">
        <w:fldChar w:fldCharType="end"/>
      </w:r>
      <w:r w:rsidR="007A2F84">
        <w:t xml:space="preserve">, </w:t>
      </w:r>
      <w:r w:rsidR="007A2F84">
        <w:fldChar w:fldCharType="begin"/>
      </w:r>
      <w:r w:rsidR="007A2F84">
        <w:instrText xml:space="preserve"> REF _Ref448329176 \h </w:instrText>
      </w:r>
      <w:r w:rsidR="007A2F84">
        <w:fldChar w:fldCharType="separate"/>
      </w:r>
      <w:r w:rsidR="009B58B7">
        <w:t xml:space="preserve">Table S </w:t>
      </w:r>
      <w:r w:rsidR="009B58B7">
        <w:rPr>
          <w:noProof/>
        </w:rPr>
        <w:t>2</w:t>
      </w:r>
      <w:r w:rsidR="007A2F84">
        <w:fldChar w:fldCharType="end"/>
      </w:r>
      <w:r w:rsidR="00F428DF">
        <w:t>)</w:t>
      </w:r>
      <w:r w:rsidR="009D71EB">
        <w:t xml:space="preserve">. </w:t>
      </w:r>
    </w:p>
    <w:p w14:paraId="74A73BDB" w14:textId="2FD6856B" w:rsidR="00A72AF3" w:rsidRDefault="00A72AF3" w:rsidP="008D0456">
      <w:pPr>
        <w:pStyle w:val="Heading5"/>
        <w:numPr>
          <w:ilvl w:val="3"/>
          <w:numId w:val="25"/>
        </w:numPr>
        <w:ind w:left="567" w:hanging="567"/>
      </w:pPr>
      <w:r>
        <w:t>Biomass cost-supply</w:t>
      </w:r>
    </w:p>
    <w:p w14:paraId="02E3B2CE" w14:textId="5CFB78FC" w:rsidR="00CF40A7" w:rsidRDefault="009D71EB" w:rsidP="007B392B">
      <w:r>
        <w:t>MARKAL-NL-UU includes detailed cost-supply curves of biomass supply from EU28 count</w:t>
      </w:r>
      <w:r w:rsidR="001D1C4B">
        <w:t>r</w:t>
      </w:r>
      <w:r>
        <w:t xml:space="preserve">ies. </w:t>
      </w:r>
      <w:r w:rsidR="006A19ED">
        <w:t>Biomass f</w:t>
      </w:r>
      <w:r>
        <w:t xml:space="preserve">eedstocks include sugar and vegetable oil crops, agricultural residues, </w:t>
      </w:r>
      <w:r w:rsidR="008E6981">
        <w:t xml:space="preserve">forestry and primary wood processing residues, </w:t>
      </w:r>
      <w:r>
        <w:t xml:space="preserve">energy </w:t>
      </w:r>
      <w:r w:rsidR="008E6981">
        <w:t>crops, short rotation forestry and organic waste. T</w:t>
      </w:r>
      <w:r w:rsidR="00AA239A">
        <w:t>he supply potential in 2010-2030 is based on the EU 7</w:t>
      </w:r>
      <w:r w:rsidR="00AA239A" w:rsidRPr="00AA239A">
        <w:rPr>
          <w:vertAlign w:val="superscript"/>
        </w:rPr>
        <w:t>th</w:t>
      </w:r>
      <w:r w:rsidR="00AA239A">
        <w:t xml:space="preserve"> Framework Project Biomass Policies </w:t>
      </w:r>
      <w:r w:rsidR="00AA239A">
        <w:fldChar w:fldCharType="begin" w:fldLock="1"/>
      </w:r>
      <w:r w:rsidR="00BE0C7C">
        <w:instrText>ADDIN CSL_CITATION { "citationItems" : [ { "id" : "ITEM-1", "itemData" : { "abstract" : "Elbersen, B. (2015) Outlook of spatial biomass value chains in EU28 Deliverable 2.3 of the Biomass Policies.", "author" : [ { "dropping-particle" : "", "family" : "Elbersen", "given" : "B", "non-dropping-particle" : "", "parse-names" : false, "suffix" : "" } ], "id" : "ITEM-1", "issued" : { "date-parts" : [ [ "2015" ] ] }, "title" : "Outlook of spatial value chains in EU28 - Deliverable 2.3 of Biomass Policies", "type" : "report" }, "uris" : [ "http://www.mendeley.com/documents/?uuid=16ef3cb1-184a-4894-a1f2-71e918dabb6c" ] } ], "mendeley" : { "formattedCitation" : "[25]", "plainTextFormattedCitation" : "[25]", "previouslyFormattedCitation" : "[25]" }, "properties" : { "noteIndex" : 0 }, "schema" : "https://github.com/citation-style-language/schema/raw/master/csl-citation.json" }</w:instrText>
      </w:r>
      <w:r w:rsidR="00AA239A">
        <w:fldChar w:fldCharType="separate"/>
      </w:r>
      <w:r w:rsidR="003F791C" w:rsidRPr="003F791C">
        <w:rPr>
          <w:noProof/>
        </w:rPr>
        <w:t>[25]</w:t>
      </w:r>
      <w:r w:rsidR="00AA239A">
        <w:fldChar w:fldCharType="end"/>
      </w:r>
      <w:r>
        <w:t xml:space="preserve"> </w:t>
      </w:r>
      <w:r w:rsidR="00AA239A">
        <w:t>and is consistent between MARKAL-NL-UU and MAGNET</w:t>
      </w:r>
      <w:r w:rsidR="00F65BE6">
        <w:t xml:space="preserve">. In addition, </w:t>
      </w:r>
      <w:r w:rsidR="00F64F83">
        <w:t xml:space="preserve">MARKAL-NL-UU uses </w:t>
      </w:r>
      <w:r w:rsidR="00F65BE6">
        <w:t>cost-prices of biomass feedstocks from the same project, while in MAGNET these are determined endogenously. Finally, MARKAL-NL-UU</w:t>
      </w:r>
      <w:r w:rsidR="00520DE0">
        <w:t xml:space="preserve"> includes cost-supply curves for wood pellets, sugar, biofuels (bioethanol, biodiesel) and vegetable oil from global markets</w:t>
      </w:r>
      <w:r w:rsidR="001D1C4B">
        <w:t xml:space="preserve"> </w:t>
      </w:r>
      <w:r w:rsidR="001D1C4B">
        <w:fldChar w:fldCharType="begin" w:fldLock="1"/>
      </w:r>
      <w:r w:rsidR="00BE0C7C">
        <w:instrText>ADDIN CSL_CITATION { "citationItems" : [ { "id" : "ITEM-1", "itemData" : { "author" : [ { "dropping-particle" : "", "family" : "Tsiropoulos", "given" : "I", "non-dropping-particle" : "", "parse-names" : false, "suffix" : "" }, { "dropping-particle" : "", "family" : "Hoefnagels", "given" : "R", "non-dropping-particle" : "", "parse-names" : false, "suffix" : "" }, { "dropping-particle" : "", "family" : "Jong", "given" : "S", "non-dropping-particle" : "de", "parse-names" : false, "suffix" : "" }, { "dropping-particle" : "", "family" : "Broek", "given" : "M", "non-dropping-particle" : "van den", "parse-names" : false, "suffix" : "" }, { "dropping-particle" : "", "family" : "Patel", "given" : "M.K.", "non-dropping-particle" : "", "parse-names" : false, "suffix" : "" }, { "dropping-particle" : "", "family" : "Faaij", "given" : "A.P.C.", "non-dropping-particle" : "", "parse-names" : false, "suffix" : "" } ], "container-title" : "Submitted", "id" : "ITEM-1", "issued" : { "date-parts" : [ [ "2016" ] ] }, "title" : "Emerging bioeconomy sectors in energy systems modelling \u2013 integrated systems analysis of electricity, heat, road, aviation fuels and chemicals: a case study for the Netherlands", "type" : "article-journal" }, "uris" : [ "http://www.mendeley.com/documents/?uuid=12803dca-5789-43dd-a658-43676406ca1f" ] } ], "mendeley" : { "formattedCitation" : "[17]", "plainTextFormattedCitation" : "[17]", "previouslyFormattedCitation" : "[17]" }, "properties" : { "noteIndex" : 0 }, "schema" : "https://github.com/citation-style-language/schema/raw/master/csl-citation.json" }</w:instrText>
      </w:r>
      <w:r w:rsidR="001D1C4B">
        <w:fldChar w:fldCharType="separate"/>
      </w:r>
      <w:r w:rsidR="003F791C" w:rsidRPr="003F791C">
        <w:rPr>
          <w:noProof/>
        </w:rPr>
        <w:t>[17]</w:t>
      </w:r>
      <w:r w:rsidR="001D1C4B">
        <w:fldChar w:fldCharType="end"/>
      </w:r>
      <w:r w:rsidR="00520DE0">
        <w:t xml:space="preserve">. </w:t>
      </w:r>
    </w:p>
    <w:p w14:paraId="20E042AF" w14:textId="77777777" w:rsidR="00CF40A7" w:rsidRDefault="00CF40A7" w:rsidP="007B392B"/>
    <w:p w14:paraId="566AFE47" w14:textId="77777777" w:rsidR="00CF40A7" w:rsidRDefault="007B392B" w:rsidP="00CF40A7">
      <w:r>
        <w:t>The influence of biomass sourcing on technology deployment is assessed using two scenario variants, namely a regional (</w:t>
      </w:r>
      <w:proofErr w:type="spellStart"/>
      <w:r>
        <w:t>Reg</w:t>
      </w:r>
      <w:proofErr w:type="spellEnd"/>
      <w:r>
        <w:t xml:space="preserve">) and a global (Glob) trade scenario. </w:t>
      </w:r>
      <w:r w:rsidR="00CF40A7">
        <w:t xml:space="preserve">The </w:t>
      </w:r>
      <w:proofErr w:type="spellStart"/>
      <w:r w:rsidR="00CF40A7">
        <w:t>Reg</w:t>
      </w:r>
      <w:proofErr w:type="spellEnd"/>
      <w:r w:rsidR="00CF40A7">
        <w:t xml:space="preserve"> scenario assumes that the EU supports bioeconomy developments only if EU resources are used, for example to ensure sustainability of supply, to reduce dependency on non-EU countries and to stimulate rural development and employment in the EU region. This scenario is also plausible if domestic biomass demand from exporting regions such as the USA increases or if strict sustainability criteria are applied by the EU thereby excluding large traded biomass resources such as primary forestry biomass due to carbon debt issues. In this scenario only EU biomass is taken into account for the potential supply.</w:t>
      </w:r>
    </w:p>
    <w:p w14:paraId="594EDE11" w14:textId="16CF98D6" w:rsidR="007B392B" w:rsidRDefault="00CF40A7" w:rsidP="00CF40A7">
      <w:r>
        <w:t>The Glob scenario assumes that no trade barriers for biomass are imposed as development and standardization of sustainability criteria guarantee the sustainable origins of biomass. Furthermore, another precondition is that logistics infrastructure and supply of biomass take place to achieve low biomass supply costs and make biomass a tradable commodity.</w:t>
      </w:r>
      <w:r w:rsidR="00F826D6">
        <w:t xml:space="preserve"> The same scenarios are assumed in MAGNET.</w:t>
      </w:r>
    </w:p>
    <w:p w14:paraId="4971DB2E" w14:textId="69899683" w:rsidR="00912EFD" w:rsidRDefault="00912EFD" w:rsidP="008D0456">
      <w:pPr>
        <w:pStyle w:val="Heading5"/>
        <w:numPr>
          <w:ilvl w:val="3"/>
          <w:numId w:val="25"/>
        </w:numPr>
        <w:ind w:left="709" w:hanging="709"/>
      </w:pPr>
      <w:r>
        <w:t>Technology cost-structure and development</w:t>
      </w:r>
    </w:p>
    <w:p w14:paraId="254EA619" w14:textId="192366A0" w:rsidR="005A1578" w:rsidRDefault="000603E8" w:rsidP="004E208A">
      <w:r>
        <w:t>MARKAL-NL-UU includes detailed cost structures of fixed and operating costs for a wide range of technologies</w:t>
      </w:r>
      <w:r w:rsidR="00875778">
        <w:t xml:space="preserve"> and their development to 2030. The cost-structures </w:t>
      </w:r>
      <w:r w:rsidR="005A1578">
        <w:t xml:space="preserve">for electricity production </w:t>
      </w:r>
      <w:r w:rsidR="008350E2">
        <w:t xml:space="preserve">(from </w:t>
      </w:r>
      <w:r w:rsidR="005A1578">
        <w:t>fossil fuels, biomass and other renewable resources</w:t>
      </w:r>
      <w:r w:rsidR="008350E2">
        <w:t>), 1</w:t>
      </w:r>
      <w:r w:rsidR="008350E2" w:rsidRPr="008350E2">
        <w:rPr>
          <w:vertAlign w:val="superscript"/>
        </w:rPr>
        <w:t>st</w:t>
      </w:r>
      <w:r w:rsidR="008350E2">
        <w:t xml:space="preserve"> generation biofuels, and </w:t>
      </w:r>
      <w:proofErr w:type="spellStart"/>
      <w:r w:rsidR="008350E2">
        <w:t>bioheat</w:t>
      </w:r>
      <w:proofErr w:type="spellEnd"/>
      <w:r w:rsidR="008350E2">
        <w:t xml:space="preserve"> </w:t>
      </w:r>
      <w:r w:rsidR="005A1578">
        <w:t>are directly used as inputs to MAGNET.</w:t>
      </w:r>
    </w:p>
    <w:p w14:paraId="1A948EBD" w14:textId="77777777" w:rsidR="005A1578" w:rsidRDefault="005A1578" w:rsidP="004E208A"/>
    <w:p w14:paraId="49C15027" w14:textId="4A598DC4" w:rsidR="00044869" w:rsidRDefault="00520DE0" w:rsidP="00044869">
      <w:r>
        <w:t xml:space="preserve">To assess </w:t>
      </w:r>
      <w:r w:rsidR="00AE04AE">
        <w:t xml:space="preserve">the deployment prospects for </w:t>
      </w:r>
      <w:r w:rsidR="00875778">
        <w:t xml:space="preserve">technologies in the mid-term for the Dutch energy and industry system, MARKAL-NL-UU incorporates two scenarios designed to </w:t>
      </w:r>
      <w:r w:rsidR="006B6434">
        <w:t xml:space="preserve">assess </w:t>
      </w:r>
      <w:r w:rsidR="00F85659">
        <w:t>different technology development rates.</w:t>
      </w:r>
      <w:r w:rsidR="009675AA">
        <w:t xml:space="preserve"> The two variants assume low (</w:t>
      </w:r>
      <w:proofErr w:type="spellStart"/>
      <w:r w:rsidR="009675AA">
        <w:t>LowTech</w:t>
      </w:r>
      <w:proofErr w:type="spellEnd"/>
      <w:r w:rsidR="009675AA">
        <w:t>) and high (</w:t>
      </w:r>
      <w:proofErr w:type="spellStart"/>
      <w:r w:rsidR="009675AA">
        <w:t>HighTech</w:t>
      </w:r>
      <w:proofErr w:type="spellEnd"/>
      <w:r w:rsidR="009675AA">
        <w:t>) speed of technology development.</w:t>
      </w:r>
      <w:r w:rsidR="0002065C">
        <w:t xml:space="preserve"> </w:t>
      </w:r>
      <w:r w:rsidR="00044869">
        <w:t>The technology development scenarios differ in terms of improvement rates in efficiency, year of commercialization, scales and technology portfolio. These parameters, ultimately affect the cost-competitiveness of biomass conversion technologies.</w:t>
      </w:r>
      <w:r w:rsidR="00382911">
        <w:t xml:space="preserve"> </w:t>
      </w:r>
      <w:r w:rsidR="00A03EE8">
        <w:t xml:space="preserve">These scenarios were </w:t>
      </w:r>
      <w:r w:rsidR="003A74B8">
        <w:t xml:space="preserve">developed around </w:t>
      </w:r>
      <w:r w:rsidR="00A03EE8">
        <w:t>2</w:t>
      </w:r>
      <w:r w:rsidR="00A03EE8" w:rsidRPr="00044869">
        <w:rPr>
          <w:vertAlign w:val="superscript"/>
        </w:rPr>
        <w:t>nd</w:t>
      </w:r>
      <w:r w:rsidR="00A03EE8">
        <w:t xml:space="preserve"> generation biomass conversion technologies to biofuels and biomass conversion technologies to biochemicals. </w:t>
      </w:r>
      <w:r w:rsidR="00044869">
        <w:t>More details can be found in</w:t>
      </w:r>
      <w:r w:rsidR="00382911">
        <w:t xml:space="preserve"> </w:t>
      </w:r>
      <w:r w:rsidR="00382911">
        <w:fldChar w:fldCharType="begin" w:fldLock="1"/>
      </w:r>
      <w:r w:rsidR="00BE0C7C">
        <w:instrText>ADDIN CSL_CITATION { "citationItems" : [ { "id" : "ITEM-1", "itemData" : { "author" : [ { "dropping-particle" : "", "family" : "Tsiropoulos", "given" : "I", "non-dropping-particle" : "", "parse-names" : false, "suffix" : "" }, { "dropping-particle" : "", "family" : "Hoefnagels", "given" : "R", "non-dropping-particle" : "", "parse-names" : false, "suffix" : "" }, { "dropping-particle" : "", "family" : "Jong", "given" : "S", "non-dropping-particle" : "de", "parse-names" : false, "suffix" : "" }, { "dropping-particle" : "", "family" : "Broek", "given" : "M", "non-dropping-particle" : "van den", "parse-names" : false, "suffix" : "" }, { "dropping-particle" : "", "family" : "Patel", "given" : "M.K.", "non-dropping-particle" : "", "parse-names" : false, "suffix" : "" }, { "dropping-particle" : "", "family" : "Faaij", "given" : "A.P.C.", "non-dropping-particle" : "", "parse-names" : false, "suffix" : "" } ], "container-title" : "Submitted", "id" : "ITEM-1", "issued" : { "date-parts" : [ [ "2016" ] ] }, "title" : "Emerging bioeconomy sectors in energy systems modelling \u2013 integrated systems analysis of electricity, heat, road, aviation fuels and chemicals: a case study for the Netherlands", "type" : "article-journal" }, "uris" : [ "http://www.mendeley.com/documents/?uuid=12803dca-5789-43dd-a658-43676406ca1f" ] } ], "mendeley" : { "formattedCitation" : "[17]", "plainTextFormattedCitation" : "[17]", "previouslyFormattedCitation" : "[17]" }, "properties" : { "noteIndex" : 0 }, "schema" : "https://github.com/citation-style-language/schema/raw/master/csl-citation.json" }</w:instrText>
      </w:r>
      <w:r w:rsidR="00382911">
        <w:fldChar w:fldCharType="separate"/>
      </w:r>
      <w:r w:rsidR="003F791C" w:rsidRPr="003F791C">
        <w:rPr>
          <w:noProof/>
        </w:rPr>
        <w:t>[17]</w:t>
      </w:r>
      <w:r w:rsidR="00382911">
        <w:fldChar w:fldCharType="end"/>
      </w:r>
      <w:r w:rsidR="00044869">
        <w:t xml:space="preserve">. </w:t>
      </w:r>
    </w:p>
    <w:p w14:paraId="2DAFF5AE" w14:textId="77777777" w:rsidR="00382911" w:rsidRDefault="00382911" w:rsidP="00875778"/>
    <w:p w14:paraId="36028FD0" w14:textId="6C1376D6" w:rsidR="009A0AE2" w:rsidRDefault="00636269" w:rsidP="00636269">
      <w:r>
        <w:t>As a result, outputs of MARKAL-NL-UU on prospective technologies for biofuels and biochemicals ultimately depend on the assumed combination of trade openness and technology development scenario</w:t>
      </w:r>
      <w:r w:rsidR="008247FD">
        <w:t>(</w:t>
      </w:r>
      <w:proofErr w:type="spellStart"/>
      <w:r w:rsidR="008247FD">
        <w:t>RegLowTech</w:t>
      </w:r>
      <w:proofErr w:type="spellEnd"/>
      <w:r w:rsidR="008247FD">
        <w:t xml:space="preserve">, </w:t>
      </w:r>
      <w:proofErr w:type="spellStart"/>
      <w:r w:rsidR="008247FD">
        <w:t>RegHighTech</w:t>
      </w:r>
      <w:proofErr w:type="spellEnd"/>
      <w:r w:rsidR="008247FD">
        <w:t xml:space="preserve">, </w:t>
      </w:r>
      <w:proofErr w:type="spellStart"/>
      <w:r w:rsidR="008247FD">
        <w:t>GlobLowTech</w:t>
      </w:r>
      <w:proofErr w:type="spellEnd"/>
      <w:r w:rsidR="008247FD">
        <w:t xml:space="preserve"> and </w:t>
      </w:r>
      <w:proofErr w:type="spellStart"/>
      <w:r w:rsidR="008247FD">
        <w:t>GlobHighTech</w:t>
      </w:r>
      <w:proofErr w:type="spellEnd"/>
      <w:r w:rsidR="008247FD">
        <w:t>)</w:t>
      </w:r>
      <w:r>
        <w:t xml:space="preserve">. </w:t>
      </w:r>
      <w:r w:rsidR="00FF17D7">
        <w:t xml:space="preserve">By supplying cost-structures of technologies of the bottom-up scenario to MAGNET </w:t>
      </w:r>
    </w:p>
    <w:p w14:paraId="38EA5779" w14:textId="6A8227CD" w:rsidR="009A0AE2" w:rsidRDefault="009A0AE2" w:rsidP="009A0AE2">
      <w:pPr>
        <w:pStyle w:val="Heading4"/>
        <w:numPr>
          <w:ilvl w:val="2"/>
          <w:numId w:val="25"/>
        </w:numPr>
        <w:ind w:left="426" w:hanging="426"/>
      </w:pPr>
      <w:r>
        <w:t>Bottom-up scenario results</w:t>
      </w:r>
    </w:p>
    <w:p w14:paraId="17E3079F" w14:textId="1E3DD105" w:rsidR="00636269" w:rsidRDefault="00636269" w:rsidP="00636269"/>
    <w:p w14:paraId="75031ACB" w14:textId="3A7AC1DE" w:rsidR="009703F1" w:rsidRDefault="009703F1" w:rsidP="00636269">
      <w:r>
        <w:t xml:space="preserve">Results from the bottom-up model for the four scenarios are used to provide insights and relevant data on technologies to MAGNET. </w:t>
      </w:r>
      <w:r w:rsidR="00EB355E">
        <w:t>In this section we focus on outcomes for the bioeconomy sectors.</w:t>
      </w:r>
    </w:p>
    <w:p w14:paraId="1327C72C" w14:textId="77777777" w:rsidR="009703F1" w:rsidRDefault="009703F1" w:rsidP="00636269"/>
    <w:p w14:paraId="38614AC9" w14:textId="76079405" w:rsidR="00EB355E" w:rsidRDefault="00EB355E" w:rsidP="00EB355E">
      <w:pPr>
        <w:pStyle w:val="ListParagraph"/>
        <w:numPr>
          <w:ilvl w:val="0"/>
          <w:numId w:val="29"/>
        </w:numPr>
      </w:pPr>
      <w:r>
        <w:t>Bioelectricity is limited across the scenario variants (about 9% of total electricity output), and is produced mainly from incineration of organic solid waste and co-produced by biorefineries, in particular in the high technology development scenarios. While biomass co-firing is not found to be a cost-attractive conversion pathway, it is selected as an input to MAGNET to model electricity production from biomass.</w:t>
      </w:r>
    </w:p>
    <w:p w14:paraId="559089ED" w14:textId="46362A70" w:rsidR="002650CA" w:rsidRDefault="007504F5" w:rsidP="00EB355E">
      <w:pPr>
        <w:pStyle w:val="ListParagraph"/>
        <w:numPr>
          <w:ilvl w:val="0"/>
          <w:numId w:val="29"/>
        </w:numPr>
      </w:pPr>
      <w:r>
        <w:t xml:space="preserve">Industrial heat from biomass is found as the most cost-optimal solution to meet EU RED targets when compared against other fossil and renewable alternatives. </w:t>
      </w:r>
      <w:r w:rsidR="00601FA1">
        <w:t>In the Netherlands, biomass heat in industry replaces primarily natural gas</w:t>
      </w:r>
      <w:r w:rsidR="002650CA">
        <w:t>, which remains the key fuel for heat</w:t>
      </w:r>
      <w:r w:rsidR="00BE7AAC">
        <w:t xml:space="preserve"> in other sectors</w:t>
      </w:r>
      <w:r w:rsidR="00601FA1">
        <w:t xml:space="preserve">. This shows </w:t>
      </w:r>
      <w:r w:rsidR="002650CA">
        <w:t xml:space="preserve">the importance of including </w:t>
      </w:r>
      <w:proofErr w:type="spellStart"/>
      <w:r w:rsidR="002650CA">
        <w:t>bioheat</w:t>
      </w:r>
      <w:proofErr w:type="spellEnd"/>
      <w:r w:rsidR="002650CA">
        <w:t xml:space="preserve"> </w:t>
      </w:r>
      <w:r w:rsidR="00D87E33">
        <w:t xml:space="preserve">as a natural gas substitute </w:t>
      </w:r>
      <w:r w:rsidR="002650CA">
        <w:t xml:space="preserve">in MAGNET. </w:t>
      </w:r>
    </w:p>
    <w:p w14:paraId="1FD629A0" w14:textId="2C6583EE" w:rsidR="00EB355E" w:rsidRDefault="00D87E33" w:rsidP="00EB355E">
      <w:pPr>
        <w:pStyle w:val="ListParagraph"/>
        <w:numPr>
          <w:ilvl w:val="0"/>
          <w:numId w:val="29"/>
        </w:numPr>
      </w:pPr>
      <w:r>
        <w:t>1</w:t>
      </w:r>
      <w:r w:rsidRPr="00D87E33">
        <w:rPr>
          <w:vertAlign w:val="superscript"/>
        </w:rPr>
        <w:t>st</w:t>
      </w:r>
      <w:r>
        <w:t xml:space="preserve"> generation biofuels are supplied in low technology development scenarios, while advanced 2</w:t>
      </w:r>
      <w:r w:rsidRPr="00D87E33">
        <w:rPr>
          <w:vertAlign w:val="superscript"/>
        </w:rPr>
        <w:t>nd</w:t>
      </w:r>
      <w:r>
        <w:t xml:space="preserve"> generation fuels (FT-fuels, 2</w:t>
      </w:r>
      <w:r w:rsidRPr="00D87E33">
        <w:rPr>
          <w:vertAlign w:val="superscript"/>
        </w:rPr>
        <w:t>nd</w:t>
      </w:r>
      <w:r>
        <w:t xml:space="preserve"> generation ethanol) are supplied in high technology development scenarios. </w:t>
      </w:r>
    </w:p>
    <w:p w14:paraId="5FE6B066" w14:textId="77777777" w:rsidR="00D87E33" w:rsidRDefault="00D87E33" w:rsidP="00EB355E">
      <w:pPr>
        <w:pStyle w:val="ListParagraph"/>
        <w:numPr>
          <w:ilvl w:val="0"/>
          <w:numId w:val="29"/>
        </w:numPr>
      </w:pPr>
      <w:r>
        <w:t>Oil naphtha remains the primary feedstock to produce chemicals. The production of sugar fermentation chemicals and bulk ethanol-based chemicals is significant. Sugar and ethanol supplied to the biochemical conversion technologies are both from 1</w:t>
      </w:r>
      <w:r w:rsidRPr="00D87E33">
        <w:rPr>
          <w:vertAlign w:val="superscript"/>
        </w:rPr>
        <w:t>st</w:t>
      </w:r>
      <w:r>
        <w:t xml:space="preserve"> and 2</w:t>
      </w:r>
      <w:r w:rsidRPr="00D87E33">
        <w:rPr>
          <w:vertAlign w:val="superscript"/>
        </w:rPr>
        <w:t>nd</w:t>
      </w:r>
      <w:r>
        <w:t xml:space="preserve"> generation resources.</w:t>
      </w:r>
    </w:p>
    <w:p w14:paraId="5638C2BB" w14:textId="714ECB39" w:rsidR="003D01B1" w:rsidRDefault="00792629" w:rsidP="004E208A">
      <w:pPr>
        <w:pStyle w:val="Heading3"/>
        <w:numPr>
          <w:ilvl w:val="1"/>
          <w:numId w:val="25"/>
        </w:numPr>
        <w:ind w:left="426" w:hanging="426"/>
      </w:pPr>
      <w:bookmarkStart w:id="2" w:name="_Ref448221813"/>
      <w:r>
        <w:t>Overview of the MAGNET model</w:t>
      </w:r>
      <w:bookmarkEnd w:id="2"/>
    </w:p>
    <w:p w14:paraId="0056DA30" w14:textId="2F9FDEAF" w:rsidR="005F3DC9" w:rsidRDefault="009B7909" w:rsidP="003D01B1">
      <w:r>
        <w:t>MAGNET is a recursive dynamic, multi-regional, multi-commodity CGE model, cove</w:t>
      </w:r>
      <w:r w:rsidR="00B34887">
        <w:t xml:space="preserve">ring the entire global economy </w:t>
      </w:r>
      <w:r w:rsidR="00B61664">
        <w:fldChar w:fldCharType="begin" w:fldLock="1"/>
      </w:r>
      <w:r w:rsidR="00BE0C7C">
        <w:instrText>ADDIN CSL_CITATION { "citationItems" : [ { "id" : "ITEM-1", "itemData" : { "author" : [ { "dropping-particle" : "", "family" : "Woltjer", "given" : "Geert", "non-dropping-particle" : "", "parse-names" : false, "suffix" : "" }, { "dropping-particle" : "", "family" : "Kavallari", "given" : "Aikaterini", "non-dropping-particle" : "", "parse-names" : false, "suffix" : "" }, { "dropping-particle" : "Van", "family" : "Meijl", "given" : "Hans", "non-dropping-particle" : "", "parse-names" : false, "suffix" : "" }, { "dropping-particle" : "", "family" : "Powell", "given" : "Jeff", "non-dropping-particle" : "", "parse-names" : false, "suffix" : "" }, { "dropping-particle" : "", "family" : "Rutten", "given" : "Martine", "non-dropping-particle" : "", "parse-names" : false, "suffix" : "" }, { "dropping-particle" : "", "family" : "Shutes", "given" : "Lindsay", "non-dropping-particle" : "", "parse-names" : false, "suffix" : "" } ], "id" : "ITEM-1", "issued" : { "date-parts" : [ [ "2014" ] ] }, "publisher-place" : "Wageningen", "title" : "The MAGNET model - Module description", "type" : "report" }, "uris" : [ "http://www.mendeley.com/documents/?uuid=2db5908a-e380-4b10-b22b-7afcf8f79dad" ] } ], "mendeley" : { "formattedCitation" : "[21]", "plainTextFormattedCitation" : "[21]", "previouslyFormattedCitation" : "[21]" }, "properties" : { "noteIndex" : 0 }, "schema" : "https://github.com/citation-style-language/schema/raw/master/csl-citation.json" }</w:instrText>
      </w:r>
      <w:r w:rsidR="00B61664">
        <w:fldChar w:fldCharType="separate"/>
      </w:r>
      <w:r w:rsidR="003F791C" w:rsidRPr="003F791C">
        <w:rPr>
          <w:noProof/>
        </w:rPr>
        <w:t>[21]</w:t>
      </w:r>
      <w:r w:rsidR="00B61664">
        <w:fldChar w:fldCharType="end"/>
      </w:r>
      <w:r>
        <w:t xml:space="preserve">. It is built upon the </w:t>
      </w:r>
      <w:r w:rsidR="00B836D1">
        <w:t xml:space="preserve">standard </w:t>
      </w:r>
      <w:r>
        <w:t xml:space="preserve">GTAP </w:t>
      </w:r>
      <w:r w:rsidR="00B836D1">
        <w:t>model</w:t>
      </w:r>
      <w:r>
        <w:t xml:space="preserve"> </w:t>
      </w:r>
      <w:r w:rsidR="00493C20">
        <w:fldChar w:fldCharType="begin" w:fldLock="1"/>
      </w:r>
      <w:r w:rsidR="00BE0C7C">
        <w:instrText>ADDIN CSL_CITATION { "citationItems" : [ { "id" : "ITEM-1", "itemData" : { "author" : [ { "dropping-particle" : "", "family" : "Hertel", "given" : "T.W.", "non-dropping-particle" : "", "parse-names" : false, "suffix" : "" } ], "id" : "ITEM-1", "issued" : { "date-parts" : [ [ "1997" ] ] }, "publisher" : "Cambridge University Press", "publisher-place" : "Cambridge", "title" : "Global Trade Analysis Modelling and Applications", "type" : "book" }, "uris" : [ "http://www.mendeley.com/documents/?uuid=9bb4643a-7f83-4d60-8834-ca764545ea3b" ] } ], "mendeley" : { "formattedCitation" : "[26]", "plainTextFormattedCitation" : "[26]", "previouslyFormattedCitation" : "[26]" }, "properties" : { "noteIndex" : 0 }, "schema" : "https://github.com/citation-style-language/schema/raw/master/csl-citation.json" }</w:instrText>
      </w:r>
      <w:r w:rsidR="00493C20">
        <w:fldChar w:fldCharType="separate"/>
      </w:r>
      <w:r w:rsidR="003F791C" w:rsidRPr="003F791C">
        <w:rPr>
          <w:noProof/>
        </w:rPr>
        <w:t>[26]</w:t>
      </w:r>
      <w:r w:rsidR="00493C20">
        <w:fldChar w:fldCharType="end"/>
      </w:r>
      <w:r>
        <w:t xml:space="preserve"> and is the successor to LEITAP, which has been previously used to assess bioeconomy </w:t>
      </w:r>
      <w:r w:rsidR="00493C20">
        <w:fldChar w:fldCharType="begin" w:fldLock="1"/>
      </w:r>
      <w:r w:rsidR="00BE0C7C">
        <w:instrText>ADDIN CSL_CITATION { "citationItems" : [ { "id" : "ITEM-1", "itemData" : { "DOI" : "10.1016/j.enpol.2013.04.026", "ISSN" : "03014215", "abstract" : "Biomass is considered one of the most important options in the transition to a sustainable energy system with reduced greenhouse gas (GHG) emissions and increased security of enegry supply. In order to facilitate this transition with targeted policies and implementation strategies, it is of vital importance to understand the economic benefits, uncertainties and risks of this transition. This article presents a quantification of the economic impacts on value added, employment shares and the trade balance as well as required biomass and avoided primary energy and greenhouse gases related to large scale biomass deployment on a country level (the Netherlands) for different future scenarios to 2030. This is done by using the macro-economic computable general equilibrium (CGE) model LEITAP, capable of quantifying direct and indirect effects of a bio-based economy combined with a spread sheet tool to address underlying technological details. Although the combined approach has limitations, the results of the projections show that substitution of fossil energy carriers by biomass, could have positive economic effects, as well as reducing GHG emissions and fossil energy requirement. Key factors to achieve these targets are enhanced technological development and the import of sustainable biomass resources to the Netherlands.", "author" : [ { "dropping-particle" : "", "family" : "Hoefnagels", "given" : "Ric", "non-dropping-particle" : "", "parse-names" : false, "suffix" : "" }, { "dropping-particle" : "", "family" : "Banse", "given" : "Martin", "non-dropping-particle" : "", "parse-names" : false, "suffix" : "" }, { "dropping-particle" : "", "family" : "Dornburg", "given" : "Veronika", "non-dropping-particle" : "", "parse-names" : false, "suffix" : "" }, { "dropping-particle" : "", "family" : "Faaij", "given" : "Andr\u00e9", "non-dropping-particle" : "", "parse-names" : false, "suffix" : "" } ], "container-title" : "Energy Policy", "id" : "ITEM-1", "issued" : { "date-parts" : [ [ "2013", "8" ] ] }, "page" : "1-18", "publisher" : "Elsevier", "title" : "Macro-economic impact of large-scale deployment of biomass resources for energy and materials on a national level\u2014A combined approach for the Netherlands", "type" : "article-journal", "volume" : "59" }, "uris" : [ "http://www.mendeley.com/documents/?uuid=3d7c3bbb-3360-4d54-9469-da8f6f488b68" ] } ], "mendeley" : { "formattedCitation" : "[19]", "plainTextFormattedCitation" : "[19]", "previouslyFormattedCitation" : "[19]" }, "properties" : { "noteIndex" : 0 }, "schema" : "https://github.com/citation-style-language/schema/raw/master/csl-citation.json" }</w:instrText>
      </w:r>
      <w:r w:rsidR="00493C20">
        <w:fldChar w:fldCharType="separate"/>
      </w:r>
      <w:r w:rsidR="003F791C" w:rsidRPr="003F791C">
        <w:rPr>
          <w:noProof/>
        </w:rPr>
        <w:t>[19]</w:t>
      </w:r>
      <w:r w:rsidR="00493C20">
        <w:fldChar w:fldCharType="end"/>
      </w:r>
      <w:r>
        <w:t xml:space="preserve"> and other policy analysis studies</w:t>
      </w:r>
      <w:r w:rsidR="00493C20">
        <w:t xml:space="preserve"> </w:t>
      </w:r>
      <w:r w:rsidR="005C3E36">
        <w:fldChar w:fldCharType="begin" w:fldLock="1"/>
      </w:r>
      <w:r w:rsidR="00BE0C7C">
        <w:instrText>ADDIN CSL_CITATION { "citationItems" : [ { "id" : "ITEM-1", "itemData" : { "DOI" : "10.1093/erae/jbn023", "abstract" : "This article assesses the implications of the EU Biofuels Directive (BFD) using a computable general equilibrium framework with endogenous land supply. The results show that, without policy intervention to stimulate the use of biofuel crops, the targets of the BFD will not be met. With the BFD, the enhanced demand for biofuel crops has a strong impact on agriculture globally and within Europe, leading to an increase in land use. On the other hand, the long-term declining trend in real agricultural prices may slow down or even reverse. ", "author" : [ { "dropping-particle" : "", "family" : "Banse", "given" : "Martin", "non-dropping-particle" : "", "parse-names" : false, "suffix" : "" }, { "dropping-particle" : "", "family" : "Meijl", "given" : "Hans", "non-dropping-particle" : "van", "parse-names" : false, "suffix" : "" }, { "dropping-particle" : "", "family" : "Tabeau", "given" : "Andrzej", "non-dropping-particle" : "", "parse-names" : false, "suffix" : "" }, { "dropping-particle" : "", "family" : "Woltjer", "given" : "Geert", "non-dropping-particle" : "", "parse-names" : false, "suffix" : "" } ], "container-title" : "European Review of Agricultural Economics ", "id" : "ITEM-1", "issue" : "2 ", "issued" : { "date-parts" : [ [ "2008", "6", "1" ] ] }, "note" : "10.1093/erae/jbn023", "page" : "117-141", "title" : "Will EU biofuel policies affect global agricultural markets?", "type" : "article-journal", "volume" : "35 " }, "uris" : [ "http://www.mendeley.com/documents/?uuid=87464310-99ed-4ebc-9e7b-65029c883794" ] }, { "id" : "ITEM-2", "itemData" : { "DOI" : "10.1016/j.agee.2005.11.006", "ISSN" : "01678809", "abstract" : "The impact of globalization on trade, production and land use was key to the Doha development round. Although many studies have shown the positive influence of liberalization on trade and production, the environmental questions remain unanswered in most studies. Here we present a combination of an economic (Global Trade Analysis Project, GTAP) and a biophysical (IMAGE) model. The methodology is innovative as it combines state of the art knowledge from both the economic and biophysical worlds. First, the treatment of agriculture and land use is improved in the economic model. For example, information from the OECD Policy Evaluation Model (PEM) was incorporated to improve the agricultural production structure and a new land allocation methodology was introduced using regional land supply curves to facilitate the conversion of idle land to productive land while giving consideration to the level of intensification. Secondly, the adapted economic model is linked to the biophysical modeling framework IMAGE allowing feedbacks of detailed heterogeneous information on land productivity to the economic framework. While often a rather pessimistic picture is portrayed for future developments of the agricultural sector in the EU (especially in liberalizing scenarios), our results show that no drastic decrease in land for agricultural purposes is expected for the EU25 the coming 30 years, since the global food market will experience an increase in demand because of expected growth in GDP and population in many developing countries. Moreover, the negative impact of liberalization of agricultural policies on European agricultural land use is small because on the one hand loss in EU's competitiveness leads partly to extensification instead of land abandonment, and secondly, the recent agricultural reforms of the EU changed the protection from market to income support which has less production effects. Changes in land use will be more outspoken in developing countries like Africa.", "author" : [ { "dropping-particle" : "", "family" : "Meijl", "given" : "H.", "non-dropping-particle" : "van", "parse-names" : false, "suffix" : "" }, { "dropping-particle" : "", "family" : "Rheenen", "given" : "T.", "non-dropping-particle" : "van", "parse-names" : false, "suffix" : "" }, { "dropping-particle" : "", "family" : "Tabeau", "given" : "A.", "non-dropping-particle" : "", "parse-names" : false, "suffix" : "" }, { "dropping-particle" : "", "family" : "Eickhout", "given" : "B.", "non-dropping-particle" : "", "parse-names" : false, "suffix" : "" } ], "container-title" : "Agriculture, Ecosystems &amp; Environment", "id" : "ITEM-2", "issue" : "1", "issued" : { "date-parts" : [ [ "2006", "5" ] ] }, "page" : "21-38", "title" : "The impact of different policy environments on agricultural land use in Europe", "type" : "article-journal", "volume" : "114" }, "uris" : [ "http://www.mendeley.com/documents/?uuid=6cfddc32-d58e-43ca-81d4-adf111fdbffa" ] } ], "mendeley" : { "formattedCitation" : "[27,28]", "plainTextFormattedCitation" : "[27,28]", "previouslyFormattedCitation" : "[27,28]" }, "properties" : { "noteIndex" : 0 }, "schema" : "https://github.com/citation-style-language/schema/raw/master/csl-citation.json" }</w:instrText>
      </w:r>
      <w:r w:rsidR="005C3E36">
        <w:fldChar w:fldCharType="separate"/>
      </w:r>
      <w:r w:rsidR="003F791C" w:rsidRPr="003F791C">
        <w:rPr>
          <w:noProof/>
        </w:rPr>
        <w:t>[27,28]</w:t>
      </w:r>
      <w:r w:rsidR="005C3E36">
        <w:fldChar w:fldCharType="end"/>
      </w:r>
      <w:r>
        <w:t xml:space="preserve">. In the </w:t>
      </w:r>
      <w:r w:rsidR="001B3F47">
        <w:t>GTAP database,</w:t>
      </w:r>
      <w:r>
        <w:t xml:space="preserve"> primary production factors (land, labor, capital, natural resources) are linked through value added chains with industries to deliver final goods and services for consumption. MAGNET</w:t>
      </w:r>
      <w:r w:rsidR="00EC45E2">
        <w:t xml:space="preserve"> </w:t>
      </w:r>
      <w:r>
        <w:t>uses a general multilevel sector-specific nested constant elasticity of substitution (CES)</w:t>
      </w:r>
      <w:r w:rsidR="00EC45E2">
        <w:t xml:space="preserve"> production function to allow for substitution between primary production factors and intermediate production factors and for substitution between different intermediate inputs such as </w:t>
      </w:r>
      <w:r w:rsidR="00B836D1">
        <w:t>land</w:t>
      </w:r>
      <w:r w:rsidR="00EC45E2">
        <w:t xml:space="preserve"> and animal feed. It includes an improved treatment of agricultural sectors with emphasis on land (imperfectly substitutable types of land, land use allocation structure, land supply function), feed components, agricultural policies and biofuel policies</w:t>
      </w:r>
      <w:r w:rsidR="00D91D32">
        <w:t xml:space="preserve"> </w:t>
      </w:r>
      <w:r w:rsidR="00D91D32">
        <w:fldChar w:fldCharType="begin" w:fldLock="1"/>
      </w:r>
      <w:r w:rsidR="00BE0C7C">
        <w:instrText>ADDIN CSL_CITATION { "citationItems" : [ { "id" : "ITEM-1", "itemData" : { "author" : [ { "dropping-particle" : "", "family" : "Eickhout", "given" : "B.", "non-dropping-particle" : "", "parse-names" : false, "suffix" : "" }, { "dropping-particle" : "", "family" : "Meijl", "given" : "H.", "non-dropping-particle" : "van", "parse-names" : false, "suffix" : "" }, { "dropping-particle" : "", "family" : "Tabeau", "given" : "A.", "non-dropping-particle" : "", "parse-names" : false, "suffix" : "" }, { "dropping-particle" : "", "family" : "Stehfest", "given" : "E.", "non-dropping-particle" : "", "parse-names" : false, "suffix" : "" } ], "container-title" : "Economic analysis of land use in global climate change policy", "editor" : [ { "dropping-particle" : "", "family" : "Hertel", "given" : "T.W.", "non-dropping-particle" : "", "parse-names" : false, "suffix" : "" }, { "dropping-particle" : "", "family" : "Rose", "given" : "S.", "non-dropping-particle" : "", "parse-names" : false, "suffix" : "" }, { "dropping-particle" : "", "family" : "Tol", "given" : "R.", "non-dropping-particle" : "", "parse-names" : false, "suffix" : "" } ], "id" : "ITEM-1", "issued" : { "date-parts" : [ [ "2009" ] ] }, "page" : "206-234", "publisher" : "Routledge", "publisher-place" : "London and New York", "title" : "The impact of environmental and climate constraints on global food supply", "type" : "chapter" }, "uris" : [ "http://www.mendeley.com/documents/?uuid=dc167d73-50a8-4323-a61c-01c850138cfa" ] }, { "id" : "ITEM-2", "itemData" : { "DOI" : "10.1016/j.agee.2005.11.006", "ISSN" : "01678809", "abstract" : "The impact of globalization on trade, production and land use was key to the Doha development round. Although many studies have shown the positive influence of liberalization on trade and production, the environmental questions remain unanswered in most studies. Here we present a combination of an economic (Global Trade Analysis Project, GTAP) and a biophysical (IMAGE) model. The methodology is innovative as it combines state of the art knowledge from both the economic and biophysical worlds. First, the treatment of agriculture and land use is improved in the economic model. For example, information from the OECD Policy Evaluation Model (PEM) was incorporated to improve the agricultural production structure and a new land allocation methodology was introduced using regional land supply curves to facilitate the conversion of idle land to productive land while giving consideration to the level of intensification. Secondly, the adapted economic model is linked to the biophysical modeling framework IMAGE allowing feedbacks of detailed heterogeneous information on land productivity to the economic framework. While often a rather pessimistic picture is portrayed for future developments of the agricultural sector in the EU (especially in liberalizing scenarios), our results show that no drastic decrease in land for agricultural purposes is expected for the EU25 the coming 30 years, since the global food market will experience an increase in demand because of expected growth in GDP and population in many developing countries. Moreover, the negative impact of liberalization of agricultural policies on European agricultural land use is small because on the one hand loss in EU's competitiveness leads partly to extensification instead of land abandonment, and secondly, the recent agricultural reforms of the EU changed the protection from market to income support which has less production effects. Changes in land use will be more outspoken in developing countries like Africa.", "author" : [ { "dropping-particle" : "", "family" : "Meijl", "given" : "H.", "non-dropping-particle" : "van", "parse-names" : false, "suffix" : "" }, { "dropping-particle" : "", "family" : "Rheenen", "given" : "T.", "non-dropping-particle" : "van", "parse-names" : false, "suffix" : "" }, { "dropping-particle" : "", "family" : "Tabeau", "given" : "A.", "non-dropping-particle" : "", "parse-names" : false, "suffix" : "" }, { "dropping-particle" : "", "family" : "Eickhout", "given" : "B.", "non-dropping-particle" : "", "parse-names" : false, "suffix" : "" } ], "container-title" : "Agriculture, Ecosystems &amp; Environment", "id" : "ITEM-2", "issue" : "1", "issued" : { "date-parts" : [ [ "2006", "5" ] ] }, "page" : "21-38", "title" : "The impact of different policy environments on agricultural land use in Europe", "type" : "article-journal", "volume" : "114" }, "uris" : [ "http://www.mendeley.com/documents/?uuid=6cfddc32-d58e-43ca-81d4-adf111fdbffa" ] }, { "id" : "ITEM-3", "itemData" : { "DOI" : "10.1093/erae/jbn023", "abstract" : "This article assesses the implications of the EU Biofuels Directive (BFD) using a computable general equilibrium framework with endogenous land supply. The results show that, without policy intervention to stimulate the use of biofuel crops, the targets of the BFD will not be met. With the BFD, the enhanced demand for biofuel crops has a strong impact on agriculture globally and within Europe, leading to an increase in land use. On the other hand, the long-term declining trend in real agricultural prices may slow down or even reverse. ", "author" : [ { "dropping-particle" : "", "family" : "Banse", "given" : "Martin", "non-dropping-particle" : "", "parse-names" : false, "suffix" : "" }, { "dropping-particle" : "", "family" : "Meijl", "given" : "Hans", "non-dropping-particle" : "van", "parse-names" : false, "suffix" : "" }, { "dropping-particle" : "", "family" : "Tabeau", "given" : "Andrzej", "non-dropping-particle" : "", "parse-names" : false, "suffix" : "" }, { "dropping-particle" : "", "family" : "Woltjer", "given" : "Geert", "non-dropping-particle" : "", "parse-names" : false, "suffix" : "" } ], "container-title" : "European Review of Agricultural Economics ", "id" : "ITEM-3", "issue" : "2 ", "issued" : { "date-parts" : [ [ "2008", "6", "1" ] ] }, "note" : "10.1093/erae/jbn023", "page" : "117-141", "title" : "Will EU biofuel policies affect global agricultural markets?", "type" : "article-journal", "volume" : "35 " }, "uris" : [ "http://www.mendeley.com/documents/?uuid=87464310-99ed-4ebc-9e7b-65029c883794" ] }, { "id" : "ITEM-4", "itemData" : { "ISSN" : "10535888", "author" : [ { "dropping-particle" : "", "family" : "Nowicky", "given" : "P", "non-dropping-particle" : "", "parse-names" : false, "suffix" : "" }, { "dropping-particle" : "", "family" : "Goba", "given" : "V", "non-dropping-particle" : "", "parse-names" : false, "suffix" : "" }, { "dropping-particle" : "", "family" : "Knierim", "given" : "A", "non-dropping-particle" : "", "parse-names" : false, "suffix" : "" }, { "dropping-particle" : "", "family" : "Meijl", "given" : "H", "non-dropping-particle" : "van", "parse-names" : false, "suffix" : "" }, { "dropping-particle" : "", "family" : "Banse", "given" : "M", "non-dropping-particle" : "", "parse-names" : false, "suffix" : "" }, { "dropping-particle" : "", "family" : "Delbaere", "given" : "B", "non-dropping-particle" : "", "parse-names" : false, "suffix" : "" }, { "dropping-particle" : "", "family" : "Helming", "given" : "J", "non-dropping-particle" : "", "parse-names" : false, "suffix" : "" }, { "dropping-particle" : "", "family" : "Hunke", "given" : "P", "non-dropping-particle" : "", "parse-names" : false, "suffix" : "" }, { "dropping-particle" : "", "family" : "Jansson", "given" : "K", "non-dropping-particle" : "", "parse-names" : false, "suffix" : "" }, { "dropping-particle" : "", "family" : "Jansson", "given" : "T", "non-dropping-particle" : "", "parse-names" : false, "suffix" : "" }, { "dropping-particle" : "", "family" : "Jones-Walters", "given" : "L", "non-dropping-particle" : "", "parse-names" : false, "suffix" : "" }, { "dropping-particle" : "", "family" : "Mikos", "given" : "V", "non-dropping-particle" : "", "parse-names" : false, "suffix" : "" }, { "dropping-particle" : "", "family" : "Sattler", "given" : "C", "non-dropping-particle" : "", "parse-names" : false, "suffix" : "" }, { "dropping-particle" : "", "family" : "Schlaefke", "given" : "N", "non-dropping-particle" : "", "parse-names" : false, "suffix" : "" }, { "dropping-particle" : "", "family" : "Terluin", "given" : "I", "non-dropping-particle" : "", "parse-names" : false, "suffix" : "" }, { "dropping-particle" : "", "family" : "Vergooh", "given" : "D", "non-dropping-particle" : "", "parse-names" : false, "suffix" : "" } ], "editor" : [ { "dropping-particle" : "van", "family" : "Uden", "given" : "Glynis", "non-dropping-particle" : "", "parse-names" : false, "suffix" : "" } ], "id" : "ITEM-4", "issued" : { "date-parts" : [ [ "2009" ] ] }, "publisher" : "European Commission, Directorate-General Agriculture and Rural Development", "publisher-place" : "Brussels", "title" : "Scenar 2020-II - Update of Analysis of Prospects in the Scenar 2020 Study", "type" : "book" }, "uris" : [ "http://www.mendeley.com/documents/?uuid=d2640ed2-39b7-4bed-8fde-b98969b3c78e" ] } ], "mendeley" : { "formattedCitation" : "[27\u201330]", "plainTextFormattedCitation" : "[27\u201330]", "previouslyFormattedCitation" : "[27\u201330]" }, "properties" : { "noteIndex" : 0 }, "schema" : "https://github.com/citation-style-language/schema/raw/master/csl-citation.json" }</w:instrText>
      </w:r>
      <w:r w:rsidR="00D91D32">
        <w:fldChar w:fldCharType="separate"/>
      </w:r>
      <w:r w:rsidR="003F791C" w:rsidRPr="003F791C">
        <w:rPr>
          <w:noProof/>
        </w:rPr>
        <w:t>[27–30]</w:t>
      </w:r>
      <w:r w:rsidR="00D91D32">
        <w:fldChar w:fldCharType="end"/>
      </w:r>
      <w:r w:rsidR="00EC45E2">
        <w:t xml:space="preserve">. </w:t>
      </w:r>
      <w:r w:rsidR="00C570D7" w:rsidRPr="00C570D7">
        <w:t xml:space="preserve">On the consumption side, a dynamic </w:t>
      </w:r>
      <w:r w:rsidR="00496090">
        <w:t>c</w:t>
      </w:r>
      <w:r w:rsidR="00496090" w:rsidRPr="00496090">
        <w:t xml:space="preserve">onstant difference of elasticities </w:t>
      </w:r>
      <w:r w:rsidR="00496090">
        <w:t>(</w:t>
      </w:r>
      <w:r w:rsidR="00C570D7" w:rsidRPr="00C570D7">
        <w:t>CDE</w:t>
      </w:r>
      <w:r w:rsidR="00496090">
        <w:t>)</w:t>
      </w:r>
      <w:r w:rsidR="00C570D7" w:rsidRPr="00C570D7">
        <w:t xml:space="preserve"> expenditure function is implemented which allows for</w:t>
      </w:r>
      <w:r w:rsidR="00C570D7">
        <w:t xml:space="preserve"> </w:t>
      </w:r>
      <w:r w:rsidR="00C570D7" w:rsidRPr="00C570D7">
        <w:t xml:space="preserve">changes in income elasticities when purchasing power parity (PPP) corrected real </w:t>
      </w:r>
      <w:r w:rsidR="00211DB3">
        <w:t>gross domestic product (</w:t>
      </w:r>
      <w:r w:rsidR="00C570D7" w:rsidRPr="00C570D7">
        <w:t>GDP</w:t>
      </w:r>
      <w:r w:rsidR="00211DB3">
        <w:t>)</w:t>
      </w:r>
      <w:r w:rsidR="00C570D7" w:rsidRPr="00C570D7">
        <w:t xml:space="preserve"> per capita</w:t>
      </w:r>
      <w:r w:rsidR="00C570D7">
        <w:t xml:space="preserve"> </w:t>
      </w:r>
      <w:r w:rsidR="00591BD4">
        <w:t xml:space="preserve">changes. </w:t>
      </w:r>
      <w:r w:rsidR="00C570D7" w:rsidRPr="00C570D7">
        <w:t xml:space="preserve">Segmentation and imperfect mobility between agriculture and non-agriculture </w:t>
      </w:r>
      <w:proofErr w:type="spellStart"/>
      <w:r w:rsidR="00C570D7" w:rsidRPr="00C570D7">
        <w:t>labour</w:t>
      </w:r>
      <w:proofErr w:type="spellEnd"/>
      <w:r w:rsidR="00C570D7" w:rsidRPr="00C570D7">
        <w:t xml:space="preserve"> and</w:t>
      </w:r>
      <w:r w:rsidR="00C570D7">
        <w:t xml:space="preserve"> </w:t>
      </w:r>
      <w:r w:rsidR="00C570D7" w:rsidRPr="00C570D7">
        <w:t>capital are introduced in the modelling of factors markets</w:t>
      </w:r>
      <w:r w:rsidR="00FA11D8">
        <w:t>.</w:t>
      </w:r>
    </w:p>
    <w:p w14:paraId="1F0EE073" w14:textId="0940B45F" w:rsidR="00281CD3" w:rsidRDefault="00281CD3" w:rsidP="004E208A">
      <w:pPr>
        <w:pStyle w:val="Heading3"/>
        <w:numPr>
          <w:ilvl w:val="1"/>
          <w:numId w:val="25"/>
        </w:numPr>
        <w:ind w:left="426" w:hanging="426"/>
      </w:pPr>
      <w:r>
        <w:t xml:space="preserve">New </w:t>
      </w:r>
      <w:r w:rsidR="00636CA1">
        <w:t xml:space="preserve">bioeconomy </w:t>
      </w:r>
      <w:r>
        <w:t>sectors</w:t>
      </w:r>
      <w:r w:rsidR="00636CA1">
        <w:t xml:space="preserve"> in MAGNET</w:t>
      </w:r>
    </w:p>
    <w:p w14:paraId="5D2315A9" w14:textId="2EA8C9EF" w:rsidR="008B3F01" w:rsidRDefault="008B3F01" w:rsidP="008B3F01">
      <w:r>
        <w:t xml:space="preserve">Explicit modelling of </w:t>
      </w:r>
      <w:r w:rsidR="00E1631A">
        <w:t xml:space="preserve">the </w:t>
      </w:r>
      <w:r>
        <w:t xml:space="preserve">bioeconomy in MAGNET calls for an improved representation </w:t>
      </w:r>
      <w:r w:rsidR="008325E5">
        <w:t xml:space="preserve">of biomass </w:t>
      </w:r>
      <w:r>
        <w:t xml:space="preserve">across the whole value chain, namely on </w:t>
      </w:r>
      <w:r w:rsidR="00E70D4F">
        <w:t xml:space="preserve">supply (new </w:t>
      </w:r>
      <w:r>
        <w:t>feedstocks</w:t>
      </w:r>
      <w:r w:rsidR="003C1068">
        <w:t xml:space="preserve"> and pretreatment</w:t>
      </w:r>
      <w:r w:rsidR="00E70D4F">
        <w:t>)</w:t>
      </w:r>
      <w:r w:rsidR="00B3568A">
        <w:t xml:space="preserve"> and</w:t>
      </w:r>
      <w:r>
        <w:t xml:space="preserve"> conversion</w:t>
      </w:r>
      <w:r w:rsidR="00B3568A">
        <w:t xml:space="preserve"> technologies that deliver to bioeconomy </w:t>
      </w:r>
      <w:r>
        <w:t>sectors</w:t>
      </w:r>
      <w:r w:rsidR="00E70D4F">
        <w:t>.</w:t>
      </w:r>
      <w:r>
        <w:t xml:space="preserve"> </w:t>
      </w:r>
    </w:p>
    <w:p w14:paraId="342F9521" w14:textId="310701C2" w:rsidR="00636CA1" w:rsidRPr="00DA2B7C" w:rsidRDefault="00E70D4F" w:rsidP="004E208A">
      <w:pPr>
        <w:pStyle w:val="Heading4"/>
        <w:numPr>
          <w:ilvl w:val="2"/>
          <w:numId w:val="25"/>
        </w:numPr>
        <w:ind w:left="567" w:hanging="567"/>
      </w:pPr>
      <w:r w:rsidRPr="00DA2B7C">
        <w:t>Biomass supply</w:t>
      </w:r>
    </w:p>
    <w:p w14:paraId="42CA9E95" w14:textId="672434BA" w:rsidR="00EF7532" w:rsidRDefault="00FC1CFE" w:rsidP="00CD1E90">
      <w:r>
        <w:t xml:space="preserve">Agricultural and forestry residues </w:t>
      </w:r>
      <w:r w:rsidR="007E54A7">
        <w:t xml:space="preserve">are frequently addressed as key biomass feedstocks </w:t>
      </w:r>
      <w:r w:rsidR="00804D51">
        <w:t xml:space="preserve">for energy and non-energy uses </w:t>
      </w:r>
      <w:r w:rsidR="00804D51">
        <w:fldChar w:fldCharType="begin" w:fldLock="1"/>
      </w:r>
      <w:r w:rsidR="00BE0C7C">
        <w:instrText>ADDIN CSL_CITATION { "citationItems" : [ { "id" : "ITEM-1", "itemData" : { "DOI" : "10.1007/s10584-013-0965-3", "ISBN" : "0165-0009", "ISSN" : "01650009", "abstract" : "This study explores the importance of bioenergy to potential future energy transformation and climate change management. Using a large inter-model comparison of 15 models, we comprehensively characterize and analyze future dependence on, and the value of, bioenergy in achieving potential long-run climate objectives. Model scenarios project, by 2050, bioenergy growth of 1 to 10 % per annum reaching 1 to 35 % of global primary energy, and by 2100, bioenergy becoming 10 to 50 % of global primary energy. Non-OECD regions are projected to be the dominant suppliers of biomass, as well as consumers, with up to 35 % of regional electricity from biopower by 2050, and up to 70 % of regional liquid fuels from biofuels by 2050. Bioenergy is found to be valuable to many models with significant implications for mitigation and macroeco- nomic costs of climate policies. The availability of bioenergy, in particular biomass with carbon dioxide capture and storage (BECCS), notably affects the cost-effective global emissions trajectory for climate management by accommodating prolonged near-term use of fossil fuels, but with potential implications for climate outcomes. Finally, we find that models cost-effectively trade-off land carbon and nitrous oxide emissions for the long-run climate change management benefits of bioenergy. The results suggest opportunities, but also imply challenges. Overall, further evaluation of the viability of large-scale global bioenergy is merited.", "author" : [ { "dropping-particle" : "", "family" : "Rose", "given" : "Steven K.", "non-dropping-particle" : "", "parse-names" : false, "suffix" : "" }, { "dropping-particle" : "", "family" : "Kriegler", "given" : "Elmar", "non-dropping-particle" : "", "parse-names" : false, "suffix" : "" }, { "dropping-particle" : "", "family" : "Bibas", "given" : "Ruben", "non-dropping-particle" : "", "parse-names" : false, "suffix" : "" }, { "dropping-particle" : "", "family" : "Calvin", "given" : "Katherine", "non-dropping-particle" : "", "parse-names" : false, "suffix" : "" }, { "dropping-particle" : "", "family" : "Popp", "given" : "Alexander", "non-dropping-particle" : "", "parse-names" : false, "suffix" : "" }, { "dropping-particle" : "", "family" : "Vuuren", "given" : "Detlef P.", "non-dropping-particle" : "van", "parse-names" : false, "suffix" : "" }, { "dropping-particle" : "", "family" : "Weyant", "given" : "John", "non-dropping-particle" : "", "parse-names" : false, "suffix" : "" } ], "container-title" : "Climatic Change", "id" : "ITEM-1", "issue" : "3-4", "issued" : { "date-parts" : [ [ "2014" ] ] }, "page" : "477-493", "title" : "Bioenergy in energy transformation and climate management", "type" : "article-journal", "volume" : "123" }, "uris" : [ "http://www.mendeley.com/documents/?uuid=38a3c28e-4fdc-4e1e-b57a-a9827cf6aeac" ] }, { "id" : "ITEM-2", "itemData" : { "DOI" : "10.1111/gcbb.12228", "ISSN" : "17571693", "author" : [ { "dropping-particle" : "", "family" : "Daioglou", "given" : "Vassilis", "non-dropping-particle" : "", "parse-names" : false, "suffix" : "" }, { "dropping-particle" : "", "family" : "Wicke", "given" : "Birka", "non-dropping-particle" : "", "parse-names" : false, "suffix" : "" }, { "dropping-particle" : "", "family" : "Faaij", "given" : "Andre P. C.", "non-dropping-particle" : "", "parse-names" : false, "suffix" : "" }, { "dropping-particle" : "", "family" : "Vuuren", "given" : "Detlef P.", "non-dropping-particle" : "van", "parse-names" : false, "suffix" : "" } ], "container-title" : "GCB Bioenergy", "id" : "ITEM-2", "issue" : "6", "issued" : { "date-parts" : [ [ "2015", "11", "14" ] ] }, "page" : "1321-1334", "title" : "Competing uses of biomass for energy and chemicals: implications for long-term global CO 2 mitigation potential", "type" : "article-journal", "volume" : "7" }, "uris" : [ "http://www.mendeley.com/documents/?uuid=01aded7d-5a23-4885-88ce-51f51e440531" ] } ], "mendeley" : { "formattedCitation" : "[31,32]", "plainTextFormattedCitation" : "[31,32]", "previouslyFormattedCitation" : "[31,32]" }, "properties" : { "noteIndex" : 0 }, "schema" : "https://github.com/citation-style-language/schema/raw/master/csl-citation.json" }</w:instrText>
      </w:r>
      <w:r w:rsidR="00804D51">
        <w:fldChar w:fldCharType="separate"/>
      </w:r>
      <w:r w:rsidR="003F791C" w:rsidRPr="003F791C">
        <w:rPr>
          <w:noProof/>
        </w:rPr>
        <w:t>[31,32]</w:t>
      </w:r>
      <w:r w:rsidR="00804D51">
        <w:fldChar w:fldCharType="end"/>
      </w:r>
      <w:r w:rsidR="007E54A7">
        <w:t xml:space="preserve">. </w:t>
      </w:r>
      <w:r w:rsidR="00F903EA">
        <w:t>T</w:t>
      </w:r>
      <w:r w:rsidR="003A1AC9">
        <w:t>here is sufficient evidence</w:t>
      </w:r>
      <w:r w:rsidR="007E54A7">
        <w:t xml:space="preserve"> </w:t>
      </w:r>
      <w:r w:rsidR="00F903EA">
        <w:t xml:space="preserve">to suggest </w:t>
      </w:r>
      <w:r w:rsidR="007E54A7">
        <w:t xml:space="preserve">that </w:t>
      </w:r>
      <w:r w:rsidR="00F903EA">
        <w:t xml:space="preserve">biomass </w:t>
      </w:r>
      <w:r w:rsidR="003A1AC9">
        <w:t xml:space="preserve">residues have </w:t>
      </w:r>
      <w:r w:rsidR="007E54A7">
        <w:t>large supply potential</w:t>
      </w:r>
      <w:r w:rsidR="00F903EA">
        <w:t xml:space="preserve">, and as side-streams of primary production (forest, agriculture) or processing sectors (forest management, wood and food processing) they have low supply costs and are not associated with </w:t>
      </w:r>
      <w:r w:rsidR="007E54A7">
        <w:t>direct or indirect land-use changes, which has raised concerns</w:t>
      </w:r>
      <w:r w:rsidR="003839B1">
        <w:t xml:space="preserve"> </w:t>
      </w:r>
      <w:r w:rsidR="001663BD">
        <w:t>about</w:t>
      </w:r>
      <w:r w:rsidR="00996B4B">
        <w:t xml:space="preserve"> the emission profile of</w:t>
      </w:r>
      <w:r w:rsidR="001663BD">
        <w:t xml:space="preserve"> </w:t>
      </w:r>
      <w:r w:rsidR="003839B1">
        <w:t>bioenergy</w:t>
      </w:r>
      <w:r w:rsidR="00B10EE7">
        <w:t xml:space="preserve"> </w:t>
      </w:r>
      <w:r w:rsidR="00B10EE7">
        <w:fldChar w:fldCharType="begin" w:fldLock="1"/>
      </w:r>
      <w:r w:rsidR="00B10EE7">
        <w:instrText>ADDIN CSL_CITATION { "citationItems" : [ { "id" : "ITEM-1", "itemData" : { "ISBN" : "9781107607101", "author" : [ { "dropping-particle" : "", "family" : "Chum", "given" : "H", "non-dropping-particle" : "", "parse-names" : false, "suffix" : "" }, { "dropping-particle" : "", "family" : "Faaij", "given" : "A", "non-dropping-particle" : "", "parse-names" : false, "suffix" : "" }, { "dropping-particle" : "", "family" : "Moreira", "given" : "J", "non-dropping-particle" : "", "parse-names" : false, "suffix" : "" }, { "dropping-particle" : "", "family" : "Berndes", "given" : "G", "non-dropping-particle" : "", "parse-names" : false, "suffix" : "" }, { "dropping-particle" : "", "family" : "Dhamija", "given" : "P", "non-dropping-particle" : "", "parse-names" : false, "suffix" : "" }, { "dropping-particle" : "", "family" : "Dong", "given" : "H", "non-dropping-particle" : "", "parse-names" : false, "suffix" : "" }, { "dropping-particle" : "", "family" : "Gabrielle", "given" : "B", "non-dropping-particle" : "", "parse-names" : false, "suffix" : "" }, { "dropping-particle" : "", "family" : "Eng", "given" : "a Goss", "non-dropping-particle" : "", "parse-names" : false, "suffix" : "" }, { "dropping-particle" : "", "family" : "Cerutti", "given" : "O Masera", "non-dropping-particle" : "", "parse-names" : false, "suffix" : "" }, { "dropping-particle" : "", "family" : "Mcintyre", "given" : "T", "non-dropping-particle" : "", "parse-names" : false, "suffix" : "" }, { "dropping-particle" : "", "family" : "Minowa", "given" : "T", "non-dropping-particle" : "", "parse-names" : false, "suffix" : "" }, { "dropping-particle" : "", "family" : "Pingoud", "given" : "K", "non-dropping-particle" : "", "parse-names" : false, "suffix" : "" } ], "container-title" : "IPCC Special Report on Renewable Energy Sources and Climate Change Mitigation", "editor" : [ { "dropping-particle" : "", "family" : "Sokona", "given" : "Y.", "non-dropping-particle" : "", "parse-names" : false, "suffix" : "" }, { "dropping-particle" : "", "family" : "Seyboth", "given" : "K", "non-dropping-particle" : "", "parse-names" : false, "suffix" : "" }, { "dropping-particle" : "", "family" : "Matschoss", "given" : "P", "non-dropping-particle" : "", "parse-names" : false, "suffix" : "" }, { "dropping-particle" : "", "family" : "Kadner", "given" : "S", "non-dropping-particle" : "", "parse-names" : false, "suffix" : "" }, { "dropping-particle" : "", "family" : "Zwickel", "given" : "T", "non-dropping-particle" : "", "parse-names" : false, "suffix" : "" }, { "dropping-particle" : "", "family" : "Eickemeier", "given" : "P", "non-dropping-particle" : "", "parse-names" : false, "suffix" : "" }, { "dropping-particle" : "", "family" : "Hansen", "given" : "G", "non-dropping-particle" : "", "parse-names" : false, "suffix" : "" }, { "dropping-particle" : "", "family" : "Schlomer", "given" : "S", "non-dropping-particle" : "", "parse-names" : false, "suffix" : "" }, { "dropping-particle" : "", "family" : "Stechow", "given" : "C", "non-dropping-particle" : "von", "parse-names" : false, "suffix" : "" } ], "id" : "ITEM-1", "issued" : { "date-parts" : [ [ "2011" ] ] }, "page" : "209-332", "publisher" : "Cambridge University Press", "publisher-place" : "Cambridge, United Kingdom and New York, NY, USA", "title" : "Bioenergy", "type" : "chapter" }, "uris" : [ "http://www.mendeley.com/documents/?uuid=23af9c1f-3210-4487-b494-5ed866fe8aca" ] } ], "mendeley" : { "formattedCitation" : "[1]", "plainTextFormattedCitation" : "[1]", "previouslyFormattedCitation" : "[1]" }, "properties" : { "noteIndex" : 0 }, "schema" : "https://github.com/citation-style-language/schema/raw/master/csl-citation.json" }</w:instrText>
      </w:r>
      <w:r w:rsidR="00B10EE7">
        <w:fldChar w:fldCharType="separate"/>
      </w:r>
      <w:r w:rsidR="00B10EE7" w:rsidRPr="00B10EE7">
        <w:rPr>
          <w:noProof/>
        </w:rPr>
        <w:t>[1]</w:t>
      </w:r>
      <w:r w:rsidR="00B10EE7">
        <w:fldChar w:fldCharType="end"/>
      </w:r>
      <w:r w:rsidR="007E54A7">
        <w:t xml:space="preserve">. </w:t>
      </w:r>
      <w:r w:rsidR="009C05A3">
        <w:t>E</w:t>
      </w:r>
      <w:r w:rsidR="00984A27">
        <w:t>nergy crops</w:t>
      </w:r>
      <w:r w:rsidR="006B687A">
        <w:t xml:space="preserve"> (plantations)</w:t>
      </w:r>
      <w:r w:rsidR="00984A27">
        <w:t xml:space="preserve"> </w:t>
      </w:r>
      <w:r w:rsidR="00EF7532">
        <w:t>on arable</w:t>
      </w:r>
      <w:r w:rsidR="00F903EA">
        <w:t xml:space="preserve"> land may </w:t>
      </w:r>
      <w:r w:rsidR="00055056">
        <w:t xml:space="preserve">contribute most to </w:t>
      </w:r>
      <w:r w:rsidR="009B4959">
        <w:t xml:space="preserve">the global total </w:t>
      </w:r>
      <w:r w:rsidR="00055056">
        <w:t>technical potential of biomass,</w:t>
      </w:r>
      <w:r w:rsidR="00F903EA">
        <w:t xml:space="preserve"> assuming rapid efficiency improvements in agriculture</w:t>
      </w:r>
      <w:r w:rsidR="00B10EE7">
        <w:t xml:space="preserve"> </w:t>
      </w:r>
      <w:r w:rsidR="00B10EE7">
        <w:fldChar w:fldCharType="begin" w:fldLock="1"/>
      </w:r>
      <w:r w:rsidR="00B10EE7">
        <w:instrText>ADDIN CSL_CITATION { "citationItems" : [ { "id" : "ITEM-1", "itemData" : { "ISBN" : "9781107607101", "author" : [ { "dropping-particle" : "", "family" : "Chum", "given" : "H", "non-dropping-particle" : "", "parse-names" : false, "suffix" : "" }, { "dropping-particle" : "", "family" : "Faaij", "given" : "A", "non-dropping-particle" : "", "parse-names" : false, "suffix" : "" }, { "dropping-particle" : "", "family" : "Moreira", "given" : "J", "non-dropping-particle" : "", "parse-names" : false, "suffix" : "" }, { "dropping-particle" : "", "family" : "Berndes", "given" : "G", "non-dropping-particle" : "", "parse-names" : false, "suffix" : "" }, { "dropping-particle" : "", "family" : "Dhamija", "given" : "P", "non-dropping-particle" : "", "parse-names" : false, "suffix" : "" }, { "dropping-particle" : "", "family" : "Dong", "given" : "H", "non-dropping-particle" : "", "parse-names" : false, "suffix" : "" }, { "dropping-particle" : "", "family" : "Gabrielle", "given" : "B", "non-dropping-particle" : "", "parse-names" : false, "suffix" : "" }, { "dropping-particle" : "", "family" : "Eng", "given" : "a Goss", "non-dropping-particle" : "", "parse-names" : false, "suffix" : "" }, { "dropping-particle" : "", "family" : "Cerutti", "given" : "O Masera", "non-dropping-particle" : "", "parse-names" : false, "suffix" : "" }, { "dropping-particle" : "", "family" : "Mcintyre", "given" : "T", "non-dropping-particle" : "", "parse-names" : false, "suffix" : "" }, { "dropping-particle" : "", "family" : "Minowa", "given" : "T", "non-dropping-particle" : "", "parse-names" : false, "suffix" : "" }, { "dropping-particle" : "", "family" : "Pingoud", "given" : "K", "non-dropping-particle" : "", "parse-names" : false, "suffix" : "" } ], "container-title" : "IPCC Special Report on Renewable Energy Sources and Climate Change Mitigation", "editor" : [ { "dropping-particle" : "", "family" : "Sokona", "given" : "Y.", "non-dropping-particle" : "", "parse-names" : false, "suffix" : "" }, { "dropping-particle" : "", "family" : "Seyboth", "given" : "K", "non-dropping-particle" : "", "parse-names" : false, "suffix" : "" }, { "dropping-particle" : "", "family" : "Matschoss", "given" : "P", "non-dropping-particle" : "", "parse-names" : false, "suffix" : "" }, { "dropping-particle" : "", "family" : "Kadner", "given" : "S", "non-dropping-particle" : "", "parse-names" : false, "suffix" : "" }, { "dropping-particle" : "", "family" : "Zwickel", "given" : "T", "non-dropping-particle" : "", "parse-names" : false, "suffix" : "" }, { "dropping-particle" : "", "family" : "Eickemeier", "given" : "P", "non-dropping-particle" : "", "parse-names" : false, "suffix" : "" }, { "dropping-particle" : "", "family" : "Hansen", "given" : "G", "non-dropping-particle" : "", "parse-names" : false, "suffix" : "" }, { "dropping-particle" : "", "family" : "Schlomer", "given" : "S", "non-dropping-particle" : "", "parse-names" : false, "suffix" : "" }, { "dropping-particle" : "", "family" : "Stechow", "given" : "C", "non-dropping-particle" : "von", "parse-names" : false, "suffix" : "" } ], "id" : "ITEM-1", "issued" : { "date-parts" : [ [ "2011" ] ] }, "page" : "209-332", "publisher" : "Cambridge University Press", "publisher-place" : "Cambridge, United Kingdom and New York, NY, USA", "title" : "Bioenergy", "type" : "chapter" }, "uris" : [ "http://www.mendeley.com/documents/?uuid=23af9c1f-3210-4487-b494-5ed866fe8aca" ] } ], "mendeley" : { "formattedCitation" : "[1]", "plainTextFormattedCitation" : "[1]", "previouslyFormattedCitation" : "[1]" }, "properties" : { "noteIndex" : 0 }, "schema" : "https://github.com/citation-style-language/schema/raw/master/csl-citation.json" }</w:instrText>
      </w:r>
      <w:r w:rsidR="00B10EE7">
        <w:fldChar w:fldCharType="separate"/>
      </w:r>
      <w:r w:rsidR="00B10EE7" w:rsidRPr="00B10EE7">
        <w:rPr>
          <w:noProof/>
        </w:rPr>
        <w:t>[1]</w:t>
      </w:r>
      <w:r w:rsidR="00B10EE7">
        <w:fldChar w:fldCharType="end"/>
      </w:r>
      <w:r w:rsidR="00996B4B">
        <w:t>.</w:t>
      </w:r>
      <w:r w:rsidR="004F1502">
        <w:t xml:space="preserve"> A key benefit of plantations is that they can grow on marginal and degraded lands, which on the one hand may result in higher costs of supply but on the other </w:t>
      </w:r>
      <w:r w:rsidR="00882043">
        <w:t>they</w:t>
      </w:r>
      <w:r w:rsidR="002451C2">
        <w:t xml:space="preserve"> </w:t>
      </w:r>
      <w:r w:rsidR="00CB1E27">
        <w:t xml:space="preserve">may </w:t>
      </w:r>
      <w:r w:rsidR="002451C2">
        <w:t xml:space="preserve">offer benefits due to limited competition with food production and </w:t>
      </w:r>
      <w:r w:rsidR="00020F6D">
        <w:t>due to improvement of s</w:t>
      </w:r>
      <w:r w:rsidR="004F1502">
        <w:t>oil conditions</w:t>
      </w:r>
      <w:r w:rsidR="00B10EE7">
        <w:t xml:space="preserve"> </w:t>
      </w:r>
      <w:r w:rsidR="00B10EE7">
        <w:fldChar w:fldCharType="begin" w:fldLock="1"/>
      </w:r>
      <w:r w:rsidR="00B10EE7">
        <w:instrText>ADDIN CSL_CITATION { "citationItems" : [ { "id" : "ITEM-1", "itemData" : { "ISBN" : "9781107607101", "author" : [ { "dropping-particle" : "", "family" : "Chum", "given" : "H", "non-dropping-particle" : "", "parse-names" : false, "suffix" : "" }, { "dropping-particle" : "", "family" : "Faaij", "given" : "A", "non-dropping-particle" : "", "parse-names" : false, "suffix" : "" }, { "dropping-particle" : "", "family" : "Moreira", "given" : "J", "non-dropping-particle" : "", "parse-names" : false, "suffix" : "" }, { "dropping-particle" : "", "family" : "Berndes", "given" : "G", "non-dropping-particle" : "", "parse-names" : false, "suffix" : "" }, { "dropping-particle" : "", "family" : "Dhamija", "given" : "P", "non-dropping-particle" : "", "parse-names" : false, "suffix" : "" }, { "dropping-particle" : "", "family" : "Dong", "given" : "H", "non-dropping-particle" : "", "parse-names" : false, "suffix" : "" }, { "dropping-particle" : "", "family" : "Gabrielle", "given" : "B", "non-dropping-particle" : "", "parse-names" : false, "suffix" : "" }, { "dropping-particle" : "", "family" : "Eng", "given" : "a Goss", "non-dropping-particle" : "", "parse-names" : false, "suffix" : "" }, { "dropping-particle" : "", "family" : "Cerutti", "given" : "O Masera", "non-dropping-particle" : "", "parse-names" : false, "suffix" : "" }, { "dropping-particle" : "", "family" : "Mcintyre", "given" : "T", "non-dropping-particle" : "", "parse-names" : false, "suffix" : "" }, { "dropping-particle" : "", "family" : "Minowa", "given" : "T", "non-dropping-particle" : "", "parse-names" : false, "suffix" : "" }, { "dropping-particle" : "", "family" : "Pingoud", "given" : "K", "non-dropping-particle" : "", "parse-names" : false, "suffix" : "" } ], "container-title" : "IPCC Special Report on Renewable Energy Sources and Climate Change Mitigation", "editor" : [ { "dropping-particle" : "", "family" : "Sokona", "given" : "Y.", "non-dropping-particle" : "", "parse-names" : false, "suffix" : "" }, { "dropping-particle" : "", "family" : "Seyboth", "given" : "K", "non-dropping-particle" : "", "parse-names" : false, "suffix" : "" }, { "dropping-particle" : "", "family" : "Matschoss", "given" : "P", "non-dropping-particle" : "", "parse-names" : false, "suffix" : "" }, { "dropping-particle" : "", "family" : "Kadner", "given" : "S", "non-dropping-particle" : "", "parse-names" : false, "suffix" : "" }, { "dropping-particle" : "", "family" : "Zwickel", "given" : "T", "non-dropping-particle" : "", "parse-names" : false, "suffix" : "" }, { "dropping-particle" : "", "family" : "Eickemeier", "given" : "P", "non-dropping-particle" : "", "parse-names" : false, "suffix" : "" }, { "dropping-particle" : "", "family" : "Hansen", "given" : "G", "non-dropping-particle" : "", "parse-names" : false, "suffix" : "" }, { "dropping-particle" : "", "family" : "Schlomer", "given" : "S", "non-dropping-particle" : "", "parse-names" : false, "suffix" : "" }, { "dropping-particle" : "", "family" : "Stechow", "given" : "C", "non-dropping-particle" : "von", "parse-names" : false, "suffix" : "" } ], "id" : "ITEM-1", "issued" : { "date-parts" : [ [ "2011" ] ] }, "page" : "209-332", "publisher" : "Cambridge University Press", "publisher-place" : "Cambridge, United Kingdom and New York, NY, USA", "title" : "Bioenergy", "type" : "chapter" }, "uris" : [ "http://www.mendeley.com/documents/?uuid=23af9c1f-3210-4487-b494-5ed866fe8aca" ] } ], "mendeley" : { "formattedCitation" : "[1]", "plainTextFormattedCitation" : "[1]", "previouslyFormattedCitation" : "[1]" }, "properties" : { "noteIndex" : 0 }, "schema" : "https://github.com/citation-style-language/schema/raw/master/csl-citation.json" }</w:instrText>
      </w:r>
      <w:r w:rsidR="00B10EE7">
        <w:fldChar w:fldCharType="separate"/>
      </w:r>
      <w:r w:rsidR="00B10EE7" w:rsidRPr="00B10EE7">
        <w:rPr>
          <w:noProof/>
        </w:rPr>
        <w:t>[1]</w:t>
      </w:r>
      <w:r w:rsidR="00B10EE7">
        <w:fldChar w:fldCharType="end"/>
      </w:r>
      <w:r w:rsidR="004F1502">
        <w:t>.</w:t>
      </w:r>
      <w:r w:rsidR="00364C90">
        <w:t xml:space="preserve"> </w:t>
      </w:r>
      <w:r w:rsidR="004F1502">
        <w:t xml:space="preserve">Solid biomass from residues and plantations may be used directly by </w:t>
      </w:r>
      <w:r w:rsidR="008D7407">
        <w:t>conversion</w:t>
      </w:r>
      <w:r w:rsidR="004F1502">
        <w:t xml:space="preserve"> sectors</w:t>
      </w:r>
      <w:r w:rsidR="008D7407">
        <w:t xml:space="preserve"> or they can be </w:t>
      </w:r>
      <w:r w:rsidR="004F1502">
        <w:t>densified to wood pellets</w:t>
      </w:r>
      <w:r w:rsidR="009D46C4">
        <w:t xml:space="preserve"> leading to increased </w:t>
      </w:r>
      <w:r w:rsidR="004F1502">
        <w:t xml:space="preserve">cost-efficiency of the </w:t>
      </w:r>
      <w:r w:rsidR="009D46C4">
        <w:t xml:space="preserve">value chain due to </w:t>
      </w:r>
      <w:r w:rsidR="004F1502">
        <w:t>chain du</w:t>
      </w:r>
      <w:r w:rsidR="00DF5011">
        <w:t xml:space="preserve">e to reduced </w:t>
      </w:r>
      <w:r w:rsidR="009D46C4">
        <w:t>storage and logistic costs</w:t>
      </w:r>
      <w:r w:rsidR="00B10EE7">
        <w:t xml:space="preserve"> </w:t>
      </w:r>
      <w:r w:rsidR="00B10EE7">
        <w:fldChar w:fldCharType="begin" w:fldLock="1"/>
      </w:r>
      <w:r w:rsidR="00BE0C7C">
        <w:instrText>ADDIN CSL_CITATION { "citationItems" : [ { "id" : "ITEM-1", "itemData" : { "DOI" : "10.1002/bbb.1497", "ISSN" : "1932104X", "author" : [ { "dropping-particle" : "", "family" : "Hoefnagels", "given" : "Ric", "non-dropping-particle" : "", "parse-names" : false, "suffix" : "" }, { "dropping-particle" : "", "family" : "Searcy", "given" : "Erin", "non-dropping-particle" : "", "parse-names" : false, "suffix" : "" }, { "dropping-particle" : "", "family" : "Cafferty", "given" : "Kara", "non-dropping-particle" : "", "parse-names" : false, "suffix" : "" }, { "dropping-particle" : "", "family" : "Cornelissen", "given" : "Thijs", "non-dropping-particle" : "", "parse-names" : false, "suffix" : "" }, { "dropping-particle" : "", "family" : "Junginger", "given" : "Martin", "non-dropping-particle" : "", "parse-names" : false, "suffix" : "" }, { "dropping-particle" : "", "family" : "Jacobson", "given" : "Jacob", "non-dropping-particle" : "", "parse-names" : false, "suffix" : "" }, { "dropping-particle" : "", "family" : "Faaij", "given" : "Andr\u00e9", "non-dropping-particle" : "", "parse-names" : false, "suffix" : "" } ], "container-title" : "Biofuels, Bioproducts and Biorefining", "id" : "ITEM-1", "issue" : "6", "issued" : { "date-parts" : [ [ "2014", "11", "27" ] ] }, "language" : "en", "page" : "794-818", "publisher" : "John Wiley &amp; Sons, Ltd", "title" : "Lignocellulosic feedstock supply systems with intermodal and overseas transportation", "type" : "article-journal", "volume" : "8" }, "uris" : [ "http://www.mendeley.com/documents/?uuid=79f61555-1e3d-427f-8fc2-fc300e1e6e49" ] }, { "id" : "ITEM-2", "itemData" : { "DOI" : "10.1016/j.energy.2008.03.007", "author" : [ { "dropping-particle" : "", "family" : "Uslu", "given" : "A.", "non-dropping-particle" : "", "parse-names" : false, "suffix" : "" }, { "dropping-particle" : "", "family" : "Faaij", "given" : "A.P.C.", "non-dropping-particle" : "", "parse-names" : false, "suffix" : "" }, { "dropping-particle" : "", "family" : "Bergman", "given" : "P.C.A.", "non-dropping-particle" : "", "parse-names" : false, "suffix" : "" } ], "container-title" : "Energy", "id" : "ITEM-2", "issue" : "33", "issued" : { "date-parts" : [ [ "2008" ] ] }, "page" : "1206-1223", "title" : "Pre-treatment technologies , and their effect on international bioenergy supply chain logistics . Techno-economic evaluation of torrefaction , fast pyrolysis and pelletisation", "type" : "article-journal" }, "uris" : [ "http://www.mendeley.com/documents/?uuid=55873b8a-9c27-4315-8a69-35fad93c7bfc" ] }, { "id" : "ITEM-3", "itemData" : { "DOI" : "10.1002/bbb.1458", "author" : [ { "dropping-particle" : "", "family" : "Batidzirai", "given" : "Bothwell", "non-dropping-particle" : "", "parse-names" : false, "suffix" : "" }, { "dropping-particle" : "Van Der", "family" : "Hilst", "given" : "Floor", "non-dropping-particle" : "", "parse-names" : false, "suffix" : "" }, { "dropping-particle" : "", "family" : "Meerman", "given" : "Hans", "non-dropping-particle" : "", "parse-names" : false, "suffix" : "" }, { "dropping-particle" : "", "family" : "Junginger", "given" : "Martin H", "non-dropping-particle" : "", "parse-names" : false, "suffix" : "" }, { "dropping-particle" : "", "family" : "Faaij", "given" : "Andr\u00e9 P C", "non-dropping-particle" : "", "parse-names" : false, "suffix" : "" } ], "container-title" : "Biofuels, Bioproducts and Biorefining", "id" : "ITEM-3", "issue" : "8", "issued" : { "date-parts" : [ [ "2014" ] ] }, "page" : "253-282", "title" : "Optimization potential of biomass supply chains with torrefaction technology", "type" : "article-journal" }, "uris" : [ "http://www.mendeley.com/documents/?uuid=82a3a0e5-db54-45c2-8a70-233e0a275806" ] } ], "mendeley" : { "formattedCitation" : "[33\u201335]", "plainTextFormattedCitation" : "[33\u201335]", "previouslyFormattedCitation" : "[33\u201335]" }, "properties" : { "noteIndex" : 0 }, "schema" : "https://github.com/citation-style-language/schema/raw/master/csl-citation.json" }</w:instrText>
      </w:r>
      <w:r w:rsidR="00B10EE7">
        <w:fldChar w:fldCharType="separate"/>
      </w:r>
      <w:r w:rsidR="003F791C" w:rsidRPr="003F791C">
        <w:rPr>
          <w:noProof/>
        </w:rPr>
        <w:t>[33–35]</w:t>
      </w:r>
      <w:r w:rsidR="00B10EE7">
        <w:fldChar w:fldCharType="end"/>
      </w:r>
      <w:r w:rsidR="00DF5011">
        <w:t>.</w:t>
      </w:r>
    </w:p>
    <w:p w14:paraId="5B8E1490" w14:textId="77777777" w:rsidR="004F1502" w:rsidRDefault="004F1502" w:rsidP="00CD1E90"/>
    <w:p w14:paraId="50D19630" w14:textId="10D2ADCA" w:rsidR="00DF5011" w:rsidRDefault="00DF5011" w:rsidP="00CD1E90">
      <w:r>
        <w:t xml:space="preserve">In MAGNET, </w:t>
      </w:r>
      <w:r w:rsidR="000A17FD">
        <w:t xml:space="preserve">three new sectors are included </w:t>
      </w:r>
      <w:r w:rsidR="00896ADB">
        <w:t>to capture the developments on the biomass supply side, namely</w:t>
      </w:r>
      <w:r w:rsidR="000A17FD">
        <w:t xml:space="preserve"> residues, plantations and pellets. </w:t>
      </w:r>
    </w:p>
    <w:p w14:paraId="137B90D9" w14:textId="77777777" w:rsidR="00DF5011" w:rsidRDefault="00DF5011" w:rsidP="00CD1E90"/>
    <w:p w14:paraId="06708D68" w14:textId="3CB1CD18" w:rsidR="00DF5011" w:rsidRDefault="000A17FD" w:rsidP="000A17FD">
      <w:pPr>
        <w:pStyle w:val="ListParagraph"/>
        <w:numPr>
          <w:ilvl w:val="0"/>
          <w:numId w:val="14"/>
        </w:numPr>
      </w:pPr>
      <w:r>
        <w:t xml:space="preserve">The residues sector collects and transports various types of forest harvest residues (forest management, logging, wood processing industry) and agricultural residues (harvesting and processing of agricultural crops). </w:t>
      </w:r>
      <w:r w:rsidR="007E4CA3">
        <w:t>Residues can be used directly by conversion technologies or be supplied to the pellets sector</w:t>
      </w:r>
      <w:r w:rsidR="00214F94">
        <w:t>;</w:t>
      </w:r>
    </w:p>
    <w:p w14:paraId="36923F3C" w14:textId="717067F9" w:rsidR="000A17FD" w:rsidRDefault="007E4CA3" w:rsidP="000A17FD">
      <w:pPr>
        <w:pStyle w:val="ListParagraph"/>
        <w:numPr>
          <w:ilvl w:val="0"/>
          <w:numId w:val="14"/>
        </w:numPr>
      </w:pPr>
      <w:r>
        <w:t>The plantations sector produces dedicated woody or grassy crops. Biomass from plantations can be used directly by conversion technologies or be supplied to the pellets sector</w:t>
      </w:r>
      <w:r w:rsidR="00214F94">
        <w:t>;</w:t>
      </w:r>
      <w:r>
        <w:t xml:space="preserve"> </w:t>
      </w:r>
    </w:p>
    <w:p w14:paraId="51299985" w14:textId="36D8F3E2" w:rsidR="007E4CA3" w:rsidRDefault="007E4CA3" w:rsidP="000A17FD">
      <w:pPr>
        <w:pStyle w:val="ListParagraph"/>
        <w:numPr>
          <w:ilvl w:val="0"/>
          <w:numId w:val="14"/>
        </w:numPr>
      </w:pPr>
      <w:r>
        <w:t>The pellets sector may use biomass from the residues or plantation sector</w:t>
      </w:r>
      <w:r w:rsidR="00214F94">
        <w:t>;</w:t>
      </w:r>
      <w:r>
        <w:t xml:space="preserve"> </w:t>
      </w:r>
    </w:p>
    <w:p w14:paraId="17FA42D0" w14:textId="77777777" w:rsidR="007E4CA3" w:rsidRDefault="007E4CA3" w:rsidP="007E4CA3"/>
    <w:p w14:paraId="7C8A3C12" w14:textId="7A30CD84" w:rsidR="007E4CA3" w:rsidRDefault="007E4CA3" w:rsidP="007E4CA3">
      <w:r>
        <w:t xml:space="preserve">An overview of the biomass supply sectors is provided in </w:t>
      </w:r>
      <w:r w:rsidR="00F81C8E">
        <w:rPr>
          <w:highlight w:val="yellow"/>
        </w:rPr>
        <w:fldChar w:fldCharType="begin"/>
      </w:r>
      <w:r w:rsidR="00F81C8E">
        <w:instrText xml:space="preserve"> REF _Ref321647260 \h </w:instrText>
      </w:r>
      <w:r w:rsidR="00F81C8E">
        <w:rPr>
          <w:highlight w:val="yellow"/>
        </w:rPr>
      </w:r>
      <w:r w:rsidR="00F81C8E">
        <w:rPr>
          <w:highlight w:val="yellow"/>
        </w:rPr>
        <w:fldChar w:fldCharType="separate"/>
      </w:r>
      <w:r w:rsidR="009B58B7">
        <w:t xml:space="preserve">Figure </w:t>
      </w:r>
      <w:r w:rsidR="009B58B7">
        <w:rPr>
          <w:noProof/>
        </w:rPr>
        <w:t>2</w:t>
      </w:r>
      <w:r w:rsidR="00F81C8E">
        <w:rPr>
          <w:highlight w:val="yellow"/>
        </w:rPr>
        <w:fldChar w:fldCharType="end"/>
      </w:r>
      <w:r>
        <w:t xml:space="preserve">. </w:t>
      </w:r>
    </w:p>
    <w:p w14:paraId="1EE17ADF" w14:textId="0E25D342" w:rsidR="009A247B" w:rsidRPr="00384B8C" w:rsidRDefault="00636CA1" w:rsidP="004E208A">
      <w:pPr>
        <w:pStyle w:val="Heading4"/>
        <w:numPr>
          <w:ilvl w:val="2"/>
          <w:numId w:val="25"/>
        </w:numPr>
        <w:ind w:left="426" w:hanging="426"/>
      </w:pPr>
      <w:r w:rsidRPr="00636CA1">
        <w:t>Conversion technologies</w:t>
      </w:r>
      <w:r w:rsidR="009A247B">
        <w:t xml:space="preserve"> per sector</w:t>
      </w:r>
    </w:p>
    <w:p w14:paraId="4B339128" w14:textId="713F9BF9" w:rsidR="009A247B" w:rsidRDefault="009A247B" w:rsidP="004E208A">
      <w:pPr>
        <w:pStyle w:val="Heading5"/>
        <w:numPr>
          <w:ilvl w:val="3"/>
          <w:numId w:val="25"/>
        </w:numPr>
        <w:ind w:left="426" w:hanging="426"/>
      </w:pPr>
      <w:r w:rsidRPr="00384B8C">
        <w:t>Fuels</w:t>
      </w:r>
    </w:p>
    <w:p w14:paraId="4C56B101" w14:textId="0CE3829E" w:rsidR="00C3585A" w:rsidRDefault="00EB3430" w:rsidP="00CD1E90">
      <w:r>
        <w:t>2</w:t>
      </w:r>
      <w:r w:rsidRPr="00EB3430">
        <w:rPr>
          <w:vertAlign w:val="superscript"/>
        </w:rPr>
        <w:t>nd</w:t>
      </w:r>
      <w:r>
        <w:t xml:space="preserve"> generation biofuel</w:t>
      </w:r>
      <w:r w:rsidR="000065A3">
        <w:t xml:space="preserve"> technologies </w:t>
      </w:r>
      <w:r w:rsidR="00D7139A">
        <w:t>have the potential to</w:t>
      </w:r>
      <w:r w:rsidR="000065A3">
        <w:t xml:space="preserve"> </w:t>
      </w:r>
      <w:r w:rsidR="00F25834">
        <w:t>produce</w:t>
      </w:r>
      <w:r w:rsidR="000065A3">
        <w:t xml:space="preserve"> road transport fuels at lower </w:t>
      </w:r>
      <w:proofErr w:type="spellStart"/>
      <w:r w:rsidR="000065A3">
        <w:t>levelized</w:t>
      </w:r>
      <w:proofErr w:type="spellEnd"/>
      <w:r w:rsidR="000065A3">
        <w:t xml:space="preserve"> costs than fossil fuels and lead to higher avoided </w:t>
      </w:r>
      <w:r w:rsidR="008B38C3">
        <w:t>greenhouse gas (</w:t>
      </w:r>
      <w:r w:rsidR="000065A3">
        <w:t>GHG</w:t>
      </w:r>
      <w:r w:rsidR="008B38C3">
        <w:t>)</w:t>
      </w:r>
      <w:r w:rsidR="000065A3">
        <w:t xml:space="preserve"> emissions compared to </w:t>
      </w:r>
      <w:r w:rsidR="00F96C5F">
        <w:t>1</w:t>
      </w:r>
      <w:r w:rsidR="00F96C5F" w:rsidRPr="00F96C5F">
        <w:rPr>
          <w:vertAlign w:val="superscript"/>
        </w:rPr>
        <w:t>st</w:t>
      </w:r>
      <w:r w:rsidR="00F96C5F">
        <w:t xml:space="preserve"> </w:t>
      </w:r>
      <w:r w:rsidR="000065A3">
        <w:t xml:space="preserve">generation biofuels </w:t>
      </w:r>
      <w:r w:rsidR="00592666">
        <w:t>by 2030</w:t>
      </w:r>
      <w:r w:rsidR="00B10EE7">
        <w:t xml:space="preserve"> </w:t>
      </w:r>
      <w:r w:rsidR="00B10EE7">
        <w:fldChar w:fldCharType="begin" w:fldLock="1"/>
      </w:r>
      <w:r w:rsidR="00BE0C7C">
        <w:instrText>ADDIN CSL_CITATION { "citationItems" : [ { "id" : "ITEM-1", "itemData" : { "DOI" : "10.1016/j.rser.2014.07.197", "ISSN" : "13640321", "abstract" : "The increasing production of modern bioenergy carriers and biomaterials intensifies the competition for different applications of biomass. To be able to optimize and develop biomass utilization in a sustainable way, this paper first reviews the status and prospects of biomass value chains for heat, power, fuels and materials, next assesses their current and long-term levelized production costs and avoided emissions, and then compares their greenhouse gas abatement costs. At present, the economically and environmentally preferred options are wood chip and pellet combustion in district heating systems and large-scale cofiring power plants (75\u201381 US$2005/tCO2-eqavoided), and large-scale fermentation of low-cost Brazilian sugarcane to ethanol (\u221265 to \u221253$/tCO2-eqavoided) or biomaterials (\u221260 to \u221250$/tCO2-eqavoided for ethylene and \u2212320 to \u2212228 $/tCO2-eqavoided for PLA; negative costs represent cost-effective options). In the longer term, the cultivation and use of lignocellulosic energy crops can play an important role in reducing the costs and improving the emission balance of biomass value chains. Key conversion technologies for lignocellulosic biomass are large-scale gasification (bioenergy and biomaterials) and fermentation (biofuels and biomaterials). However, both routes require improvement of their technological and economic performance. Further improvements can be attained by biorefineries that integrate different conversion technologies to maximize the use of all biomass components.", "author" : [ { "dropping-particle" : "", "family" : "Gerssen-Gondelach", "given" : "S.J.", "non-dropping-particle" : "", "parse-names" : false, "suffix" : "" }, { "dropping-particle" : "", "family" : "Saygin", "given" : "D.", "non-dropping-particle" : "", "parse-names" : false, "suffix" : "" }, { "dropping-particle" : "", "family" : "Wicke", "given" : "B.", "non-dropping-particle" : "", "parse-names" : false, "suffix" : "" }, { "dropping-particle" : "", "family" : "Patel", "given" : "M.K.", "non-dropping-particle" : "", "parse-names" : false, "suffix" : "" }, { "dropping-particle" : "", "family" : "Faaij", "given" : "A.P.C.", "non-dropping-particle" : "", "parse-names" : false, "suffix" : "" } ], "container-title" : "Renewable and Sustainable Energy Reviews", "id" : "ITEM-1", "issued" : { "date-parts" : [ [ "2014", "12" ] ] }, "page" : "964-998", "title" : "Competing uses of biomass: Assessment and comparison of the performance of bio-based heat, power, fuels and materials", "type" : "article-journal", "volume" : "40" }, "uris" : [ "http://www.mendeley.com/documents/?uuid=c20dfdac-751a-4596-a638-dd7b3d5a42ab" ] }, { "id" : "ITEM-2", "itemData" : { "ISBN" : "9781107607101", "author" : [ { "dropping-particle" : "", "family" : "Chum", "given" : "H", "non-dropping-particle" : "", "parse-names" : false, "suffix" : "" }, { "dropping-particle" : "", "family" : "Faaij", "given" : "A", "non-dropping-particle" : "", "parse-names" : false, "suffix" : "" }, { "dropping-particle" : "", "family" : "Moreira", "given" : "J", "non-dropping-particle" : "", "parse-names" : false, "suffix" : "" }, { "dropping-particle" : "", "family" : "Berndes", "given" : "G", "non-dropping-particle" : "", "parse-names" : false, "suffix" : "" }, { "dropping-particle" : "", "family" : "Dhamija", "given" : "P", "non-dropping-particle" : "", "parse-names" : false, "suffix" : "" }, { "dropping-particle" : "", "family" : "Dong", "given" : "H", "non-dropping-particle" : "", "parse-names" : false, "suffix" : "" }, { "dropping-particle" : "", "family" : "Gabrielle", "given" : "B", "non-dropping-particle" : "", "parse-names" : false, "suffix" : "" }, { "dropping-particle" : "", "family" : "Eng", "given" : "a Goss", "non-dropping-particle" : "", "parse-names" : false, "suffix" : "" }, { "dropping-particle" : "", "family" : "Cerutti", "given" : "O Masera", "non-dropping-particle" : "", "parse-names" : false, "suffix" : "" }, { "dropping-particle" : "", "family" : "Mcintyre", "given" : "T", "non-dropping-particle" : "", "parse-names" : false, "suffix" : "" }, { "dropping-particle" : "", "family" : "Minowa", "given" : "T", "non-dropping-particle" : "", "parse-names" : false, "suffix" : "" }, { "dropping-particle" : "", "family" : "Pingoud", "given" : "K", "non-dropping-particle" : "", "parse-names" : false, "suffix" : "" } ], "container-title" : "IPCC Special Report on Renewable Energy Sources and Climate Change Mitigation", "editor" : [ { "dropping-particle" : "", "family" : "Sokona", "given" : "Y.", "non-dropping-particle" : "", "parse-names" : false, "suffix" : "" }, { "dropping-particle" : "", "family" : "Seyboth", "given" : "K", "non-dropping-particle" : "", "parse-names" : false, "suffix" : "" }, { "dropping-particle" : "", "family" : "Matschoss", "given" : "P", "non-dropping-particle" : "", "parse-names" : false, "suffix" : "" }, { "dropping-particle" : "", "family" : "Kadner", "given" : "S", "non-dropping-particle" : "", "parse-names" : false, "suffix" : "" }, { "dropping-particle" : "", "family" : "Zwickel", "given" : "T", "non-dropping-particle" : "", "parse-names" : false, "suffix" : "" }, { "dropping-particle" : "", "family" : "Eickemeier", "given" : "P", "non-dropping-particle" : "", "parse-names" : false, "suffix" : "" }, { "dropping-particle" : "", "family" : "Hansen", "given" : "G", "non-dropping-particle" : "", "parse-names" : false, "suffix" : "" }, { "dropping-particle" : "", "family" : "Schlomer", "given" : "S", "non-dropping-particle" : "", "parse-names" : false, "suffix" : "" }, { "dropping-particle" : "", "family" : "Stechow", "given" : "C", "non-dropping-particle" : "von", "parse-names" : false, "suffix" : "" } ], "id" : "ITEM-2", "issued" : { "date-parts" : [ [ "2011" ] ] }, "page" : "209-332", "publisher" : "Cambridge University Press", "publisher-place" : "Cambridge, United Kingdom and New York, NY, USA", "title" : "Bioenergy", "type" : "chapter" }, "uris" : [ "http://www.mendeley.com/documents/?uuid=23af9c1f-3210-4487-b494-5ed866fe8aca" ] } ], "mendeley" : { "formattedCitation" : "[1,36]", "plainTextFormattedCitation" : "[1,36]", "previouslyFormattedCitation" : "[1,36]" }, "properties" : { "noteIndex" : 0 }, "schema" : "https://github.com/citation-style-language/schema/raw/master/csl-citation.json" }</w:instrText>
      </w:r>
      <w:r w:rsidR="00B10EE7">
        <w:fldChar w:fldCharType="separate"/>
      </w:r>
      <w:r w:rsidR="003F791C" w:rsidRPr="003F791C">
        <w:rPr>
          <w:noProof/>
        </w:rPr>
        <w:t>[1,36]</w:t>
      </w:r>
      <w:r w:rsidR="00B10EE7">
        <w:fldChar w:fldCharType="end"/>
      </w:r>
      <w:r w:rsidR="000065A3">
        <w:t xml:space="preserve">. </w:t>
      </w:r>
      <w:r w:rsidR="00B073C7">
        <w:t>P</w:t>
      </w:r>
      <w:r w:rsidR="000065A3">
        <w:t xml:space="preserve">reconditions for </w:t>
      </w:r>
      <w:r w:rsidR="00CC08AB">
        <w:t xml:space="preserve">diffusion of </w:t>
      </w:r>
      <w:r w:rsidR="00CB10F9">
        <w:t>2</w:t>
      </w:r>
      <w:r w:rsidR="00CB10F9" w:rsidRPr="00CB10F9">
        <w:rPr>
          <w:vertAlign w:val="superscript"/>
        </w:rPr>
        <w:t>nd</w:t>
      </w:r>
      <w:r w:rsidR="00CB10F9">
        <w:t xml:space="preserve"> </w:t>
      </w:r>
      <w:r w:rsidR="000065A3">
        <w:t xml:space="preserve">generation biofuels are </w:t>
      </w:r>
      <w:r w:rsidR="00C36331">
        <w:t xml:space="preserve">the availability of </w:t>
      </w:r>
      <w:r w:rsidR="00592666">
        <w:t xml:space="preserve">low cost biomass feedstocks and commercialization of </w:t>
      </w:r>
      <w:r w:rsidR="00CB10F9">
        <w:t>2</w:t>
      </w:r>
      <w:r w:rsidR="00CB10F9" w:rsidRPr="00CB10F9">
        <w:rPr>
          <w:vertAlign w:val="superscript"/>
        </w:rPr>
        <w:t>nd</w:t>
      </w:r>
      <w:r w:rsidR="00CB10F9">
        <w:t xml:space="preserve"> </w:t>
      </w:r>
      <w:r w:rsidR="00FB2D66">
        <w:t>generation</w:t>
      </w:r>
      <w:r w:rsidR="00735AAA">
        <w:t xml:space="preserve"> </w:t>
      </w:r>
      <w:r w:rsidR="00B073C7">
        <w:t>technologies</w:t>
      </w:r>
      <w:r w:rsidR="00EC7071">
        <w:t xml:space="preserve">. </w:t>
      </w:r>
      <w:r w:rsidR="005B2FD3">
        <w:t xml:space="preserve">In replacing fossil fuels, biochemical, thermochemical and other thermal or catalytic routes </w:t>
      </w:r>
      <w:r w:rsidR="001F6826">
        <w:t xml:space="preserve">(e.g., pyrolysis) </w:t>
      </w:r>
      <w:r w:rsidR="005B2FD3">
        <w:t xml:space="preserve">may supply </w:t>
      </w:r>
      <w:r w:rsidR="00CB10F9">
        <w:t>2</w:t>
      </w:r>
      <w:r w:rsidR="00CB10F9" w:rsidRPr="00CB10F9">
        <w:rPr>
          <w:vertAlign w:val="superscript"/>
        </w:rPr>
        <w:t>nd</w:t>
      </w:r>
      <w:r w:rsidR="00CB10F9">
        <w:t xml:space="preserve"> </w:t>
      </w:r>
      <w:r w:rsidR="005B2FD3">
        <w:t xml:space="preserve">generation biofuels. </w:t>
      </w:r>
    </w:p>
    <w:p w14:paraId="6F4365B0" w14:textId="77777777" w:rsidR="00C3585A" w:rsidRDefault="00C3585A" w:rsidP="00CD1E90"/>
    <w:p w14:paraId="691CBF6A" w14:textId="4FE64B24" w:rsidR="000065A3" w:rsidRDefault="00AD0E7A" w:rsidP="00CD1E90">
      <w:r>
        <w:t xml:space="preserve">In MAGNET, </w:t>
      </w:r>
      <w:r w:rsidR="00CB10F9">
        <w:t>two production technologies for 2</w:t>
      </w:r>
      <w:r w:rsidR="00CB10F9" w:rsidRPr="00CB10F9">
        <w:rPr>
          <w:vertAlign w:val="superscript"/>
        </w:rPr>
        <w:t>nd</w:t>
      </w:r>
      <w:r w:rsidR="00CB10F9">
        <w:t xml:space="preserve"> </w:t>
      </w:r>
      <w:r>
        <w:t>generation biofuels are considered:</w:t>
      </w:r>
    </w:p>
    <w:p w14:paraId="2FCFEA16" w14:textId="77777777" w:rsidR="00891F0E" w:rsidRDefault="00891F0E" w:rsidP="00CD1E90"/>
    <w:p w14:paraId="0143833E" w14:textId="243A7FE8" w:rsidR="00AD0E7A" w:rsidRDefault="002861B9" w:rsidP="00AD0E7A">
      <w:pPr>
        <w:pStyle w:val="ListParagraph"/>
        <w:numPr>
          <w:ilvl w:val="0"/>
          <w:numId w:val="14"/>
        </w:numPr>
      </w:pPr>
      <w:r>
        <w:t>Biochemical,</w:t>
      </w:r>
      <w:r w:rsidR="00AD0E7A">
        <w:t xml:space="preserve"> which convert lignocellulosic biomass to 2</w:t>
      </w:r>
      <w:r w:rsidR="00AD0E7A" w:rsidRPr="00AD0E7A">
        <w:rPr>
          <w:vertAlign w:val="superscript"/>
        </w:rPr>
        <w:t>nd</w:t>
      </w:r>
      <w:r w:rsidR="00AD0E7A">
        <w:t xml:space="preserve"> generation ethanol</w:t>
      </w:r>
    </w:p>
    <w:p w14:paraId="1FB84FB3" w14:textId="467A9B2E" w:rsidR="00AD0E7A" w:rsidRDefault="00E75C31" w:rsidP="00AD0E7A">
      <w:pPr>
        <w:pStyle w:val="ListParagraph"/>
        <w:numPr>
          <w:ilvl w:val="0"/>
          <w:numId w:val="14"/>
        </w:numPr>
      </w:pPr>
      <w:r>
        <w:t>Thermochemical,</w:t>
      </w:r>
      <w:r w:rsidR="00AD0E7A">
        <w:t xml:space="preserve"> which involve gasification of solid biomass to syngas and subsequent synthesis to Fischer-Tropsch </w:t>
      </w:r>
      <w:r w:rsidR="00FB0BA1">
        <w:t xml:space="preserve">(FT) </w:t>
      </w:r>
      <w:r w:rsidR="00AD0E7A">
        <w:t xml:space="preserve">fuels. </w:t>
      </w:r>
    </w:p>
    <w:p w14:paraId="17978EA6" w14:textId="77777777" w:rsidR="00C95FA4" w:rsidRDefault="00C95FA4" w:rsidP="00FC4810"/>
    <w:p w14:paraId="33C99531" w14:textId="62042E5A" w:rsidR="00C95FA4" w:rsidRDefault="00A23E4D" w:rsidP="00CD1E90">
      <w:r>
        <w:t xml:space="preserve">Other promising biofuel pathways include </w:t>
      </w:r>
      <w:proofErr w:type="spellStart"/>
      <w:r>
        <w:t>hydrotreatment</w:t>
      </w:r>
      <w:proofErr w:type="spellEnd"/>
      <w:r>
        <w:t xml:space="preserve"> of vegetable oils and fats, pyrolysis or other thermochemical routes that produce methanol and </w:t>
      </w:r>
      <w:r w:rsidR="0016279F">
        <w:t>hydrogen</w:t>
      </w:r>
      <w:r>
        <w:t xml:space="preserve">. </w:t>
      </w:r>
      <w:r w:rsidR="0016279F">
        <w:t xml:space="preserve">These are </w:t>
      </w:r>
      <w:r w:rsidR="00225FA1">
        <w:t xml:space="preserve">not included in the analysis as most representative routes are chosen. </w:t>
      </w:r>
      <w:r w:rsidR="00C95FA4">
        <w:t xml:space="preserve">In view of emerging biochemicals, it should be noted that the selected pathways may also supply feedstocks </w:t>
      </w:r>
      <w:r w:rsidR="00C5752F">
        <w:t>required by chemical conversion technologies</w:t>
      </w:r>
      <w:r w:rsidR="00C95FA4">
        <w:t xml:space="preserve"> (</w:t>
      </w:r>
      <w:r w:rsidR="00384B8C" w:rsidRPr="003B335F">
        <w:t>section</w:t>
      </w:r>
      <w:r w:rsidR="003B335F">
        <w:t xml:space="preserve"> </w:t>
      </w:r>
      <w:r w:rsidR="003B335F">
        <w:fldChar w:fldCharType="begin"/>
      </w:r>
      <w:r w:rsidR="003B335F">
        <w:instrText xml:space="preserve"> REF _Ref321647605 \r \h </w:instrText>
      </w:r>
      <w:r w:rsidR="003B335F">
        <w:fldChar w:fldCharType="separate"/>
      </w:r>
      <w:r w:rsidR="009B58B7">
        <w:t>2.3.2.4</w:t>
      </w:r>
      <w:r w:rsidR="003B335F">
        <w:fldChar w:fldCharType="end"/>
      </w:r>
      <w:r w:rsidR="000373AF">
        <w:t>)</w:t>
      </w:r>
      <w:r w:rsidR="009C5726">
        <w:t xml:space="preserve">. </w:t>
      </w:r>
      <w:r w:rsidR="0071468C">
        <w:t>The t</w:t>
      </w:r>
      <w:r w:rsidR="009C5726">
        <w:t>hermochemical pathways may supply napht</w:t>
      </w:r>
      <w:r w:rsidR="00407711">
        <w:t xml:space="preserve">ha and </w:t>
      </w:r>
      <w:r w:rsidR="00847E26">
        <w:t xml:space="preserve">the </w:t>
      </w:r>
      <w:r w:rsidR="00407711">
        <w:t>biochemical pathways 2</w:t>
      </w:r>
      <w:r w:rsidR="00407711" w:rsidRPr="00407711">
        <w:rPr>
          <w:vertAlign w:val="superscript"/>
        </w:rPr>
        <w:t>nd</w:t>
      </w:r>
      <w:r w:rsidR="00407711">
        <w:t xml:space="preserve"> generation ethanol and sugar for further conversion. </w:t>
      </w:r>
    </w:p>
    <w:p w14:paraId="139D4AC3" w14:textId="77777777" w:rsidR="00B84BA5" w:rsidRDefault="00B84BA5" w:rsidP="00B84BA5"/>
    <w:p w14:paraId="0A21E69D" w14:textId="5D2C41BC" w:rsidR="00B84BA5" w:rsidRDefault="00B84BA5" w:rsidP="00CD1E90">
      <w:r>
        <w:t>An overview of biomass conversion to 2</w:t>
      </w:r>
      <w:r w:rsidRPr="00B84BA5">
        <w:rPr>
          <w:vertAlign w:val="superscript"/>
        </w:rPr>
        <w:t>nd</w:t>
      </w:r>
      <w:r>
        <w:t xml:space="preserve"> generation biofuels is provided in </w:t>
      </w:r>
      <w:r w:rsidR="00384B8C">
        <w:rPr>
          <w:highlight w:val="yellow"/>
        </w:rPr>
        <w:fldChar w:fldCharType="begin"/>
      </w:r>
      <w:r w:rsidR="00384B8C">
        <w:instrText xml:space="preserve"> REF _Ref321647260 \h </w:instrText>
      </w:r>
      <w:r w:rsidR="00384B8C">
        <w:rPr>
          <w:highlight w:val="yellow"/>
        </w:rPr>
      </w:r>
      <w:r w:rsidR="00384B8C">
        <w:rPr>
          <w:highlight w:val="yellow"/>
        </w:rPr>
        <w:fldChar w:fldCharType="separate"/>
      </w:r>
      <w:r w:rsidR="009B58B7">
        <w:t xml:space="preserve">Figure </w:t>
      </w:r>
      <w:r w:rsidR="009B58B7">
        <w:rPr>
          <w:noProof/>
        </w:rPr>
        <w:t>2</w:t>
      </w:r>
      <w:r w:rsidR="00384B8C">
        <w:rPr>
          <w:highlight w:val="yellow"/>
        </w:rPr>
        <w:fldChar w:fldCharType="end"/>
      </w:r>
      <w:r>
        <w:t xml:space="preserve">. </w:t>
      </w:r>
    </w:p>
    <w:p w14:paraId="694869E2" w14:textId="5CD47DB3" w:rsidR="000E13CF" w:rsidRDefault="009A247B" w:rsidP="004E208A">
      <w:pPr>
        <w:pStyle w:val="Heading5"/>
        <w:numPr>
          <w:ilvl w:val="3"/>
          <w:numId w:val="25"/>
        </w:numPr>
        <w:ind w:left="426" w:hanging="426"/>
      </w:pPr>
      <w:r w:rsidRPr="00384B8C">
        <w:t>Electricity</w:t>
      </w:r>
    </w:p>
    <w:p w14:paraId="5FDEF9A1" w14:textId="2FF120EE" w:rsidR="00C3585A" w:rsidRDefault="00B84BA5" w:rsidP="00C3585A">
      <w:r>
        <w:t>In order to demonstrate s</w:t>
      </w:r>
      <w:r w:rsidRPr="00B84BA5">
        <w:t>ubstitution</w:t>
      </w:r>
      <w:r w:rsidR="00CE35D1">
        <w:t xml:space="preserve"> effects in</w:t>
      </w:r>
      <w:r>
        <w:t xml:space="preserve"> electricity </w:t>
      </w:r>
      <w:r w:rsidR="00CE35D1">
        <w:t>supply</w:t>
      </w:r>
      <w:r>
        <w:t xml:space="preserve">, </w:t>
      </w:r>
      <w:r w:rsidR="00CE35D1">
        <w:t xml:space="preserve">the electricity sector in MAGNET needs to be split to several different </w:t>
      </w:r>
      <w:r w:rsidR="0049014A">
        <w:t xml:space="preserve">renewable-based and fossil-based </w:t>
      </w:r>
      <w:r w:rsidR="00CE35D1">
        <w:t xml:space="preserve">supplying sectors </w:t>
      </w:r>
      <w:r w:rsidR="00956B54">
        <w:t>in detail</w:t>
      </w:r>
      <w:r w:rsidR="0049014A">
        <w:t xml:space="preserve">. </w:t>
      </w:r>
      <w:r w:rsidR="00260CC3">
        <w:t>M</w:t>
      </w:r>
      <w:r>
        <w:t xml:space="preserve">ore renewable options are available </w:t>
      </w:r>
      <w:r w:rsidR="002907AD">
        <w:t>at competitive costs and at the same time</w:t>
      </w:r>
      <w:r w:rsidR="00A85BED">
        <w:t xml:space="preserve"> disaggregation of fossil sectors implies a better representation of options available for GHG mitigation strategies.  </w:t>
      </w:r>
    </w:p>
    <w:p w14:paraId="024E6C35" w14:textId="6EA5F085" w:rsidR="00DA2B7C" w:rsidRPr="00A85BED" w:rsidRDefault="00DA2B7C" w:rsidP="00CD1E90"/>
    <w:p w14:paraId="4DF77067" w14:textId="31E362B8" w:rsidR="00B84BA5" w:rsidRDefault="00B84BA5" w:rsidP="00CD1E90">
      <w:r w:rsidRPr="00B84BA5">
        <w:t>There</w:t>
      </w:r>
      <w:r>
        <w:t xml:space="preserve">fore, we split the </w:t>
      </w:r>
      <w:r w:rsidR="00A85BED">
        <w:t>electricity-producing</w:t>
      </w:r>
      <w:r>
        <w:t xml:space="preserve"> sector in MAGNET into the six source sectors for electricity production from:</w:t>
      </w:r>
    </w:p>
    <w:p w14:paraId="2A6AB577" w14:textId="77777777" w:rsidR="001063F3" w:rsidRDefault="001063F3" w:rsidP="00CD1E90"/>
    <w:p w14:paraId="5F6478D4" w14:textId="3195B213" w:rsidR="00B84BA5" w:rsidRDefault="00B84BA5" w:rsidP="00B84BA5">
      <w:pPr>
        <w:pStyle w:val="ListParagraph"/>
        <w:numPr>
          <w:ilvl w:val="0"/>
          <w:numId w:val="14"/>
        </w:numPr>
      </w:pPr>
      <w:r>
        <w:t>Biomass, which includes co-firing of wood pellets in coal-based power plants</w:t>
      </w:r>
    </w:p>
    <w:p w14:paraId="504D5EED" w14:textId="2CEFBAAD" w:rsidR="00B84BA5" w:rsidRDefault="00B84BA5" w:rsidP="00B84BA5">
      <w:pPr>
        <w:pStyle w:val="ListParagraph"/>
        <w:numPr>
          <w:ilvl w:val="0"/>
          <w:numId w:val="14"/>
        </w:numPr>
      </w:pPr>
      <w:r>
        <w:t>Wind and solar</w:t>
      </w:r>
    </w:p>
    <w:p w14:paraId="4C9C5EC1" w14:textId="0E8F44EC" w:rsidR="00B84BA5" w:rsidRDefault="00B84BA5" w:rsidP="00B84BA5">
      <w:pPr>
        <w:pStyle w:val="ListParagraph"/>
        <w:numPr>
          <w:ilvl w:val="0"/>
          <w:numId w:val="14"/>
        </w:numPr>
      </w:pPr>
      <w:r>
        <w:t>Hydro and geothermal</w:t>
      </w:r>
    </w:p>
    <w:p w14:paraId="14BED24B" w14:textId="77777777" w:rsidR="00FE1D39" w:rsidRDefault="00FE1D39" w:rsidP="00FE1D39">
      <w:pPr>
        <w:pStyle w:val="ListParagraph"/>
        <w:numPr>
          <w:ilvl w:val="0"/>
          <w:numId w:val="14"/>
        </w:numPr>
      </w:pPr>
      <w:r>
        <w:t>Coal</w:t>
      </w:r>
    </w:p>
    <w:p w14:paraId="77964E20" w14:textId="77777777" w:rsidR="00FE1D39" w:rsidRDefault="00FE1D39" w:rsidP="00FE1D39">
      <w:pPr>
        <w:pStyle w:val="ListParagraph"/>
        <w:numPr>
          <w:ilvl w:val="0"/>
          <w:numId w:val="14"/>
        </w:numPr>
      </w:pPr>
      <w:r>
        <w:t>Natural gas</w:t>
      </w:r>
    </w:p>
    <w:p w14:paraId="22675EE3" w14:textId="77777777" w:rsidR="00FE1D39" w:rsidRDefault="00FE1D39" w:rsidP="00FE1D39">
      <w:pPr>
        <w:pStyle w:val="ListParagraph"/>
        <w:numPr>
          <w:ilvl w:val="0"/>
          <w:numId w:val="14"/>
        </w:numPr>
      </w:pPr>
      <w:r>
        <w:t>Nuclear</w:t>
      </w:r>
    </w:p>
    <w:p w14:paraId="663807C7" w14:textId="77777777" w:rsidR="00B84BA5" w:rsidRDefault="00B84BA5" w:rsidP="00B84BA5"/>
    <w:p w14:paraId="282F26FD" w14:textId="33F77B0C" w:rsidR="00B84BA5" w:rsidRPr="00B84BA5" w:rsidRDefault="00B84BA5" w:rsidP="00B84BA5">
      <w:r>
        <w:t xml:space="preserve">In addition an electricity transport and distribution sector is included. </w:t>
      </w:r>
    </w:p>
    <w:p w14:paraId="44B0EA68" w14:textId="77777777" w:rsidR="009A247B" w:rsidRDefault="009A247B" w:rsidP="00CD1E90">
      <w:pPr>
        <w:rPr>
          <w:b/>
          <w:i/>
        </w:rPr>
      </w:pPr>
    </w:p>
    <w:p w14:paraId="5985753F" w14:textId="5FED5393" w:rsidR="00B84BA5" w:rsidRDefault="00B84BA5" w:rsidP="00CD1E90">
      <w:r w:rsidRPr="00B84BA5">
        <w:t>MARKAL-</w:t>
      </w:r>
      <w:r>
        <w:t xml:space="preserve">NL-UU </w:t>
      </w:r>
      <w:r w:rsidR="007A6BBE">
        <w:t>demonstrated the importance of wind energy</w:t>
      </w:r>
      <w:r w:rsidR="008856C6">
        <w:t xml:space="preserve"> in renewable electricity production in the Netherlands by 2030</w:t>
      </w:r>
      <w:r w:rsidR="007A6BBE">
        <w:t>. Biomass output was limite</w:t>
      </w:r>
      <w:r w:rsidR="002A1298">
        <w:t xml:space="preserve">d to co-production technologies and less from co-firing with coal. </w:t>
      </w:r>
      <w:r w:rsidR="007A6BBE">
        <w:t xml:space="preserve">  </w:t>
      </w:r>
    </w:p>
    <w:p w14:paraId="1AAF14FF" w14:textId="77777777" w:rsidR="001C5CFD" w:rsidRDefault="001C5CFD" w:rsidP="00CD1E90"/>
    <w:p w14:paraId="2BE027B6" w14:textId="71AA9E67" w:rsidR="001C5CFD" w:rsidRDefault="001C5CFD" w:rsidP="001C5CFD">
      <w:r>
        <w:t xml:space="preserve">An overview of biomass conversion to electricity is provided in </w:t>
      </w:r>
      <w:r>
        <w:rPr>
          <w:highlight w:val="yellow"/>
        </w:rPr>
        <w:fldChar w:fldCharType="begin"/>
      </w:r>
      <w:r>
        <w:instrText xml:space="preserve"> REF _Ref321647260 \h </w:instrText>
      </w:r>
      <w:r>
        <w:rPr>
          <w:highlight w:val="yellow"/>
        </w:rPr>
      </w:r>
      <w:r>
        <w:rPr>
          <w:highlight w:val="yellow"/>
        </w:rPr>
        <w:fldChar w:fldCharType="separate"/>
      </w:r>
      <w:r w:rsidR="009B58B7">
        <w:t xml:space="preserve">Figure </w:t>
      </w:r>
      <w:r w:rsidR="009B58B7">
        <w:rPr>
          <w:noProof/>
        </w:rPr>
        <w:t>2</w:t>
      </w:r>
      <w:r>
        <w:rPr>
          <w:highlight w:val="yellow"/>
        </w:rPr>
        <w:fldChar w:fldCharType="end"/>
      </w:r>
      <w:r>
        <w:t xml:space="preserve">. </w:t>
      </w:r>
    </w:p>
    <w:p w14:paraId="7FA23516" w14:textId="6618AAF6" w:rsidR="00384B8C" w:rsidRDefault="00B84BA5" w:rsidP="004E208A">
      <w:pPr>
        <w:pStyle w:val="Heading5"/>
        <w:numPr>
          <w:ilvl w:val="3"/>
          <w:numId w:val="25"/>
        </w:numPr>
        <w:ind w:left="426" w:hanging="426"/>
      </w:pPr>
      <w:r w:rsidRPr="00384B8C">
        <w:t>Heat</w:t>
      </w:r>
    </w:p>
    <w:p w14:paraId="62265FA5" w14:textId="5738A3CB" w:rsidR="008465C6" w:rsidRDefault="00D301E1" w:rsidP="009A247B">
      <w:r>
        <w:t xml:space="preserve">The contribution of biomass heat </w:t>
      </w:r>
      <w:r w:rsidR="00492C52">
        <w:t xml:space="preserve">to renewable energy demand is expected to be significant and in the EU and globally. </w:t>
      </w:r>
      <w:r w:rsidR="000A634B">
        <w:t>For EU27, based on the National Renewable Energy Action Plans biomass heat represents approximately 65% of the final bioenergy demand, and may vary between 62-72% d</w:t>
      </w:r>
      <w:r w:rsidR="001E595B">
        <w:t xml:space="preserve">epending on scenario conditions </w:t>
      </w:r>
      <w:r w:rsidR="001E595B">
        <w:fldChar w:fldCharType="begin" w:fldLock="1"/>
      </w:r>
      <w:r w:rsidR="00BE0C7C">
        <w:instrText>ADDIN CSL_CITATION { "citationItems" : [ { "id" : "ITEM-1", "itemData" : { "DOI" : "10.1002/bbb", "author" : [ { "dropping-particle" : "Van", "family" : "Stralen", "given" : "Joost N P", "non-dropping-particle" : "", "parse-names" : false, "suffix" : "" }, { "dropping-particle" : "", "family" : "Uslu", "given" : "Ayla", "non-dropping-particle" : "", "parse-names" : false, "suffix" : "" }, { "dropping-particle" : "", "family" : "Longa", "given" : "Francesco Dalla", "non-dropping-particle" : "", "parse-names" : false, "suffix" : "" } ], "id" : "ITEM-1", "issue" : "June 2009", "issued" : { "date-parts" : [ [ "2013" ] ] }, "page" : "147-163", "title" : "The role of biomass in heat , electricity , and transport markets in the EU27 under different scenarios", "type" : "article-journal" }, "uris" : [ "http://www.mendeley.com/documents/?uuid=ca223ae8-d87f-4e16-a1cc-dbe80ea1d9f9" ] } ], "mendeley" : { "formattedCitation" : "[37]", "plainTextFormattedCitation" : "[37]", "previouslyFormattedCitation" : "[37]" }, "properties" : { "noteIndex" : 0 }, "schema" : "https://github.com/citation-style-language/schema/raw/master/csl-citation.json" }</w:instrText>
      </w:r>
      <w:r w:rsidR="001E595B">
        <w:fldChar w:fldCharType="separate"/>
      </w:r>
      <w:r w:rsidR="003F791C" w:rsidRPr="003F791C">
        <w:rPr>
          <w:noProof/>
        </w:rPr>
        <w:t>[37]</w:t>
      </w:r>
      <w:r w:rsidR="001E595B">
        <w:fldChar w:fldCharType="end"/>
      </w:r>
      <w:r w:rsidR="000A634B">
        <w:t>.</w:t>
      </w:r>
      <w:r w:rsidR="001E595B">
        <w:t xml:space="preserve"> </w:t>
      </w:r>
      <w:r w:rsidR="001E595B">
        <w:fldChar w:fldCharType="begin" w:fldLock="1"/>
      </w:r>
      <w:r w:rsidR="00BE0C7C">
        <w:instrText>ADDIN CSL_CITATION { "citationItems" : [ { "id" : "ITEM-1", "itemData" : { "DOI" : "10.1016/j.rser.2014.07.114", "ISSN" : "13640321", "abstract" : "Fossil fuel substitution with biomass is one of the measures to reduce carbon dioxide (CO2) emissions. This paper estimates the cost-effectiveness of raising industrial steam and producing materials (i.e. chemicals, polymers) from biomass. We quantify their long-term global potentials in terms of energy saving, CO2 emission reduction, cost and resource availability. Technically, biomass can replace all fossil fuels used for the production of materials and for generating low and medium temperature steam. Cost-effective opportunities exist for steam production from biomass residues and by substitution of high value petrochemicals which would together require more than 20 exajoules (EJ) of biomass worldwide in addition to baseline by 2030. Potentials could double in 2050 and reach 38\u201345EJ (25% of the total industrial energy use), with most demand in Asia, other developing countries and economies in transition. The economic potential of using biomass as chemical feedstock is nearly as high as for steam production, indicating its importance. The exploitation of these potentials depends on energy prices and industry\u2019s access to biomass supply. Given the increasing competition for biomass from several economic sectors, more resource efficient materials need to be developed while steam production is already attractive due to its high effectiveness for reducing CO2 emissions per unit of biomass.", "author" : [ { "dropping-particle" : "", "family" : "Saygin", "given" : "D.", "non-dropping-particle" : "", "parse-names" : false, "suffix" : "" }, { "dropping-particle" : "", "family" : "Gielen", "given" : "D.J.", "non-dropping-particle" : "", "parse-names" : false, "suffix" : "" }, { "dropping-particle" : "", "family" : "Draeck", "given" : "M.", "non-dropping-particle" : "", "parse-names" : false, "suffix" : "" }, { "dropping-particle" : "", "family" : "Worrell", "given" : "E.", "non-dropping-particle" : "", "parse-names" : false, "suffix" : "" }, { "dropping-particle" : "", "family" : "Patel", "given" : "M.K.", "non-dropping-particle" : "", "parse-names" : false, "suffix" : "" } ], "container-title" : "Renewable and Sustainable Energy Reviews", "id" : "ITEM-1", "issued" : { "date-parts" : [ [ "2014", "12" ] ] }, "page" : "1153-1167", "title" : "Assessment of the technical and economic potentials of biomass use for the production of steam, chemicals and polymers", "type" : "article-journal", "volume" : "40" }, "uris" : [ "http://www.mendeley.com/documents/?uuid=11dbc2b6-35b4-4551-a0d4-ebc6a10efb0a" ] } ], "mendeley" : { "formattedCitation" : "[38]", "plainTextFormattedCitation" : "[38]", "previouslyFormattedCitation" : "[38]" }, "properties" : { "noteIndex" : 0 }, "schema" : "https://github.com/citation-style-language/schema/raw/master/csl-citation.json" }</w:instrText>
      </w:r>
      <w:r w:rsidR="001E595B">
        <w:fldChar w:fldCharType="separate"/>
      </w:r>
      <w:r w:rsidR="003F791C" w:rsidRPr="003F791C">
        <w:rPr>
          <w:noProof/>
        </w:rPr>
        <w:t>[38]</w:t>
      </w:r>
      <w:r w:rsidR="001E595B">
        <w:fldChar w:fldCharType="end"/>
      </w:r>
      <w:r w:rsidR="000A634B">
        <w:t xml:space="preserve"> </w:t>
      </w:r>
      <w:r w:rsidR="00BC43D3">
        <w:t xml:space="preserve">mention that 13-14 EJ of biomass can be economically deployed </w:t>
      </w:r>
      <w:r w:rsidR="00C11B0A">
        <w:t xml:space="preserve">at a global level </w:t>
      </w:r>
      <w:r w:rsidR="00BC43D3">
        <w:t>to supply industrial steam</w:t>
      </w:r>
      <w:r w:rsidR="001651D1">
        <w:t xml:space="preserve"> by 2030, especially if low-cost biomass residues are used.</w:t>
      </w:r>
      <w:r w:rsidR="00A45BDC">
        <w:t xml:space="preserve"> </w:t>
      </w:r>
    </w:p>
    <w:p w14:paraId="07C9F3E6" w14:textId="77777777" w:rsidR="004C2FC6" w:rsidRDefault="004C2FC6" w:rsidP="008465C6"/>
    <w:p w14:paraId="7ED7F837" w14:textId="1A8EE5AC" w:rsidR="009A247B" w:rsidRDefault="002B5572" w:rsidP="008465C6">
      <w:r>
        <w:t>In MAGNET, heat is modeled implicitly as a direct substitute for natural gas.</w:t>
      </w:r>
    </w:p>
    <w:p w14:paraId="2FE5AD2D" w14:textId="12FF8E7D" w:rsidR="00636CA1" w:rsidRPr="00384B8C" w:rsidRDefault="00FE4286" w:rsidP="004E208A">
      <w:pPr>
        <w:pStyle w:val="Heading5"/>
        <w:numPr>
          <w:ilvl w:val="3"/>
          <w:numId w:val="25"/>
        </w:numPr>
        <w:ind w:left="709" w:hanging="709"/>
      </w:pPr>
      <w:bookmarkStart w:id="3" w:name="_Ref321647605"/>
      <w:r w:rsidRPr="00384B8C">
        <w:t>Chemicals</w:t>
      </w:r>
      <w:bookmarkEnd w:id="3"/>
    </w:p>
    <w:p w14:paraId="2A8BA15D" w14:textId="5086B7CA" w:rsidR="00AB5356" w:rsidRDefault="00CB3664" w:rsidP="00DD030E">
      <w:r>
        <w:t>In the G</w:t>
      </w:r>
      <w:r w:rsidR="00704416">
        <w:t>TAP database the chemical sector</w:t>
      </w:r>
      <w:r>
        <w:t xml:space="preserve"> </w:t>
      </w:r>
      <w:r w:rsidR="00113AB1">
        <w:t>is</w:t>
      </w:r>
      <w:r w:rsidR="00D46026">
        <w:t xml:space="preserve"> represented at an aggregate level </w:t>
      </w:r>
      <w:r w:rsidR="00113AB1">
        <w:t>by a single category</w:t>
      </w:r>
      <w:r w:rsidR="00D46026">
        <w:t xml:space="preserve"> that includes basic chemicals</w:t>
      </w:r>
      <w:r w:rsidR="005A1D48">
        <w:t xml:space="preserve"> and</w:t>
      </w:r>
      <w:r w:rsidR="00D46026">
        <w:t xml:space="preserve"> other chemical products</w:t>
      </w:r>
      <w:r w:rsidR="00954E10">
        <w:t xml:space="preserve"> and uses only petroleum products as input</w:t>
      </w:r>
      <w:r w:rsidR="00BE0C7C">
        <w:t xml:space="preserve"> </w:t>
      </w:r>
      <w:r w:rsidR="00BE0C7C">
        <w:fldChar w:fldCharType="begin" w:fldLock="1"/>
      </w:r>
      <w:r w:rsidR="00E24C5B">
        <w:instrText>ADDIN CSL_CITATION { "citationItems" : [ { "id" : "ITEM-1", "itemData" : { "author" : [ { "dropping-particle" : "", "family" : "Narayanan", "given" : "B", "non-dropping-particle" : "", "parse-names" : false, "suffix" : "" }, { "dropping-particle" : "", "family" : "Aguiar", "given" : "A", "non-dropping-particle" : "", "parse-names" : false, "suffix" : "" }, { "dropping-particle" : "", "family" : "McDougall", "given" : "R", "non-dropping-particle" : "", "parse-names" : false, "suffix" : "" } ], "id" : "ITEM-1", "issued" : { "date-parts" : [ [ "2013" ] ] }, "title" : "Global Trade, Assistane and production: The GTAP 8 Data Base", "type" : "article-journal" }, "uris" : [ "http://www.mendeley.com/documents/?uuid=094e1c5f-2d49-44df-99d1-a57c223e17cd" ] } ], "mendeley" : { "formattedCitation" : "[39]", "plainTextFormattedCitation" : "[39]", "previouslyFormattedCitation" : "[39]" }, "properties" : { "noteIndex" : 0 }, "schema" : "https://github.com/citation-style-language/schema/raw/master/csl-citation.json" }</w:instrText>
      </w:r>
      <w:r w:rsidR="00BE0C7C">
        <w:fldChar w:fldCharType="separate"/>
      </w:r>
      <w:r w:rsidR="00BE0C7C" w:rsidRPr="00BE0C7C">
        <w:rPr>
          <w:noProof/>
        </w:rPr>
        <w:t>[39]</w:t>
      </w:r>
      <w:r w:rsidR="00BE0C7C">
        <w:fldChar w:fldCharType="end"/>
      </w:r>
      <w:r w:rsidR="00E82EC4">
        <w:t>.</w:t>
      </w:r>
      <w:r w:rsidR="00954E10">
        <w:t xml:space="preserve"> </w:t>
      </w:r>
      <w:r w:rsidR="00402533">
        <w:t>H</w:t>
      </w:r>
      <w:r w:rsidR="00D80439">
        <w:t>owever, in</w:t>
      </w:r>
      <w:r w:rsidR="00D46026">
        <w:t xml:space="preserve"> </w:t>
      </w:r>
      <w:r w:rsidR="009D59F2">
        <w:t xml:space="preserve">reality, the </w:t>
      </w:r>
      <w:r w:rsidR="00C605B2">
        <w:t>flows of the petrochemical industry are more complex</w:t>
      </w:r>
      <w:r w:rsidR="001D5FB8">
        <w:t>.</w:t>
      </w:r>
      <w:r w:rsidR="00C605B2">
        <w:t xml:space="preserve"> </w:t>
      </w:r>
      <w:r w:rsidR="00B85DE8">
        <w:t>D</w:t>
      </w:r>
      <w:r w:rsidR="005964A6">
        <w:t xml:space="preserve">ifferent </w:t>
      </w:r>
      <w:r w:rsidR="003543CA">
        <w:t xml:space="preserve">crude oil or gas products </w:t>
      </w:r>
      <w:r w:rsidR="005964A6">
        <w:t xml:space="preserve">are used </w:t>
      </w:r>
      <w:r w:rsidR="00C605B2">
        <w:t xml:space="preserve">and </w:t>
      </w:r>
      <w:r w:rsidR="005964A6">
        <w:t xml:space="preserve">are </w:t>
      </w:r>
      <w:r w:rsidR="00C605B2">
        <w:t>convert</w:t>
      </w:r>
      <w:r w:rsidR="005964A6">
        <w:t>ed</w:t>
      </w:r>
      <w:r w:rsidR="00C605B2">
        <w:t xml:space="preserve"> </w:t>
      </w:r>
      <w:r w:rsidR="00AB5356">
        <w:t xml:space="preserve">first </w:t>
      </w:r>
      <w:r w:rsidR="00811D38">
        <w:t xml:space="preserve">to </w:t>
      </w:r>
      <w:r w:rsidR="00AB5356">
        <w:t xml:space="preserve">basic chemicals that are further converted to several intermediate chemicals before finally </w:t>
      </w:r>
      <w:r w:rsidR="0026132B">
        <w:t>being synthesized and/or processed to consumer goods</w:t>
      </w:r>
      <w:r w:rsidR="00AB5356">
        <w:t xml:space="preserve"> such as plastics.</w:t>
      </w:r>
    </w:p>
    <w:p w14:paraId="77716977" w14:textId="77777777" w:rsidR="00EF19C6" w:rsidRDefault="00EF19C6" w:rsidP="00DD030E"/>
    <w:p w14:paraId="19CEEA0E" w14:textId="12FAF115" w:rsidR="00F66BB4" w:rsidRDefault="00EF19C6" w:rsidP="00DD030E">
      <w:r>
        <w:t xml:space="preserve">Biomass </w:t>
      </w:r>
      <w:r w:rsidR="00C605B2">
        <w:t xml:space="preserve">conversion technologies can supply </w:t>
      </w:r>
      <w:r w:rsidR="004926CE">
        <w:t>biochemical</w:t>
      </w:r>
      <w:r w:rsidR="00550F19">
        <w:t xml:space="preserve"> counterparts </w:t>
      </w:r>
      <w:r w:rsidR="00C605B2">
        <w:t>as inputs</w:t>
      </w:r>
      <w:r w:rsidR="00384B8C">
        <w:t xml:space="preserve"> (feedstocks</w:t>
      </w:r>
      <w:r w:rsidR="00BB0263">
        <w:t>; e.g.,</w:t>
      </w:r>
      <w:r w:rsidR="00F50657">
        <w:t xml:space="preserve"> the refined oil product</w:t>
      </w:r>
      <w:r w:rsidR="00BB0263">
        <w:t xml:space="preserve"> naphtha</w:t>
      </w:r>
      <w:r w:rsidR="00384B8C">
        <w:t>)</w:t>
      </w:r>
      <w:r w:rsidR="00C605B2">
        <w:t xml:space="preserve">, </w:t>
      </w:r>
      <w:r w:rsidR="007536CF">
        <w:t>basic or intermediate chemicals (e.g., ethylene) or directly as consumer goods (e.g., bioplastics)</w:t>
      </w:r>
      <w:r w:rsidR="008A0954">
        <w:t xml:space="preserve"> </w:t>
      </w:r>
      <w:r w:rsidR="008A0954">
        <w:fldChar w:fldCharType="begin" w:fldLock="1"/>
      </w:r>
      <w:r w:rsidR="00BE0C7C">
        <w:instrText>ADDIN CSL_CITATION { "citationItems" : [ { "id" : "ITEM-1", "itemData" : { "DOI" : "10.1002/bbb.1388", "author" : [ { "dropping-particle" : "", "family" : "Bos", "given" : "H.", "non-dropping-particle" : "", "parse-names" : false, "suffix" : "" }, { "dropping-particle" : "", "family" : "Sanders", "given" : "J.P.M.", "non-dropping-particle" : "", "parse-names" : false, "suffix" : "" } ], "container-title" : "Biofuels, Bioproducts and Biorefining", "id" : "ITEM-1", "issued" : { "date-parts" : [ [ "2013" ] ] }, "page" : "246-259", "title" : "Raw material demand and sourcing options for the development of a bio-based chemical industry in Europe. Part 1: Estimation of maximum demand", "type" : "article-journal", "volume" : "7" }, "uris" : [ "http://www.mendeley.com/documents/?uuid=268de051-e200-4bb8-8e55-f3e6d13566a8" ] } ], "mendeley" : { "formattedCitation" : "[40]", "plainTextFormattedCitation" : "[40]", "previouslyFormattedCitation" : "[40]" }, "properties" : { "noteIndex" : 0 }, "schema" : "https://github.com/citation-style-language/schema/raw/master/csl-citation.json" }</w:instrText>
      </w:r>
      <w:r w:rsidR="008A0954">
        <w:fldChar w:fldCharType="separate"/>
      </w:r>
      <w:r w:rsidR="003F791C" w:rsidRPr="003F791C">
        <w:rPr>
          <w:noProof/>
        </w:rPr>
        <w:t>[40]</w:t>
      </w:r>
      <w:r w:rsidR="008A0954">
        <w:fldChar w:fldCharType="end"/>
      </w:r>
      <w:r w:rsidR="007536CF">
        <w:t xml:space="preserve">. </w:t>
      </w:r>
      <w:r w:rsidR="001B7706">
        <w:t>Th</w:t>
      </w:r>
      <w:r w:rsidR="00762F9C">
        <w:t>e different levels where biochemicals can be introduced in the chemical sec</w:t>
      </w:r>
      <w:r w:rsidR="00353F62">
        <w:t>tor of an economic model create</w:t>
      </w:r>
      <w:r w:rsidR="00762F9C">
        <w:t xml:space="preserve"> the need to disaggregate</w:t>
      </w:r>
      <w:r w:rsidR="00353F62">
        <w:t xml:space="preserve"> the sector to be able to take these </w:t>
      </w:r>
      <w:r w:rsidR="00D162EF">
        <w:t xml:space="preserve">different options into account. </w:t>
      </w:r>
      <w:r w:rsidR="00DD030E">
        <w:t xml:space="preserve">At the same time, </w:t>
      </w:r>
      <w:r w:rsidR="00F66BB4">
        <w:t xml:space="preserve">there are multiple conversion routes that supply a very wide range of biochemicals (e.g., </w:t>
      </w:r>
      <w:r w:rsidR="00B84D4D">
        <w:t xml:space="preserve">fermentation, catalysis) and they incorporate different feedstocks such as fermentable sugars, ethanol or solid biomass. </w:t>
      </w:r>
      <w:r w:rsidR="00885849">
        <w:t>T</w:t>
      </w:r>
      <w:r w:rsidR="00E1190A">
        <w:t xml:space="preserve">his increases the complexity because representative technologies need to be </w:t>
      </w:r>
      <w:r w:rsidR="009811C1">
        <w:t xml:space="preserve">selected to capture both the level where competition with fossil counterparts may take place and </w:t>
      </w:r>
      <w:r w:rsidR="007B7681">
        <w:t xml:space="preserve">the different biochemical routes. </w:t>
      </w:r>
    </w:p>
    <w:p w14:paraId="4FE1685B" w14:textId="77777777" w:rsidR="00954E10" w:rsidRDefault="00954E10" w:rsidP="00DF223B"/>
    <w:p w14:paraId="5373DBFF" w14:textId="53077885" w:rsidR="001B7706" w:rsidRDefault="00EB7104" w:rsidP="00A94FAC">
      <w:r>
        <w:t>M</w:t>
      </w:r>
      <w:r w:rsidR="00DF223B">
        <w:t xml:space="preserve">ost of the chemical industry’s </w:t>
      </w:r>
      <w:r>
        <w:t xml:space="preserve">output is </w:t>
      </w:r>
      <w:r w:rsidR="008A0954">
        <w:t xml:space="preserve">consumed for polymers </w:t>
      </w:r>
      <w:r w:rsidR="008A0954">
        <w:fldChar w:fldCharType="begin" w:fldLock="1"/>
      </w:r>
      <w:r w:rsidR="00BE0C7C">
        <w:instrText>ADDIN CSL_CITATION { "citationItems" : [ { "id" : "ITEM-1", "itemData" : { "DOI" : "10.1002/bbb.1468", "ISBN" : "1932-104X", "ISSN" : "1932104X", "author" : [ { "dropping-particle" : "", "family" : "Harmsen", "given" : "P.F.H.", "non-dropping-particle" : "", "parse-names" : false, "suffix" : "" }, { "dropping-particle" : "", "family" : "Hackmann", "given" : "M.M.", "non-dropping-particle" : "", "parse-names" : false, "suffix" : "" }, { "dropping-particle" : "", "family" : "Bos", "given" : "H.L.", "non-dropping-particle" : "", "parse-names" : false, "suffix" : "" } ], "container-title" : "Biofuels, Bioproducts and Biorefining", "id" : "ITEM-1", "issued" : { "date-parts" : [ [ "2014" ] ] }, "page" : "306-324", "title" : "Green building blocks for bio-based plastics", "type" : "article-journal", "volume" : "8" }, "uris" : [ "http://www.mendeley.com/documents/?uuid=0b44aa70-ddde-4b47-a20d-f9046068e446" ] } ], "mendeley" : { "formattedCitation" : "[41]", "plainTextFormattedCitation" : "[41]", "previouslyFormattedCitation" : "[41]" }, "properties" : { "noteIndex" : 0 }, "schema" : "https://github.com/citation-style-language/schema/raw/master/csl-citation.json" }</w:instrText>
      </w:r>
      <w:r w:rsidR="008A0954">
        <w:fldChar w:fldCharType="separate"/>
      </w:r>
      <w:r w:rsidR="003F791C" w:rsidRPr="003F791C">
        <w:rPr>
          <w:noProof/>
        </w:rPr>
        <w:t>[41]</w:t>
      </w:r>
      <w:r w:rsidR="008A0954">
        <w:fldChar w:fldCharType="end"/>
      </w:r>
      <w:r w:rsidR="00417095">
        <w:t>, which is also the category we focus on the present study</w:t>
      </w:r>
      <w:r>
        <w:t xml:space="preserve">. </w:t>
      </w:r>
      <w:r w:rsidR="002F10C5">
        <w:t xml:space="preserve">Along the lines of strategies </w:t>
      </w:r>
      <w:r w:rsidR="008365D0">
        <w:fldChar w:fldCharType="begin" w:fldLock="1"/>
      </w:r>
      <w:r w:rsidR="00BE0C7C">
        <w:instrText>ADDIN CSL_CITATION { "citationItems" : [ { "id" : "ITEM-1", "itemData" : { "DOI" : "10.1002/bbb.1388", "author" : [ { "dropping-particle" : "", "family" : "Bos", "given" : "H.", "non-dropping-particle" : "", "parse-names" : false, "suffix" : "" }, { "dropping-particle" : "", "family" : "Sanders", "given" : "J.P.M.", "non-dropping-particle" : "", "parse-names" : false, "suffix" : "" } ], "container-title" : "Biofuels, Bioproducts and Biorefining", "id" : "ITEM-1", "issued" : { "date-parts" : [ [ "2013" ] ] }, "page" : "246-259", "title" : "Raw material demand and sourcing options for the development of a bio-based chemical industry in Europe. Part 1: Estimation of maximum demand", "type" : "article-journal", "volume" : "7" }, "uris" : [ "http://www.mendeley.com/documents/?uuid=268de051-e200-4bb8-8e55-f3e6d13566a8" ] }, { "id" : "ITEM-2", "itemData" : { "author" : [ { "dropping-particle" : "", "family" : "Corbey Committee", "given" : "", "non-dropping-particle" : "", "parse-names" : false, "suffix" : "" } ], "id" : "ITEM-2", "issued" : { "date-parts" : [ [ "2012" ] ] }, "number-of-pages" : "1-17", "title" : "Sustainable biomass in the chemical industry", "type" : "report" }, "uris" : [ "http://www.mendeley.com/documents/?uuid=8b405625-6233-4968-bb84-0c3b7053d6c5" ] }, { "id" : "ITEM-3", "itemData" : { "author" : [ { "dropping-particle" : "", "family" : "Croezen", "given" : "H.J.", "non-dropping-particle" : "", "parse-names" : false, "suffix" : "" }, { "dropping-particle" : "", "family" : "Bergsma", "given" : "G.C.", "non-dropping-particle" : "", "parse-names" : false, "suffix" : "" } ], "id" : "ITEM-3", "issued" : { "date-parts" : [ [ "2012" ] ] }, "number-of-pages" : "1-40", "publisher-place" : "Delft", "title" : "Groene chemische grondstoffen, potentieel in de EU en duurzaamheidsaspecten", "type" : "report" }, "uris" : [ "http://www.mendeley.com/documents/?uuid=e897760b-8347-40e7-83bc-fef59223795c" ] } ], "mendeley" : { "formattedCitation" : "[40,42,43]", "plainTextFormattedCitation" : "[40,42,43]", "previouslyFormattedCitation" : "[40,42,43]" }, "properties" : { "noteIndex" : 0 }, "schema" : "https://github.com/citation-style-language/schema/raw/master/csl-citation.json" }</w:instrText>
      </w:r>
      <w:r w:rsidR="008365D0">
        <w:fldChar w:fldCharType="separate"/>
      </w:r>
      <w:r w:rsidR="003F791C" w:rsidRPr="003F791C">
        <w:rPr>
          <w:noProof/>
        </w:rPr>
        <w:t>[40,42,43]</w:t>
      </w:r>
      <w:r w:rsidR="008365D0">
        <w:fldChar w:fldCharType="end"/>
      </w:r>
      <w:r w:rsidR="008365D0">
        <w:t xml:space="preserve"> </w:t>
      </w:r>
      <w:r w:rsidR="002F10C5">
        <w:t>that aim at providing renewable alternatives to the chemical industry those discuss</w:t>
      </w:r>
      <w:r w:rsidR="008365D0">
        <w:t>ed</w:t>
      </w:r>
      <w:r w:rsidR="002F10C5">
        <w:t xml:space="preserve"> the most are drop-in chemicals and new</w:t>
      </w:r>
      <w:r w:rsidR="00A331C6">
        <w:t xml:space="preserve"> products. Drop-in chemicals</w:t>
      </w:r>
      <w:r w:rsidR="009D3D3F">
        <w:t xml:space="preserve"> could </w:t>
      </w:r>
      <w:r w:rsidR="00A331C6">
        <w:t xml:space="preserve">either </w:t>
      </w:r>
      <w:r w:rsidR="009D3D3F">
        <w:t xml:space="preserve">be </w:t>
      </w:r>
      <w:r w:rsidR="00A331C6">
        <w:t xml:space="preserve">alternative feedstocks </w:t>
      </w:r>
      <w:r w:rsidR="009D3D3F">
        <w:t>for</w:t>
      </w:r>
      <w:r w:rsidR="00A331C6">
        <w:t xml:space="preserve"> steam crackers or </w:t>
      </w:r>
      <w:r w:rsidR="009D3D3F">
        <w:t xml:space="preserve">directly </w:t>
      </w:r>
      <w:r w:rsidR="007846DE">
        <w:t>chemicals that can be processed furthe</w:t>
      </w:r>
      <w:r w:rsidR="008365D0">
        <w:t xml:space="preserve">r downstream to final products. Drop-in chemicals </w:t>
      </w:r>
      <w:r w:rsidR="007846DE">
        <w:t>can use existing infrastructure and compete in established markets as they share exactly the same properties</w:t>
      </w:r>
      <w:r w:rsidR="00A94FAC">
        <w:t xml:space="preserve"> with their fossil counterparts. New biochemicals</w:t>
      </w:r>
      <w:r w:rsidR="005457F7">
        <w:t xml:space="preserve"> </w:t>
      </w:r>
      <w:r w:rsidR="00A17D9E">
        <w:t>require new infrastructure and may compete in the same or new markets</w:t>
      </w:r>
      <w:r w:rsidR="009D3D3F">
        <w:t xml:space="preserve"> with conventional chemicals</w:t>
      </w:r>
      <w:r w:rsidR="00A17D9E">
        <w:t xml:space="preserve"> (e.g., </w:t>
      </w:r>
      <w:proofErr w:type="spellStart"/>
      <w:r w:rsidR="004C287B">
        <w:t>polylactic</w:t>
      </w:r>
      <w:proofErr w:type="spellEnd"/>
      <w:r w:rsidR="004C287B">
        <w:t xml:space="preserve"> acid (</w:t>
      </w:r>
      <w:r w:rsidR="00A17D9E">
        <w:t>PLA</w:t>
      </w:r>
      <w:r w:rsidR="004C287B">
        <w:t>)</w:t>
      </w:r>
      <w:r w:rsidR="00A17D9E">
        <w:t>)</w:t>
      </w:r>
      <w:r w:rsidR="00816F03">
        <w:t xml:space="preserve">. </w:t>
      </w:r>
      <w:r w:rsidR="00DD030E">
        <w:t xml:space="preserve">In order to capture the emerging sector of biochemicals in MAGNET we </w:t>
      </w:r>
      <w:r w:rsidR="00C22452">
        <w:t>account for</w:t>
      </w:r>
      <w:r w:rsidR="00DD030E">
        <w:t xml:space="preserve"> these strategies by splitting the sector and sel</w:t>
      </w:r>
      <w:r w:rsidR="008365D0">
        <w:t>ecting representative pathways.</w:t>
      </w:r>
    </w:p>
    <w:p w14:paraId="0FD186B3" w14:textId="77777777" w:rsidR="00744B23" w:rsidRDefault="00744B23" w:rsidP="00DF223B"/>
    <w:p w14:paraId="4A8D7F6A" w14:textId="650FC6D9" w:rsidR="004249AE" w:rsidRDefault="008365D0" w:rsidP="004249AE">
      <w:r>
        <w:t>W</w:t>
      </w:r>
      <w:r w:rsidR="009E68B6">
        <w:t xml:space="preserve">e identify two key representative </w:t>
      </w:r>
      <w:r w:rsidR="00F041D7">
        <w:t>pathways:</w:t>
      </w:r>
    </w:p>
    <w:p w14:paraId="43A1DB21" w14:textId="77777777" w:rsidR="00F041D7" w:rsidRDefault="00F041D7" w:rsidP="004249AE"/>
    <w:p w14:paraId="4B241DAD" w14:textId="67E72148" w:rsidR="000E58D2" w:rsidRDefault="00F041D7" w:rsidP="007640B2">
      <w:pPr>
        <w:pStyle w:val="ListParagraph"/>
        <w:numPr>
          <w:ilvl w:val="0"/>
          <w:numId w:val="14"/>
        </w:numPr>
      </w:pPr>
      <w:r>
        <w:t xml:space="preserve">Ethanol to chemicals, which </w:t>
      </w:r>
      <w:r w:rsidR="00307BF1">
        <w:t>use</w:t>
      </w:r>
      <w:r w:rsidR="009B2D97">
        <w:t>s</w:t>
      </w:r>
      <w:r w:rsidR="00307BF1">
        <w:t xml:space="preserve"> 1</w:t>
      </w:r>
      <w:r w:rsidR="00307BF1" w:rsidRPr="00307BF1">
        <w:rPr>
          <w:vertAlign w:val="superscript"/>
        </w:rPr>
        <w:t>st</w:t>
      </w:r>
      <w:r w:rsidR="00307BF1">
        <w:t xml:space="preserve"> or 2</w:t>
      </w:r>
      <w:r w:rsidR="00307BF1" w:rsidRPr="00307BF1">
        <w:rPr>
          <w:vertAlign w:val="superscript"/>
        </w:rPr>
        <w:t>nd</w:t>
      </w:r>
      <w:r w:rsidR="00307BF1">
        <w:t xml:space="preserve"> generation ethanol to produce </w:t>
      </w:r>
      <w:proofErr w:type="spellStart"/>
      <w:r w:rsidR="00307BF1">
        <w:t>bioethylene</w:t>
      </w:r>
      <w:proofErr w:type="spellEnd"/>
      <w:r w:rsidR="00307BF1">
        <w:t xml:space="preserve">. </w:t>
      </w:r>
      <w:r w:rsidR="002524B1">
        <w:t xml:space="preserve">This sector uses already existing infrastructure and competes in the same markets with fossil-based alternatives. </w:t>
      </w:r>
      <w:r w:rsidR="00E35E55">
        <w:t>E</w:t>
      </w:r>
      <w:r w:rsidR="002524B1">
        <w:t xml:space="preserve">thylene is </w:t>
      </w:r>
      <w:r w:rsidR="00E35E55">
        <w:t xml:space="preserve">selected as it is </w:t>
      </w:r>
      <w:r w:rsidR="009B6EF1">
        <w:t>the largest volume</w:t>
      </w:r>
      <w:r w:rsidR="002524B1">
        <w:t xml:space="preserve"> basic chemical </w:t>
      </w:r>
      <w:r w:rsidR="006F4F59">
        <w:t>of the chemical industry</w:t>
      </w:r>
      <w:r w:rsidR="00E35E55">
        <w:t xml:space="preserve">. Furthermore, </w:t>
      </w:r>
      <w:proofErr w:type="spellStart"/>
      <w:r w:rsidR="00E35E55">
        <w:t>bioethylene</w:t>
      </w:r>
      <w:proofErr w:type="spellEnd"/>
      <w:r w:rsidR="00E35E55">
        <w:t xml:space="preserve"> and derivatives are already produced at commercial </w:t>
      </w:r>
      <w:r w:rsidR="00D3660E">
        <w:t xml:space="preserve">scale, and cost-structures are available. Ethanol can be used to produce other drop-in chemicals (e.g., </w:t>
      </w:r>
      <w:r w:rsidR="000E58D2">
        <w:t xml:space="preserve"> (e.g., propylene, butadiene) and a variety of other chemicals </w:t>
      </w:r>
      <w:r w:rsidR="00203670">
        <w:t xml:space="preserve">and could be a potential platform for the future </w:t>
      </w:r>
      <w:r w:rsidR="00982439">
        <w:fldChar w:fldCharType="begin" w:fldLock="1"/>
      </w:r>
      <w:r w:rsidR="00BE0C7C">
        <w:instrText>ADDIN CSL_CITATION { "citationItems" : [ { "id" : "ITEM-1", "itemData" : { "DOI" : "10.1016/j.biortech.2012.09.058", "ISSN" : "1873-2976", "PMID" : "23069604", "abstract" : "The aim of this study is to present and apply a quick screening method and to identify the most promising bioethanol derivatives using an early-stage sustainability assessment method that compares a bioethanol-based conversion route to its respective petrochemical counterpart. The method combines, by means of a multi-criteria approach, quantitative and qualitative proxy indicators describing economic, environmental, health and safety and operational aspects. Of twelve derivatives considered, five were categorized as favorable (diethyl ether, 1,3-butadiene, ethyl acetate, propylene and ethylene), two as promising (acetaldehyde and ethylene oxide) and five as unfavorable derivatives (acetic acid, n-butanol, isobutylene, hydrogen and acetone) for an integrated biorefinery concept.", "author" : [ { "dropping-particle" : "", "family" : "Posada", "given" : "John A", "non-dropping-particle" : "", "parse-names" : false, "suffix" : "" }, { "dropping-particle" : "", "family" : "Patel", "given" : "Akshay D", "non-dropping-particle" : "", "parse-names" : false, "suffix" : "" }, { "dropping-particle" : "", "family" : "Roes", "given" : "Alexander", "non-dropping-particle" : "", "parse-names" : false, "suffix" : "" }, { "dropping-particle" : "", "family" : "Blok", "given" : "Kornelis", "non-dropping-particle" : "", "parse-names" : false, "suffix" : "" }, { "dropping-particle" : "", "family" : "Faaij", "given" : "Andr\u00e9 P C", "non-dropping-particle" : "", "parse-names" : false, "suffix" : "" }, { "dropping-particle" : "", "family" : "Patel", "given" : "Martin K", "non-dropping-particle" : "", "parse-names" : false, "suffix" : "" } ], "container-title" : "Bioresource technology", "id" : "ITEM-1", "issued" : { "date-parts" : [ [ "2013", "5" ] ] }, "page" : "490-9", "title" : "Potential of bioethanol as a chemical building block for biorefineries: preliminary sustainability assessment of 12 bioethanol-based products.", "type" : "article-journal", "volume" : "135" }, "uris" : [ "http://www.mendeley.com/documents/?uuid=cf0b578b-6cbc-4322-ba1f-dfdda8634b26" ] } ], "mendeley" : { "formattedCitation" : "[44]", "plainTextFormattedCitation" : "[44]", "previouslyFormattedCitation" : "[44]" }, "properties" : { "noteIndex" : 0 }, "schema" : "https://github.com/citation-style-language/schema/raw/master/csl-citation.json" }</w:instrText>
      </w:r>
      <w:r w:rsidR="00982439">
        <w:fldChar w:fldCharType="separate"/>
      </w:r>
      <w:r w:rsidR="003F791C" w:rsidRPr="003F791C">
        <w:rPr>
          <w:noProof/>
        </w:rPr>
        <w:t>[44]</w:t>
      </w:r>
      <w:r w:rsidR="00982439">
        <w:fldChar w:fldCharType="end"/>
      </w:r>
      <w:r w:rsidR="00632480">
        <w:t>.</w:t>
      </w:r>
      <w:r w:rsidR="00B4424B">
        <w:t xml:space="preserve"> </w:t>
      </w:r>
    </w:p>
    <w:p w14:paraId="3B45D291" w14:textId="26A2FCC8" w:rsidR="005E3382" w:rsidRDefault="00F041D7" w:rsidP="005E3382">
      <w:pPr>
        <w:pStyle w:val="ListParagraph"/>
        <w:numPr>
          <w:ilvl w:val="0"/>
          <w:numId w:val="14"/>
        </w:numPr>
      </w:pPr>
      <w:r>
        <w:t xml:space="preserve">Direct sugar to chemicals, which can use </w:t>
      </w:r>
      <w:r w:rsidR="008F4345">
        <w:t>1</w:t>
      </w:r>
      <w:r w:rsidR="008F4345" w:rsidRPr="008F4345">
        <w:rPr>
          <w:vertAlign w:val="superscript"/>
        </w:rPr>
        <w:t>st</w:t>
      </w:r>
      <w:r>
        <w:t xml:space="preserve"> or </w:t>
      </w:r>
      <w:r w:rsidR="008F4345">
        <w:t>2</w:t>
      </w:r>
      <w:r w:rsidR="008F4345" w:rsidRPr="008F4345">
        <w:rPr>
          <w:vertAlign w:val="superscript"/>
        </w:rPr>
        <w:t>nd</w:t>
      </w:r>
      <w:r>
        <w:t xml:space="preserve"> generation fermentable sugars. </w:t>
      </w:r>
      <w:r w:rsidR="00EE228D">
        <w:t>Although 1</w:t>
      </w:r>
      <w:r w:rsidR="00EE228D" w:rsidRPr="00EE228D">
        <w:rPr>
          <w:vertAlign w:val="superscript"/>
        </w:rPr>
        <w:t>st</w:t>
      </w:r>
      <w:r w:rsidR="00EE228D">
        <w:t xml:space="preserve"> and 2</w:t>
      </w:r>
      <w:r w:rsidR="00EE228D" w:rsidRPr="00EE228D">
        <w:rPr>
          <w:vertAlign w:val="superscript"/>
        </w:rPr>
        <w:t>nd</w:t>
      </w:r>
      <w:r w:rsidR="00EE228D">
        <w:t xml:space="preserve"> generation ethanol also use fermentable sugars prior to converting it to ethylene, this route produces directly through fermentation</w:t>
      </w:r>
      <w:r w:rsidR="00B407D9">
        <w:t xml:space="preserve"> products that can replace plastics. </w:t>
      </w:r>
      <w:r w:rsidR="004C287B">
        <w:t>Lactic acid and its polymerization to PLA is chosen as a representative route as it is already produced at commercial scales</w:t>
      </w:r>
      <w:r w:rsidR="006767C4">
        <w:t xml:space="preserve"> and cost-structures are available</w:t>
      </w:r>
      <w:r w:rsidR="004C287B">
        <w:t xml:space="preserve">. </w:t>
      </w:r>
      <w:r w:rsidR="00B23853">
        <w:t xml:space="preserve">There is a wide number of products that can be derived from white biotechnology </w:t>
      </w:r>
      <w:r w:rsidR="006A36B2">
        <w:t>such as 1,3-Propane</w:t>
      </w:r>
      <w:r w:rsidR="00E32F7C">
        <w:t>diol (PDO), succinic acid (SA</w:t>
      </w:r>
      <w:r w:rsidR="00E32F7C" w:rsidRPr="001E2B08">
        <w:t>)</w:t>
      </w:r>
      <w:r w:rsidR="008F5E01" w:rsidRPr="001E2B08">
        <w:t xml:space="preserve"> </w:t>
      </w:r>
      <w:r w:rsidR="00982439" w:rsidRPr="001E2B08">
        <w:fldChar w:fldCharType="begin" w:fldLock="1"/>
      </w:r>
      <w:r w:rsidR="00BE0C7C">
        <w:instrText>ADDIN CSL_CITATION { "citationItems" : [ { "id" : "ITEM-1", "itemData" : { "author" : [ { "dropping-particle" : "", "family" : "Patel", "given" : "M.K.", "non-dropping-particle" : "", "parse-names" : false, "suffix" : "" }, { "dropping-particle" : "", "family" : "Crank", "given" : "M.", "non-dropping-particle" : "", "parse-names" : false, "suffix" : "" }, { "dropping-particle" : "", "family" : "Dornburg", "given" : "V.", "non-dropping-particle" : "", "parse-names" : false, "suffix" : "" }, { "dropping-particle" : "", "family" : "Hermann", "given" : "B.", "non-dropping-particle" : "", "parse-names" : false, "suffix" : "" }, { "dropping-particle" : "", "family" : "Roes", "given" : "Alexander L", "non-dropping-particle" : "", "parse-names" : false, "suffix" : "" } ], "id" : "ITEM-1", "issued" : { "date-parts" : [ [ "2006" ] ] }, "number-of-pages" : "474", "publisher-place" : "Utrecht", "title" : "Medium and Long-term Opportunities and Risks of the Biotechnological Production of Bulk Chemicals from Renewable Resources - The Potential of White Biotechnology", "type" : "report" }, "uris" : [ "http://www.mendeley.com/documents/?uuid=49679ec6-4068-4eb9-8ccd-41345e79b079" ] } ], "mendeley" : { "formattedCitation" : "[45]", "plainTextFormattedCitation" : "[45]", "previouslyFormattedCitation" : "[45]" }, "properties" : { "noteIndex" : 0 }, "schema" : "https://github.com/citation-style-language/schema/raw/master/csl-citation.json" }</w:instrText>
      </w:r>
      <w:r w:rsidR="00982439" w:rsidRPr="001E2B08">
        <w:fldChar w:fldCharType="separate"/>
      </w:r>
      <w:r w:rsidR="003F791C" w:rsidRPr="003F791C">
        <w:rPr>
          <w:noProof/>
        </w:rPr>
        <w:t>[45]</w:t>
      </w:r>
      <w:r w:rsidR="00982439" w:rsidRPr="001E2B08">
        <w:fldChar w:fldCharType="end"/>
      </w:r>
      <w:r w:rsidR="00982439">
        <w:t xml:space="preserve"> </w:t>
      </w:r>
      <w:r w:rsidR="00E32F7C">
        <w:t>or that involve catalytic conversion of sugars such as PEF</w:t>
      </w:r>
      <w:r w:rsidR="00982439">
        <w:t xml:space="preserve"> </w:t>
      </w:r>
      <w:r w:rsidR="0084595D">
        <w:fldChar w:fldCharType="begin" w:fldLock="1"/>
      </w:r>
      <w:r w:rsidR="00BE0C7C">
        <w:instrText>ADDIN CSL_CITATION { "citationItems" : [ { "id" : "ITEM-1", "itemData" : { "DOI" : "10.1039/c3ra43512a", "ISSN" : "2046-2069", "author" : [ { "dropping-particle" : "", "family" : "Eerhart", "given" : "A. J. J. E.", "non-dropping-particle" : "", "parse-names" : false, "suffix" : "" }, { "dropping-particle" : "", "family" : "Huijgen", "given" : "W. J. J.", "non-dropping-particle" : "", "parse-names" : false, "suffix" : "" }, { "dropping-particle" : "", "family" : "Grisel", "given" : "R. J. H.", "non-dropping-particle" : "", "parse-names" : false, "suffix" : "" }, { "dropping-particle" : "", "family" : "Waal", "given" : "J. C.", "non-dropping-particle" : "van der", "parse-names" : false, "suffix" : "" }, { "dropping-particle" : "", "family" : "Jong", "given" : "E.", "non-dropping-particle" : "de", "parse-names" : false, "suffix" : "" }, { "dropping-particle" : "", "family" : "Sousa Dias", "given" : "A.", "non-dropping-particle" : "de", "parse-names" : false, "suffix" : "" }, { "dropping-particle" : "", "family" : "Faaij", "given" : "A. P. C.", "non-dropping-particle" : "", "parse-names" : false, "suffix" : "" }, { "dropping-particle" : "", "family" : "Patel", "given" : "M. K.", "non-dropping-particle" : "", "parse-names" : false, "suffix" : "" } ], "container-title" : "RSC Advances", "id" : "ITEM-1", "issue" : "7", "issued" : { "date-parts" : [ [ "2015" ] ] }, "page" : "3536", "title" : "Fuels and plastics from lignocellulosic biomass via the furan pathway; a technical analysis", "type" : "article-journal", "volume" : "4" }, "uris" : [ "http://www.mendeley.com/documents/?uuid=1967fed7-527a-47b7-94ca-96e394c556c9" ] } ], "mendeley" : { "formattedCitation" : "[46]", "plainTextFormattedCitation" : "[46]", "previouslyFormattedCitation" : "[46]" }, "properties" : { "noteIndex" : 0 }, "schema" : "https://github.com/citation-style-language/schema/raw/master/csl-citation.json" }</w:instrText>
      </w:r>
      <w:r w:rsidR="0084595D">
        <w:fldChar w:fldCharType="separate"/>
      </w:r>
      <w:r w:rsidR="003F791C" w:rsidRPr="003F791C">
        <w:rPr>
          <w:noProof/>
        </w:rPr>
        <w:t>[46]</w:t>
      </w:r>
      <w:r w:rsidR="0084595D">
        <w:fldChar w:fldCharType="end"/>
      </w:r>
      <w:r w:rsidR="00E32F7C">
        <w:t>.</w:t>
      </w:r>
      <w:r w:rsidR="000D7E84">
        <w:t xml:space="preserve"> </w:t>
      </w:r>
      <w:r w:rsidR="005E3382">
        <w:t>While techno-economic parameters of these routes differ a lot, PLA can be considered as a representative product for using sugar as a platform for biochemicals.</w:t>
      </w:r>
    </w:p>
    <w:p w14:paraId="076358AE" w14:textId="77777777" w:rsidR="002B1544" w:rsidRDefault="002B1544" w:rsidP="004249AE"/>
    <w:p w14:paraId="4BF19CD1" w14:textId="340B0EEB" w:rsidR="004C2FC6" w:rsidRDefault="00DD2376" w:rsidP="004C1E35">
      <w:r>
        <w:t xml:space="preserve">In addition, </w:t>
      </w:r>
      <w:r w:rsidR="0082197E">
        <w:t xml:space="preserve">to assess the option of supplying alternative feedstocks to the industry, </w:t>
      </w:r>
      <w:r>
        <w:t xml:space="preserve">we include </w:t>
      </w:r>
      <w:r w:rsidR="00C50540">
        <w:t>FT-naphtha as a thermochemical-based feedstock.</w:t>
      </w:r>
      <w:r w:rsidR="00127472">
        <w:t xml:space="preserve"> This choice is not supported by MARKAL-NL-UU outcomes, as this was not shown as a pros</w:t>
      </w:r>
      <w:r w:rsidR="00E44FF6">
        <w:t xml:space="preserve">pective technology. However, accounting for this option </w:t>
      </w:r>
      <w:r w:rsidR="006C70DD">
        <w:t>in the structure of the macro</w:t>
      </w:r>
      <w:r w:rsidR="002869BF">
        <w:t>-</w:t>
      </w:r>
      <w:r w:rsidR="006C70DD">
        <w:t>economic model</w:t>
      </w:r>
      <w:r w:rsidR="00E44FF6">
        <w:t xml:space="preserve"> is </w:t>
      </w:r>
      <w:r w:rsidR="002F2AE5">
        <w:t>essential</w:t>
      </w:r>
      <w:r w:rsidR="00E44FF6">
        <w:t xml:space="preserve"> as other options such as hydrogenated animal or vegetable oils</w:t>
      </w:r>
      <w:r w:rsidR="00F12B30">
        <w:t xml:space="preserve"> or ethane and propane from ethanol</w:t>
      </w:r>
      <w:r w:rsidR="00E44FF6">
        <w:t xml:space="preserve"> may pick up in the future</w:t>
      </w:r>
      <w:r w:rsidR="00F12B30">
        <w:t xml:space="preserve">. </w:t>
      </w:r>
    </w:p>
    <w:p w14:paraId="7AA33389" w14:textId="77777777" w:rsidR="00153EC9" w:rsidRDefault="00153EC9" w:rsidP="00153EC9"/>
    <w:p w14:paraId="3D54D604" w14:textId="061DF701" w:rsidR="00153EC9" w:rsidRDefault="00153EC9" w:rsidP="00153EC9">
      <w:r>
        <w:t xml:space="preserve">An overview of biomass conversion to biochemicals is provided in </w:t>
      </w:r>
      <w:r>
        <w:rPr>
          <w:highlight w:val="yellow"/>
        </w:rPr>
        <w:fldChar w:fldCharType="begin"/>
      </w:r>
      <w:r>
        <w:instrText xml:space="preserve"> REF _Ref321647260 \h </w:instrText>
      </w:r>
      <w:r>
        <w:rPr>
          <w:highlight w:val="yellow"/>
        </w:rPr>
      </w:r>
      <w:r>
        <w:rPr>
          <w:highlight w:val="yellow"/>
        </w:rPr>
        <w:fldChar w:fldCharType="separate"/>
      </w:r>
      <w:r w:rsidR="009B58B7">
        <w:t xml:space="preserve">Figure </w:t>
      </w:r>
      <w:r w:rsidR="009B58B7">
        <w:rPr>
          <w:noProof/>
        </w:rPr>
        <w:t>2</w:t>
      </w:r>
      <w:r>
        <w:rPr>
          <w:highlight w:val="yellow"/>
        </w:rPr>
        <w:fldChar w:fldCharType="end"/>
      </w:r>
      <w:r>
        <w:t xml:space="preserve">. </w:t>
      </w:r>
    </w:p>
    <w:p w14:paraId="45EA01D3" w14:textId="77777777" w:rsidR="00153EC9" w:rsidRDefault="00153EC9" w:rsidP="004C1E35"/>
    <w:p w14:paraId="5DB741F0" w14:textId="77777777" w:rsidR="00FF4501" w:rsidRDefault="00FF4501" w:rsidP="00FF4501">
      <w:pPr>
        <w:keepNext/>
      </w:pPr>
      <w:r>
        <w:rPr>
          <w:noProof/>
        </w:rPr>
        <w:drawing>
          <wp:inline distT="0" distB="0" distL="0" distR="0" wp14:anchorId="2830961A" wp14:editId="2B8FE2F5">
            <wp:extent cx="5270500" cy="3244850"/>
            <wp:effectExtent l="0" t="0" r="1270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4-07 at 10.52.39.png"/>
                    <pic:cNvPicPr/>
                  </pic:nvPicPr>
                  <pic:blipFill>
                    <a:blip r:embed="rId11">
                      <a:extLst>
                        <a:ext uri="{28A0092B-C50C-407E-A947-70E740481C1C}">
                          <a14:useLocalDpi xmlns:a14="http://schemas.microsoft.com/office/drawing/2010/main" val="0"/>
                        </a:ext>
                      </a:extLst>
                    </a:blip>
                    <a:stretch>
                      <a:fillRect/>
                    </a:stretch>
                  </pic:blipFill>
                  <pic:spPr>
                    <a:xfrm>
                      <a:off x="0" y="0"/>
                      <a:ext cx="5270500" cy="3244850"/>
                    </a:xfrm>
                    <a:prstGeom prst="rect">
                      <a:avLst/>
                    </a:prstGeom>
                  </pic:spPr>
                </pic:pic>
              </a:graphicData>
            </a:graphic>
          </wp:inline>
        </w:drawing>
      </w:r>
    </w:p>
    <w:p w14:paraId="1E393656" w14:textId="3A4D2FFB" w:rsidR="00FF4501" w:rsidRDefault="00FF4501" w:rsidP="009F5EBC">
      <w:pPr>
        <w:pStyle w:val="Caption"/>
      </w:pPr>
      <w:bookmarkStart w:id="4" w:name="_Ref321647260"/>
      <w:r>
        <w:t xml:space="preserve">Figure </w:t>
      </w:r>
      <w:r w:rsidR="0019250C">
        <w:fldChar w:fldCharType="begin"/>
      </w:r>
      <w:r w:rsidR="0019250C">
        <w:instrText xml:space="preserve"> SEQ Figure \* ARABIC </w:instrText>
      </w:r>
      <w:r w:rsidR="0019250C">
        <w:fldChar w:fldCharType="separate"/>
      </w:r>
      <w:r w:rsidR="00BD3302">
        <w:rPr>
          <w:noProof/>
        </w:rPr>
        <w:t>2</w:t>
      </w:r>
      <w:r w:rsidR="0019250C">
        <w:rPr>
          <w:noProof/>
        </w:rPr>
        <w:fldChar w:fldCharType="end"/>
      </w:r>
      <w:bookmarkEnd w:id="4"/>
      <w:r>
        <w:t xml:space="preserve"> Overview of bio-based sectors and linkages in MAGNET</w:t>
      </w:r>
    </w:p>
    <w:p w14:paraId="1C57B18A" w14:textId="2366B25D" w:rsidR="00476A9F" w:rsidRPr="00476A9F" w:rsidRDefault="00476A9F" w:rsidP="00476A9F">
      <w:r>
        <w:t>The MAGNET sector and data aggregation is presented in the Appendix (</w:t>
      </w:r>
      <w:r w:rsidR="008B683B">
        <w:rPr>
          <w:highlight w:val="lightGray"/>
        </w:rPr>
        <w:fldChar w:fldCharType="begin"/>
      </w:r>
      <w:r w:rsidR="008B683B">
        <w:instrText xml:space="preserve"> REF _Ref448231091 \h </w:instrText>
      </w:r>
      <w:r w:rsidR="008B683B">
        <w:rPr>
          <w:highlight w:val="lightGray"/>
        </w:rPr>
      </w:r>
      <w:r w:rsidR="008B683B">
        <w:rPr>
          <w:highlight w:val="lightGray"/>
        </w:rPr>
        <w:fldChar w:fldCharType="separate"/>
      </w:r>
      <w:r w:rsidR="009B58B7">
        <w:t xml:space="preserve">Table S </w:t>
      </w:r>
      <w:r w:rsidR="009B58B7">
        <w:rPr>
          <w:noProof/>
        </w:rPr>
        <w:t>1</w:t>
      </w:r>
      <w:r w:rsidR="008B683B">
        <w:rPr>
          <w:highlight w:val="lightGray"/>
        </w:rPr>
        <w:fldChar w:fldCharType="end"/>
      </w:r>
      <w:r>
        <w:t>)</w:t>
      </w:r>
      <w:r w:rsidR="008B683B">
        <w:t xml:space="preserve">. </w:t>
      </w:r>
    </w:p>
    <w:p w14:paraId="3E1524F2" w14:textId="0BA0FD3E" w:rsidR="000F6C53" w:rsidRDefault="0099404D" w:rsidP="00C654E4">
      <w:pPr>
        <w:pStyle w:val="Heading2"/>
        <w:numPr>
          <w:ilvl w:val="0"/>
          <w:numId w:val="25"/>
        </w:numPr>
        <w:ind w:left="426" w:hanging="426"/>
      </w:pPr>
      <w:r w:rsidRPr="006B51B7">
        <w:t>Results</w:t>
      </w:r>
    </w:p>
    <w:p w14:paraId="699B1799" w14:textId="3B6C5900" w:rsidR="00BE0C7C" w:rsidRPr="00BE0C7C" w:rsidRDefault="00BE0C7C" w:rsidP="00BE0C7C">
      <w:pPr>
        <w:pStyle w:val="Heading3"/>
        <w:numPr>
          <w:ilvl w:val="1"/>
          <w:numId w:val="25"/>
        </w:numPr>
        <w:ind w:left="426" w:hanging="426"/>
      </w:pPr>
      <w:r w:rsidRPr="00BE0C7C">
        <w:t>Macro-economic impact</w:t>
      </w:r>
    </w:p>
    <w:p w14:paraId="6ED4AF30" w14:textId="125B98EF" w:rsidR="00BA33F9" w:rsidRPr="00BA33F9" w:rsidRDefault="00BA33F9" w:rsidP="00BA33F9">
      <w:r w:rsidRPr="00BA33F9">
        <w:t xml:space="preserve">Given the macroeconomic and policy assumptions the large-scale deployment of biomass might have a positive impact on the value added of the Dutch economy in the medium term (2030).  Across all scenarios only </w:t>
      </w:r>
      <w:proofErr w:type="spellStart"/>
      <w:r w:rsidRPr="00BA33F9">
        <w:t>RegLowTech</w:t>
      </w:r>
      <w:proofErr w:type="spellEnd"/>
      <w:r w:rsidRPr="00BA33F9">
        <w:t xml:space="preserve"> still has a negative GDP eff</w:t>
      </w:r>
      <w:r w:rsidR="00E50900">
        <w:t>ect of -€0.2bn in 2030 (</w:t>
      </w:r>
      <w:r w:rsidR="00E50900">
        <w:fldChar w:fldCharType="begin"/>
      </w:r>
      <w:r w:rsidR="00E50900">
        <w:instrText xml:space="preserve"> REF _Ref448415027 \h </w:instrText>
      </w:r>
      <w:r w:rsidR="00E50900">
        <w:fldChar w:fldCharType="separate"/>
      </w:r>
      <w:r w:rsidR="00E50900">
        <w:t xml:space="preserve">Figure </w:t>
      </w:r>
      <w:r w:rsidR="00E50900">
        <w:rPr>
          <w:noProof/>
        </w:rPr>
        <w:t>3</w:t>
      </w:r>
      <w:r w:rsidR="00E50900">
        <w:fldChar w:fldCharType="end"/>
      </w:r>
      <w:r w:rsidRPr="00BA33F9">
        <w:t>). Open markets and investments in technology development lead to a positive GDP effect of €0.8bn annually in 2030 (</w:t>
      </w:r>
      <w:proofErr w:type="spellStart"/>
      <w:r w:rsidRPr="00BA33F9">
        <w:t>GlobHighTech</w:t>
      </w:r>
      <w:proofErr w:type="spellEnd"/>
      <w:r w:rsidRPr="00BA33F9">
        <w:t xml:space="preserve"> scenario). High technology developments and global markets add up to €1bn to GDP on a yearly basis from 2030 onwards. </w:t>
      </w:r>
    </w:p>
    <w:p w14:paraId="7051C889" w14:textId="77777777" w:rsidR="00BA33F9" w:rsidRPr="00BA33F9" w:rsidRDefault="00BA33F9" w:rsidP="00BA33F9"/>
    <w:p w14:paraId="36554802" w14:textId="77777777" w:rsidR="00BE0C7C" w:rsidRDefault="00BA33F9" w:rsidP="00BE0C7C">
      <w:pPr>
        <w:keepNext/>
      </w:pPr>
      <w:r w:rsidRPr="00BA33F9">
        <w:rPr>
          <w:noProof/>
        </w:rPr>
        <w:drawing>
          <wp:inline distT="0" distB="0" distL="0" distR="0" wp14:anchorId="2131DE74" wp14:editId="75E1B71B">
            <wp:extent cx="4859867" cy="2277533"/>
            <wp:effectExtent l="0" t="0" r="0" b="8890"/>
            <wp:docPr id="2" name="Picture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icture Placeholder 5"/>
                    <pic:cNvPicPr>
                      <a:picLocks noGrp="1" noChangeAspect="1"/>
                    </pic:cNvPicPr>
                  </pic:nvPicPr>
                  <pic:blipFill rotWithShape="1">
                    <a:blip r:embed="rId12">
                      <a:extLst>
                        <a:ext uri="{28A0092B-C50C-407E-A947-70E740481C1C}">
                          <a14:useLocalDpi xmlns:a14="http://schemas.microsoft.com/office/drawing/2010/main" val="0"/>
                        </a:ext>
                      </a:extLst>
                    </a:blip>
                    <a:srcRect l="-1099" r="-1687"/>
                    <a:stretch/>
                  </pic:blipFill>
                  <pic:spPr bwMode="auto">
                    <a:xfrm>
                      <a:off x="0" y="0"/>
                      <a:ext cx="4859867" cy="2277533"/>
                    </a:xfrm>
                    <a:prstGeom prst="rect">
                      <a:avLst/>
                    </a:prstGeom>
                    <a:solidFill>
                      <a:srgbClr val="F1F0E8"/>
                    </a:solidFill>
                    <a:ln>
                      <a:noFill/>
                    </a:ln>
                    <a:effectLst/>
                    <a:extLst>
                      <a:ext uri="{53640926-AAD7-44D8-BBD7-CCE9431645EC}">
                        <a14:shadowObscured xmlns:a14="http://schemas.microsoft.com/office/drawing/2010/main"/>
                      </a:ext>
                    </a:extLst>
                  </pic:spPr>
                </pic:pic>
              </a:graphicData>
            </a:graphic>
          </wp:inline>
        </w:drawing>
      </w:r>
    </w:p>
    <w:p w14:paraId="62D7ADD8" w14:textId="7EB8869E" w:rsidR="00BE0C7C" w:rsidRPr="00BA33F9" w:rsidRDefault="00BE0C7C" w:rsidP="00BE0C7C">
      <w:pPr>
        <w:pStyle w:val="Caption"/>
      </w:pPr>
      <w:bookmarkStart w:id="5" w:name="_Ref448415027"/>
      <w:r>
        <w:t xml:space="preserve">Figure </w:t>
      </w:r>
      <w:r w:rsidR="0019250C">
        <w:fldChar w:fldCharType="begin"/>
      </w:r>
      <w:r w:rsidR="0019250C">
        <w:instrText xml:space="preserve"> SEQ Figur</w:instrText>
      </w:r>
      <w:r w:rsidR="0019250C">
        <w:instrText xml:space="preserve">e \* ARABIC </w:instrText>
      </w:r>
      <w:r w:rsidR="0019250C">
        <w:fldChar w:fldCharType="separate"/>
      </w:r>
      <w:r w:rsidR="00BD3302">
        <w:rPr>
          <w:noProof/>
        </w:rPr>
        <w:t>3</w:t>
      </w:r>
      <w:r w:rsidR="0019250C">
        <w:rPr>
          <w:noProof/>
        </w:rPr>
        <w:fldChar w:fldCharType="end"/>
      </w:r>
      <w:bookmarkEnd w:id="5"/>
      <w:r>
        <w:t xml:space="preserve"> </w:t>
      </w:r>
      <w:r w:rsidRPr="00BA33F9">
        <w:t xml:space="preserve">GDP impact of </w:t>
      </w:r>
      <w:proofErr w:type="spellStart"/>
      <w:r w:rsidRPr="00BA33F9">
        <w:t>RegLowTech</w:t>
      </w:r>
      <w:proofErr w:type="spellEnd"/>
      <w:r w:rsidRPr="00BA33F9">
        <w:t xml:space="preserve"> and </w:t>
      </w:r>
      <w:proofErr w:type="spellStart"/>
      <w:r w:rsidRPr="00BA33F9">
        <w:t>GlobHightech</w:t>
      </w:r>
      <w:proofErr w:type="spellEnd"/>
      <w:r w:rsidRPr="00BA33F9">
        <w:t xml:space="preserve"> scenarios relative to </w:t>
      </w:r>
      <w:proofErr w:type="spellStart"/>
      <w:r w:rsidRPr="00BA33F9">
        <w:t>NoBioBased</w:t>
      </w:r>
      <w:proofErr w:type="spellEnd"/>
      <w:r w:rsidRPr="00BA33F9">
        <w:t xml:space="preserve"> scenario (a</w:t>
      </w:r>
      <w:r>
        <w:t>bsolute difference, € billions)</w:t>
      </w:r>
    </w:p>
    <w:p w14:paraId="402AA67D" w14:textId="77777777" w:rsidR="00BA33F9" w:rsidRPr="00BA33F9" w:rsidRDefault="00BA33F9" w:rsidP="00BA33F9">
      <w:r w:rsidRPr="00BA33F9">
        <w:t xml:space="preserve">In the 2015-2020 period, the main effect is the compliance with the renewable energy targets (RED) which leads to negative GDP effects in all scenarios in 2020 compared to a </w:t>
      </w:r>
      <w:proofErr w:type="spellStart"/>
      <w:r w:rsidRPr="00BA33F9">
        <w:t>NoBioBased</w:t>
      </w:r>
      <w:proofErr w:type="spellEnd"/>
      <w:r w:rsidRPr="00BA33F9">
        <w:t xml:space="preserve"> scenario as bioenergy technologies are not competitive to their fossil substitutes. The negative effect is stronger in the regional scenarios (-€0.8bn, see, ‘RED + Regional’ red arrow) than in the global scenarios (-€0.2bn, see ‘RED + Global’ blue arrow) as the EU cannot import (relatively cheap) biofuels from South and North America. The positive effect of technology advances becomes visible in the 2020-2030 period and is larger for </w:t>
      </w:r>
      <w:proofErr w:type="spellStart"/>
      <w:r w:rsidRPr="00BA33F9">
        <w:t>HighTech</w:t>
      </w:r>
      <w:proofErr w:type="spellEnd"/>
      <w:r w:rsidRPr="00BA33F9">
        <w:t xml:space="preserve"> (€1bn annually, see ‘High Tech’ blue arrow) than </w:t>
      </w:r>
      <w:proofErr w:type="spellStart"/>
      <w:r w:rsidRPr="00BA33F9">
        <w:t>LowTech</w:t>
      </w:r>
      <w:proofErr w:type="spellEnd"/>
      <w:r w:rsidRPr="00BA33F9">
        <w:t xml:space="preserve"> (€0.6bn annually, see ‘Low Tech’ red arrow) scenarios.</w:t>
      </w:r>
    </w:p>
    <w:p w14:paraId="3F41ECB1" w14:textId="77777777" w:rsidR="00BA33F9" w:rsidRPr="00BA33F9" w:rsidRDefault="00BA33F9" w:rsidP="00BA33F9">
      <w:pPr>
        <w:contextualSpacing/>
        <w:jc w:val="both"/>
      </w:pPr>
    </w:p>
    <w:p w14:paraId="3A8A1BC7" w14:textId="77777777" w:rsidR="00F15830" w:rsidRPr="00BA33F9" w:rsidRDefault="00F15830" w:rsidP="00F15830">
      <w:r>
        <w:fldChar w:fldCharType="begin"/>
      </w:r>
      <w:r>
        <w:instrText xml:space="preserve"> REF _Ref448415056 \h  \* MERGEFORMAT </w:instrText>
      </w:r>
      <w:r>
        <w:fldChar w:fldCharType="separate"/>
      </w:r>
      <w:r>
        <w:t xml:space="preserve">Figure </w:t>
      </w:r>
      <w:r>
        <w:rPr>
          <w:noProof/>
        </w:rPr>
        <w:t>4</w:t>
      </w:r>
      <w:r>
        <w:fldChar w:fldCharType="end"/>
      </w:r>
      <w:r w:rsidRPr="00BA33F9">
        <w:rPr>
          <w:vertAlign w:val="superscript"/>
        </w:rPr>
        <w:footnoteReference w:id="2"/>
      </w:r>
      <w:r w:rsidRPr="00BA33F9">
        <w:t xml:space="preserve"> shows the value added of various bioeconomy sectors in the MEV II and the </w:t>
      </w:r>
      <w:proofErr w:type="spellStart"/>
      <w:r w:rsidRPr="00BA33F9">
        <w:t>NoBioBased</w:t>
      </w:r>
      <w:proofErr w:type="spellEnd"/>
      <w:r w:rsidRPr="00BA33F9">
        <w:t xml:space="preserve"> scenarios in The Netherlands in 2015 and 2030. The increase in value added of the selected bioeconomy sectors relative to the No-</w:t>
      </w:r>
      <w:proofErr w:type="spellStart"/>
      <w:r w:rsidRPr="00BA33F9">
        <w:t>Biobased</w:t>
      </w:r>
      <w:proofErr w:type="spellEnd"/>
      <w:r w:rsidRPr="00BA33F9">
        <w:t xml:space="preserve"> scenario is higher in the </w:t>
      </w:r>
      <w:proofErr w:type="spellStart"/>
      <w:r w:rsidRPr="00BA33F9">
        <w:t>HighTech</w:t>
      </w:r>
      <w:proofErr w:type="spellEnd"/>
      <w:r w:rsidRPr="00BA33F9">
        <w:t xml:space="preserve"> than </w:t>
      </w:r>
      <w:proofErr w:type="spellStart"/>
      <w:r w:rsidRPr="00BA33F9">
        <w:t>LowTech</w:t>
      </w:r>
      <w:proofErr w:type="spellEnd"/>
      <w:r w:rsidRPr="00BA33F9">
        <w:t xml:space="preserve"> scenarios with respectively about 740-760 million euro and 560-620 million </w:t>
      </w:r>
      <w:proofErr w:type="spellStart"/>
      <w:r w:rsidRPr="00BA33F9">
        <w:t>euro.The</w:t>
      </w:r>
      <w:proofErr w:type="spellEnd"/>
      <w:r w:rsidRPr="00BA33F9">
        <w:t xml:space="preserve"> emergence of the bioeconomy has a positive impact on value added of all bioeconomy sectors. Within the bioeconomy, agriculture is a key sector in terms of value added. Its value added decreases slightly (by -€160m) between 2015 and 2030 in the </w:t>
      </w:r>
      <w:proofErr w:type="spellStart"/>
      <w:r w:rsidRPr="00BA33F9">
        <w:t>NoBioBased</w:t>
      </w:r>
      <w:proofErr w:type="spellEnd"/>
      <w:r w:rsidRPr="00BA33F9">
        <w:t xml:space="preserve"> scenarios. In all four MEV II scenarios the agricultural value added in the Netherlands increases due to the emergence of a broader bioeconomy. The value added in the biochemical sectors due to new bulk </w:t>
      </w:r>
      <w:proofErr w:type="spellStart"/>
      <w:r w:rsidRPr="00BA33F9">
        <w:t>biobased</w:t>
      </w:r>
      <w:proofErr w:type="spellEnd"/>
      <w:r w:rsidRPr="00BA33F9">
        <w:t xml:space="preserve"> polymers increases by €130m in the </w:t>
      </w:r>
      <w:proofErr w:type="spellStart"/>
      <w:r w:rsidRPr="00BA33F9">
        <w:t>LowTech</w:t>
      </w:r>
      <w:proofErr w:type="spellEnd"/>
      <w:r w:rsidRPr="00BA33F9">
        <w:t xml:space="preserve"> scenarios and by €250m in the </w:t>
      </w:r>
      <w:proofErr w:type="spellStart"/>
      <w:r w:rsidRPr="00BA33F9">
        <w:t>HighTech</w:t>
      </w:r>
      <w:proofErr w:type="spellEnd"/>
      <w:r w:rsidRPr="00BA33F9">
        <w:t xml:space="preserve"> scenarios (compared to a </w:t>
      </w:r>
      <w:proofErr w:type="spellStart"/>
      <w:r w:rsidRPr="00BA33F9">
        <w:t>NoBioBased</w:t>
      </w:r>
      <w:proofErr w:type="spellEnd"/>
      <w:r w:rsidRPr="00BA33F9">
        <w:t xml:space="preserve"> scenario in 2030). Biofuel value added is modest (50 million euro) and more or less equal among the scenarios. In the regional </w:t>
      </w:r>
      <w:proofErr w:type="spellStart"/>
      <w:r w:rsidRPr="00BA33F9">
        <w:t>LowTech</w:t>
      </w:r>
      <w:proofErr w:type="spellEnd"/>
      <w:r w:rsidRPr="00BA33F9">
        <w:t xml:space="preserve"> scenario it is slightly higher (75 million euro). The bioenergy use is largely driven by policies and the value added is fairly constant across the scenarios. Relative to the </w:t>
      </w:r>
      <w:proofErr w:type="spellStart"/>
      <w:r w:rsidRPr="00BA33F9">
        <w:t>NoBioBased</w:t>
      </w:r>
      <w:proofErr w:type="spellEnd"/>
      <w:r w:rsidRPr="00BA33F9">
        <w:t xml:space="preserve"> scenario the value added of bioenergy is about €280m higher in 2030.</w:t>
      </w:r>
    </w:p>
    <w:p w14:paraId="57EAA9CE" w14:textId="77777777" w:rsidR="00AB6B96" w:rsidRDefault="00AB6B96" w:rsidP="00F15830"/>
    <w:p w14:paraId="2F29B978" w14:textId="77777777" w:rsidR="00F15830" w:rsidRPr="00BA33F9" w:rsidRDefault="00F15830" w:rsidP="00F15830">
      <w:r w:rsidRPr="00BA33F9">
        <w:t xml:space="preserve">In the </w:t>
      </w:r>
      <w:proofErr w:type="spellStart"/>
      <w:r w:rsidRPr="00BA33F9">
        <w:t>NoBiobased</w:t>
      </w:r>
      <w:proofErr w:type="spellEnd"/>
      <w:r w:rsidRPr="00BA33F9">
        <w:t xml:space="preserve"> scenario the employment in agriculture, bioenergy and biochemical sectors is lower in 2030 than in 2015 due to a decline of employment in agriculture which is in compliance with the long-term trend. The increase of the bio-based economy only partially mitigates this effect. The highest employment impacts come from the production of bio-based chemicals in the case of the </w:t>
      </w:r>
      <w:proofErr w:type="spellStart"/>
      <w:r w:rsidRPr="00BA33F9">
        <w:t>HighTech</w:t>
      </w:r>
      <w:proofErr w:type="spellEnd"/>
      <w:r w:rsidRPr="00BA33F9">
        <w:t xml:space="preserve"> scenarios and to a smaller extent in the </w:t>
      </w:r>
      <w:proofErr w:type="spellStart"/>
      <w:r w:rsidRPr="00BA33F9">
        <w:t>GlobLowTech</w:t>
      </w:r>
      <w:proofErr w:type="spellEnd"/>
      <w:r w:rsidRPr="00BA33F9">
        <w:t xml:space="preserve"> scenario. </w:t>
      </w:r>
    </w:p>
    <w:p w14:paraId="6997E402" w14:textId="77777777" w:rsidR="00F15830" w:rsidRPr="00BA33F9" w:rsidRDefault="00F15830" w:rsidP="00BA33F9">
      <w:pPr>
        <w:contextualSpacing/>
        <w:jc w:val="both"/>
      </w:pPr>
    </w:p>
    <w:p w14:paraId="01DBCA82" w14:textId="77777777" w:rsidR="000A24A3" w:rsidRDefault="00BA33F9" w:rsidP="000A24A3">
      <w:pPr>
        <w:keepNext/>
      </w:pPr>
      <w:r w:rsidRPr="00BA33F9">
        <w:rPr>
          <w:noProof/>
        </w:rPr>
        <w:drawing>
          <wp:inline distT="0" distB="0" distL="0" distR="0" wp14:anchorId="73C999B1" wp14:editId="181A07A6">
            <wp:extent cx="5614670" cy="3023870"/>
            <wp:effectExtent l="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4670" cy="3023870"/>
                    </a:xfrm>
                    <a:prstGeom prst="rect">
                      <a:avLst/>
                    </a:prstGeom>
                    <a:noFill/>
                  </pic:spPr>
                </pic:pic>
              </a:graphicData>
            </a:graphic>
          </wp:inline>
        </w:drawing>
      </w:r>
    </w:p>
    <w:p w14:paraId="79502565" w14:textId="1A9D6C36" w:rsidR="00BA33F9" w:rsidRPr="000A24A3" w:rsidRDefault="000A24A3" w:rsidP="000A24A3">
      <w:pPr>
        <w:pStyle w:val="Caption"/>
      </w:pPr>
      <w:bookmarkStart w:id="6" w:name="_Ref448415056"/>
      <w:r>
        <w:t xml:space="preserve">Figure </w:t>
      </w:r>
      <w:r w:rsidR="0019250C">
        <w:fldChar w:fldCharType="begin"/>
      </w:r>
      <w:r w:rsidR="0019250C">
        <w:instrText xml:space="preserve"> SEQ Figure \* ARABIC </w:instrText>
      </w:r>
      <w:r w:rsidR="0019250C">
        <w:fldChar w:fldCharType="separate"/>
      </w:r>
      <w:r w:rsidR="00BD3302">
        <w:rPr>
          <w:noProof/>
        </w:rPr>
        <w:t>4</w:t>
      </w:r>
      <w:r w:rsidR="0019250C">
        <w:rPr>
          <w:noProof/>
        </w:rPr>
        <w:fldChar w:fldCharType="end"/>
      </w:r>
      <w:bookmarkEnd w:id="6"/>
      <w:r>
        <w:t xml:space="preserve"> </w:t>
      </w:r>
      <w:r w:rsidR="00BA33F9" w:rsidRPr="00BA33F9">
        <w:rPr>
          <w:bCs w:val="0"/>
        </w:rPr>
        <w:t xml:space="preserve">Value </w:t>
      </w:r>
      <w:r w:rsidR="00BA33F9" w:rsidRPr="00BA33F9">
        <w:t>added for 2030 in different MEVII scenarios and reference (</w:t>
      </w:r>
      <w:proofErr w:type="spellStart"/>
      <w:r w:rsidR="00BA33F9" w:rsidRPr="00BA33F9">
        <w:t>NoBi</w:t>
      </w:r>
      <w:r w:rsidR="00AB6B96">
        <w:t>ob</w:t>
      </w:r>
      <w:r>
        <w:t>ased</w:t>
      </w:r>
      <w:proofErr w:type="spellEnd"/>
      <w:r>
        <w:t>) in comparison with 2015</w:t>
      </w:r>
    </w:p>
    <w:p w14:paraId="1B0B51C5" w14:textId="5948FD73" w:rsidR="00BA33F9" w:rsidRPr="008A5934" w:rsidRDefault="00BA33F9" w:rsidP="008A5934">
      <w:pPr>
        <w:pStyle w:val="Heading3"/>
        <w:numPr>
          <w:ilvl w:val="1"/>
          <w:numId w:val="25"/>
        </w:numPr>
        <w:ind w:left="426" w:hanging="426"/>
      </w:pPr>
      <w:bookmarkStart w:id="7" w:name="_Toc438649859"/>
      <w:r w:rsidRPr="008A5934">
        <w:t>Biomass use in transport, electricity and chemical sectors</w:t>
      </w:r>
      <w:bookmarkEnd w:id="7"/>
      <w:r w:rsidRPr="008A5934">
        <w:t xml:space="preserve"> </w:t>
      </w:r>
    </w:p>
    <w:p w14:paraId="1C4CB1BC" w14:textId="77777777" w:rsidR="00BA33F9" w:rsidRPr="00BA33F9" w:rsidRDefault="00BA33F9" w:rsidP="00BA33F9"/>
    <w:p w14:paraId="7BBA2EF6" w14:textId="77777777" w:rsidR="008A5934" w:rsidRDefault="00BA33F9" w:rsidP="008A5934">
      <w:pPr>
        <w:keepNext/>
      </w:pPr>
      <w:r w:rsidRPr="00BA33F9">
        <w:rPr>
          <w:noProof/>
        </w:rPr>
        <w:drawing>
          <wp:inline distT="0" distB="0" distL="0" distR="0" wp14:anchorId="39A437CF" wp14:editId="6BFDC522">
            <wp:extent cx="5270500" cy="2836082"/>
            <wp:effectExtent l="0" t="0" r="6350" b="2540"/>
            <wp:docPr id="5"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0500" cy="2836082"/>
                    </a:xfrm>
                    <a:prstGeom prst="rect">
                      <a:avLst/>
                    </a:prstGeom>
                    <a:noFill/>
                    <a:ln>
                      <a:noFill/>
                    </a:ln>
                  </pic:spPr>
                </pic:pic>
              </a:graphicData>
            </a:graphic>
          </wp:inline>
        </w:drawing>
      </w:r>
    </w:p>
    <w:p w14:paraId="70B69174" w14:textId="18A3A0AC" w:rsidR="00BA33F9" w:rsidRPr="008A5934" w:rsidRDefault="008A5934" w:rsidP="008A5934">
      <w:pPr>
        <w:pStyle w:val="Caption"/>
        <w:rPr>
          <w:i/>
        </w:rPr>
      </w:pPr>
      <w:bookmarkStart w:id="8" w:name="_Ref448415159"/>
      <w:r>
        <w:t xml:space="preserve">Figure </w:t>
      </w:r>
      <w:r w:rsidR="0019250C">
        <w:fldChar w:fldCharType="begin"/>
      </w:r>
      <w:r w:rsidR="0019250C">
        <w:instrText xml:space="preserve"> SEQ Figure \* ARABIC </w:instrText>
      </w:r>
      <w:r w:rsidR="0019250C">
        <w:fldChar w:fldCharType="separate"/>
      </w:r>
      <w:r w:rsidR="00BD3302">
        <w:rPr>
          <w:noProof/>
        </w:rPr>
        <w:t>5</w:t>
      </w:r>
      <w:r w:rsidR="0019250C">
        <w:rPr>
          <w:noProof/>
        </w:rPr>
        <w:fldChar w:fldCharType="end"/>
      </w:r>
      <w:bookmarkEnd w:id="8"/>
      <w:r>
        <w:t xml:space="preserve"> </w:t>
      </w:r>
      <w:r w:rsidR="00AB6B96">
        <w:rPr>
          <w:bCs w:val="0"/>
        </w:rPr>
        <w:t>1</w:t>
      </w:r>
      <w:r w:rsidR="00AB6B96" w:rsidRPr="00AB6B96">
        <w:rPr>
          <w:bCs w:val="0"/>
          <w:vertAlign w:val="superscript"/>
        </w:rPr>
        <w:t>st</w:t>
      </w:r>
      <w:r w:rsidR="00AB6B96">
        <w:rPr>
          <w:bCs w:val="0"/>
        </w:rPr>
        <w:t xml:space="preserve"> </w:t>
      </w:r>
      <w:r w:rsidR="00BA33F9" w:rsidRPr="00BA33F9">
        <w:rPr>
          <w:bCs w:val="0"/>
        </w:rPr>
        <w:t xml:space="preserve"> and </w:t>
      </w:r>
      <w:r w:rsidR="00AB6B96">
        <w:rPr>
          <w:bCs w:val="0"/>
        </w:rPr>
        <w:t>2</w:t>
      </w:r>
      <w:r w:rsidR="00AB6B96" w:rsidRPr="00AB6B96">
        <w:rPr>
          <w:bCs w:val="0"/>
          <w:vertAlign w:val="superscript"/>
        </w:rPr>
        <w:t>nd</w:t>
      </w:r>
      <w:r w:rsidR="00AB6B96">
        <w:rPr>
          <w:bCs w:val="0"/>
        </w:rPr>
        <w:t xml:space="preserve"> </w:t>
      </w:r>
      <w:r w:rsidR="00BA33F9" w:rsidRPr="00BA33F9">
        <w:rPr>
          <w:bCs w:val="0"/>
        </w:rPr>
        <w:t xml:space="preserve"> generation biofuel shares in 2030</w:t>
      </w:r>
    </w:p>
    <w:p w14:paraId="6A99883D" w14:textId="3DF824C2" w:rsidR="00BA33F9" w:rsidRPr="00BA33F9" w:rsidRDefault="008A5934" w:rsidP="00BA33F9">
      <w:pPr>
        <w:contextualSpacing/>
        <w:jc w:val="both"/>
      </w:pPr>
      <w:r>
        <w:fldChar w:fldCharType="begin"/>
      </w:r>
      <w:r>
        <w:instrText xml:space="preserve"> REF _Ref448415159 \h </w:instrText>
      </w:r>
      <w:r>
        <w:fldChar w:fldCharType="separate"/>
      </w:r>
      <w:r>
        <w:t xml:space="preserve">Figure </w:t>
      </w:r>
      <w:r>
        <w:rPr>
          <w:noProof/>
        </w:rPr>
        <w:t>5</w:t>
      </w:r>
      <w:r>
        <w:fldChar w:fldCharType="end"/>
      </w:r>
      <w:r>
        <w:t xml:space="preserve"> </w:t>
      </w:r>
      <w:r w:rsidR="00BA33F9" w:rsidRPr="00BA33F9">
        <w:t xml:space="preserve">shows the impact on first and second generation biofuel shares in the Dutch economy in 2030. In the </w:t>
      </w:r>
      <w:proofErr w:type="spellStart"/>
      <w:r w:rsidR="00BA33F9" w:rsidRPr="00BA33F9">
        <w:t>LowTech</w:t>
      </w:r>
      <w:proofErr w:type="spellEnd"/>
      <w:r w:rsidR="00BA33F9" w:rsidRPr="00BA33F9">
        <w:t xml:space="preserve"> scenarios the biofuel shares are equal to the EU biofuel mandate. This implies that 7% first generation biofuels are obtained and 1.5% second generation biofuels. The latter counts double and the total adds up to 10% blending mandate in 2020 and 2030 as we assume in these scenarios that the mandate will be maintained until 2030. In the </w:t>
      </w:r>
      <w:proofErr w:type="spellStart"/>
      <w:r w:rsidR="00BA33F9" w:rsidRPr="00BA33F9">
        <w:t>HighTech</w:t>
      </w:r>
      <w:proofErr w:type="spellEnd"/>
      <w:r w:rsidR="00BA33F9" w:rsidRPr="00BA33F9">
        <w:t xml:space="preserve"> scenarios biofuels become competitive and the biofuel share increases to 11.5% in the regional scenario and due to cheaper feedstock prices to almost 14% in the global scenario. </w:t>
      </w:r>
    </w:p>
    <w:p w14:paraId="1F0C8698" w14:textId="77777777" w:rsidR="00BA33F9" w:rsidRPr="00BA33F9" w:rsidRDefault="00BA33F9" w:rsidP="00BA33F9">
      <w:pPr>
        <w:contextualSpacing/>
        <w:jc w:val="both"/>
      </w:pPr>
    </w:p>
    <w:p w14:paraId="0662D6D8" w14:textId="77777777" w:rsidR="008A5934" w:rsidRDefault="00BA33F9" w:rsidP="008A5934">
      <w:pPr>
        <w:keepNext/>
      </w:pPr>
      <w:r w:rsidRPr="00BA33F9">
        <w:rPr>
          <w:noProof/>
        </w:rPr>
        <w:drawing>
          <wp:inline distT="0" distB="0" distL="0" distR="0" wp14:anchorId="01808764" wp14:editId="3AD6B94E">
            <wp:extent cx="4742815" cy="297497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42815" cy="2974975"/>
                    </a:xfrm>
                    <a:prstGeom prst="rect">
                      <a:avLst/>
                    </a:prstGeom>
                    <a:noFill/>
                  </pic:spPr>
                </pic:pic>
              </a:graphicData>
            </a:graphic>
          </wp:inline>
        </w:drawing>
      </w:r>
    </w:p>
    <w:p w14:paraId="1082134F" w14:textId="10B960AA" w:rsidR="00BA33F9" w:rsidRPr="00FA7BE4" w:rsidRDefault="008A5934" w:rsidP="00FA7BE4">
      <w:pPr>
        <w:pStyle w:val="Caption"/>
      </w:pPr>
      <w:bookmarkStart w:id="9" w:name="_Ref448415214"/>
      <w:r w:rsidRPr="00FA7BE4">
        <w:t xml:space="preserve">Figure </w:t>
      </w:r>
      <w:r w:rsidR="0019250C" w:rsidRPr="00FA7BE4">
        <w:fldChar w:fldCharType="begin"/>
      </w:r>
      <w:r w:rsidR="0019250C" w:rsidRPr="00FA7BE4">
        <w:instrText xml:space="preserve"> SEQ Figure \* ARABIC </w:instrText>
      </w:r>
      <w:r w:rsidR="0019250C" w:rsidRPr="00FA7BE4">
        <w:fldChar w:fldCharType="separate"/>
      </w:r>
      <w:r w:rsidR="00BD3302" w:rsidRPr="00FA7BE4">
        <w:t>6</w:t>
      </w:r>
      <w:r w:rsidR="0019250C" w:rsidRPr="00FA7BE4">
        <w:fldChar w:fldCharType="end"/>
      </w:r>
      <w:bookmarkEnd w:id="9"/>
      <w:r w:rsidRPr="00FA7BE4">
        <w:t xml:space="preserve"> </w:t>
      </w:r>
      <w:r w:rsidR="00BA33F9" w:rsidRPr="00FA7BE4">
        <w:t>Biofuel composition by type and origin (2030, million euro)</w:t>
      </w:r>
      <w:r w:rsidRPr="00FA7BE4">
        <w:t xml:space="preserve"> [</w:t>
      </w:r>
      <w:proofErr w:type="spellStart"/>
      <w:r w:rsidR="00BA33F9" w:rsidRPr="00FA7BE4">
        <w:t>Biod</w:t>
      </w:r>
      <w:proofErr w:type="spellEnd"/>
      <w:r w:rsidR="00BA33F9" w:rsidRPr="00FA7BE4">
        <w:t xml:space="preserve"> = biodiesel, </w:t>
      </w:r>
      <w:proofErr w:type="spellStart"/>
      <w:r w:rsidR="00BA33F9" w:rsidRPr="00FA7BE4">
        <w:t>biog</w:t>
      </w:r>
      <w:proofErr w:type="spellEnd"/>
      <w:r w:rsidR="00BA33F9" w:rsidRPr="00FA7BE4">
        <w:t xml:space="preserve"> = </w:t>
      </w:r>
      <w:proofErr w:type="spellStart"/>
      <w:r w:rsidR="00BA33F9" w:rsidRPr="00FA7BE4">
        <w:t>biogasoline</w:t>
      </w:r>
      <w:proofErr w:type="spellEnd"/>
      <w:r w:rsidR="00BA33F9" w:rsidRPr="00FA7BE4">
        <w:t xml:space="preserve">, eth = cellulosic based ethanol, </w:t>
      </w:r>
      <w:proofErr w:type="spellStart"/>
      <w:r w:rsidR="00BA33F9" w:rsidRPr="00FA7BE4">
        <w:t>ftfuel</w:t>
      </w:r>
      <w:proofErr w:type="spellEnd"/>
      <w:r w:rsidR="00BA33F9" w:rsidRPr="00FA7BE4">
        <w:t xml:space="preserve"> = Fischer-</w:t>
      </w:r>
      <w:proofErr w:type="spellStart"/>
      <w:r w:rsidR="00BA33F9" w:rsidRPr="00FA7BE4">
        <w:t>Troph</w:t>
      </w:r>
      <w:proofErr w:type="spellEnd"/>
      <w:r w:rsidR="00BA33F9" w:rsidRPr="00FA7BE4">
        <w:t xml:space="preserve"> fuel</w:t>
      </w:r>
      <w:r w:rsidRPr="00FA7BE4">
        <w:t xml:space="preserve"> </w:t>
      </w:r>
      <w:r w:rsidR="00BA33F9" w:rsidRPr="00FA7BE4">
        <w:t>Dom = domestic and imp = imported</w:t>
      </w:r>
      <w:r w:rsidRPr="00FA7BE4">
        <w:t>]</w:t>
      </w:r>
    </w:p>
    <w:p w14:paraId="451440D4" w14:textId="5E914532" w:rsidR="00BA33F9" w:rsidRDefault="00F15830" w:rsidP="00BA33F9">
      <w:pPr>
        <w:contextualSpacing/>
        <w:jc w:val="both"/>
      </w:pPr>
      <w:r>
        <w:fldChar w:fldCharType="begin"/>
      </w:r>
      <w:r>
        <w:instrText xml:space="preserve"> REF _Ref448415214 \h </w:instrText>
      </w:r>
      <w:r>
        <w:fldChar w:fldCharType="separate"/>
      </w:r>
      <w:r w:rsidRPr="008A5934">
        <w:t>Figure 6</w:t>
      </w:r>
      <w:r>
        <w:fldChar w:fldCharType="end"/>
      </w:r>
      <w:r w:rsidR="007D6843">
        <w:t xml:space="preserve"> </w:t>
      </w:r>
      <w:r w:rsidR="00BA33F9" w:rsidRPr="00BA33F9">
        <w:t xml:space="preserve">shows the biofuel composition in the Dutch economy in million euro in 2030. In </w:t>
      </w:r>
      <w:proofErr w:type="spellStart"/>
      <w:r w:rsidR="00BA33F9" w:rsidRPr="00BA33F9">
        <w:t>LowTech</w:t>
      </w:r>
      <w:proofErr w:type="spellEnd"/>
      <w:r w:rsidR="00BA33F9" w:rsidRPr="00BA33F9">
        <w:t xml:space="preserve"> scenarios first generation biofuels play an important role and are mostly imported. Next to imported biodiesel domestic produced biodiesel is important in the regional scenario. </w:t>
      </w:r>
      <w:proofErr w:type="spellStart"/>
      <w:r w:rsidR="00BA33F9" w:rsidRPr="00BA33F9">
        <w:t>Biogasoline</w:t>
      </w:r>
      <w:proofErr w:type="spellEnd"/>
      <w:r w:rsidR="00BA33F9" w:rsidRPr="00BA33F9">
        <w:t xml:space="preserve"> imports appear only in the global scenario as they mainly are imported from North and South America and these imports are not allowed in the regional scenario. The value of biofuels is higher in the regional </w:t>
      </w:r>
      <w:proofErr w:type="spellStart"/>
      <w:r w:rsidR="00BA33F9" w:rsidRPr="00BA33F9">
        <w:t>LowTech</w:t>
      </w:r>
      <w:proofErr w:type="spellEnd"/>
      <w:r w:rsidR="00BA33F9" w:rsidRPr="00BA33F9">
        <w:t xml:space="preserve"> scenario than in the global </w:t>
      </w:r>
      <w:proofErr w:type="spellStart"/>
      <w:r w:rsidR="00BA33F9" w:rsidRPr="00BA33F9">
        <w:t>LowTech</w:t>
      </w:r>
      <w:proofErr w:type="spellEnd"/>
      <w:r w:rsidR="00BA33F9" w:rsidRPr="00BA33F9">
        <w:t xml:space="preserve"> scenario as in the regional scenario relatively efficient and cheap </w:t>
      </w:r>
      <w:proofErr w:type="spellStart"/>
      <w:r w:rsidR="00BA33F9" w:rsidRPr="00BA33F9">
        <w:t>biogasoline</w:t>
      </w:r>
      <w:proofErr w:type="spellEnd"/>
      <w:r w:rsidR="00BA33F9" w:rsidRPr="00BA33F9">
        <w:t xml:space="preserve"> imports are blocked. In </w:t>
      </w:r>
      <w:proofErr w:type="spellStart"/>
      <w:r w:rsidR="00BA33F9" w:rsidRPr="00BA33F9">
        <w:t>HighTech</w:t>
      </w:r>
      <w:proofErr w:type="spellEnd"/>
      <w:r w:rsidR="00BA33F9" w:rsidRPr="00BA33F9">
        <w:t xml:space="preserve"> scenarios second generation biofuels (cellulosic based ethanol (eth), and Fischer-</w:t>
      </w:r>
      <w:proofErr w:type="spellStart"/>
      <w:r w:rsidR="00BA33F9" w:rsidRPr="00BA33F9">
        <w:t>Troph</w:t>
      </w:r>
      <w:proofErr w:type="spellEnd"/>
      <w:r w:rsidR="00BA33F9" w:rsidRPr="00BA33F9">
        <w:t xml:space="preserve"> fuels (</w:t>
      </w:r>
      <w:proofErr w:type="spellStart"/>
      <w:r w:rsidR="00BA33F9" w:rsidRPr="00BA33F9">
        <w:t>ftfuel</w:t>
      </w:r>
      <w:proofErr w:type="spellEnd"/>
      <w:r w:rsidR="00BA33F9" w:rsidRPr="00BA33F9">
        <w:t>) are used that are mainly produced domestically. Second generation biofuels are domestically produced from domestically and imported biomass.</w:t>
      </w:r>
    </w:p>
    <w:p w14:paraId="745BF15D" w14:textId="77777777" w:rsidR="00F15830" w:rsidRPr="00BA33F9" w:rsidRDefault="00F15830" w:rsidP="00BA33F9">
      <w:pPr>
        <w:contextualSpacing/>
        <w:jc w:val="both"/>
      </w:pPr>
    </w:p>
    <w:p w14:paraId="09C601BD" w14:textId="77777777" w:rsidR="00F15830" w:rsidRDefault="00BA33F9" w:rsidP="00F15830">
      <w:pPr>
        <w:keepNext/>
        <w:spacing w:line="360" w:lineRule="auto"/>
        <w:jc w:val="both"/>
      </w:pPr>
      <w:r w:rsidRPr="00BA33F9">
        <w:rPr>
          <w:noProof/>
        </w:rPr>
        <w:drawing>
          <wp:inline distT="0" distB="0" distL="0" distR="0" wp14:anchorId="5A8FC518" wp14:editId="58891444">
            <wp:extent cx="5270500" cy="2836082"/>
            <wp:effectExtent l="0" t="0" r="6350" b="2540"/>
            <wp:docPr id="7" name="Afbeelding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0500" cy="2836082"/>
                    </a:xfrm>
                    <a:prstGeom prst="rect">
                      <a:avLst/>
                    </a:prstGeom>
                    <a:noFill/>
                    <a:ln>
                      <a:noFill/>
                    </a:ln>
                  </pic:spPr>
                </pic:pic>
              </a:graphicData>
            </a:graphic>
          </wp:inline>
        </w:drawing>
      </w:r>
    </w:p>
    <w:p w14:paraId="0784E5B0" w14:textId="460896A9" w:rsidR="00BA33F9" w:rsidRPr="00F15830" w:rsidRDefault="00F15830" w:rsidP="00F15830">
      <w:pPr>
        <w:pStyle w:val="Caption"/>
      </w:pPr>
      <w:bookmarkStart w:id="10" w:name="_Ref448415266"/>
      <w:r w:rsidRPr="00F15830">
        <w:t xml:space="preserve">Figure </w:t>
      </w:r>
      <w:r w:rsidR="0019250C">
        <w:fldChar w:fldCharType="begin"/>
      </w:r>
      <w:r w:rsidR="0019250C">
        <w:instrText xml:space="preserve"> SEQ Figure \* ARABIC </w:instrText>
      </w:r>
      <w:r w:rsidR="0019250C">
        <w:fldChar w:fldCharType="separate"/>
      </w:r>
      <w:r w:rsidR="00BD3302">
        <w:rPr>
          <w:noProof/>
        </w:rPr>
        <w:t>7</w:t>
      </w:r>
      <w:r w:rsidR="0019250C">
        <w:rPr>
          <w:noProof/>
        </w:rPr>
        <w:fldChar w:fldCharType="end"/>
      </w:r>
      <w:bookmarkEnd w:id="10"/>
      <w:r w:rsidRPr="00F15830">
        <w:t xml:space="preserve"> </w:t>
      </w:r>
      <w:r w:rsidR="00BA33F9" w:rsidRPr="00F15830">
        <w:t>Electricity production by source in the Netherlands (2030)</w:t>
      </w:r>
    </w:p>
    <w:p w14:paraId="225BC145" w14:textId="212BDBE1" w:rsidR="00BA33F9" w:rsidRPr="00BA33F9" w:rsidRDefault="00F15830" w:rsidP="00F15830">
      <w:r>
        <w:fldChar w:fldCharType="begin"/>
      </w:r>
      <w:r>
        <w:instrText xml:space="preserve"> REF _Ref448415266 \h  \* MERGEFORMAT </w:instrText>
      </w:r>
      <w:r>
        <w:fldChar w:fldCharType="separate"/>
      </w:r>
      <w:r w:rsidRPr="00F15830">
        <w:t>Figure 7</w:t>
      </w:r>
      <w:r>
        <w:fldChar w:fldCharType="end"/>
      </w:r>
      <w:r>
        <w:t xml:space="preserve"> </w:t>
      </w:r>
      <w:r w:rsidR="00BA33F9" w:rsidRPr="00BA33F9">
        <w:t>shows the Electricity production by source in the Netherlands in 2030 (million euro). The energy mix is fairly constant across the scenarios as energy policies and technological change directly related to electricity production does not vary between energy technologies in the four scenarios.</w:t>
      </w:r>
      <w:r w:rsidR="00BA33F9" w:rsidRPr="00BA33F9">
        <w:rPr>
          <w:i/>
        </w:rPr>
        <w:t xml:space="preserve"> </w:t>
      </w:r>
      <w:r w:rsidR="00BA33F9" w:rsidRPr="00BA33F9">
        <w:t>Fossil based electricity from coal and gas remain the main source for electricity. It is 75% in the no-</w:t>
      </w:r>
      <w:proofErr w:type="spellStart"/>
      <w:r w:rsidR="00BA33F9" w:rsidRPr="00BA33F9">
        <w:t>biobased</w:t>
      </w:r>
      <w:proofErr w:type="spellEnd"/>
      <w:r w:rsidR="00BA33F9" w:rsidRPr="00BA33F9">
        <w:t xml:space="preserve"> scenario and declines to 65% in the MEV II scenarios. Electricity from wind &amp; solar is determined by the Dutch energy agreement and stable across all four scenarios. Bioelectricity is about 9% in all scenarios. The share is slightly lower in the high technology scenarios as more biomass is used for other applications (e.g. second generation biofuels). In the global scenarios electricity production from biomass is slightly higher than in regional scenarios as pellets are allowed to be imported from all over the world.</w:t>
      </w:r>
    </w:p>
    <w:p w14:paraId="35124750" w14:textId="77777777" w:rsidR="00BA33F9" w:rsidRPr="00BA33F9" w:rsidRDefault="00BA33F9" w:rsidP="00BA33F9">
      <w:pPr>
        <w:rPr>
          <w:b/>
          <w:bCs/>
          <w:color w:val="4F81BD" w:themeColor="accent1"/>
          <w:sz w:val="16"/>
          <w:szCs w:val="16"/>
        </w:rPr>
      </w:pPr>
      <w:bookmarkStart w:id="11" w:name="_Ref437867756"/>
    </w:p>
    <w:p w14:paraId="5A9202E8" w14:textId="77777777" w:rsidR="00F15830" w:rsidRDefault="00BA33F9" w:rsidP="00F15830">
      <w:pPr>
        <w:keepNext/>
      </w:pPr>
      <w:r w:rsidRPr="00BA33F9">
        <w:rPr>
          <w:noProof/>
        </w:rPr>
        <w:drawing>
          <wp:inline distT="0" distB="0" distL="0" distR="0" wp14:anchorId="1DDB59C9" wp14:editId="031028C6">
            <wp:extent cx="5270500" cy="2836082"/>
            <wp:effectExtent l="0" t="0" r="6350" b="2540"/>
            <wp:docPr id="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0500" cy="2836082"/>
                    </a:xfrm>
                    <a:prstGeom prst="rect">
                      <a:avLst/>
                    </a:prstGeom>
                    <a:noFill/>
                    <a:ln>
                      <a:noFill/>
                    </a:ln>
                  </pic:spPr>
                </pic:pic>
              </a:graphicData>
            </a:graphic>
          </wp:inline>
        </w:drawing>
      </w:r>
    </w:p>
    <w:p w14:paraId="449B99A7" w14:textId="355E5A4E" w:rsidR="00BA33F9" w:rsidRPr="00F15830" w:rsidRDefault="00F15830" w:rsidP="00F15830">
      <w:pPr>
        <w:pStyle w:val="Caption"/>
      </w:pPr>
      <w:bookmarkStart w:id="12" w:name="_Ref448415332"/>
      <w:r w:rsidRPr="00F15830">
        <w:t xml:space="preserve">Figure </w:t>
      </w:r>
      <w:r w:rsidR="0019250C">
        <w:fldChar w:fldCharType="begin"/>
      </w:r>
      <w:r w:rsidR="0019250C">
        <w:instrText xml:space="preserve"> SEQ Figure \* ARABIC </w:instrText>
      </w:r>
      <w:r w:rsidR="0019250C">
        <w:fldChar w:fldCharType="separate"/>
      </w:r>
      <w:r w:rsidR="00BD3302">
        <w:rPr>
          <w:noProof/>
        </w:rPr>
        <w:t>8</w:t>
      </w:r>
      <w:r w:rsidR="0019250C">
        <w:rPr>
          <w:noProof/>
        </w:rPr>
        <w:fldChar w:fldCharType="end"/>
      </w:r>
      <w:bookmarkEnd w:id="11"/>
      <w:bookmarkEnd w:id="12"/>
      <w:r w:rsidRPr="00F15830">
        <w:t xml:space="preserve"> </w:t>
      </w:r>
      <w:r w:rsidR="00BA33F9" w:rsidRPr="00F15830">
        <w:t>Production of biochemicals (2030 million euro)</w:t>
      </w:r>
    </w:p>
    <w:p w14:paraId="11B9D520" w14:textId="6D3AC29F" w:rsidR="00BA33F9" w:rsidRPr="00BA33F9" w:rsidRDefault="00F15830" w:rsidP="007D6843">
      <w:pPr>
        <w:tabs>
          <w:tab w:val="left" w:pos="2013"/>
        </w:tabs>
      </w:pPr>
      <w:r>
        <w:fldChar w:fldCharType="begin"/>
      </w:r>
      <w:r>
        <w:instrText xml:space="preserve"> REF _Ref448415332 \h </w:instrText>
      </w:r>
      <w:r>
        <w:fldChar w:fldCharType="separate"/>
      </w:r>
      <w:r w:rsidRPr="00F15830">
        <w:t>Figure 8</w:t>
      </w:r>
      <w:r>
        <w:fldChar w:fldCharType="end"/>
      </w:r>
      <w:r>
        <w:t xml:space="preserve"> </w:t>
      </w:r>
      <w:r w:rsidR="00BA33F9" w:rsidRPr="00BA33F9">
        <w:t xml:space="preserve">shows the production of </w:t>
      </w:r>
      <w:proofErr w:type="spellStart"/>
      <w:r w:rsidR="00BA33F9" w:rsidRPr="00BA33F9">
        <w:t>biobased</w:t>
      </w:r>
      <w:proofErr w:type="spellEnd"/>
      <w:r w:rsidR="00BA33F9" w:rsidRPr="00BA33F9">
        <w:t xml:space="preserve"> chemicals and particularly new bulk </w:t>
      </w:r>
      <w:proofErr w:type="spellStart"/>
      <w:r w:rsidR="00BA33F9" w:rsidRPr="00BA33F9">
        <w:t>biobased</w:t>
      </w:r>
      <w:proofErr w:type="spellEnd"/>
      <w:r w:rsidR="00BA33F9" w:rsidRPr="00BA33F9">
        <w:t xml:space="preserve"> polymers  in the Netherlands in 2030 (million euro). Technological change is key for biochemical developments. The expected high learning and\or technological change effects lead to strong increase in use of </w:t>
      </w:r>
      <w:proofErr w:type="spellStart"/>
      <w:r w:rsidR="00BA33F9" w:rsidRPr="00BA33F9">
        <w:t>biobased</w:t>
      </w:r>
      <w:proofErr w:type="spellEnd"/>
      <w:r w:rsidR="00BA33F9" w:rsidRPr="00BA33F9">
        <w:t xml:space="preserve"> chemicals especially in the high technology scenarios. The value of </w:t>
      </w:r>
      <w:proofErr w:type="spellStart"/>
      <w:r w:rsidR="00BA33F9" w:rsidRPr="00BA33F9">
        <w:t>biobased</w:t>
      </w:r>
      <w:proofErr w:type="spellEnd"/>
      <w:r w:rsidR="00BA33F9" w:rsidRPr="00BA33F9">
        <w:t xml:space="preserve"> chemicals is about 2 billion euro in the high technology scenarios and 700 million euro in the low technology scenarios. Key products are poly ethylene (PE) from second generation ethanol, PLA from lignocellulosic sugar and PLA from conventional sugar.</w:t>
      </w:r>
      <w:r w:rsidR="00BA33F9">
        <w:t xml:space="preserve"> </w:t>
      </w:r>
      <w:r w:rsidR="00BA33F9" w:rsidRPr="00BA33F9">
        <w:t xml:space="preserve">PE obtains the highest value of 600 million euro in the </w:t>
      </w:r>
      <w:proofErr w:type="spellStart"/>
      <w:r w:rsidR="00BA33F9" w:rsidRPr="00BA33F9">
        <w:t>LowTech</w:t>
      </w:r>
      <w:proofErr w:type="spellEnd"/>
      <w:r w:rsidR="00BA33F9" w:rsidRPr="00BA33F9">
        <w:t xml:space="preserve"> scenarios and 1700 million euro in the </w:t>
      </w:r>
      <w:proofErr w:type="spellStart"/>
      <w:r w:rsidR="00BA33F9" w:rsidRPr="00BA33F9">
        <w:t>HighTech</w:t>
      </w:r>
      <w:proofErr w:type="spellEnd"/>
      <w:r w:rsidR="00BA33F9" w:rsidRPr="00BA33F9">
        <w:t xml:space="preserve"> scenarios. PLA appears sourced from both conventional sugar and lignocellulosic sugar, respectively 60 million euro and 200 million euro in the </w:t>
      </w:r>
      <w:proofErr w:type="spellStart"/>
      <w:r w:rsidR="00BA33F9" w:rsidRPr="00BA33F9">
        <w:t>HighTech</w:t>
      </w:r>
      <w:proofErr w:type="spellEnd"/>
      <w:r w:rsidR="00BA33F9" w:rsidRPr="00BA33F9">
        <w:t xml:space="preserve"> scenarios.</w:t>
      </w:r>
      <w:r w:rsidR="00BA33F9">
        <w:t xml:space="preserve"> </w:t>
      </w:r>
      <w:r w:rsidR="00BA33F9" w:rsidRPr="00BA33F9">
        <w:t>The international dimension plays a more modest role as biomass for second generation technologies is available within Europe at reasonable prices according to the bottom up analyses. The international dimension creates additionally 30 million euro and 80 million euro in the low and high technology scenarios, respectively.</w:t>
      </w:r>
      <w:r w:rsidR="00BA33F9">
        <w:t xml:space="preserve"> </w:t>
      </w:r>
      <w:r w:rsidR="00BA33F9" w:rsidRPr="00BA33F9">
        <w:t xml:space="preserve">Without tech change the production and use of </w:t>
      </w:r>
      <w:proofErr w:type="spellStart"/>
      <w:r w:rsidR="00BA33F9" w:rsidRPr="00BA33F9">
        <w:t>biobased</w:t>
      </w:r>
      <w:proofErr w:type="spellEnd"/>
      <w:r w:rsidR="00BA33F9" w:rsidRPr="00BA33F9">
        <w:t xml:space="preserve"> chemicals will be limited.</w:t>
      </w:r>
    </w:p>
    <w:p w14:paraId="04CD6142" w14:textId="593F35E4" w:rsidR="00250034" w:rsidRPr="003B17B4" w:rsidRDefault="00250034" w:rsidP="007D6843">
      <w:pPr>
        <w:pStyle w:val="Heading3"/>
        <w:numPr>
          <w:ilvl w:val="1"/>
          <w:numId w:val="25"/>
        </w:numPr>
        <w:ind w:left="426" w:hanging="426"/>
      </w:pPr>
      <w:bookmarkStart w:id="13" w:name="_Ref436659357"/>
      <w:bookmarkStart w:id="14" w:name="_Toc444094397"/>
      <w:r w:rsidRPr="003042C7">
        <w:t>Comparison</w:t>
      </w:r>
      <w:r w:rsidRPr="003B17B4">
        <w:t xml:space="preserve"> between the bottom-up and the top-down analyses</w:t>
      </w:r>
      <w:bookmarkEnd w:id="13"/>
      <w:bookmarkEnd w:id="14"/>
    </w:p>
    <w:p w14:paraId="577E0749" w14:textId="5820A617" w:rsidR="00250034" w:rsidRPr="00E97CFC" w:rsidRDefault="00250034" w:rsidP="00250034">
      <w:r w:rsidRPr="00E97CFC">
        <w:t>This section provides a general comparison between the outcomes of the bottom-up analyses and the top-down model. There are many differences between the two methodologies and despite these methodological differences the general trends are consistent between the models. Model outcomes are expected to be different as models follow different paradigms and techniques</w:t>
      </w:r>
      <w:r>
        <w:t>.</w:t>
      </w:r>
      <w:r w:rsidR="00917B3E">
        <w:t xml:space="preserve"> </w:t>
      </w:r>
      <w:r w:rsidRPr="00E97CFC">
        <w:t>A challenge for the model comparison is that the outcomes of MARKAL are in physical flows and those of MAGNET are in monetary terms, making direct comparison difficult. Nevertheless, we attempt to draw conclusions based on the overall picture the two models present.</w:t>
      </w:r>
    </w:p>
    <w:p w14:paraId="18EA4FAB" w14:textId="2052176F" w:rsidR="00250034" w:rsidRPr="003042C7" w:rsidRDefault="00874DEB" w:rsidP="00874DEB">
      <w:pPr>
        <w:pStyle w:val="Heading3"/>
        <w:numPr>
          <w:ilvl w:val="2"/>
          <w:numId w:val="25"/>
        </w:numPr>
        <w:tabs>
          <w:tab w:val="left" w:pos="1560"/>
        </w:tabs>
        <w:spacing w:before="320" w:after="200" w:line="260" w:lineRule="exact"/>
        <w:ind w:left="567" w:hanging="567"/>
      </w:pPr>
      <w:bookmarkStart w:id="15" w:name="_Toc436492652"/>
      <w:bookmarkStart w:id="16" w:name="_Toc444094398"/>
      <w:r>
        <w:t>End-</w:t>
      </w:r>
      <w:r w:rsidR="00250034">
        <w:t xml:space="preserve">use of </w:t>
      </w:r>
      <w:r w:rsidR="00250034" w:rsidRPr="003042C7">
        <w:t xml:space="preserve"> biomass</w:t>
      </w:r>
      <w:bookmarkEnd w:id="15"/>
      <w:bookmarkEnd w:id="16"/>
    </w:p>
    <w:p w14:paraId="6FFF05EB" w14:textId="77777777" w:rsidR="00250034" w:rsidRPr="00E97CFC" w:rsidRDefault="00250034" w:rsidP="00250034">
      <w:r w:rsidRPr="00BD3302">
        <w:t>This section describes the model comparison for respectively biofuel, electricity and chemical</w:t>
      </w:r>
      <w:r w:rsidRPr="00E97CFC">
        <w:t xml:space="preserve"> demand. </w:t>
      </w:r>
    </w:p>
    <w:p w14:paraId="159CF711" w14:textId="77777777" w:rsidR="00250034" w:rsidRPr="00E97CFC" w:rsidRDefault="00250034" w:rsidP="00250034"/>
    <w:p w14:paraId="0C88AD9F" w14:textId="77777777" w:rsidR="00874DEB" w:rsidRDefault="00250034" w:rsidP="00874DEB">
      <w:pPr>
        <w:pStyle w:val="Figuurstijl"/>
        <w:keepNext/>
      </w:pPr>
      <w:r w:rsidRPr="003B17B4">
        <w:rPr>
          <w:lang w:val="en-US" w:eastAsia="en-US"/>
        </w:rPr>
        <w:drawing>
          <wp:inline distT="0" distB="0" distL="0" distR="0" wp14:anchorId="1A7F2F3C" wp14:editId="1C43D98E">
            <wp:extent cx="2127885" cy="2615565"/>
            <wp:effectExtent l="0" t="0" r="571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7885" cy="2615565"/>
                    </a:xfrm>
                    <a:prstGeom prst="rect">
                      <a:avLst/>
                    </a:prstGeom>
                    <a:noFill/>
                  </pic:spPr>
                </pic:pic>
              </a:graphicData>
            </a:graphic>
          </wp:inline>
        </w:drawing>
      </w:r>
      <w:r w:rsidRPr="003B17B4">
        <w:rPr>
          <w:lang w:val="en-US" w:eastAsia="en-US"/>
        </w:rPr>
        <w:drawing>
          <wp:inline distT="0" distB="0" distL="0" distR="0" wp14:anchorId="71FDDE5F" wp14:editId="46E98AB5">
            <wp:extent cx="2108200" cy="2633134"/>
            <wp:effectExtent l="0" t="0" r="635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09470" cy="2634720"/>
                    </a:xfrm>
                    <a:prstGeom prst="rect">
                      <a:avLst/>
                    </a:prstGeom>
                    <a:noFill/>
                  </pic:spPr>
                </pic:pic>
              </a:graphicData>
            </a:graphic>
          </wp:inline>
        </w:drawing>
      </w:r>
    </w:p>
    <w:p w14:paraId="41BEF2A2" w14:textId="4C89400E" w:rsidR="00250034" w:rsidRPr="003B17B4" w:rsidRDefault="00874DEB" w:rsidP="00874DEB">
      <w:pPr>
        <w:pStyle w:val="Caption"/>
        <w:rPr>
          <w:lang w:eastAsia="en-GB"/>
        </w:rPr>
      </w:pPr>
      <w:bookmarkStart w:id="17" w:name="_Ref448415755"/>
      <w:r>
        <w:t xml:space="preserve">Figure </w:t>
      </w:r>
      <w:r w:rsidR="0019250C">
        <w:fldChar w:fldCharType="begin"/>
      </w:r>
      <w:r w:rsidR="0019250C">
        <w:instrText xml:space="preserve"> SEQ Figure \* ARABIC </w:instrText>
      </w:r>
      <w:r w:rsidR="0019250C">
        <w:fldChar w:fldCharType="separate"/>
      </w:r>
      <w:r w:rsidR="00BD3302">
        <w:rPr>
          <w:noProof/>
        </w:rPr>
        <w:t>9</w:t>
      </w:r>
      <w:r w:rsidR="0019250C">
        <w:rPr>
          <w:noProof/>
        </w:rPr>
        <w:fldChar w:fldCharType="end"/>
      </w:r>
      <w:bookmarkEnd w:id="17"/>
      <w:r>
        <w:t xml:space="preserve"> </w:t>
      </w:r>
      <w:r w:rsidRPr="00874DEB">
        <w:t>Transport fuel share of fossil and bio-based inputs in MAGNET (left-hand side) and MARKAL-NL-UU (right-hand side)</w:t>
      </w:r>
    </w:p>
    <w:p w14:paraId="7D00AE9E" w14:textId="2C13163F" w:rsidR="00250034" w:rsidRPr="00E97CFC" w:rsidRDefault="00BD3302" w:rsidP="00BD3302">
      <w:r>
        <w:rPr>
          <w:b/>
        </w:rPr>
        <w:fldChar w:fldCharType="begin"/>
      </w:r>
      <w:r>
        <w:instrText xml:space="preserve"> REF _Ref448415755 \h </w:instrText>
      </w:r>
      <w:r>
        <w:rPr>
          <w:b/>
        </w:rPr>
        <w:instrText xml:space="preserve"> \* MERGEFORMAT </w:instrText>
      </w:r>
      <w:r>
        <w:rPr>
          <w:b/>
        </w:rPr>
      </w:r>
      <w:r>
        <w:rPr>
          <w:b/>
        </w:rPr>
        <w:fldChar w:fldCharType="separate"/>
      </w:r>
      <w:r>
        <w:t xml:space="preserve">Figure </w:t>
      </w:r>
      <w:r>
        <w:rPr>
          <w:noProof/>
        </w:rPr>
        <w:t>9</w:t>
      </w:r>
      <w:r>
        <w:rPr>
          <w:b/>
        </w:rPr>
        <w:fldChar w:fldCharType="end"/>
      </w:r>
      <w:r>
        <w:rPr>
          <w:b/>
        </w:rPr>
        <w:t xml:space="preserve"> </w:t>
      </w:r>
      <w:r w:rsidR="00250034" w:rsidRPr="00E97CFC">
        <w:t xml:space="preserve">shows the transport fuel shares of fossil and </w:t>
      </w:r>
      <w:r w:rsidR="00250034">
        <w:t>bio-based</w:t>
      </w:r>
      <w:r w:rsidR="00250034" w:rsidRPr="00E97CFC">
        <w:t xml:space="preserve"> inputs are consistent b</w:t>
      </w:r>
      <w:r w:rsidR="00250034">
        <w:t xml:space="preserve">etween MARKAL-NL-UU and MAGNET. </w:t>
      </w:r>
      <w:r w:rsidR="00250034" w:rsidRPr="00E97CFC">
        <w:t>Biofuel shares in both models are limited and primarily driven by the blending policy in the low technology scenarios. This implies that mandates of 10% are filled with 7% first-generation and 1.5% second-generation biofuels (the latter counts double for the mandate).</w:t>
      </w:r>
      <w:r w:rsidR="00917B3E">
        <w:t xml:space="preserve"> </w:t>
      </w:r>
      <w:r w:rsidR="00250034" w:rsidRPr="00E97CFC">
        <w:t xml:space="preserve">Biofuel shares in both models are higher in </w:t>
      </w:r>
      <w:proofErr w:type="spellStart"/>
      <w:r w:rsidR="00250034" w:rsidRPr="00E97CFC">
        <w:t>HighTech</w:t>
      </w:r>
      <w:proofErr w:type="spellEnd"/>
      <w:r w:rsidR="00250034" w:rsidRPr="00E97CFC">
        <w:t xml:space="preserve"> scenarios as especially second-generation biofuels become competitive. In the global high technology scenario, the biofuel share in MARKAL becomes 12% and in MAGNET 13%. The main source in both models is second-generation biofuels (90</w:t>
      </w:r>
      <w:r w:rsidR="00250034">
        <w:t>-</w:t>
      </w:r>
      <w:r w:rsidR="00250034" w:rsidRPr="00E97CFC">
        <w:t>100%).</w:t>
      </w:r>
    </w:p>
    <w:p w14:paraId="60E6FF55" w14:textId="77777777" w:rsidR="00250034" w:rsidRPr="00E97CFC" w:rsidRDefault="00250034" w:rsidP="00250034"/>
    <w:p w14:paraId="38A3621E" w14:textId="77777777" w:rsidR="00BD3302" w:rsidRDefault="00250034" w:rsidP="00BD3302">
      <w:pPr>
        <w:pStyle w:val="Figuurstijl"/>
        <w:keepNext/>
      </w:pPr>
      <w:r w:rsidRPr="00C56BA5">
        <w:rPr>
          <w:lang w:val="en-US" w:eastAsia="en-US"/>
        </w:rPr>
        <w:drawing>
          <wp:inline distT="0" distB="0" distL="0" distR="0" wp14:anchorId="0B31BAA2" wp14:editId="7B96D2F0">
            <wp:extent cx="2298656" cy="3061371"/>
            <wp:effectExtent l="0" t="0" r="6985" b="571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2119" cy="3065982"/>
                    </a:xfrm>
                    <a:prstGeom prst="rect">
                      <a:avLst/>
                    </a:prstGeom>
                    <a:noFill/>
                  </pic:spPr>
                </pic:pic>
              </a:graphicData>
            </a:graphic>
          </wp:inline>
        </w:drawing>
      </w:r>
      <w:r w:rsidRPr="00C56BA5">
        <w:rPr>
          <w:lang w:val="en-US" w:eastAsia="en-US"/>
        </w:rPr>
        <w:drawing>
          <wp:inline distT="0" distB="0" distL="0" distR="0" wp14:anchorId="3988B521" wp14:editId="3C5866F3">
            <wp:extent cx="2281177" cy="3063894"/>
            <wp:effectExtent l="0" t="0" r="5080" b="317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79431" cy="3061549"/>
                    </a:xfrm>
                    <a:prstGeom prst="rect">
                      <a:avLst/>
                    </a:prstGeom>
                    <a:noFill/>
                  </pic:spPr>
                </pic:pic>
              </a:graphicData>
            </a:graphic>
          </wp:inline>
        </w:drawing>
      </w:r>
    </w:p>
    <w:p w14:paraId="21C0695A" w14:textId="63E54522" w:rsidR="00250034" w:rsidRPr="00BD3302" w:rsidRDefault="00BD3302" w:rsidP="00BD3302">
      <w:pPr>
        <w:pStyle w:val="Caption"/>
      </w:pPr>
      <w:bookmarkStart w:id="18" w:name="_Ref448415797"/>
      <w:r w:rsidRPr="00BD3302">
        <w:t xml:space="preserve">Figure </w:t>
      </w:r>
      <w:r w:rsidR="0019250C">
        <w:fldChar w:fldCharType="begin"/>
      </w:r>
      <w:r w:rsidR="0019250C">
        <w:instrText xml:space="preserve"> SEQ Figure \* </w:instrText>
      </w:r>
      <w:r w:rsidR="0019250C">
        <w:instrText xml:space="preserve">ARABIC </w:instrText>
      </w:r>
      <w:r w:rsidR="0019250C">
        <w:fldChar w:fldCharType="separate"/>
      </w:r>
      <w:r>
        <w:rPr>
          <w:noProof/>
        </w:rPr>
        <w:t>10</w:t>
      </w:r>
      <w:r w:rsidR="0019250C">
        <w:rPr>
          <w:noProof/>
        </w:rPr>
        <w:fldChar w:fldCharType="end"/>
      </w:r>
      <w:bookmarkEnd w:id="18"/>
      <w:r w:rsidRPr="00BD3302">
        <w:t xml:space="preserve"> </w:t>
      </w:r>
      <w:r w:rsidR="00250034" w:rsidRPr="00BD3302">
        <w:t xml:space="preserve">Electricity use in MAGNET (left-hand side) and MARKAL-NL-UU (right-hand side) (index number, Total </w:t>
      </w:r>
      <w:proofErr w:type="spellStart"/>
      <w:r w:rsidR="00250034" w:rsidRPr="00BD3302">
        <w:t>RegLowTech</w:t>
      </w:r>
      <w:proofErr w:type="spellEnd"/>
      <w:r w:rsidR="00250034" w:rsidRPr="00BD3302">
        <w:t xml:space="preserve"> =1, 2030)</w:t>
      </w:r>
    </w:p>
    <w:p w14:paraId="57755D3D" w14:textId="1F355AAD" w:rsidR="00250034" w:rsidRPr="00E97CFC" w:rsidRDefault="00BD3302" w:rsidP="00917B3E">
      <w:r>
        <w:fldChar w:fldCharType="begin"/>
      </w:r>
      <w:r>
        <w:instrText xml:space="preserve"> REF _Ref448415797 \h </w:instrText>
      </w:r>
      <w:r>
        <w:fldChar w:fldCharType="separate"/>
      </w:r>
      <w:r w:rsidRPr="00BD3302">
        <w:t>Figure 10</w:t>
      </w:r>
      <w:r>
        <w:fldChar w:fldCharType="end"/>
      </w:r>
      <w:r>
        <w:t xml:space="preserve"> </w:t>
      </w:r>
      <w:r w:rsidR="00250034" w:rsidRPr="00E97CFC">
        <w:t xml:space="preserve">shows the electricity use in the bottom-up and top-down modelling in 2030. Biomass use in electricity is limited across scenarios. In MAGNET, biomass use is slightly higher and constant across scenarios while for MARKAL biomass use is higher in the </w:t>
      </w:r>
      <w:proofErr w:type="spellStart"/>
      <w:r w:rsidR="00250034" w:rsidRPr="00E97CFC">
        <w:t>HighTech</w:t>
      </w:r>
      <w:proofErr w:type="spellEnd"/>
      <w:r w:rsidR="00250034" w:rsidRPr="00E97CFC">
        <w:t xml:space="preserve"> scenarios.</w:t>
      </w:r>
      <w:r w:rsidR="00917B3E">
        <w:t xml:space="preserve"> </w:t>
      </w:r>
      <w:r w:rsidR="00250034" w:rsidRPr="00E97CFC">
        <w:t>Fossil energy shares are fairly equal between scenarios. Coal has a share of 20% and gas has a share of 45%. The renewable energy share is therefore also consistent between the models and equal to about 35%.</w:t>
      </w:r>
      <w:r w:rsidR="00917B3E">
        <w:t xml:space="preserve"> </w:t>
      </w:r>
      <w:r w:rsidR="00250034" w:rsidRPr="00E97CFC">
        <w:t>For both models, wind is the key renewable energy</w:t>
      </w:r>
      <w:r w:rsidR="00250034">
        <w:t xml:space="preserve"> source</w:t>
      </w:r>
      <w:r w:rsidR="00250034" w:rsidRPr="00E97CFC">
        <w:t>. In MARKAL-NL-UU, the share in electricity use in 2030 is 31% while it is 25.5% in MAGNET results.</w:t>
      </w:r>
      <w:r w:rsidR="00917B3E">
        <w:t xml:space="preserve"> </w:t>
      </w:r>
      <w:r w:rsidR="00250034" w:rsidRPr="00E97CFC">
        <w:t xml:space="preserve">MAGNET uses relatively more biomass and less wind than MARKAL-NL-UU. This difference is caused by the assumptions regarding wind energy. If </w:t>
      </w:r>
      <w:r w:rsidR="00250034">
        <w:t xml:space="preserve">more </w:t>
      </w:r>
      <w:r w:rsidR="00250034" w:rsidRPr="00E97CFC">
        <w:t xml:space="preserve">wind energy is available, less biomass has to be used. </w:t>
      </w:r>
    </w:p>
    <w:p w14:paraId="4C86DDED" w14:textId="77777777" w:rsidR="00250034" w:rsidRDefault="00250034" w:rsidP="00250034"/>
    <w:p w14:paraId="2BC676B7" w14:textId="4EDB621B" w:rsidR="00250034" w:rsidRPr="00E97CFC" w:rsidRDefault="00BD3302" w:rsidP="00917B3E">
      <w:r>
        <w:fldChar w:fldCharType="begin"/>
      </w:r>
      <w:r>
        <w:instrText xml:space="preserve"> REF _Ref448416007 \h </w:instrText>
      </w:r>
      <w:r>
        <w:fldChar w:fldCharType="separate"/>
      </w:r>
      <w:r>
        <w:t xml:space="preserve">Figure </w:t>
      </w:r>
      <w:r>
        <w:rPr>
          <w:noProof/>
        </w:rPr>
        <w:t>11</w:t>
      </w:r>
      <w:r>
        <w:fldChar w:fldCharType="end"/>
      </w:r>
      <w:r>
        <w:t xml:space="preserve"> </w:t>
      </w:r>
      <w:r w:rsidR="00250034" w:rsidRPr="00E97CFC">
        <w:t xml:space="preserve">shows the </w:t>
      </w:r>
      <w:r w:rsidR="00250034">
        <w:t>bio-based</w:t>
      </w:r>
      <w:r w:rsidR="00250034" w:rsidRPr="00E97CFC">
        <w:t xml:space="preserve"> and fossil use in the chemical sector in 2030 in the Netherlands.</w:t>
      </w:r>
      <w:r w:rsidR="00917B3E">
        <w:t xml:space="preserve"> </w:t>
      </w:r>
      <w:r w:rsidR="00250034" w:rsidRPr="00E97CFC">
        <w:t xml:space="preserve">Both models have low or moderate shares of </w:t>
      </w:r>
      <w:r w:rsidR="00250034">
        <w:t>bio-based</w:t>
      </w:r>
      <w:r w:rsidR="00250034" w:rsidRPr="00E97CFC">
        <w:t xml:space="preserve"> chemicals in total chemicals. In MAGNET, the share of traditional chemicals (e.g. rubber) is almost 5%, and new biochemicals (e.g. PE, PLA) contribute 1% in the </w:t>
      </w:r>
      <w:proofErr w:type="spellStart"/>
      <w:r w:rsidR="00250034" w:rsidRPr="00E97CFC">
        <w:t>LowTech</w:t>
      </w:r>
      <w:proofErr w:type="spellEnd"/>
      <w:r w:rsidR="00250034" w:rsidRPr="00E97CFC">
        <w:t xml:space="preserve"> and almost 4% in the </w:t>
      </w:r>
      <w:proofErr w:type="spellStart"/>
      <w:r w:rsidR="00250034" w:rsidRPr="00E97CFC">
        <w:t>HighTech</w:t>
      </w:r>
      <w:proofErr w:type="spellEnd"/>
      <w:r w:rsidR="00250034" w:rsidRPr="00E97CFC">
        <w:t xml:space="preserve"> scenarios.</w:t>
      </w:r>
      <w:r w:rsidR="00917B3E">
        <w:t xml:space="preserve"> </w:t>
      </w:r>
      <w:r w:rsidR="00250034" w:rsidRPr="00E97CFC">
        <w:t>Both models</w:t>
      </w:r>
      <w:r w:rsidR="00250034">
        <w:t xml:space="preserve"> show a higher increase in modern bio-based chemicals production</w:t>
      </w:r>
      <w:r w:rsidR="00250034" w:rsidRPr="00E97CFC">
        <w:t xml:space="preserve"> in </w:t>
      </w:r>
      <w:proofErr w:type="spellStart"/>
      <w:r w:rsidR="00250034" w:rsidRPr="00E97CFC">
        <w:t>HighTech</w:t>
      </w:r>
      <w:proofErr w:type="spellEnd"/>
      <w:r w:rsidR="00250034" w:rsidRPr="00E97CFC">
        <w:t xml:space="preserve"> scenarios compared to </w:t>
      </w:r>
      <w:proofErr w:type="spellStart"/>
      <w:r w:rsidR="00250034" w:rsidRPr="00E97CFC">
        <w:t>LowTech</w:t>
      </w:r>
      <w:proofErr w:type="spellEnd"/>
      <w:r w:rsidR="00250034" w:rsidRPr="00E97CFC">
        <w:t xml:space="preserve"> scenarios. The </w:t>
      </w:r>
      <w:r w:rsidR="00250034">
        <w:t>bio-based</w:t>
      </w:r>
      <w:r w:rsidR="00250034" w:rsidRPr="00E97CFC">
        <w:t xml:space="preserve"> chemical output in MARKAL is almost 1.8mt in the </w:t>
      </w:r>
      <w:proofErr w:type="spellStart"/>
      <w:r w:rsidR="00250034" w:rsidRPr="00E97CFC">
        <w:t>GlobHighTech</w:t>
      </w:r>
      <w:proofErr w:type="spellEnd"/>
      <w:r w:rsidR="00250034" w:rsidRPr="00E97CFC">
        <w:t xml:space="preserve"> scenario and the corre</w:t>
      </w:r>
      <w:r>
        <w:t>sponding value in MAGNET is €2bn</w:t>
      </w:r>
      <w:r w:rsidR="00250034" w:rsidRPr="00E97CFC">
        <w:t>. This is consistent, given a price of €1</w:t>
      </w:r>
      <w:r w:rsidR="00250034">
        <w:t>,</w:t>
      </w:r>
      <w:r w:rsidR="00250034" w:rsidRPr="00E97CFC">
        <w:t xml:space="preserve">000 per </w:t>
      </w:r>
      <w:proofErr w:type="spellStart"/>
      <w:r w:rsidR="00250034" w:rsidRPr="00E97CFC">
        <w:t>tonne</w:t>
      </w:r>
      <w:proofErr w:type="spellEnd"/>
      <w:r w:rsidR="00250034" w:rsidRPr="00E97CFC">
        <w:t>, which is plausible.</w:t>
      </w:r>
      <w:r w:rsidR="00917B3E">
        <w:t xml:space="preserve"> </w:t>
      </w:r>
      <w:r w:rsidR="00250034" w:rsidRPr="00E97CFC">
        <w:t xml:space="preserve">The share of </w:t>
      </w:r>
      <w:r w:rsidR="00250034">
        <w:t>bio-based</w:t>
      </w:r>
      <w:r w:rsidR="00250034" w:rsidRPr="00E97CFC">
        <w:t xml:space="preserve"> chemicals is lower in MARKAL-NL-UU than in MAGNET in the </w:t>
      </w:r>
      <w:proofErr w:type="spellStart"/>
      <w:r w:rsidR="00250034" w:rsidRPr="00E97CFC">
        <w:t>LowTech</w:t>
      </w:r>
      <w:proofErr w:type="spellEnd"/>
      <w:r w:rsidR="00250034" w:rsidRPr="00E97CFC">
        <w:t xml:space="preserve"> scenarios; this is due to the treatment of traditional </w:t>
      </w:r>
      <w:r w:rsidR="00250034">
        <w:t>bio-based</w:t>
      </w:r>
      <w:r w:rsidR="00250034" w:rsidRPr="00E97CFC">
        <w:t xml:space="preserve"> chemicals (e.g. rubber)</w:t>
      </w:r>
      <w:r w:rsidR="00250034">
        <w:t xml:space="preserve"> that are not modelled</w:t>
      </w:r>
      <w:r w:rsidR="00250034" w:rsidRPr="00E97CFC">
        <w:t>.</w:t>
      </w:r>
      <w:r w:rsidR="00917B3E">
        <w:t xml:space="preserve"> </w:t>
      </w:r>
      <w:r w:rsidR="00250034" w:rsidRPr="00E97CFC">
        <w:t>Another methodological difference is that demand in MARKAL-NL-UU is fixed, and both higher technological change and a diverse technology portfolio lead to lower use of inputs. In MAGNET, demand is endogenous and technological change leads to an increase in the chemical sector and demand for inputs. Therefore, with higher technological change, the bars in the MAGNET figure increase (left,</w:t>
      </w:r>
      <w:r>
        <w:t xml:space="preserve"> </w:t>
      </w:r>
      <w:r>
        <w:rPr>
          <w:b/>
        </w:rPr>
        <w:fldChar w:fldCharType="begin"/>
      </w:r>
      <w:r>
        <w:instrText xml:space="preserve"> REF _Ref448416007 \h </w:instrText>
      </w:r>
      <w:r>
        <w:rPr>
          <w:b/>
        </w:rPr>
      </w:r>
      <w:r>
        <w:rPr>
          <w:b/>
        </w:rPr>
        <w:fldChar w:fldCharType="separate"/>
      </w:r>
      <w:r>
        <w:t xml:space="preserve">Figure </w:t>
      </w:r>
      <w:r>
        <w:rPr>
          <w:noProof/>
        </w:rPr>
        <w:t>11</w:t>
      </w:r>
      <w:r>
        <w:rPr>
          <w:b/>
        </w:rPr>
        <w:fldChar w:fldCharType="end"/>
      </w:r>
      <w:r w:rsidR="00250034" w:rsidRPr="00E97CFC">
        <w:t xml:space="preserve">) and the bars in the MARKAL-NL-UU figure decrease (right, </w:t>
      </w:r>
      <w:r>
        <w:rPr>
          <w:b/>
        </w:rPr>
        <w:fldChar w:fldCharType="begin"/>
      </w:r>
      <w:r>
        <w:instrText xml:space="preserve"> REF _Ref448416007 \h </w:instrText>
      </w:r>
      <w:r>
        <w:rPr>
          <w:b/>
        </w:rPr>
      </w:r>
      <w:r>
        <w:rPr>
          <w:b/>
        </w:rPr>
        <w:fldChar w:fldCharType="separate"/>
      </w:r>
      <w:r>
        <w:t xml:space="preserve">Figure </w:t>
      </w:r>
      <w:r>
        <w:rPr>
          <w:noProof/>
        </w:rPr>
        <w:t>11</w:t>
      </w:r>
      <w:r>
        <w:rPr>
          <w:b/>
        </w:rPr>
        <w:fldChar w:fldCharType="end"/>
      </w:r>
      <w:r w:rsidR="00250034" w:rsidRPr="00E97CFC">
        <w:t xml:space="preserve">). </w:t>
      </w:r>
    </w:p>
    <w:p w14:paraId="5D26DC77" w14:textId="77777777" w:rsidR="00250034" w:rsidRPr="00E97CFC" w:rsidRDefault="00250034" w:rsidP="00250034"/>
    <w:p w14:paraId="703CA20D" w14:textId="77777777" w:rsidR="00BD3302" w:rsidRDefault="00250034" w:rsidP="00BD3302">
      <w:pPr>
        <w:pStyle w:val="Figuurstijl"/>
        <w:keepNext/>
      </w:pPr>
      <w:r w:rsidRPr="00C56BA5">
        <w:rPr>
          <w:lang w:val="en-US" w:eastAsia="en-US"/>
        </w:rPr>
        <w:drawing>
          <wp:inline distT="0" distB="0" distL="0" distR="0" wp14:anchorId="3A158EAE" wp14:editId="680F75EF">
            <wp:extent cx="2166147" cy="3240000"/>
            <wp:effectExtent l="0" t="0" r="571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66147" cy="3240000"/>
                    </a:xfrm>
                    <a:prstGeom prst="rect">
                      <a:avLst/>
                    </a:prstGeom>
                    <a:noFill/>
                  </pic:spPr>
                </pic:pic>
              </a:graphicData>
            </a:graphic>
          </wp:inline>
        </w:drawing>
      </w:r>
      <w:r w:rsidRPr="00C56BA5">
        <w:rPr>
          <w:lang w:val="en-US" w:eastAsia="en-US"/>
        </w:rPr>
        <w:drawing>
          <wp:inline distT="0" distB="0" distL="0" distR="0" wp14:anchorId="342C5207" wp14:editId="2353A838">
            <wp:extent cx="2341472" cy="3240000"/>
            <wp:effectExtent l="0" t="0" r="1905" b="0"/>
            <wp:docPr id="33"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1472" cy="3240000"/>
                    </a:xfrm>
                    <a:prstGeom prst="rect">
                      <a:avLst/>
                    </a:prstGeom>
                    <a:noFill/>
                  </pic:spPr>
                </pic:pic>
              </a:graphicData>
            </a:graphic>
          </wp:inline>
        </w:drawing>
      </w:r>
    </w:p>
    <w:p w14:paraId="7D3FFAA3" w14:textId="549F5D0C" w:rsidR="00250034" w:rsidRPr="00BD3302" w:rsidRDefault="00BD3302" w:rsidP="00BD3302">
      <w:pPr>
        <w:pStyle w:val="Caption"/>
      </w:pPr>
      <w:bookmarkStart w:id="19" w:name="_Ref448416007"/>
      <w:r w:rsidRPr="00BD3302">
        <w:t xml:space="preserve">Figure </w:t>
      </w:r>
      <w:r w:rsidR="0019250C">
        <w:fldChar w:fldCharType="begin"/>
      </w:r>
      <w:r w:rsidR="0019250C">
        <w:instrText xml:space="preserve"> SEQ Figure \* ARABIC </w:instrText>
      </w:r>
      <w:r w:rsidR="0019250C">
        <w:fldChar w:fldCharType="separate"/>
      </w:r>
      <w:r>
        <w:rPr>
          <w:noProof/>
        </w:rPr>
        <w:t>11</w:t>
      </w:r>
      <w:r w:rsidR="0019250C">
        <w:rPr>
          <w:noProof/>
        </w:rPr>
        <w:fldChar w:fldCharType="end"/>
      </w:r>
      <w:bookmarkEnd w:id="19"/>
      <w:r w:rsidRPr="00BD3302">
        <w:t xml:space="preserve"> </w:t>
      </w:r>
      <w:r w:rsidR="00250034" w:rsidRPr="00BD3302">
        <w:t xml:space="preserve">Bio-based and fossil input use in the chemical sector in </w:t>
      </w:r>
      <w:r w:rsidRPr="00BD3302">
        <w:t>MAGNET</w:t>
      </w:r>
      <w:r w:rsidR="00250034" w:rsidRPr="00BD3302">
        <w:t xml:space="preserve"> (left-hand side) and in MARKAL-NL-UU (right-hand side) (index Total </w:t>
      </w:r>
      <w:proofErr w:type="spellStart"/>
      <w:r w:rsidR="00250034" w:rsidRPr="00BD3302">
        <w:t>RegLowTech</w:t>
      </w:r>
      <w:proofErr w:type="spellEnd"/>
      <w:r w:rsidR="00250034" w:rsidRPr="00BD3302">
        <w:t xml:space="preserve"> =1, 2030)</w:t>
      </w:r>
    </w:p>
    <w:p w14:paraId="19E95273" w14:textId="77777777" w:rsidR="00BD3302" w:rsidRDefault="00431AA5" w:rsidP="00BD3302">
      <w:pPr>
        <w:pStyle w:val="Figuurstijl"/>
        <w:keepNext/>
      </w:pPr>
      <w:r w:rsidRPr="00C56BA5">
        <w:rPr>
          <w:lang w:val="en-US" w:eastAsia="en-US"/>
        </w:rPr>
        <w:drawing>
          <wp:inline distT="0" distB="0" distL="0" distR="0" wp14:anchorId="78A1BBB8" wp14:editId="6FAB7156">
            <wp:extent cx="4466792" cy="3060000"/>
            <wp:effectExtent l="0" t="0" r="0" b="76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66792" cy="3060000"/>
                    </a:xfrm>
                    <a:prstGeom prst="rect">
                      <a:avLst/>
                    </a:prstGeom>
                    <a:noFill/>
                  </pic:spPr>
                </pic:pic>
              </a:graphicData>
            </a:graphic>
          </wp:inline>
        </w:drawing>
      </w:r>
    </w:p>
    <w:p w14:paraId="14A97C0C" w14:textId="38647AEE" w:rsidR="00431AA5" w:rsidRPr="00BD3302" w:rsidRDefault="00BD3302" w:rsidP="00BD3302">
      <w:pPr>
        <w:pStyle w:val="Caption"/>
      </w:pPr>
      <w:bookmarkStart w:id="20" w:name="_Ref448416233"/>
      <w:r w:rsidRPr="00BD3302">
        <w:t xml:space="preserve">Figure </w:t>
      </w:r>
      <w:r w:rsidR="0019250C">
        <w:fldChar w:fldCharType="begin"/>
      </w:r>
      <w:r w:rsidR="0019250C">
        <w:instrText xml:space="preserve"> SEQ Figure \* ARABIC </w:instrText>
      </w:r>
      <w:r w:rsidR="0019250C">
        <w:fldChar w:fldCharType="separate"/>
      </w:r>
      <w:r w:rsidRPr="00BD3302">
        <w:t>12</w:t>
      </w:r>
      <w:r w:rsidR="0019250C">
        <w:fldChar w:fldCharType="end"/>
      </w:r>
      <w:bookmarkEnd w:id="20"/>
      <w:r w:rsidRPr="00BD3302">
        <w:t xml:space="preserve"> </w:t>
      </w:r>
      <w:r w:rsidR="00431AA5" w:rsidRPr="00BD3302">
        <w:t xml:space="preserve">Biomass supply; Total level </w:t>
      </w:r>
      <w:proofErr w:type="spellStart"/>
      <w:r w:rsidR="00431AA5" w:rsidRPr="00BD3302">
        <w:t>RegLowTech</w:t>
      </w:r>
      <w:proofErr w:type="spellEnd"/>
      <w:r w:rsidR="00431AA5" w:rsidRPr="00BD3302">
        <w:t xml:space="preserve"> =1, 2030</w:t>
      </w:r>
      <w:r w:rsidRPr="00BD3302">
        <w:t xml:space="preserve"> (MARKAL-NL-UU left; MAGNET </w:t>
      </w:r>
      <w:proofErr w:type="spellStart"/>
      <w:r w:rsidRPr="00BD3302">
        <w:t>righ</w:t>
      </w:r>
      <w:proofErr w:type="spellEnd"/>
      <w:r w:rsidRPr="00BD3302">
        <w:t>)</w:t>
      </w:r>
    </w:p>
    <w:p w14:paraId="3B70FCDF" w14:textId="200B0C04" w:rsidR="00431AA5" w:rsidRPr="003B17B4" w:rsidRDefault="00BD3302" w:rsidP="00BD3302">
      <w:r>
        <w:fldChar w:fldCharType="begin"/>
      </w:r>
      <w:r>
        <w:instrText xml:space="preserve"> REF _Ref448416233 \h </w:instrText>
      </w:r>
      <w:r>
        <w:fldChar w:fldCharType="separate"/>
      </w:r>
      <w:r w:rsidRPr="00BD3302">
        <w:t>Figure 12</w:t>
      </w:r>
      <w:r>
        <w:fldChar w:fldCharType="end"/>
      </w:r>
      <w:r>
        <w:t xml:space="preserve"> </w:t>
      </w:r>
      <w:r w:rsidR="00431AA5" w:rsidRPr="00E97CFC">
        <w:t>shows biomass supply in both models in 2030. The figures are more difficult to compare as there are differences in the biomass sources assumed in the two models, and MARKAL-NL-UU measures in PJ and MAGNET in €.</w:t>
      </w:r>
      <w:r w:rsidR="00431AA5">
        <w:t xml:space="preserve"> </w:t>
      </w:r>
      <w:r w:rsidR="00431AA5" w:rsidRPr="00E97CFC">
        <w:t xml:space="preserve">Both models find that biomass use is highest in the </w:t>
      </w:r>
      <w:proofErr w:type="spellStart"/>
      <w:r w:rsidR="00431AA5" w:rsidRPr="00E97CFC">
        <w:t>HighTech</w:t>
      </w:r>
      <w:proofErr w:type="spellEnd"/>
      <w:r w:rsidR="00431AA5" w:rsidRPr="00E97CFC">
        <w:t xml:space="preserve"> scenarios. The increase in biomass use relative to the </w:t>
      </w:r>
      <w:proofErr w:type="spellStart"/>
      <w:r w:rsidR="00431AA5" w:rsidRPr="00E97CFC">
        <w:t>RegLowTech</w:t>
      </w:r>
      <w:proofErr w:type="spellEnd"/>
      <w:r w:rsidR="00431AA5" w:rsidRPr="00E97CFC">
        <w:t xml:space="preserve"> scenario in MARKAL-NL-UU (45%</w:t>
      </w:r>
      <w:r w:rsidR="00431AA5">
        <w:t>, physical terms</w:t>
      </w:r>
      <w:r w:rsidR="00431AA5" w:rsidRPr="00E97CFC">
        <w:t>) is higher than in MAGNET (13%</w:t>
      </w:r>
      <w:r w:rsidR="00431AA5">
        <w:t>, monetary terms</w:t>
      </w:r>
      <w:r w:rsidR="00431AA5" w:rsidRPr="00E97CFC">
        <w:t xml:space="preserve">). </w:t>
      </w:r>
      <w:r w:rsidR="00431AA5">
        <w:t xml:space="preserve"> </w:t>
      </w:r>
      <w:r w:rsidR="00431AA5" w:rsidRPr="00E97CFC">
        <w:t>Both models find that domestic and imported residues are the largest source of biomass</w:t>
      </w:r>
      <w:r w:rsidR="00431AA5">
        <w:t xml:space="preserve"> and that</w:t>
      </w:r>
      <w:r w:rsidR="00431AA5" w:rsidRPr="00E97CFC">
        <w:t xml:space="preserve"> the share of domestic residues is fairly constant across scenarios, indicating that first domestic residues will be used in 2030 in the Netherlands. Residue imports increase in both models in the </w:t>
      </w:r>
      <w:proofErr w:type="spellStart"/>
      <w:r w:rsidR="00431AA5" w:rsidRPr="00E97CFC">
        <w:t>HighTech</w:t>
      </w:r>
      <w:proofErr w:type="spellEnd"/>
      <w:r w:rsidR="00431AA5" w:rsidRPr="00E97CFC">
        <w:t xml:space="preserve"> scenarios although the share is much higher in MARKAL-NL-UU than in MAGNET, possibly due to the higher disaggregation of feedstocks in the former model.</w:t>
      </w:r>
      <w:r w:rsidR="00431AA5">
        <w:t xml:space="preserve"> </w:t>
      </w:r>
      <w:r w:rsidR="00431AA5" w:rsidRPr="00E97CFC">
        <w:t xml:space="preserve">Both models differ in the importance of primary domestic biomass. While it adds to 20% in MARKAL-UU-NL, it is minimal in MAGNET. In MAGNET, primary imports are important in the </w:t>
      </w:r>
      <w:proofErr w:type="spellStart"/>
      <w:r w:rsidR="00431AA5" w:rsidRPr="00E97CFC">
        <w:t>LowTech</w:t>
      </w:r>
      <w:proofErr w:type="spellEnd"/>
      <w:r w:rsidR="00431AA5" w:rsidRPr="00E97CFC">
        <w:t xml:space="preserve"> scenarios but almost disappear in the </w:t>
      </w:r>
      <w:proofErr w:type="spellStart"/>
      <w:r w:rsidR="00431AA5" w:rsidRPr="00E97CFC">
        <w:t>HighTech</w:t>
      </w:r>
      <w:proofErr w:type="spellEnd"/>
      <w:r w:rsidR="00431AA5" w:rsidRPr="00E97CFC">
        <w:t xml:space="preserve"> scenarios, while in MARKAL this level is fairly constant.</w:t>
      </w:r>
    </w:p>
    <w:p w14:paraId="7AAAF2D8" w14:textId="34532276" w:rsidR="00526CFF" w:rsidRDefault="0099404D" w:rsidP="00A727DA">
      <w:pPr>
        <w:pStyle w:val="Heading2"/>
        <w:numPr>
          <w:ilvl w:val="0"/>
          <w:numId w:val="25"/>
        </w:numPr>
        <w:ind w:left="284" w:hanging="284"/>
      </w:pPr>
      <w:r w:rsidRPr="006C0F9B">
        <w:t>Discussion</w:t>
      </w:r>
      <w:r w:rsidR="00676B07">
        <w:t xml:space="preserve"> </w:t>
      </w:r>
    </w:p>
    <w:p w14:paraId="6C5D808C" w14:textId="77777777" w:rsidR="00A727DA" w:rsidRDefault="00A727DA" w:rsidP="00A727DA">
      <w:pPr>
        <w:pStyle w:val="Heading3"/>
        <w:numPr>
          <w:ilvl w:val="1"/>
          <w:numId w:val="25"/>
        </w:numPr>
        <w:ind w:left="426" w:hanging="426"/>
      </w:pPr>
      <w:r>
        <w:t>Modelling scope</w:t>
      </w:r>
    </w:p>
    <w:p w14:paraId="5A197A29" w14:textId="77777777" w:rsidR="00A727DA" w:rsidRDefault="00A727DA" w:rsidP="00A727DA">
      <w:r>
        <w:t>The temporal scope of this study (i.e., 2030) is justified to the extent that policy targets for the Netherlands and the EU are set up to 2020.</w:t>
      </w:r>
      <w:r w:rsidRPr="009B14B2">
        <w:t xml:space="preserve"> </w:t>
      </w:r>
      <w:r>
        <w:t>Technology growth scenarios and biomass availability reflect the timeframe of the study. This offers some degree of certainty on the bioeconomy macro-economic impacts. However, a direct implication of the selected timeframe is that no insights are provided beyond 2030, which might underestimate the contribution and magnitude of biomass on the economy in the longer term. A larger temporal scope would increase the uncertainty as exogenous inputs (CO</w:t>
      </w:r>
      <w:r>
        <w:rPr>
          <w:vertAlign w:val="subscript"/>
        </w:rPr>
        <w:t>2</w:t>
      </w:r>
      <w:r>
        <w:t xml:space="preserve"> tax, fossil fuel prices, policies) and scenario variables (technology growth and biomass availability) would not be as robust. Nonetheless, it can be argued that if high technology development and open trade pathways are continued beyond 2030 then the size of the bioeconomy would increase, thus calling for increased support at earlier years. The modelling framework presented in this allows the extension of the temporal scope in MAGNET. However, efforts would be required in assessing cost-structures, learning trajectories and defining scenarios of technologies that are currently very early at development stage (e.g., lignin valorization, amino-acids) but may become important beyond 2030. </w:t>
      </w:r>
    </w:p>
    <w:p w14:paraId="1E70681D" w14:textId="77777777" w:rsidR="00A727DA" w:rsidRDefault="00A727DA" w:rsidP="00A727DA">
      <w:pPr>
        <w:pStyle w:val="Heading3"/>
        <w:numPr>
          <w:ilvl w:val="1"/>
          <w:numId w:val="25"/>
        </w:numPr>
        <w:ind w:left="567" w:hanging="567"/>
      </w:pPr>
      <w:bookmarkStart w:id="21" w:name="_Ref448410039"/>
      <w:r>
        <w:t>Impact of policies</w:t>
      </w:r>
      <w:bookmarkEnd w:id="21"/>
    </w:p>
    <w:p w14:paraId="5956E59E" w14:textId="77777777" w:rsidR="00A727DA" w:rsidRDefault="00A727DA" w:rsidP="00A727DA">
      <w:pPr>
        <w:autoSpaceDE w:val="0"/>
        <w:autoSpaceDN w:val="0"/>
        <w:adjustRightInd w:val="0"/>
        <w:rPr>
          <w:rFonts w:asciiTheme="majorHAnsi" w:eastAsiaTheme="minorEastAsia" w:hAnsiTheme="majorHAnsi" w:cs="Verdana"/>
          <w:szCs w:val="20"/>
          <w:lang w:eastAsia="ja-JP"/>
        </w:rPr>
      </w:pPr>
      <w:r>
        <w:rPr>
          <w:rFonts w:asciiTheme="majorHAnsi" w:eastAsiaTheme="minorEastAsia" w:hAnsiTheme="majorHAnsi" w:cs="Verdana"/>
          <w:szCs w:val="20"/>
          <w:lang w:eastAsia="ja-JP"/>
        </w:rPr>
        <w:t xml:space="preserve">A significant advantage of the CGE model presented in this study is that it captures policy targets of bioeconomy sectors and can be used to assess their impacts on the total economy and other sectors. As prospective biomass conversion technologies on advanced biofuels and biochemicals are at an early stage of development to be cost-competitive with fossil alternatives, and the timeframe to achieve those targets is rather short, policy targets are a key driver of RES deployment. </w:t>
      </w:r>
    </w:p>
    <w:p w14:paraId="75B3CA5E" w14:textId="77777777" w:rsidR="00A727DA" w:rsidRDefault="00A727DA" w:rsidP="00A727DA">
      <w:pPr>
        <w:autoSpaceDE w:val="0"/>
        <w:autoSpaceDN w:val="0"/>
        <w:adjustRightInd w:val="0"/>
        <w:rPr>
          <w:rFonts w:asciiTheme="majorHAnsi" w:eastAsiaTheme="minorEastAsia" w:hAnsiTheme="majorHAnsi" w:cs="Verdana"/>
          <w:szCs w:val="20"/>
          <w:lang w:eastAsia="ja-JP"/>
        </w:rPr>
      </w:pPr>
    </w:p>
    <w:p w14:paraId="0D676E8A" w14:textId="77777777" w:rsidR="00A727DA" w:rsidRDefault="00A727DA" w:rsidP="00A727DA">
      <w:pPr>
        <w:autoSpaceDE w:val="0"/>
        <w:autoSpaceDN w:val="0"/>
        <w:adjustRightInd w:val="0"/>
        <w:rPr>
          <w:rFonts w:asciiTheme="majorHAnsi" w:eastAsiaTheme="minorEastAsia" w:hAnsiTheme="majorHAnsi" w:cs="Verdana"/>
          <w:szCs w:val="20"/>
          <w:lang w:eastAsia="ja-JP"/>
        </w:rPr>
      </w:pPr>
      <w:r>
        <w:rPr>
          <w:rFonts w:asciiTheme="majorHAnsi" w:eastAsiaTheme="minorEastAsia" w:hAnsiTheme="majorHAnsi" w:cs="Verdana"/>
          <w:szCs w:val="20"/>
          <w:lang w:eastAsia="ja-JP"/>
        </w:rPr>
        <w:t xml:space="preserve">On the one hand, this may create lock-ins in specific technologies (e.g., wind, biofuel conversion technologies, biochemicals) and on the other hand it does not lead to a clear demonstration of bioeconomy impacts at the macro-economic level. Therefore, direct or indirect impacts may be obscured or wrongly attributed to sectors. In addition, while policy targets to 2020 are agreed upon and there is a general consensus on the trajectory between 2020-2030 these are not mandate. These shortcomings may skew the assessment results presented in this study. To circumvent this, the sectors would need to be assessed under a level playing field basis, i.e., by removing sector-specific support, for example on wind electricity or the mandatory blending target which affects biofuels. Then a comparison with a scenario where no biomass is utilized can clearly show what can be expected by biomass conversion. Then a scenario with a baseline which does not include advanced bioeconomy sectors could shed light into the actual impacts of bioeconomy. </w:t>
      </w:r>
    </w:p>
    <w:p w14:paraId="43CDD34B" w14:textId="77777777" w:rsidR="00CC7214" w:rsidRDefault="00CC7214" w:rsidP="00A727DA">
      <w:pPr>
        <w:autoSpaceDE w:val="0"/>
        <w:autoSpaceDN w:val="0"/>
        <w:adjustRightInd w:val="0"/>
        <w:rPr>
          <w:rFonts w:asciiTheme="majorHAnsi" w:eastAsiaTheme="minorEastAsia" w:hAnsiTheme="majorHAnsi" w:cs="Verdana"/>
          <w:szCs w:val="20"/>
          <w:lang w:eastAsia="ja-JP"/>
        </w:rPr>
      </w:pPr>
    </w:p>
    <w:p w14:paraId="7A5BBA61" w14:textId="7F5292FC" w:rsidR="00CC7214" w:rsidRDefault="00CC7214" w:rsidP="00A727DA">
      <w:pPr>
        <w:autoSpaceDE w:val="0"/>
        <w:autoSpaceDN w:val="0"/>
        <w:adjustRightInd w:val="0"/>
        <w:rPr>
          <w:rFonts w:asciiTheme="majorHAnsi" w:eastAsiaTheme="minorEastAsia" w:hAnsiTheme="majorHAnsi" w:cs="Verdana"/>
          <w:szCs w:val="20"/>
          <w:lang w:eastAsia="ja-JP"/>
        </w:rPr>
      </w:pPr>
      <w:r w:rsidRPr="00D910A7">
        <w:rPr>
          <w:rFonts w:asciiTheme="majorHAnsi" w:eastAsiaTheme="minorEastAsia" w:hAnsiTheme="majorHAnsi" w:cs="Verdana"/>
          <w:szCs w:val="20"/>
          <w:lang w:eastAsia="ja-JP"/>
        </w:rPr>
        <w:t xml:space="preserve">Another issue is that </w:t>
      </w:r>
      <w:r>
        <w:rPr>
          <w:rFonts w:asciiTheme="majorHAnsi" w:eastAsiaTheme="minorEastAsia" w:hAnsiTheme="majorHAnsi" w:cs="Verdana"/>
          <w:szCs w:val="20"/>
          <w:lang w:eastAsia="ja-JP"/>
        </w:rPr>
        <w:t xml:space="preserve">in CGE models </w:t>
      </w:r>
      <w:r w:rsidRPr="00D910A7">
        <w:rPr>
          <w:rFonts w:asciiTheme="majorHAnsi" w:eastAsiaTheme="minorEastAsia" w:hAnsiTheme="majorHAnsi" w:cs="Verdana"/>
          <w:szCs w:val="20"/>
          <w:lang w:eastAsia="ja-JP"/>
        </w:rPr>
        <w:t>policies are often implemented with their subsidy equivalent and not</w:t>
      </w:r>
      <w:r>
        <w:rPr>
          <w:rFonts w:asciiTheme="majorHAnsi" w:eastAsiaTheme="minorEastAsia" w:hAnsiTheme="majorHAnsi" w:cs="Verdana"/>
          <w:szCs w:val="20"/>
          <w:lang w:eastAsia="ja-JP"/>
        </w:rPr>
        <w:t xml:space="preserve"> </w:t>
      </w:r>
      <w:r w:rsidRPr="00D910A7">
        <w:rPr>
          <w:rFonts w:asciiTheme="majorHAnsi" w:eastAsiaTheme="minorEastAsia" w:hAnsiTheme="majorHAnsi" w:cs="Verdana"/>
          <w:szCs w:val="20"/>
          <w:lang w:eastAsia="ja-JP"/>
        </w:rPr>
        <w:t>explicitly.</w:t>
      </w:r>
    </w:p>
    <w:p w14:paraId="5408574F" w14:textId="77777777" w:rsidR="00A727DA" w:rsidRDefault="00A727DA" w:rsidP="00A727DA">
      <w:pPr>
        <w:pStyle w:val="Heading3"/>
        <w:numPr>
          <w:ilvl w:val="1"/>
          <w:numId w:val="25"/>
        </w:numPr>
        <w:ind w:left="567" w:hanging="567"/>
        <w:rPr>
          <w:lang w:eastAsia="ja-JP"/>
        </w:rPr>
      </w:pPr>
      <w:r>
        <w:rPr>
          <w:lang w:eastAsia="ja-JP"/>
        </w:rPr>
        <w:t>Land use change, feedstock supply potential and sustainability</w:t>
      </w:r>
    </w:p>
    <w:p w14:paraId="2959DACC" w14:textId="320A8501" w:rsidR="00A727DA" w:rsidRDefault="00A727DA" w:rsidP="00A727DA">
      <w:pPr>
        <w:autoSpaceDE w:val="0"/>
        <w:autoSpaceDN w:val="0"/>
        <w:adjustRightInd w:val="0"/>
        <w:rPr>
          <w:rFonts w:asciiTheme="majorHAnsi" w:eastAsiaTheme="minorEastAsia" w:hAnsiTheme="majorHAnsi" w:cs="Verdana"/>
          <w:szCs w:val="20"/>
          <w:lang w:eastAsia="ja-JP"/>
        </w:rPr>
      </w:pPr>
      <w:r w:rsidRPr="00BD3302">
        <w:rPr>
          <w:rFonts w:asciiTheme="majorHAnsi" w:eastAsiaTheme="minorEastAsia" w:hAnsiTheme="majorHAnsi" w:cs="Verdana"/>
          <w:szCs w:val="20"/>
          <w:lang w:eastAsia="ja-JP"/>
        </w:rPr>
        <w:t>The supply potential of domestic and EU biomass sources in this study was based on th</w:t>
      </w:r>
      <w:r w:rsidR="00FA11D8">
        <w:rPr>
          <w:rFonts w:asciiTheme="majorHAnsi" w:eastAsiaTheme="minorEastAsia" w:hAnsiTheme="majorHAnsi" w:cs="Verdana"/>
          <w:szCs w:val="20"/>
          <w:lang w:eastAsia="ja-JP"/>
        </w:rPr>
        <w:t xml:space="preserve">e IEE project Biomass Policies </w:t>
      </w:r>
      <w:r w:rsidR="00E24C5B">
        <w:rPr>
          <w:rFonts w:asciiTheme="majorHAnsi" w:eastAsiaTheme="minorEastAsia" w:hAnsiTheme="majorHAnsi" w:cs="Verdana"/>
          <w:szCs w:val="20"/>
          <w:lang w:eastAsia="ja-JP"/>
        </w:rPr>
        <w:fldChar w:fldCharType="begin" w:fldLock="1"/>
      </w:r>
      <w:r w:rsidR="00AA0555">
        <w:rPr>
          <w:rFonts w:asciiTheme="majorHAnsi" w:eastAsiaTheme="minorEastAsia" w:hAnsiTheme="majorHAnsi" w:cs="Verdana"/>
          <w:szCs w:val="20"/>
          <w:lang w:eastAsia="ja-JP"/>
        </w:rPr>
        <w:instrText>ADDIN CSL_CITATION { "citationItems" : [ { "id" : "ITEM-1", "itemData" : { "abstract" : "Elbersen, B. (2015) Outlook of spatial biomass value chains in EU28 Deliverable 2.3 of the Biomass Policies.", "author" : [ { "dropping-particle" : "", "family" : "Elbersen", "given" : "B", "non-dropping-particle" : "", "parse-names" : false, "suffix" : "" } ], "id" : "ITEM-1", "issued" : { "date-parts" : [ [ "2015" ] ] }, "title" : "Outlook of spatial value chains in EU28 - Deliverable 2.3 of Biomass Policies", "type" : "report" }, "uris" : [ "http://www.mendeley.com/documents/?uuid=16ef3cb1-184a-4894-a1f2-71e918dabb6c" ] } ], "mendeley" : { "formattedCitation" : "[25]", "plainTextFormattedCitation" : "[25]", "previouslyFormattedCitation" : "[25]" }, "properties" : { "noteIndex" : 0 }, "schema" : "https://github.com/citation-style-language/schema/raw/master/csl-citation.json" }</w:instrText>
      </w:r>
      <w:r w:rsidR="00E24C5B">
        <w:rPr>
          <w:rFonts w:asciiTheme="majorHAnsi" w:eastAsiaTheme="minorEastAsia" w:hAnsiTheme="majorHAnsi" w:cs="Verdana"/>
          <w:szCs w:val="20"/>
          <w:lang w:eastAsia="ja-JP"/>
        </w:rPr>
        <w:fldChar w:fldCharType="separate"/>
      </w:r>
      <w:r w:rsidR="00E24C5B" w:rsidRPr="00E24C5B">
        <w:rPr>
          <w:rFonts w:asciiTheme="majorHAnsi" w:eastAsiaTheme="minorEastAsia" w:hAnsiTheme="majorHAnsi" w:cs="Verdana"/>
          <w:noProof/>
          <w:szCs w:val="20"/>
          <w:lang w:eastAsia="ja-JP"/>
        </w:rPr>
        <w:t>[25]</w:t>
      </w:r>
      <w:r w:rsidR="00E24C5B">
        <w:rPr>
          <w:rFonts w:asciiTheme="majorHAnsi" w:eastAsiaTheme="minorEastAsia" w:hAnsiTheme="majorHAnsi" w:cs="Verdana"/>
          <w:szCs w:val="20"/>
          <w:lang w:eastAsia="ja-JP"/>
        </w:rPr>
        <w:fldChar w:fldCharType="end"/>
      </w:r>
      <w:r w:rsidRPr="00BD3302">
        <w:rPr>
          <w:rFonts w:asciiTheme="majorHAnsi" w:eastAsiaTheme="minorEastAsia" w:hAnsiTheme="majorHAnsi" w:cs="Verdana"/>
          <w:szCs w:val="20"/>
          <w:lang w:eastAsia="ja-JP"/>
        </w:rPr>
        <w:t>. In that project, the supply potential and cost of forest, agriculture and waste biomass was determined to 2030 at the regional level (NUTS2). However, the supply of biomass is not fixed and can change substantially depending mainly on developments in agriculture management, crop choices, food demand and the political framework</w:t>
      </w:r>
      <w:r w:rsidR="00AA0555">
        <w:rPr>
          <w:rFonts w:asciiTheme="majorHAnsi" w:eastAsiaTheme="minorEastAsia" w:hAnsiTheme="majorHAnsi" w:cs="Verdana"/>
          <w:szCs w:val="20"/>
          <w:lang w:eastAsia="ja-JP"/>
        </w:rPr>
        <w:t xml:space="preserve"> </w:t>
      </w:r>
      <w:r w:rsidR="00AA0555">
        <w:rPr>
          <w:rFonts w:asciiTheme="majorHAnsi" w:eastAsiaTheme="minorEastAsia" w:hAnsiTheme="majorHAnsi" w:cs="Verdana"/>
          <w:szCs w:val="20"/>
          <w:lang w:eastAsia="ja-JP"/>
        </w:rPr>
        <w:fldChar w:fldCharType="begin" w:fldLock="1"/>
      </w:r>
      <w:r w:rsidR="008A2CA6">
        <w:rPr>
          <w:rFonts w:asciiTheme="majorHAnsi" w:eastAsiaTheme="minorEastAsia" w:hAnsiTheme="majorHAnsi" w:cs="Verdana"/>
          <w:szCs w:val="20"/>
          <w:lang w:eastAsia="ja-JP"/>
        </w:rPr>
        <w:instrText>ADDIN CSL_CITATION { "citationItems" : [ { "id" : "ITEM-1", "itemData" : { "DOI" : "10.1039/b922422j", "ISSN" : "1754-5692", "abstract" : "The growing use of bioenergy goes hand in hand with a heated public debate, in which conflicting claims are made regarding the amount of biomass that can be sustainably used for this purpose. This article assesses the current knowledge on biomass resource potentials and interrelated factors such as water availability, biodiversity, food demand, energy demand and agricultural commodity markets. A sensitivity analysis of the available information narrows the range of biomass potentials from 0-1500 EJ/yr to approximately 200-500 EJ/yr in 2050. In determining the latter range, water limitations, biodiversity protection and food demand are taken into consideration. Key factors are agricultural efficiency and crop choice. In principle, global biomass potentials could meet up to one third of the projected global energy demand in 2050.", "author" : [ { "dropping-particle" : "", "family" : "Dornburg", "given" : "Veronika", "non-dropping-particle" : "", "parse-names" : false, "suffix" : "" }, { "dropping-particle" : "", "family" : "Vuuren", "given" : "Detlef", "non-dropping-particle" : "van", "parse-names" : false, "suffix" : "" }, { "dropping-particle" : "", "family" : "Ven", "given" : "Gerrie", "non-dropping-particle" : "van de", "parse-names" : false, "suffix" : "" }, { "dropping-particle" : "", "family" : "Langeveld", "given" : "Hans", "non-dropping-particle" : "", "parse-names" : false, "suffix" : "" }, { "dropping-particle" : "", "family" : "Meeusen", "given" : "Marieke", "non-dropping-particle" : "", "parse-names" : false, "suffix" : "" }, { "dropping-particle" : "", "family" : "Banse", "given" : "Martin", "non-dropping-particle" : "", "parse-names" : false, "suffix" : "" }, { "dropping-particle" : "", "family" : "Oorschot", "given" : "Mark", "non-dropping-particle" : "van", "parse-names" : false, "suffix" : "" }, { "dropping-particle" : "", "family" : "Ros", "given" : "Jan", "non-dropping-particle" : "", "parse-names" : false, "suffix" : "" }, { "dropping-particle" : "", "family" : "Jan van den Born", "given" : "Gert", "non-dropping-particle" : "", "parse-names" : false, "suffix" : "" }, { "dropping-particle" : "", "family" : "Aiking", "given" : "Harry", "non-dropping-particle" : "", "parse-names" : false, "suffix" : "" }, { "dropping-particle" : "", "family" : "Londo", "given" : "Marc", "non-dropping-particle" : "", "parse-names" : false, "suffix" : "" }, { "dropping-particle" : "", "family" : "Mozaffarian", "given" : "Hamid", "non-dropping-particle" : "", "parse-names" : false, "suffix" : "" }, { "dropping-particle" : "", "family" : "Verweij", "given" : "Pita", "non-dropping-particle" : "", "parse-names" : false, "suffix" : "" }, { "dropping-particle" : "", "family" : "Lysen", "given" : "Erik", "non-dropping-particle" : "", "parse-names" : false, "suffix" : "" }, { "dropping-particle" : "", "family" : "Faaij", "given" : "Andr\u00e9", "non-dropping-particle" : "", "parse-names" : false, "suffix" : "" } ], "container-title" : "Energy &amp; Environmental Science", "id" : "ITEM-1", "issue" : "3", "issued" : { "date-parts" : [ [ "2010" ] ] }, "page" : "258", "title" : "Bioenergy revisited: Key factors in global potentials of bioenergy", "type" : "article-journal", "volume" : "3" }, "uris" : [ "http://www.mendeley.com/documents/?uuid=e854e331-81e1-4b6f-a26e-25904049bddc" ] } ], "mendeley" : { "formattedCitation" : "[47]", "plainTextFormattedCitation" : "[47]", "previouslyFormattedCitation" : "[47]" }, "properties" : { "noteIndex" : 0 }, "schema" : "https://github.com/citation-style-language/schema/raw/master/csl-citation.json" }</w:instrText>
      </w:r>
      <w:r w:rsidR="00AA0555">
        <w:rPr>
          <w:rFonts w:asciiTheme="majorHAnsi" w:eastAsiaTheme="minorEastAsia" w:hAnsiTheme="majorHAnsi" w:cs="Verdana"/>
          <w:szCs w:val="20"/>
          <w:lang w:eastAsia="ja-JP"/>
        </w:rPr>
        <w:fldChar w:fldCharType="separate"/>
      </w:r>
      <w:r w:rsidR="00AA0555" w:rsidRPr="00AA0555">
        <w:rPr>
          <w:rFonts w:asciiTheme="majorHAnsi" w:eastAsiaTheme="minorEastAsia" w:hAnsiTheme="majorHAnsi" w:cs="Verdana"/>
          <w:noProof/>
          <w:szCs w:val="20"/>
          <w:lang w:eastAsia="ja-JP"/>
        </w:rPr>
        <w:t>[47]</w:t>
      </w:r>
      <w:r w:rsidR="00AA0555">
        <w:rPr>
          <w:rFonts w:asciiTheme="majorHAnsi" w:eastAsiaTheme="minorEastAsia" w:hAnsiTheme="majorHAnsi" w:cs="Verdana"/>
          <w:szCs w:val="20"/>
          <w:lang w:eastAsia="ja-JP"/>
        </w:rPr>
        <w:fldChar w:fldCharType="end"/>
      </w:r>
      <w:r w:rsidRPr="00FA11D8">
        <w:rPr>
          <w:rFonts w:asciiTheme="majorHAnsi" w:eastAsiaTheme="minorEastAsia" w:hAnsiTheme="majorHAnsi" w:cs="Verdana"/>
          <w:szCs w:val="20"/>
          <w:lang w:eastAsia="ja-JP"/>
        </w:rPr>
        <w:t>.</w:t>
      </w:r>
      <w:r>
        <w:rPr>
          <w:rFonts w:asciiTheme="majorHAnsi" w:eastAsiaTheme="minorEastAsia" w:hAnsiTheme="majorHAnsi" w:cs="Verdana"/>
          <w:szCs w:val="20"/>
          <w:lang w:eastAsia="ja-JP"/>
        </w:rPr>
        <w:t xml:space="preserve"> These parameters consequently will also have an impact on </w:t>
      </w:r>
      <w:proofErr w:type="spellStart"/>
      <w:r>
        <w:rPr>
          <w:rFonts w:asciiTheme="majorHAnsi" w:eastAsiaTheme="minorEastAsia" w:hAnsiTheme="majorHAnsi" w:cs="Verdana"/>
          <w:szCs w:val="20"/>
          <w:lang w:eastAsia="ja-JP"/>
        </w:rPr>
        <w:t>marco</w:t>
      </w:r>
      <w:proofErr w:type="spellEnd"/>
      <w:r>
        <w:rPr>
          <w:rFonts w:asciiTheme="majorHAnsi" w:eastAsiaTheme="minorEastAsia" w:hAnsiTheme="majorHAnsi" w:cs="Verdana"/>
          <w:szCs w:val="20"/>
          <w:lang w:eastAsia="ja-JP"/>
        </w:rPr>
        <w:t xml:space="preserve">-economic effects and their distribution across bioeconomy sectors. A characteristic example is development assumptions on agricultural management. </w:t>
      </w:r>
    </w:p>
    <w:p w14:paraId="5FD90075" w14:textId="77777777" w:rsidR="00A727DA" w:rsidRDefault="00A727DA" w:rsidP="00A727DA">
      <w:pPr>
        <w:autoSpaceDE w:val="0"/>
        <w:autoSpaceDN w:val="0"/>
        <w:adjustRightInd w:val="0"/>
        <w:rPr>
          <w:rFonts w:asciiTheme="majorHAnsi" w:eastAsiaTheme="minorEastAsia" w:hAnsiTheme="majorHAnsi" w:cs="Verdana"/>
          <w:szCs w:val="20"/>
          <w:lang w:eastAsia="ja-JP"/>
        </w:rPr>
      </w:pPr>
    </w:p>
    <w:p w14:paraId="5B4E25F7" w14:textId="1F6951B6" w:rsidR="001A188B" w:rsidRPr="005F2BB3" w:rsidRDefault="001A188B" w:rsidP="001A188B">
      <w:pPr>
        <w:autoSpaceDE w:val="0"/>
        <w:autoSpaceDN w:val="0"/>
        <w:adjustRightInd w:val="0"/>
        <w:rPr>
          <w:rFonts w:asciiTheme="majorHAnsi" w:eastAsiaTheme="minorEastAsia" w:hAnsiTheme="majorHAnsi" w:cs="Verdana"/>
          <w:szCs w:val="20"/>
          <w:lang w:eastAsia="ja-JP"/>
        </w:rPr>
      </w:pPr>
      <w:r w:rsidRPr="00FA11D8">
        <w:rPr>
          <w:rFonts w:asciiTheme="majorHAnsi" w:eastAsiaTheme="minorEastAsia" w:hAnsiTheme="majorHAnsi" w:cs="Verdana"/>
          <w:szCs w:val="20"/>
          <w:lang w:eastAsia="ja-JP"/>
        </w:rPr>
        <w:t>In all scenarios assessed, imported solid biomass and liquid biofuels play a key role. However, the production of biomass, regardless of its end use (food, feed, materials, energy), is not always sustainable. Therefore, major efforts are required over the whole value chain to safeguard the sustainable supply of biomass. Key instruments include sustainability frameworks and certification. Although lifecycle GHG emissions from biomass supply and conversion are included, efforts to safeguard sustainability are not part of the modelling framework used in this study and are a key prerequisite in the roadmap towards a bio-based economy</w:t>
      </w:r>
      <w:r w:rsidR="008A2CA6">
        <w:rPr>
          <w:rFonts w:asciiTheme="majorHAnsi" w:eastAsiaTheme="minorEastAsia" w:hAnsiTheme="majorHAnsi" w:cs="Verdana"/>
          <w:szCs w:val="20"/>
          <w:lang w:eastAsia="ja-JP"/>
        </w:rPr>
        <w:t xml:space="preserve"> </w:t>
      </w:r>
      <w:r w:rsidR="008A2CA6">
        <w:rPr>
          <w:rFonts w:asciiTheme="majorHAnsi" w:eastAsiaTheme="minorEastAsia" w:hAnsiTheme="majorHAnsi" w:cs="Verdana"/>
          <w:szCs w:val="20"/>
          <w:lang w:eastAsia="ja-JP"/>
        </w:rPr>
        <w:fldChar w:fldCharType="begin" w:fldLock="1"/>
      </w:r>
      <w:r w:rsidR="009A1A3E">
        <w:rPr>
          <w:rFonts w:asciiTheme="majorHAnsi" w:eastAsiaTheme="minorEastAsia" w:hAnsiTheme="majorHAnsi" w:cs="Verdana"/>
          <w:szCs w:val="20"/>
          <w:lang w:eastAsia="ja-JP"/>
        </w:rPr>
        <w:instrText>ADDIN CSL_CITATION { "citationItems" : [ { "id" : "ITEM-1", "itemData" : { "author" : [ { "dropping-particle" : "", "family" : "Corbey Committee", "given" : "", "non-dropping-particle" : "", "parse-names" : false, "suffix" : "" } ], "id" : "ITEM-1", "issued" : { "date-parts" : [ [ "2012" ] ] }, "number-of-pages" : "1-17", "title" : "Sustainable biomass in the chemical industry", "type" : "report" }, "uris" : [ "http://www.mendeley.com/documents/?uuid=8b405625-6233-4968-bb84-0c3b7053d6c5" ] } ], "mendeley" : { "formattedCitation" : "[42]", "plainTextFormattedCitation" : "[42]", "previouslyFormattedCitation" : "[42]" }, "properties" : { "noteIndex" : 0 }, "schema" : "https://github.com/citation-style-language/schema/raw/master/csl-citation.json" }</w:instrText>
      </w:r>
      <w:r w:rsidR="008A2CA6">
        <w:rPr>
          <w:rFonts w:asciiTheme="majorHAnsi" w:eastAsiaTheme="minorEastAsia" w:hAnsiTheme="majorHAnsi" w:cs="Verdana"/>
          <w:szCs w:val="20"/>
          <w:lang w:eastAsia="ja-JP"/>
        </w:rPr>
        <w:fldChar w:fldCharType="separate"/>
      </w:r>
      <w:r w:rsidR="008A2CA6" w:rsidRPr="008A2CA6">
        <w:rPr>
          <w:rFonts w:asciiTheme="majorHAnsi" w:eastAsiaTheme="minorEastAsia" w:hAnsiTheme="majorHAnsi" w:cs="Verdana"/>
          <w:noProof/>
          <w:szCs w:val="20"/>
          <w:lang w:eastAsia="ja-JP"/>
        </w:rPr>
        <w:t>[42]</w:t>
      </w:r>
      <w:r w:rsidR="008A2CA6">
        <w:rPr>
          <w:rFonts w:asciiTheme="majorHAnsi" w:eastAsiaTheme="minorEastAsia" w:hAnsiTheme="majorHAnsi" w:cs="Verdana"/>
          <w:szCs w:val="20"/>
          <w:lang w:eastAsia="ja-JP"/>
        </w:rPr>
        <w:fldChar w:fldCharType="end"/>
      </w:r>
      <w:r w:rsidR="00DD62F0">
        <w:rPr>
          <w:rFonts w:asciiTheme="majorHAnsi" w:eastAsiaTheme="minorEastAsia" w:hAnsiTheme="majorHAnsi" w:cs="Verdana"/>
          <w:szCs w:val="20"/>
          <w:lang w:eastAsia="ja-JP"/>
        </w:rPr>
        <w:t xml:space="preserve">. </w:t>
      </w:r>
    </w:p>
    <w:p w14:paraId="60CA2814" w14:textId="77777777" w:rsidR="008A4465" w:rsidRDefault="00A727DA" w:rsidP="00FA11D8">
      <w:pPr>
        <w:pStyle w:val="Heading3"/>
        <w:numPr>
          <w:ilvl w:val="1"/>
          <w:numId w:val="25"/>
        </w:numPr>
        <w:ind w:left="567" w:hanging="567"/>
      </w:pPr>
      <w:r>
        <w:t>Sensitivity analysis parameters</w:t>
      </w:r>
    </w:p>
    <w:p w14:paraId="588E6EE1" w14:textId="493B8CBD" w:rsidR="00BA1C97" w:rsidRPr="00BA1C97" w:rsidRDefault="008A3F36" w:rsidP="00FA11D8">
      <w:r>
        <w:t>The price of fossil fuels and CO</w:t>
      </w:r>
      <w:r>
        <w:softHyphen/>
      </w:r>
      <w:r>
        <w:rPr>
          <w:vertAlign w:val="subscript"/>
        </w:rPr>
        <w:t>2</w:t>
      </w:r>
      <w:r>
        <w:t xml:space="preserve"> in the present study </w:t>
      </w:r>
      <w:r w:rsidR="00261CB8">
        <w:t>is</w:t>
      </w:r>
      <w:r>
        <w:t xml:space="preserve"> </w:t>
      </w:r>
      <w:r w:rsidR="00261CB8">
        <w:t>based on</w:t>
      </w:r>
      <w:r>
        <w:t xml:space="preserve"> the New Policies scenario of the International Energy Agency’s World Energy Outlook 2014</w:t>
      </w:r>
      <w:r w:rsidR="00261CB8">
        <w:t xml:space="preserve">. </w:t>
      </w:r>
      <w:r w:rsidR="00BA1C97">
        <w:t>However, in the short term fossil fuel prices can fluctuate significantly as recent data show for 2015-2026.</w:t>
      </w:r>
      <w:r w:rsidR="0081458F">
        <w:t xml:space="preserve"> </w:t>
      </w:r>
      <w:r w:rsidR="00BA1C97">
        <w:t>Furthermore, the CO</w:t>
      </w:r>
      <w:r w:rsidR="00BA1C97">
        <w:rPr>
          <w:vertAlign w:val="subscript"/>
        </w:rPr>
        <w:t>2</w:t>
      </w:r>
      <w:r w:rsidR="00BA1C97">
        <w:t xml:space="preserve"> price does not reflect the levels required to achieve cli</w:t>
      </w:r>
      <w:r w:rsidR="0081458F">
        <w:t>mate targets as estimated by the International Energy Agency.</w:t>
      </w:r>
      <w:r w:rsidR="00AA0E8F">
        <w:t xml:space="preserve"> </w:t>
      </w:r>
      <w:r w:rsidR="00F47D31">
        <w:t>As fossil fuel and CO</w:t>
      </w:r>
      <w:r w:rsidR="00F47D31">
        <w:rPr>
          <w:vertAlign w:val="subscript"/>
        </w:rPr>
        <w:t>2</w:t>
      </w:r>
      <w:r w:rsidR="00F47D31">
        <w:t xml:space="preserve"> prices are exogenous in MAGNET and at the same time they are key factors in determining the cost-competitiveness of renewable energy technologies compared to fossil fuel conversion technologies, further assessment of their impact is required. A</w:t>
      </w:r>
      <w:r w:rsidR="00C03882">
        <w:t xml:space="preserve"> local sensitivity analysis by varying fossil fuel and CO</w:t>
      </w:r>
      <w:r w:rsidR="00C03882">
        <w:rPr>
          <w:vertAlign w:val="subscript"/>
        </w:rPr>
        <w:t>2</w:t>
      </w:r>
      <w:r w:rsidR="00C03882">
        <w:t xml:space="preserve"> prices while maintaining all other input parameters of the model constant could </w:t>
      </w:r>
      <w:r w:rsidR="00E656C0">
        <w:t xml:space="preserve">demonstrate their impact on bioeconomy, thus revealing threats or opportunities for design of bioeconomy strategies. </w:t>
      </w:r>
      <w:r w:rsidR="002560E1">
        <w:t>This also entails, that the demonstrated results of the present study cannot be u</w:t>
      </w:r>
      <w:r w:rsidR="00DD62F0">
        <w:t xml:space="preserve">sed for policy advice without analyzing the influence of the exogenous parameters. </w:t>
      </w:r>
    </w:p>
    <w:p w14:paraId="7C9B307A" w14:textId="77777777" w:rsidR="009057EE" w:rsidRDefault="008A4465" w:rsidP="00FA11D8">
      <w:pPr>
        <w:pStyle w:val="Heading3"/>
        <w:numPr>
          <w:ilvl w:val="1"/>
          <w:numId w:val="25"/>
        </w:numPr>
        <w:ind w:left="567" w:hanging="567"/>
      </w:pPr>
      <w:r>
        <w:t>Other macro-economic issues</w:t>
      </w:r>
    </w:p>
    <w:p w14:paraId="690A6DBF" w14:textId="53035265" w:rsidR="009057EE" w:rsidRPr="007A4A28" w:rsidRDefault="00D44E44" w:rsidP="00FA11D8">
      <w:pPr>
        <w:autoSpaceDE w:val="0"/>
        <w:autoSpaceDN w:val="0"/>
        <w:adjustRightInd w:val="0"/>
        <w:rPr>
          <w:rFonts w:asciiTheme="majorHAnsi" w:eastAsiaTheme="minorEastAsia" w:hAnsiTheme="majorHAnsi" w:cs="Verdana"/>
          <w:szCs w:val="20"/>
          <w:lang w:eastAsia="ja-JP"/>
        </w:rPr>
      </w:pPr>
      <w:r>
        <w:rPr>
          <w:rFonts w:asciiTheme="majorHAnsi" w:eastAsiaTheme="minorEastAsia" w:hAnsiTheme="majorHAnsi" w:cs="Verdana"/>
          <w:szCs w:val="20"/>
          <w:lang w:eastAsia="ja-JP"/>
        </w:rPr>
        <w:t xml:space="preserve">Introducing new sectors to MAGNET can be considered a strength within the family of CGE models. </w:t>
      </w:r>
      <w:r w:rsidR="00E44B0B">
        <w:rPr>
          <w:rFonts w:asciiTheme="majorHAnsi" w:eastAsiaTheme="minorEastAsia" w:hAnsiTheme="majorHAnsi" w:cs="Verdana"/>
          <w:szCs w:val="20"/>
          <w:lang w:eastAsia="ja-JP"/>
        </w:rPr>
        <w:t xml:space="preserve">However, since detailed </w:t>
      </w:r>
      <w:r w:rsidR="009057EE" w:rsidRPr="00FA11D8">
        <w:rPr>
          <w:rFonts w:asciiTheme="majorHAnsi" w:eastAsiaTheme="minorEastAsia" w:hAnsiTheme="majorHAnsi" w:cs="Verdana"/>
          <w:szCs w:val="20"/>
          <w:lang w:eastAsia="ja-JP"/>
        </w:rPr>
        <w:t>technological developments are not taken into account and the level aggregation is still</w:t>
      </w:r>
      <w:r w:rsidR="00E44B0B">
        <w:rPr>
          <w:rFonts w:asciiTheme="majorHAnsi" w:eastAsiaTheme="minorEastAsia" w:hAnsiTheme="majorHAnsi" w:cs="Verdana"/>
          <w:szCs w:val="20"/>
          <w:lang w:eastAsia="ja-JP"/>
        </w:rPr>
        <w:t xml:space="preserve"> </w:t>
      </w:r>
      <w:r w:rsidR="009057EE" w:rsidRPr="00FA11D8">
        <w:rPr>
          <w:rFonts w:asciiTheme="majorHAnsi" w:eastAsiaTheme="minorEastAsia" w:hAnsiTheme="majorHAnsi" w:cs="Verdana"/>
          <w:szCs w:val="20"/>
          <w:lang w:eastAsia="ja-JP"/>
        </w:rPr>
        <w:t>high</w:t>
      </w:r>
      <w:r w:rsidR="00E44B0B">
        <w:rPr>
          <w:rFonts w:asciiTheme="majorHAnsi" w:eastAsiaTheme="minorEastAsia" w:hAnsiTheme="majorHAnsi" w:cs="Verdana"/>
          <w:szCs w:val="20"/>
          <w:lang w:eastAsia="ja-JP"/>
        </w:rPr>
        <w:t xml:space="preserve"> it can also be considered as weakness, especially when compared to other model types. </w:t>
      </w:r>
      <w:r w:rsidR="009057EE" w:rsidRPr="00FA11D8">
        <w:rPr>
          <w:rFonts w:asciiTheme="majorHAnsi" w:eastAsiaTheme="minorEastAsia" w:hAnsiTheme="majorHAnsi" w:cs="Verdana"/>
          <w:szCs w:val="20"/>
          <w:lang w:eastAsia="ja-JP"/>
        </w:rPr>
        <w:t xml:space="preserve">A main challenge is that </w:t>
      </w:r>
      <w:r w:rsidR="00CC7214">
        <w:rPr>
          <w:rFonts w:asciiTheme="majorHAnsi" w:eastAsiaTheme="minorEastAsia" w:hAnsiTheme="majorHAnsi" w:cs="Verdana"/>
          <w:szCs w:val="20"/>
          <w:lang w:eastAsia="ja-JP"/>
        </w:rPr>
        <w:t>CGEs</w:t>
      </w:r>
      <w:r w:rsidR="009057EE" w:rsidRPr="00FA11D8">
        <w:rPr>
          <w:rFonts w:asciiTheme="majorHAnsi" w:eastAsiaTheme="minorEastAsia" w:hAnsiTheme="majorHAnsi" w:cs="Verdana"/>
          <w:szCs w:val="20"/>
          <w:lang w:eastAsia="ja-JP"/>
        </w:rPr>
        <w:t xml:space="preserve"> are normally calibrated and use econometric</w:t>
      </w:r>
      <w:r w:rsidR="00CC7214">
        <w:rPr>
          <w:rFonts w:asciiTheme="majorHAnsi" w:eastAsiaTheme="minorEastAsia" w:hAnsiTheme="majorHAnsi" w:cs="Verdana"/>
          <w:szCs w:val="20"/>
          <w:lang w:eastAsia="ja-JP"/>
        </w:rPr>
        <w:t xml:space="preserve"> </w:t>
      </w:r>
      <w:r w:rsidR="009057EE" w:rsidRPr="00FA11D8">
        <w:rPr>
          <w:rFonts w:asciiTheme="majorHAnsi" w:eastAsiaTheme="minorEastAsia" w:hAnsiTheme="majorHAnsi" w:cs="Verdana"/>
          <w:szCs w:val="20"/>
          <w:lang w:eastAsia="ja-JP"/>
        </w:rPr>
        <w:t>estimates of elasticities based on historical data, which is not possible as the new bioeconomy</w:t>
      </w:r>
      <w:r w:rsidR="00CC7214">
        <w:rPr>
          <w:rFonts w:asciiTheme="majorHAnsi" w:eastAsiaTheme="minorEastAsia" w:hAnsiTheme="majorHAnsi" w:cs="Verdana"/>
          <w:szCs w:val="20"/>
          <w:lang w:eastAsia="ja-JP"/>
        </w:rPr>
        <w:t xml:space="preserve"> </w:t>
      </w:r>
      <w:r w:rsidR="009057EE" w:rsidRPr="00FA11D8">
        <w:rPr>
          <w:rFonts w:asciiTheme="majorHAnsi" w:eastAsiaTheme="minorEastAsia" w:hAnsiTheme="majorHAnsi" w:cs="Verdana"/>
          <w:szCs w:val="20"/>
          <w:lang w:eastAsia="ja-JP"/>
        </w:rPr>
        <w:t xml:space="preserve">developments </w:t>
      </w:r>
      <w:r w:rsidR="00D77FFC">
        <w:rPr>
          <w:rFonts w:asciiTheme="majorHAnsi" w:eastAsiaTheme="minorEastAsia" w:hAnsiTheme="majorHAnsi" w:cs="Verdana"/>
          <w:szCs w:val="20"/>
          <w:lang w:eastAsia="ja-JP"/>
        </w:rPr>
        <w:t>started recently and there are no robust historic data on elasticities</w:t>
      </w:r>
      <w:r w:rsidR="009057EE" w:rsidRPr="00FA11D8">
        <w:rPr>
          <w:rFonts w:asciiTheme="majorHAnsi" w:eastAsiaTheme="minorEastAsia" w:hAnsiTheme="majorHAnsi" w:cs="Verdana"/>
          <w:szCs w:val="20"/>
          <w:lang w:eastAsia="ja-JP"/>
        </w:rPr>
        <w:t xml:space="preserve">. In this study, we </w:t>
      </w:r>
      <w:r w:rsidR="00D77FFC" w:rsidRPr="00D77FFC">
        <w:rPr>
          <w:rFonts w:asciiTheme="majorHAnsi" w:eastAsiaTheme="minorEastAsia" w:hAnsiTheme="majorHAnsi" w:cs="Verdana"/>
          <w:szCs w:val="20"/>
          <w:lang w:eastAsia="ja-JP"/>
        </w:rPr>
        <w:t>circumvented this by using cost</w:t>
      </w:r>
      <w:r w:rsidR="00D77FFC">
        <w:rPr>
          <w:rFonts w:asciiTheme="majorHAnsi" w:eastAsiaTheme="minorEastAsia" w:hAnsiTheme="majorHAnsi" w:cs="Verdana"/>
          <w:szCs w:val="20"/>
          <w:lang w:eastAsia="ja-JP"/>
        </w:rPr>
        <w:t>-</w:t>
      </w:r>
      <w:r w:rsidR="009057EE" w:rsidRPr="00FA11D8">
        <w:rPr>
          <w:rFonts w:asciiTheme="majorHAnsi" w:eastAsiaTheme="minorEastAsia" w:hAnsiTheme="majorHAnsi" w:cs="Verdana"/>
          <w:szCs w:val="20"/>
          <w:lang w:eastAsia="ja-JP"/>
        </w:rPr>
        <w:t>structures and</w:t>
      </w:r>
      <w:r w:rsidR="00D77FFC">
        <w:rPr>
          <w:rFonts w:asciiTheme="majorHAnsi" w:eastAsiaTheme="minorEastAsia" w:hAnsiTheme="majorHAnsi" w:cs="Verdana"/>
          <w:szCs w:val="20"/>
          <w:lang w:eastAsia="ja-JP"/>
        </w:rPr>
        <w:t xml:space="preserve"> </w:t>
      </w:r>
      <w:r w:rsidR="009057EE" w:rsidRPr="00FA11D8">
        <w:rPr>
          <w:rFonts w:asciiTheme="majorHAnsi" w:eastAsiaTheme="minorEastAsia" w:hAnsiTheme="majorHAnsi" w:cs="Verdana"/>
          <w:szCs w:val="20"/>
          <w:lang w:eastAsia="ja-JP"/>
        </w:rPr>
        <w:t xml:space="preserve">learning rates from the bottom-up </w:t>
      </w:r>
      <w:r w:rsidR="00D77FFC">
        <w:rPr>
          <w:rFonts w:asciiTheme="majorHAnsi" w:eastAsiaTheme="minorEastAsia" w:hAnsiTheme="majorHAnsi" w:cs="Verdana"/>
          <w:szCs w:val="20"/>
          <w:lang w:eastAsia="ja-JP"/>
        </w:rPr>
        <w:t>model</w:t>
      </w:r>
      <w:r w:rsidR="009057EE" w:rsidRPr="00FA11D8">
        <w:rPr>
          <w:rFonts w:asciiTheme="majorHAnsi" w:eastAsiaTheme="minorEastAsia" w:hAnsiTheme="majorHAnsi" w:cs="Verdana"/>
          <w:szCs w:val="20"/>
          <w:lang w:eastAsia="ja-JP"/>
        </w:rPr>
        <w:t>. Elasticities were taken from existing products that are</w:t>
      </w:r>
      <w:r w:rsidR="00D77FFC">
        <w:rPr>
          <w:rFonts w:asciiTheme="majorHAnsi" w:eastAsiaTheme="minorEastAsia" w:hAnsiTheme="majorHAnsi" w:cs="Verdana"/>
          <w:szCs w:val="20"/>
          <w:lang w:eastAsia="ja-JP"/>
        </w:rPr>
        <w:t xml:space="preserve"> </w:t>
      </w:r>
      <w:r w:rsidR="009057EE" w:rsidRPr="00FA11D8">
        <w:rPr>
          <w:rFonts w:asciiTheme="majorHAnsi" w:eastAsiaTheme="minorEastAsia" w:hAnsiTheme="majorHAnsi" w:cs="Verdana"/>
          <w:szCs w:val="20"/>
          <w:lang w:eastAsia="ja-JP"/>
        </w:rPr>
        <w:t>close</w:t>
      </w:r>
      <w:r w:rsidR="00446603">
        <w:rPr>
          <w:rFonts w:asciiTheme="majorHAnsi" w:eastAsiaTheme="minorEastAsia" w:hAnsiTheme="majorHAnsi" w:cs="Verdana"/>
          <w:szCs w:val="20"/>
          <w:lang w:eastAsia="ja-JP"/>
        </w:rPr>
        <w:t>ly related</w:t>
      </w:r>
      <w:r w:rsidR="009057EE" w:rsidRPr="00FA11D8">
        <w:rPr>
          <w:rFonts w:asciiTheme="majorHAnsi" w:eastAsiaTheme="minorEastAsia" w:hAnsiTheme="majorHAnsi" w:cs="Verdana"/>
          <w:szCs w:val="20"/>
          <w:lang w:eastAsia="ja-JP"/>
        </w:rPr>
        <w:t xml:space="preserve"> substitutes</w:t>
      </w:r>
      <w:r w:rsidR="009057EE" w:rsidRPr="007A4A28">
        <w:rPr>
          <w:rFonts w:asciiTheme="majorHAnsi" w:eastAsiaTheme="minorEastAsia" w:hAnsiTheme="majorHAnsi" w:cs="Verdana"/>
          <w:szCs w:val="20"/>
          <w:lang w:eastAsia="ja-JP"/>
        </w:rPr>
        <w:t>.</w:t>
      </w:r>
    </w:p>
    <w:p w14:paraId="2A33C249" w14:textId="77777777" w:rsidR="009057EE" w:rsidRPr="007A4A28" w:rsidRDefault="009057EE" w:rsidP="00FA11D8">
      <w:pPr>
        <w:rPr>
          <w:rFonts w:asciiTheme="majorHAnsi" w:eastAsiaTheme="minorEastAsia" w:hAnsiTheme="majorHAnsi" w:cs="Verdana"/>
          <w:szCs w:val="20"/>
          <w:lang w:eastAsia="ja-JP"/>
        </w:rPr>
      </w:pPr>
    </w:p>
    <w:p w14:paraId="087DAD05" w14:textId="218F6BB7" w:rsidR="009057EE" w:rsidRPr="00FA11D8" w:rsidRDefault="009057EE" w:rsidP="00FA11D8">
      <w:pPr>
        <w:autoSpaceDE w:val="0"/>
        <w:autoSpaceDN w:val="0"/>
        <w:adjustRightInd w:val="0"/>
        <w:rPr>
          <w:rFonts w:asciiTheme="majorHAnsi" w:eastAsiaTheme="minorEastAsia" w:hAnsiTheme="majorHAnsi" w:cs="Verdana"/>
          <w:szCs w:val="20"/>
          <w:lang w:eastAsia="ja-JP"/>
        </w:rPr>
      </w:pPr>
      <w:r w:rsidRPr="00FA11D8">
        <w:rPr>
          <w:rFonts w:asciiTheme="majorHAnsi" w:eastAsiaTheme="minorEastAsia" w:hAnsiTheme="majorHAnsi" w:cs="Verdana"/>
          <w:szCs w:val="20"/>
          <w:lang w:eastAsia="ja-JP"/>
        </w:rPr>
        <w:t>To examine the complete economic picture, both the revenues from and costs of employing biomass products in different uses should be taken into account</w:t>
      </w:r>
      <w:r w:rsidR="009A1A3E">
        <w:rPr>
          <w:rFonts w:asciiTheme="majorHAnsi" w:eastAsiaTheme="minorEastAsia" w:hAnsiTheme="majorHAnsi" w:cs="Verdana"/>
          <w:szCs w:val="20"/>
          <w:lang w:eastAsia="ja-JP"/>
        </w:rPr>
        <w:t xml:space="preserve"> </w:t>
      </w:r>
      <w:r w:rsidR="009A1A3E">
        <w:rPr>
          <w:rFonts w:asciiTheme="majorHAnsi" w:eastAsiaTheme="minorEastAsia" w:hAnsiTheme="majorHAnsi" w:cs="Verdana"/>
          <w:szCs w:val="20"/>
          <w:lang w:eastAsia="ja-JP"/>
        </w:rPr>
        <w:fldChar w:fldCharType="begin" w:fldLock="1"/>
      </w:r>
      <w:r w:rsidR="009A1A3E">
        <w:rPr>
          <w:rFonts w:asciiTheme="majorHAnsi" w:eastAsiaTheme="minorEastAsia" w:hAnsiTheme="majorHAnsi" w:cs="Verdana"/>
          <w:szCs w:val="20"/>
          <w:lang w:eastAsia="ja-JP"/>
        </w:rPr>
        <w:instrText>ADDIN CSL_CITATION { "citationItems" : [ { "id" : "ITEM-1", "itemData" : { "ISBN" : "9789086155835", "abstract" : "The report gives a brief overview of availability of biomass in Malaysia and the assumptions underlying the National Biomass Strategy (2011) in Section 2. Section 3 provides information on the methodology used, i.e. the structure and assumptions of the CGE model called MAGNET. Section 4 presents a detailed description of the cost structures of four key biomass-based products that are analysed. Section 5 presents the main results. Three tables illustrate the impact on GDP for each product under different assumptions about the efficiency of the biobased technology and the level of fossil resources prices. The report ends with brief conclusions.", "author" : [ { "dropping-particle" : "", "family" : "Meijl", "given" : "H", "non-dropping-particle" : "van", "parse-names" : false, "suffix" : "" }, { "dropping-particle" : "", "family" : "Smeets", "given" : "E", "non-dropping-particle" : "", "parse-names" : false, "suffix" : "" }, { "dropping-particle" : "", "family" : "Dijk", "given" : "M", "non-dropping-particle" : "van", "parse-names" : false, "suffix" : "" }, { "dropping-particle" : "", "family" : "Powell", "given" : "J", "non-dropping-particle" : "", "parse-names" : false, "suffix" : "" } ], "container-title" : "LEI report 2012-042", "id" : "ITEM-1", "issued" : { "date-parts" : [ [ "2012" ] ] }, "title" : "Macro-economic impact study for Bio-based Malaysia", "type" : "book" }, "uris" : [ "http://www.mendeley.com/documents/?uuid=7a686290-5bbb-41de-84f8-ca0fa7428053" ] } ], "mendeley" : { "formattedCitation" : "[13]", "plainTextFormattedCitation" : "[13]" }, "properties" : { "noteIndex" : 0 }, "schema" : "https://github.com/citation-style-language/schema/raw/master/csl-citation.json" }</w:instrText>
      </w:r>
      <w:r w:rsidR="009A1A3E">
        <w:rPr>
          <w:rFonts w:asciiTheme="majorHAnsi" w:eastAsiaTheme="minorEastAsia" w:hAnsiTheme="majorHAnsi" w:cs="Verdana"/>
          <w:szCs w:val="20"/>
          <w:lang w:eastAsia="ja-JP"/>
        </w:rPr>
        <w:fldChar w:fldCharType="separate"/>
      </w:r>
      <w:r w:rsidR="009A1A3E" w:rsidRPr="009A1A3E">
        <w:rPr>
          <w:rFonts w:asciiTheme="majorHAnsi" w:eastAsiaTheme="minorEastAsia" w:hAnsiTheme="majorHAnsi" w:cs="Verdana"/>
          <w:noProof/>
          <w:szCs w:val="20"/>
          <w:lang w:eastAsia="ja-JP"/>
        </w:rPr>
        <w:t>[13]</w:t>
      </w:r>
      <w:r w:rsidR="009A1A3E">
        <w:rPr>
          <w:rFonts w:asciiTheme="majorHAnsi" w:eastAsiaTheme="minorEastAsia" w:hAnsiTheme="majorHAnsi" w:cs="Verdana"/>
          <w:szCs w:val="20"/>
          <w:lang w:eastAsia="ja-JP"/>
        </w:rPr>
        <w:fldChar w:fldCharType="end"/>
      </w:r>
      <w:r w:rsidRPr="00FA11D8">
        <w:rPr>
          <w:rFonts w:asciiTheme="majorHAnsi" w:eastAsiaTheme="minorEastAsia" w:hAnsiTheme="majorHAnsi" w:cs="Verdana"/>
          <w:szCs w:val="20"/>
          <w:lang w:eastAsia="ja-JP"/>
        </w:rPr>
        <w:t xml:space="preserve">. The potential revenues derived from adding millions of </w:t>
      </w:r>
      <w:proofErr w:type="spellStart"/>
      <w:r w:rsidRPr="00FA11D8">
        <w:rPr>
          <w:rFonts w:asciiTheme="majorHAnsi" w:eastAsiaTheme="minorEastAsia" w:hAnsiTheme="majorHAnsi" w:cs="Verdana"/>
          <w:szCs w:val="20"/>
          <w:lang w:eastAsia="ja-JP"/>
        </w:rPr>
        <w:t>tonnes</w:t>
      </w:r>
      <w:proofErr w:type="spellEnd"/>
      <w:r w:rsidRPr="00FA11D8">
        <w:rPr>
          <w:rFonts w:asciiTheme="majorHAnsi" w:eastAsiaTheme="minorEastAsia" w:hAnsiTheme="majorHAnsi" w:cs="Verdana"/>
          <w:szCs w:val="20"/>
          <w:lang w:eastAsia="ja-JP"/>
        </w:rPr>
        <w:t xml:space="preserve"> of biomass to the production system are relatively easy to calculate; however, the message on the cost side of the equation is more subtle.</w:t>
      </w:r>
      <w:r w:rsidRPr="00FA11D8">
        <w:rPr>
          <w:rFonts w:asciiTheme="majorHAnsi" w:hAnsiTheme="majorHAnsi"/>
          <w:szCs w:val="20"/>
        </w:rPr>
        <w:t xml:space="preserve"> </w:t>
      </w:r>
      <w:r w:rsidRPr="00FA11D8">
        <w:rPr>
          <w:rFonts w:asciiTheme="majorHAnsi" w:eastAsiaTheme="minorEastAsia" w:hAnsiTheme="majorHAnsi" w:cs="Verdana"/>
          <w:szCs w:val="20"/>
          <w:lang w:eastAsia="ja-JP"/>
        </w:rPr>
        <w:t xml:space="preserve">In </w:t>
      </w:r>
      <w:r w:rsidR="006C4401">
        <w:rPr>
          <w:rFonts w:asciiTheme="majorHAnsi" w:eastAsiaTheme="minorEastAsia" w:hAnsiTheme="majorHAnsi" w:cs="Verdana"/>
          <w:szCs w:val="20"/>
          <w:lang w:eastAsia="ja-JP"/>
        </w:rPr>
        <w:t>the present study</w:t>
      </w:r>
      <w:r w:rsidRPr="00FA11D8">
        <w:rPr>
          <w:rFonts w:asciiTheme="majorHAnsi" w:eastAsiaTheme="minorEastAsia" w:hAnsiTheme="majorHAnsi" w:cs="Verdana"/>
          <w:szCs w:val="20"/>
          <w:lang w:eastAsia="ja-JP"/>
        </w:rPr>
        <w:t xml:space="preserve">, we assumed that the production of bioethanol, biochemicals and bioelectricity substitutes the use of crude oil for gasoline and chemicals, while for bioelectricity, pellets substitute is production of electricity from coal, natural gas or other RES. The most important determinant of the macro-economic benefits of the </w:t>
      </w:r>
      <w:r w:rsidR="005A2473">
        <w:rPr>
          <w:rFonts w:asciiTheme="majorHAnsi" w:eastAsiaTheme="minorEastAsia" w:hAnsiTheme="majorHAnsi" w:cs="Verdana"/>
          <w:szCs w:val="20"/>
          <w:lang w:eastAsia="ja-JP"/>
        </w:rPr>
        <w:t xml:space="preserve">bio-based products </w:t>
      </w:r>
      <w:r w:rsidRPr="00FA11D8">
        <w:rPr>
          <w:rFonts w:asciiTheme="majorHAnsi" w:eastAsiaTheme="minorEastAsia" w:hAnsiTheme="majorHAnsi" w:cs="Verdana"/>
          <w:szCs w:val="20"/>
          <w:lang w:eastAsia="ja-JP"/>
        </w:rPr>
        <w:t>is the difference between the costs of the bio-based products and the price of the fossil resource-based substitute. When the bio-based alternative is cheaper than its fossil substitute, a positive impact on GDP can be expected, and vice versa, when the bio-based alternative is more expensive than its fossil substitute, a negative impact on GDP can be expected.</w:t>
      </w:r>
      <w:r w:rsidR="00494448" w:rsidRPr="00FA11D8">
        <w:rPr>
          <w:rFonts w:asciiTheme="majorHAnsi" w:eastAsiaTheme="minorEastAsia" w:hAnsiTheme="majorHAnsi" w:cs="Verdana"/>
          <w:szCs w:val="20"/>
          <w:lang w:eastAsia="ja-JP"/>
        </w:rPr>
        <w:t xml:space="preserve"> Equilibrium models are designed precisely to model trade-offs such as the opportunity costs. By modelling an entire economy, the net benefits of a transition from a fossil resources-based economy to a bio-based economy can be determined. The GDP impact therefore depends very much on the rate of technological development and the biomass prices that influence the bio-based product and the relative price of the fossil resources-based substitute.</w:t>
      </w:r>
    </w:p>
    <w:p w14:paraId="2147D187" w14:textId="77777777" w:rsidR="00494448" w:rsidRPr="00FA11D8" w:rsidRDefault="00494448" w:rsidP="00FA11D8">
      <w:pPr>
        <w:autoSpaceDE w:val="0"/>
        <w:autoSpaceDN w:val="0"/>
        <w:adjustRightInd w:val="0"/>
        <w:rPr>
          <w:rFonts w:asciiTheme="majorHAnsi" w:eastAsiaTheme="minorEastAsia" w:hAnsiTheme="majorHAnsi" w:cs="Verdana"/>
          <w:szCs w:val="20"/>
          <w:lang w:eastAsia="ja-JP"/>
        </w:rPr>
      </w:pPr>
    </w:p>
    <w:p w14:paraId="45B8F2E9" w14:textId="77777777" w:rsidR="00494448" w:rsidRPr="00FA11D8" w:rsidRDefault="00494448" w:rsidP="00494448">
      <w:pPr>
        <w:autoSpaceDE w:val="0"/>
        <w:autoSpaceDN w:val="0"/>
        <w:adjustRightInd w:val="0"/>
        <w:rPr>
          <w:rFonts w:asciiTheme="majorHAnsi" w:eastAsiaTheme="minorEastAsia" w:hAnsiTheme="majorHAnsi" w:cs="Verdana"/>
          <w:szCs w:val="20"/>
          <w:lang w:eastAsia="ja-JP"/>
        </w:rPr>
      </w:pPr>
      <w:r w:rsidRPr="00FA11D8">
        <w:rPr>
          <w:rFonts w:asciiTheme="majorHAnsi" w:eastAsiaTheme="minorEastAsia" w:hAnsiTheme="majorHAnsi" w:cs="Verdana"/>
          <w:szCs w:val="20"/>
          <w:lang w:eastAsia="ja-JP"/>
        </w:rPr>
        <w:t>In the current situation, hardly any bio-based technologies are cost-competitive and can survive</w:t>
      </w:r>
    </w:p>
    <w:p w14:paraId="38F678E0" w14:textId="309A805E" w:rsidR="00494448" w:rsidRPr="00FA11D8" w:rsidRDefault="00494448" w:rsidP="00FA11D8">
      <w:pPr>
        <w:autoSpaceDE w:val="0"/>
        <w:autoSpaceDN w:val="0"/>
        <w:adjustRightInd w:val="0"/>
        <w:rPr>
          <w:rFonts w:asciiTheme="majorHAnsi" w:eastAsiaTheme="minorEastAsia" w:hAnsiTheme="majorHAnsi" w:cs="Verdana"/>
          <w:szCs w:val="20"/>
          <w:lang w:eastAsia="ja-JP"/>
        </w:rPr>
      </w:pPr>
      <w:r w:rsidRPr="00FA11D8">
        <w:rPr>
          <w:rFonts w:asciiTheme="majorHAnsi" w:eastAsiaTheme="minorEastAsia" w:hAnsiTheme="majorHAnsi" w:cs="Verdana"/>
          <w:szCs w:val="20"/>
          <w:lang w:eastAsia="ja-JP"/>
        </w:rPr>
        <w:t>without policies</w:t>
      </w:r>
      <w:r w:rsidR="00ED3401">
        <w:rPr>
          <w:rFonts w:asciiTheme="majorHAnsi" w:eastAsiaTheme="minorEastAsia" w:hAnsiTheme="majorHAnsi" w:cs="Verdana"/>
          <w:szCs w:val="20"/>
          <w:lang w:eastAsia="ja-JP"/>
        </w:rPr>
        <w:t xml:space="preserve"> (see also section </w:t>
      </w:r>
      <w:r w:rsidR="00ED3401">
        <w:rPr>
          <w:rFonts w:asciiTheme="majorHAnsi" w:eastAsiaTheme="minorEastAsia" w:hAnsiTheme="majorHAnsi" w:cs="Verdana"/>
          <w:szCs w:val="20"/>
          <w:lang w:eastAsia="ja-JP"/>
        </w:rPr>
        <w:fldChar w:fldCharType="begin"/>
      </w:r>
      <w:r w:rsidR="00ED3401">
        <w:rPr>
          <w:rFonts w:asciiTheme="majorHAnsi" w:eastAsiaTheme="minorEastAsia" w:hAnsiTheme="majorHAnsi" w:cs="Verdana"/>
          <w:szCs w:val="20"/>
          <w:lang w:eastAsia="ja-JP"/>
        </w:rPr>
        <w:instrText xml:space="preserve"> REF _Ref448410039 \r \h </w:instrText>
      </w:r>
      <w:r w:rsidR="00ED3401">
        <w:rPr>
          <w:rFonts w:asciiTheme="majorHAnsi" w:eastAsiaTheme="minorEastAsia" w:hAnsiTheme="majorHAnsi" w:cs="Verdana"/>
          <w:szCs w:val="20"/>
          <w:lang w:eastAsia="ja-JP"/>
        </w:rPr>
      </w:r>
      <w:r w:rsidR="00ED3401">
        <w:rPr>
          <w:rFonts w:asciiTheme="majorHAnsi" w:eastAsiaTheme="minorEastAsia" w:hAnsiTheme="majorHAnsi" w:cs="Verdana"/>
          <w:szCs w:val="20"/>
          <w:lang w:eastAsia="ja-JP"/>
        </w:rPr>
        <w:fldChar w:fldCharType="separate"/>
      </w:r>
      <w:r w:rsidR="00ED3401">
        <w:rPr>
          <w:rFonts w:asciiTheme="majorHAnsi" w:eastAsiaTheme="minorEastAsia" w:hAnsiTheme="majorHAnsi" w:cs="Verdana"/>
          <w:szCs w:val="20"/>
          <w:lang w:eastAsia="ja-JP"/>
        </w:rPr>
        <w:t>5.2</w:t>
      </w:r>
      <w:r w:rsidR="00ED3401">
        <w:rPr>
          <w:rFonts w:asciiTheme="majorHAnsi" w:eastAsiaTheme="minorEastAsia" w:hAnsiTheme="majorHAnsi" w:cs="Verdana"/>
          <w:szCs w:val="20"/>
          <w:lang w:eastAsia="ja-JP"/>
        </w:rPr>
        <w:fldChar w:fldCharType="end"/>
      </w:r>
      <w:r w:rsidR="00ED3401">
        <w:rPr>
          <w:rFonts w:asciiTheme="majorHAnsi" w:eastAsiaTheme="minorEastAsia" w:hAnsiTheme="majorHAnsi" w:cs="Verdana"/>
          <w:szCs w:val="20"/>
          <w:lang w:eastAsia="ja-JP"/>
        </w:rPr>
        <w:t>)</w:t>
      </w:r>
      <w:r w:rsidRPr="00FA11D8">
        <w:rPr>
          <w:rFonts w:asciiTheme="majorHAnsi" w:eastAsiaTheme="minorEastAsia" w:hAnsiTheme="majorHAnsi" w:cs="Verdana"/>
          <w:szCs w:val="20"/>
          <w:lang w:eastAsia="ja-JP"/>
        </w:rPr>
        <w:t xml:space="preserve">. </w:t>
      </w:r>
      <w:r w:rsidR="00ED3401">
        <w:rPr>
          <w:rFonts w:asciiTheme="majorHAnsi" w:eastAsiaTheme="minorEastAsia" w:hAnsiTheme="majorHAnsi" w:cs="Verdana"/>
          <w:szCs w:val="20"/>
          <w:lang w:eastAsia="ja-JP"/>
        </w:rPr>
        <w:t>Based on MARKAL-NL-UU outcomes</w:t>
      </w:r>
      <w:r w:rsidRPr="00FA11D8">
        <w:rPr>
          <w:rFonts w:asciiTheme="majorHAnsi" w:eastAsiaTheme="minorEastAsia" w:hAnsiTheme="majorHAnsi" w:cs="Verdana"/>
          <w:szCs w:val="20"/>
          <w:lang w:eastAsia="ja-JP"/>
        </w:rPr>
        <w:t xml:space="preserve"> technological change is expected to be limited in energy-related biomass technologies and therefore the impact on GDP is negative. The bottom-up studies conclude that technological change is expected to be high for second-generation biofuels and biochemicals (PLA, PE) and that they will be competitive with their fossil-based substitutes at the assumed oil price in 2030. These substitution effects will in general have a positive impact on GDP, and that is also what we see in this study. These effects are very </w:t>
      </w:r>
      <w:r w:rsidR="00282516" w:rsidRPr="00282516">
        <w:rPr>
          <w:rFonts w:asciiTheme="majorHAnsi" w:eastAsiaTheme="minorEastAsia" w:hAnsiTheme="majorHAnsi" w:cs="Verdana"/>
          <w:szCs w:val="20"/>
          <w:lang w:eastAsia="ja-JP"/>
        </w:rPr>
        <w:t>dependent on the fossil prices</w:t>
      </w:r>
      <w:r w:rsidR="00282516">
        <w:rPr>
          <w:rFonts w:asciiTheme="majorHAnsi" w:eastAsiaTheme="minorEastAsia" w:hAnsiTheme="majorHAnsi" w:cs="Verdana"/>
          <w:szCs w:val="20"/>
          <w:lang w:eastAsia="ja-JP"/>
        </w:rPr>
        <w:t xml:space="preserve"> and a sensitivity analysis is further required to demonstrate this.</w:t>
      </w:r>
    </w:p>
    <w:p w14:paraId="1BCA1F62" w14:textId="77777777" w:rsidR="00B32BB6" w:rsidRDefault="00B32BB6" w:rsidP="00FA11D8">
      <w:pPr>
        <w:autoSpaceDE w:val="0"/>
        <w:autoSpaceDN w:val="0"/>
        <w:adjustRightInd w:val="0"/>
        <w:rPr>
          <w:rFonts w:asciiTheme="majorHAnsi" w:eastAsiaTheme="minorEastAsia" w:hAnsiTheme="majorHAnsi" w:cs="Verdana"/>
          <w:szCs w:val="20"/>
          <w:lang w:eastAsia="ja-JP"/>
        </w:rPr>
      </w:pPr>
    </w:p>
    <w:p w14:paraId="190765E0" w14:textId="7189E3FF" w:rsidR="008F45CE" w:rsidRDefault="00494448" w:rsidP="00127AE7">
      <w:r w:rsidRPr="00FA11D8">
        <w:rPr>
          <w:rFonts w:asciiTheme="majorHAnsi" w:eastAsiaTheme="minorEastAsia" w:hAnsiTheme="majorHAnsi" w:cs="Verdana"/>
          <w:szCs w:val="20"/>
          <w:lang w:eastAsia="ja-JP"/>
        </w:rPr>
        <w:t xml:space="preserve">In this study, the GDP effects are quite small. In general the GDP impact is ‘benefit over its substitute’ times the cost share in the economy. First of all, we took the opportunity costs into account, and this makes effects smaller. Secondly, the new sectors are very small and this makes it hard to get a big impact on the overall economy even if technologies are very cost-competitive. A third reason is related to the </w:t>
      </w:r>
      <w:proofErr w:type="spellStart"/>
      <w:r w:rsidRPr="00FA11D8">
        <w:rPr>
          <w:rFonts w:asciiTheme="majorHAnsi" w:eastAsiaTheme="minorEastAsia" w:hAnsiTheme="majorHAnsi" w:cs="Verdana"/>
          <w:szCs w:val="20"/>
          <w:lang w:eastAsia="ja-JP"/>
        </w:rPr>
        <w:t>labour</w:t>
      </w:r>
      <w:proofErr w:type="spellEnd"/>
      <w:r w:rsidRPr="00FA11D8">
        <w:rPr>
          <w:rFonts w:asciiTheme="majorHAnsi" w:eastAsiaTheme="minorEastAsia" w:hAnsiTheme="majorHAnsi" w:cs="Verdana"/>
          <w:szCs w:val="20"/>
          <w:lang w:eastAsia="ja-JP"/>
        </w:rPr>
        <w:t xml:space="preserve"> market. </w:t>
      </w:r>
      <w:r w:rsidR="002515B9">
        <w:rPr>
          <w:rFonts w:eastAsiaTheme="minorEastAsia" w:cs="Verdana"/>
          <w:szCs w:val="20"/>
          <w:lang w:eastAsia="ja-JP"/>
        </w:rPr>
        <w:t>W</w:t>
      </w:r>
      <w:r w:rsidRPr="00FA11D8">
        <w:rPr>
          <w:rFonts w:ascii="Verdana" w:eastAsiaTheme="minorEastAsia" w:hAnsi="Verdana" w:cs="Verdana"/>
          <w:sz w:val="17"/>
          <w:szCs w:val="17"/>
          <w:lang w:eastAsia="ja-JP"/>
        </w:rPr>
        <w:t xml:space="preserve">e effectively assumed that the participation rate of the workforce remains unchanged, which at the same time is theoretically consistent with a medium to longer term assumption of a fixed ‘natural rate of unemployment’. This assumption implies that there are no short-term unemployed people who will enter the </w:t>
      </w:r>
      <w:proofErr w:type="spellStart"/>
      <w:r w:rsidRPr="00FA11D8">
        <w:rPr>
          <w:rFonts w:ascii="Verdana" w:eastAsiaTheme="minorEastAsia" w:hAnsi="Verdana" w:cs="Verdana"/>
          <w:sz w:val="17"/>
          <w:szCs w:val="17"/>
          <w:lang w:eastAsia="ja-JP"/>
        </w:rPr>
        <w:t>labour</w:t>
      </w:r>
      <w:proofErr w:type="spellEnd"/>
      <w:r w:rsidRPr="00FA11D8">
        <w:rPr>
          <w:rFonts w:ascii="Verdana" w:eastAsiaTheme="minorEastAsia" w:hAnsi="Verdana" w:cs="Verdana"/>
          <w:sz w:val="17"/>
          <w:szCs w:val="17"/>
          <w:lang w:eastAsia="ja-JP"/>
        </w:rPr>
        <w:t xml:space="preserve"> market in </w:t>
      </w:r>
      <w:r w:rsidR="002F2A0D">
        <w:rPr>
          <w:rFonts w:eastAsiaTheme="minorEastAsia" w:cs="Verdana"/>
          <w:szCs w:val="20"/>
          <w:lang w:eastAsia="ja-JP"/>
        </w:rPr>
        <w:t>the present</w:t>
      </w:r>
      <w:r w:rsidRPr="00FA11D8">
        <w:rPr>
          <w:rFonts w:asciiTheme="majorHAnsi" w:eastAsiaTheme="minorEastAsia" w:hAnsiTheme="majorHAnsi" w:cs="Verdana"/>
          <w:szCs w:val="20"/>
          <w:lang w:eastAsia="ja-JP"/>
        </w:rPr>
        <w:t>. Reducing unemployment would have led to higher GDP effects as opportunity costs are zero. It is important to realize that behind this small GDP growth figure, a relatively large transition from fossil resources-based technologies to biomass-based resources takes place. This implies the largescale substitution of fossil fuels by bio-based alternatives in the petrol/biomass refinery, electricity and chemical industries, leading to all kinds of ‘bottlenecks’ as capital has to be attracted and built up, people have to be attracted and educated, infrastructure has to be built, export markets have to be developed, and technologies have to be invented and diffused within the sectors.</w:t>
      </w:r>
    </w:p>
    <w:p w14:paraId="6B5F5D8F" w14:textId="252EA8AB" w:rsidR="008F45CE" w:rsidRDefault="008F45CE" w:rsidP="00FA11D8">
      <w:pPr>
        <w:pStyle w:val="Heading2"/>
        <w:numPr>
          <w:ilvl w:val="0"/>
          <w:numId w:val="25"/>
        </w:numPr>
        <w:ind w:left="284" w:hanging="284"/>
      </w:pPr>
      <w:r>
        <w:t>Conclusions</w:t>
      </w:r>
    </w:p>
    <w:p w14:paraId="5A899D72" w14:textId="50BAC769" w:rsidR="00127AE7" w:rsidRDefault="00127AE7" w:rsidP="00127AE7">
      <w:r>
        <w:t xml:space="preserve">We extended an existing </w:t>
      </w:r>
      <w:r w:rsidR="009538F8">
        <w:t xml:space="preserve">macro-economic </w:t>
      </w:r>
      <w:r>
        <w:t xml:space="preserve">model </w:t>
      </w:r>
      <w:r w:rsidR="00636269">
        <w:t>that</w:t>
      </w:r>
      <w:r>
        <w:t xml:space="preserve"> is able to connect bioeconomy sectors with the rest of the economy that captures the competition with other sectors to fulfill consumer demand and with production factor markets. The model covers the complete value chain, from biomass to consumer goods, taking intermediate deliveries into account. As a global CGE model it ensure</w:t>
      </w:r>
      <w:r w:rsidR="009538F8">
        <w:t>s</w:t>
      </w:r>
      <w:r>
        <w:t xml:space="preserve"> that incomes and expenditures are balanced and </w:t>
      </w:r>
      <w:r w:rsidR="009538F8">
        <w:t>the Netherlands</w:t>
      </w:r>
      <w:r>
        <w:t xml:space="preserve"> connected with other EU countries and the rest of the world via bilateral trade flows.</w:t>
      </w:r>
    </w:p>
    <w:p w14:paraId="3FEE3A94" w14:textId="340EA220" w:rsidR="001855E1" w:rsidRDefault="001855E1" w:rsidP="00FA11D8">
      <w:pPr>
        <w:pStyle w:val="Heading3"/>
        <w:numPr>
          <w:ilvl w:val="1"/>
          <w:numId w:val="25"/>
        </w:numPr>
        <w:ind w:left="426" w:hanging="426"/>
      </w:pPr>
      <w:r>
        <w:t>Summary of macro-economic outcomes</w:t>
      </w:r>
    </w:p>
    <w:p w14:paraId="1C11DA87" w14:textId="77777777" w:rsidR="008D27C8" w:rsidRPr="00FA11D8" w:rsidRDefault="008D27C8" w:rsidP="008D27C8">
      <w:pPr>
        <w:rPr>
          <w:rFonts w:asciiTheme="majorHAnsi" w:hAnsiTheme="majorHAnsi"/>
          <w:b/>
          <w:szCs w:val="20"/>
        </w:rPr>
      </w:pPr>
      <w:r w:rsidRPr="00FA11D8">
        <w:rPr>
          <w:rFonts w:asciiTheme="majorHAnsi" w:hAnsiTheme="majorHAnsi"/>
          <w:b/>
          <w:szCs w:val="20"/>
        </w:rPr>
        <w:t>GDP effects</w:t>
      </w:r>
    </w:p>
    <w:p w14:paraId="4990A87C" w14:textId="77777777" w:rsidR="00552EC1" w:rsidRPr="00FA11D8" w:rsidRDefault="008D27C8" w:rsidP="00FA11D8">
      <w:pPr>
        <w:pStyle w:val="ListParagraph"/>
        <w:numPr>
          <w:ilvl w:val="0"/>
          <w:numId w:val="14"/>
        </w:numPr>
        <w:rPr>
          <w:rFonts w:asciiTheme="majorHAnsi" w:hAnsiTheme="majorHAnsi"/>
          <w:szCs w:val="20"/>
        </w:rPr>
      </w:pPr>
      <w:r w:rsidRPr="00FA11D8">
        <w:rPr>
          <w:rFonts w:asciiTheme="majorHAnsi" w:hAnsiTheme="majorHAnsi"/>
          <w:szCs w:val="20"/>
        </w:rPr>
        <w:t xml:space="preserve">The GDP effects can be positive or negative relative to a </w:t>
      </w:r>
      <w:proofErr w:type="spellStart"/>
      <w:r w:rsidRPr="00FA11D8">
        <w:rPr>
          <w:rFonts w:asciiTheme="majorHAnsi" w:hAnsiTheme="majorHAnsi"/>
          <w:szCs w:val="20"/>
        </w:rPr>
        <w:t>NoBioBased</w:t>
      </w:r>
      <w:proofErr w:type="spellEnd"/>
      <w:r w:rsidRPr="00FA11D8">
        <w:rPr>
          <w:rFonts w:asciiTheme="majorHAnsi" w:hAnsiTheme="majorHAnsi"/>
          <w:szCs w:val="20"/>
        </w:rPr>
        <w:t xml:space="preserve"> scenario. In the </w:t>
      </w:r>
      <w:proofErr w:type="spellStart"/>
      <w:r w:rsidRPr="00FA11D8">
        <w:rPr>
          <w:rFonts w:asciiTheme="majorHAnsi" w:hAnsiTheme="majorHAnsi"/>
          <w:szCs w:val="20"/>
        </w:rPr>
        <w:t>GlobHighTech</w:t>
      </w:r>
      <w:proofErr w:type="spellEnd"/>
      <w:r w:rsidR="00552EC1" w:rsidRPr="00FA11D8">
        <w:rPr>
          <w:rFonts w:asciiTheme="majorHAnsi" w:hAnsiTheme="majorHAnsi"/>
          <w:szCs w:val="20"/>
        </w:rPr>
        <w:t xml:space="preserve"> </w:t>
      </w:r>
      <w:r w:rsidRPr="00FA11D8">
        <w:rPr>
          <w:rFonts w:asciiTheme="majorHAnsi" w:hAnsiTheme="majorHAnsi"/>
          <w:szCs w:val="20"/>
        </w:rPr>
        <w:t>scenario, a high speed of technological change and global open markets result in the highest GDP</w:t>
      </w:r>
      <w:r w:rsidR="00552EC1" w:rsidRPr="00FA11D8">
        <w:rPr>
          <w:rFonts w:asciiTheme="majorHAnsi" w:hAnsiTheme="majorHAnsi"/>
          <w:szCs w:val="20"/>
        </w:rPr>
        <w:t xml:space="preserve"> </w:t>
      </w:r>
      <w:r w:rsidRPr="00FA11D8">
        <w:rPr>
          <w:rFonts w:asciiTheme="majorHAnsi" w:hAnsiTheme="majorHAnsi"/>
          <w:szCs w:val="20"/>
        </w:rPr>
        <w:t xml:space="preserve">value. The </w:t>
      </w:r>
      <w:proofErr w:type="spellStart"/>
      <w:r w:rsidRPr="00FA11D8">
        <w:rPr>
          <w:rFonts w:asciiTheme="majorHAnsi" w:hAnsiTheme="majorHAnsi"/>
          <w:szCs w:val="20"/>
        </w:rPr>
        <w:t>RegLowTech</w:t>
      </w:r>
      <w:proofErr w:type="spellEnd"/>
      <w:r w:rsidRPr="00FA11D8">
        <w:rPr>
          <w:rFonts w:asciiTheme="majorHAnsi" w:hAnsiTheme="majorHAnsi"/>
          <w:szCs w:val="20"/>
        </w:rPr>
        <w:t xml:space="preserve"> scenario, which has low technological change and regional EU markets,</w:t>
      </w:r>
      <w:r w:rsidR="00552EC1" w:rsidRPr="00FA11D8">
        <w:rPr>
          <w:rFonts w:asciiTheme="majorHAnsi" w:hAnsiTheme="majorHAnsi"/>
          <w:szCs w:val="20"/>
        </w:rPr>
        <w:t xml:space="preserve"> </w:t>
      </w:r>
      <w:r w:rsidRPr="00FA11D8">
        <w:rPr>
          <w:rFonts w:asciiTheme="majorHAnsi" w:hAnsiTheme="majorHAnsi"/>
          <w:szCs w:val="20"/>
        </w:rPr>
        <w:t>results in the lowest GDP value in 2030. The GDP difference between the two scenarios is about</w:t>
      </w:r>
      <w:r w:rsidR="00552EC1" w:rsidRPr="00FA11D8">
        <w:rPr>
          <w:rFonts w:asciiTheme="majorHAnsi" w:hAnsiTheme="majorHAnsi"/>
          <w:szCs w:val="20"/>
        </w:rPr>
        <w:t xml:space="preserve"> </w:t>
      </w:r>
      <w:r w:rsidRPr="00FA11D8">
        <w:rPr>
          <w:rFonts w:asciiTheme="majorHAnsi" w:hAnsiTheme="majorHAnsi"/>
          <w:szCs w:val="20"/>
        </w:rPr>
        <w:t>€1,050m or 0.12% of GDP of the Netherlands.</w:t>
      </w:r>
    </w:p>
    <w:p w14:paraId="55DA427A" w14:textId="77777777" w:rsidR="00552EC1" w:rsidRPr="00FA11D8" w:rsidRDefault="008D27C8" w:rsidP="00FA11D8">
      <w:pPr>
        <w:pStyle w:val="ListParagraph"/>
        <w:numPr>
          <w:ilvl w:val="0"/>
          <w:numId w:val="14"/>
        </w:numPr>
        <w:rPr>
          <w:rFonts w:asciiTheme="majorHAnsi" w:hAnsiTheme="majorHAnsi"/>
          <w:szCs w:val="20"/>
        </w:rPr>
      </w:pPr>
      <w:r w:rsidRPr="00FA11D8">
        <w:rPr>
          <w:rFonts w:asciiTheme="majorHAnsi" w:hAnsiTheme="majorHAnsi"/>
          <w:szCs w:val="20"/>
        </w:rPr>
        <w:t xml:space="preserve">A €0.2bn negative GDP effect occurs in the regional </w:t>
      </w:r>
      <w:proofErr w:type="spellStart"/>
      <w:r w:rsidRPr="00FA11D8">
        <w:rPr>
          <w:rFonts w:asciiTheme="majorHAnsi" w:hAnsiTheme="majorHAnsi"/>
          <w:szCs w:val="20"/>
        </w:rPr>
        <w:t>LowTech</w:t>
      </w:r>
      <w:proofErr w:type="spellEnd"/>
      <w:r w:rsidRPr="00FA11D8">
        <w:rPr>
          <w:rFonts w:asciiTheme="majorHAnsi" w:hAnsiTheme="majorHAnsi"/>
          <w:szCs w:val="20"/>
        </w:rPr>
        <w:t xml:space="preserve"> scenario (compared to a </w:t>
      </w:r>
      <w:proofErr w:type="spellStart"/>
      <w:r w:rsidRPr="00FA11D8">
        <w:rPr>
          <w:rFonts w:asciiTheme="majorHAnsi" w:hAnsiTheme="majorHAnsi"/>
          <w:szCs w:val="20"/>
        </w:rPr>
        <w:t>NoBioBased</w:t>
      </w:r>
      <w:proofErr w:type="spellEnd"/>
      <w:r w:rsidR="00552EC1" w:rsidRPr="00FA11D8">
        <w:rPr>
          <w:rFonts w:asciiTheme="majorHAnsi" w:hAnsiTheme="majorHAnsi"/>
          <w:szCs w:val="20"/>
        </w:rPr>
        <w:t xml:space="preserve"> </w:t>
      </w:r>
      <w:r w:rsidRPr="00FA11D8">
        <w:rPr>
          <w:rFonts w:asciiTheme="majorHAnsi" w:hAnsiTheme="majorHAnsi"/>
          <w:szCs w:val="20"/>
        </w:rPr>
        <w:t>scenario). This is the result of renewable energy policies that require the use of bio-based</w:t>
      </w:r>
      <w:r w:rsidR="00552EC1" w:rsidRPr="00FA11D8">
        <w:rPr>
          <w:rFonts w:asciiTheme="majorHAnsi" w:hAnsiTheme="majorHAnsi"/>
          <w:szCs w:val="20"/>
        </w:rPr>
        <w:t xml:space="preserve"> </w:t>
      </w:r>
      <w:r w:rsidRPr="00FA11D8">
        <w:rPr>
          <w:rFonts w:asciiTheme="majorHAnsi" w:hAnsiTheme="majorHAnsi"/>
          <w:szCs w:val="20"/>
        </w:rPr>
        <w:t>technologies that are not competitive.</w:t>
      </w:r>
    </w:p>
    <w:p w14:paraId="2F2543A6" w14:textId="77777777" w:rsidR="00552EC1" w:rsidRPr="00FA11D8" w:rsidRDefault="008D27C8" w:rsidP="00FA11D8">
      <w:pPr>
        <w:pStyle w:val="ListParagraph"/>
        <w:numPr>
          <w:ilvl w:val="0"/>
          <w:numId w:val="14"/>
        </w:numPr>
        <w:rPr>
          <w:rFonts w:asciiTheme="majorHAnsi" w:hAnsiTheme="majorHAnsi"/>
          <w:szCs w:val="20"/>
        </w:rPr>
      </w:pPr>
      <w:r w:rsidRPr="00FA11D8">
        <w:rPr>
          <w:rFonts w:asciiTheme="majorHAnsi" w:hAnsiTheme="majorHAnsi"/>
          <w:szCs w:val="20"/>
        </w:rPr>
        <w:t>Higher technical change adds €350m to GDP when global biomass trade is assumed (difference</w:t>
      </w:r>
      <w:r w:rsidR="00552EC1" w:rsidRPr="00FA11D8">
        <w:rPr>
          <w:rFonts w:asciiTheme="majorHAnsi" w:hAnsiTheme="majorHAnsi"/>
          <w:szCs w:val="20"/>
        </w:rPr>
        <w:t xml:space="preserve"> </w:t>
      </w:r>
      <w:r w:rsidRPr="00FA11D8">
        <w:rPr>
          <w:rFonts w:asciiTheme="majorHAnsi" w:hAnsiTheme="majorHAnsi"/>
          <w:szCs w:val="20"/>
        </w:rPr>
        <w:t xml:space="preserve">between </w:t>
      </w:r>
      <w:proofErr w:type="spellStart"/>
      <w:r w:rsidRPr="00FA11D8">
        <w:rPr>
          <w:rFonts w:asciiTheme="majorHAnsi" w:hAnsiTheme="majorHAnsi"/>
          <w:szCs w:val="20"/>
        </w:rPr>
        <w:t>GlobHighTech</w:t>
      </w:r>
      <w:proofErr w:type="spellEnd"/>
      <w:r w:rsidRPr="00FA11D8">
        <w:rPr>
          <w:rFonts w:asciiTheme="majorHAnsi" w:hAnsiTheme="majorHAnsi"/>
          <w:szCs w:val="20"/>
        </w:rPr>
        <w:t xml:space="preserve"> and </w:t>
      </w:r>
      <w:proofErr w:type="spellStart"/>
      <w:r w:rsidRPr="00FA11D8">
        <w:rPr>
          <w:rFonts w:asciiTheme="majorHAnsi" w:hAnsiTheme="majorHAnsi"/>
          <w:szCs w:val="20"/>
        </w:rPr>
        <w:t>GlobLowTech</w:t>
      </w:r>
      <w:proofErr w:type="spellEnd"/>
      <w:r w:rsidRPr="00FA11D8">
        <w:rPr>
          <w:rFonts w:asciiTheme="majorHAnsi" w:hAnsiTheme="majorHAnsi"/>
          <w:szCs w:val="20"/>
        </w:rPr>
        <w:t>) and about €750m if biomass is sourced from within the</w:t>
      </w:r>
      <w:r w:rsidR="00552EC1" w:rsidRPr="00FA11D8">
        <w:rPr>
          <w:rFonts w:asciiTheme="majorHAnsi" w:hAnsiTheme="majorHAnsi"/>
          <w:szCs w:val="20"/>
        </w:rPr>
        <w:t xml:space="preserve"> </w:t>
      </w:r>
      <w:r w:rsidRPr="00FA11D8">
        <w:rPr>
          <w:rFonts w:asciiTheme="majorHAnsi" w:hAnsiTheme="majorHAnsi"/>
          <w:szCs w:val="20"/>
        </w:rPr>
        <w:t>EU.</w:t>
      </w:r>
    </w:p>
    <w:p w14:paraId="0D06A11C" w14:textId="19B2057E" w:rsidR="008D27C8" w:rsidRPr="00FA11D8" w:rsidRDefault="008D27C8" w:rsidP="00FA11D8">
      <w:pPr>
        <w:pStyle w:val="ListParagraph"/>
        <w:numPr>
          <w:ilvl w:val="0"/>
          <w:numId w:val="14"/>
        </w:numPr>
        <w:rPr>
          <w:rFonts w:asciiTheme="majorHAnsi" w:hAnsiTheme="majorHAnsi"/>
          <w:szCs w:val="20"/>
        </w:rPr>
      </w:pPr>
      <w:r w:rsidRPr="00FA11D8">
        <w:rPr>
          <w:rFonts w:asciiTheme="majorHAnsi" w:hAnsiTheme="majorHAnsi"/>
          <w:szCs w:val="20"/>
        </w:rPr>
        <w:t xml:space="preserve">The global dimension adds almost €700m to GDP in the </w:t>
      </w:r>
      <w:proofErr w:type="spellStart"/>
      <w:r w:rsidRPr="00FA11D8">
        <w:rPr>
          <w:rFonts w:asciiTheme="majorHAnsi" w:hAnsiTheme="majorHAnsi"/>
          <w:szCs w:val="20"/>
        </w:rPr>
        <w:t>LowTech</w:t>
      </w:r>
      <w:proofErr w:type="spellEnd"/>
      <w:r w:rsidRPr="00FA11D8">
        <w:rPr>
          <w:rFonts w:asciiTheme="majorHAnsi" w:hAnsiTheme="majorHAnsi"/>
          <w:szCs w:val="20"/>
        </w:rPr>
        <w:t xml:space="preserve"> situation (difference between</w:t>
      </w:r>
      <w:r w:rsidR="00552EC1" w:rsidRPr="00FA11D8">
        <w:rPr>
          <w:rFonts w:asciiTheme="majorHAnsi" w:hAnsiTheme="majorHAnsi"/>
          <w:szCs w:val="20"/>
        </w:rPr>
        <w:t xml:space="preserve"> </w:t>
      </w:r>
      <w:proofErr w:type="spellStart"/>
      <w:r w:rsidRPr="00FA11D8">
        <w:rPr>
          <w:rFonts w:asciiTheme="majorHAnsi" w:hAnsiTheme="majorHAnsi"/>
          <w:szCs w:val="20"/>
        </w:rPr>
        <w:t>GlobLowTech</w:t>
      </w:r>
      <w:proofErr w:type="spellEnd"/>
      <w:r w:rsidRPr="00FA11D8">
        <w:rPr>
          <w:rFonts w:asciiTheme="majorHAnsi" w:hAnsiTheme="majorHAnsi"/>
          <w:szCs w:val="20"/>
        </w:rPr>
        <w:t xml:space="preserve"> and </w:t>
      </w:r>
      <w:proofErr w:type="spellStart"/>
      <w:r w:rsidRPr="00FA11D8">
        <w:rPr>
          <w:rFonts w:asciiTheme="majorHAnsi" w:hAnsiTheme="majorHAnsi"/>
          <w:szCs w:val="20"/>
        </w:rPr>
        <w:t>RegLowTech</w:t>
      </w:r>
      <w:proofErr w:type="spellEnd"/>
      <w:r w:rsidRPr="00FA11D8">
        <w:rPr>
          <w:rFonts w:asciiTheme="majorHAnsi" w:hAnsiTheme="majorHAnsi"/>
          <w:szCs w:val="20"/>
        </w:rPr>
        <w:t xml:space="preserve">) and almost €300m in the </w:t>
      </w:r>
      <w:proofErr w:type="spellStart"/>
      <w:r w:rsidRPr="00FA11D8">
        <w:rPr>
          <w:rFonts w:asciiTheme="majorHAnsi" w:hAnsiTheme="majorHAnsi"/>
          <w:szCs w:val="20"/>
        </w:rPr>
        <w:t>HighTech</w:t>
      </w:r>
      <w:proofErr w:type="spellEnd"/>
      <w:r w:rsidRPr="00FA11D8">
        <w:rPr>
          <w:rFonts w:asciiTheme="majorHAnsi" w:hAnsiTheme="majorHAnsi"/>
          <w:szCs w:val="20"/>
        </w:rPr>
        <w:t xml:space="preserve"> situation (difference between</w:t>
      </w:r>
      <w:r w:rsidR="00552EC1" w:rsidRPr="00FA11D8">
        <w:rPr>
          <w:rFonts w:asciiTheme="majorHAnsi" w:hAnsiTheme="majorHAnsi"/>
          <w:szCs w:val="20"/>
        </w:rPr>
        <w:t xml:space="preserve"> </w:t>
      </w:r>
      <w:proofErr w:type="spellStart"/>
      <w:r w:rsidRPr="00FA11D8">
        <w:rPr>
          <w:rFonts w:asciiTheme="majorHAnsi" w:hAnsiTheme="majorHAnsi"/>
          <w:szCs w:val="20"/>
        </w:rPr>
        <w:t>GlobHighTech</w:t>
      </w:r>
      <w:proofErr w:type="spellEnd"/>
      <w:r w:rsidRPr="00FA11D8">
        <w:rPr>
          <w:rFonts w:asciiTheme="majorHAnsi" w:hAnsiTheme="majorHAnsi"/>
          <w:szCs w:val="20"/>
        </w:rPr>
        <w:t xml:space="preserve"> and </w:t>
      </w:r>
      <w:proofErr w:type="spellStart"/>
      <w:r w:rsidRPr="00FA11D8">
        <w:rPr>
          <w:rFonts w:asciiTheme="majorHAnsi" w:hAnsiTheme="majorHAnsi"/>
          <w:szCs w:val="20"/>
        </w:rPr>
        <w:t>RegHighTech</w:t>
      </w:r>
      <w:proofErr w:type="spellEnd"/>
      <w:r w:rsidRPr="00FA11D8">
        <w:rPr>
          <w:rFonts w:asciiTheme="majorHAnsi" w:hAnsiTheme="majorHAnsi"/>
          <w:szCs w:val="20"/>
        </w:rPr>
        <w:t>).</w:t>
      </w:r>
    </w:p>
    <w:p w14:paraId="4C5BB0A8" w14:textId="5128E3A7" w:rsidR="008D27C8" w:rsidRPr="00FA11D8" w:rsidRDefault="008D27C8" w:rsidP="00FA11D8">
      <w:pPr>
        <w:pStyle w:val="ListParagraph"/>
        <w:numPr>
          <w:ilvl w:val="0"/>
          <w:numId w:val="14"/>
        </w:numPr>
        <w:autoSpaceDE w:val="0"/>
        <w:autoSpaceDN w:val="0"/>
        <w:adjustRightInd w:val="0"/>
        <w:rPr>
          <w:rFonts w:asciiTheme="majorHAnsi" w:hAnsiTheme="majorHAnsi"/>
          <w:szCs w:val="20"/>
        </w:rPr>
      </w:pPr>
      <w:r w:rsidRPr="00FA11D8">
        <w:rPr>
          <w:rFonts w:asciiTheme="majorHAnsi" w:eastAsiaTheme="minorEastAsia" w:hAnsiTheme="majorHAnsi" w:cs="Verdana"/>
          <w:szCs w:val="20"/>
          <w:lang w:eastAsia="ja-JP"/>
        </w:rPr>
        <w:t xml:space="preserve">Relative to the negative GDP effect in the </w:t>
      </w:r>
      <w:proofErr w:type="spellStart"/>
      <w:r w:rsidRPr="00FA11D8">
        <w:rPr>
          <w:rFonts w:asciiTheme="majorHAnsi" w:eastAsiaTheme="minorEastAsia" w:hAnsiTheme="majorHAnsi" w:cs="Verdana"/>
          <w:szCs w:val="20"/>
          <w:lang w:eastAsia="ja-JP"/>
        </w:rPr>
        <w:t>RegLowTech</w:t>
      </w:r>
      <w:proofErr w:type="spellEnd"/>
      <w:r w:rsidRPr="00FA11D8">
        <w:rPr>
          <w:rFonts w:asciiTheme="majorHAnsi" w:eastAsiaTheme="minorEastAsia" w:hAnsiTheme="majorHAnsi" w:cs="Verdana"/>
          <w:szCs w:val="20"/>
          <w:lang w:eastAsia="ja-JP"/>
        </w:rPr>
        <w:t xml:space="preserve"> scenario, opening up markets or investing in tech change induces a positive GDP effect; that is, the overall GDP effect becomes positive. Combining high technical change and open markets leads the highest positive GDP effect.</w:t>
      </w:r>
    </w:p>
    <w:p w14:paraId="50EB2912" w14:textId="77777777" w:rsidR="008D27C8" w:rsidRPr="00FA11D8" w:rsidRDefault="008D27C8" w:rsidP="00127AE7">
      <w:pPr>
        <w:rPr>
          <w:rFonts w:asciiTheme="majorHAnsi" w:hAnsiTheme="majorHAnsi"/>
          <w:szCs w:val="20"/>
        </w:rPr>
      </w:pPr>
    </w:p>
    <w:p w14:paraId="258A9CF6" w14:textId="77777777" w:rsidR="008D27C8" w:rsidRPr="00FA11D8" w:rsidRDefault="008D27C8" w:rsidP="008D27C8">
      <w:pPr>
        <w:autoSpaceDE w:val="0"/>
        <w:autoSpaceDN w:val="0"/>
        <w:adjustRightInd w:val="0"/>
        <w:rPr>
          <w:rFonts w:asciiTheme="majorHAnsi" w:eastAsiaTheme="minorEastAsia" w:hAnsiTheme="majorHAnsi" w:cs="Verdana-Italic"/>
          <w:b/>
          <w:iCs/>
          <w:szCs w:val="20"/>
          <w:lang w:eastAsia="ja-JP"/>
        </w:rPr>
      </w:pPr>
      <w:r w:rsidRPr="00FA11D8">
        <w:rPr>
          <w:rFonts w:asciiTheme="majorHAnsi" w:eastAsiaTheme="minorEastAsia" w:hAnsiTheme="majorHAnsi" w:cs="Verdana-Italic"/>
          <w:b/>
          <w:iCs/>
          <w:szCs w:val="20"/>
          <w:lang w:eastAsia="ja-JP"/>
        </w:rPr>
        <w:t>Added value</w:t>
      </w:r>
    </w:p>
    <w:p w14:paraId="431025E5" w14:textId="77777777" w:rsidR="00552EC1" w:rsidRPr="00FA11D8" w:rsidRDefault="008D27C8" w:rsidP="00FA11D8">
      <w:pPr>
        <w:pStyle w:val="ListParagraph"/>
        <w:numPr>
          <w:ilvl w:val="0"/>
          <w:numId w:val="33"/>
        </w:numPr>
        <w:autoSpaceDE w:val="0"/>
        <w:autoSpaceDN w:val="0"/>
        <w:adjustRightInd w:val="0"/>
        <w:rPr>
          <w:rFonts w:asciiTheme="majorHAnsi" w:eastAsiaTheme="minorEastAsia" w:hAnsiTheme="majorHAnsi" w:cs="Verdana"/>
          <w:szCs w:val="20"/>
          <w:lang w:eastAsia="ja-JP"/>
        </w:rPr>
      </w:pPr>
      <w:r w:rsidRPr="00FA11D8">
        <w:rPr>
          <w:rFonts w:asciiTheme="majorHAnsi" w:eastAsiaTheme="minorEastAsia" w:hAnsiTheme="majorHAnsi" w:cs="Verdana"/>
          <w:szCs w:val="20"/>
          <w:lang w:eastAsia="ja-JP"/>
        </w:rPr>
        <w:t>The bioeconomy has a positive impact on the value added of the Dutch economy. Relative to a</w:t>
      </w:r>
      <w:r w:rsidR="00552EC1" w:rsidRPr="00FA11D8">
        <w:rPr>
          <w:rFonts w:asciiTheme="majorHAnsi" w:eastAsiaTheme="minorEastAsia" w:hAnsiTheme="majorHAnsi" w:cs="Verdana"/>
          <w:szCs w:val="20"/>
          <w:lang w:eastAsia="ja-JP"/>
        </w:rPr>
        <w:t xml:space="preserve"> </w:t>
      </w:r>
      <w:proofErr w:type="spellStart"/>
      <w:r w:rsidRPr="00FA11D8">
        <w:rPr>
          <w:rFonts w:asciiTheme="majorHAnsi" w:eastAsiaTheme="minorEastAsia" w:hAnsiTheme="majorHAnsi" w:cs="Verdana"/>
          <w:szCs w:val="20"/>
          <w:lang w:eastAsia="ja-JP"/>
        </w:rPr>
        <w:t>NoBioBased</w:t>
      </w:r>
      <w:proofErr w:type="spellEnd"/>
      <w:r w:rsidRPr="00FA11D8">
        <w:rPr>
          <w:rFonts w:asciiTheme="majorHAnsi" w:eastAsiaTheme="minorEastAsia" w:hAnsiTheme="majorHAnsi" w:cs="Verdana"/>
          <w:szCs w:val="20"/>
          <w:lang w:eastAsia="ja-JP"/>
        </w:rPr>
        <w:t xml:space="preserve"> scenario, the bioeconomy sectors contribute €580m in the case of a </w:t>
      </w:r>
      <w:proofErr w:type="spellStart"/>
      <w:r w:rsidRPr="00FA11D8">
        <w:rPr>
          <w:rFonts w:asciiTheme="majorHAnsi" w:eastAsiaTheme="minorEastAsia" w:hAnsiTheme="majorHAnsi" w:cs="Verdana"/>
          <w:szCs w:val="20"/>
          <w:lang w:eastAsia="ja-JP"/>
        </w:rPr>
        <w:t>LowTech</w:t>
      </w:r>
      <w:proofErr w:type="spellEnd"/>
      <w:r w:rsidRPr="00FA11D8">
        <w:rPr>
          <w:rFonts w:asciiTheme="majorHAnsi" w:eastAsiaTheme="minorEastAsia" w:hAnsiTheme="majorHAnsi" w:cs="Verdana"/>
          <w:szCs w:val="20"/>
          <w:lang w:eastAsia="ja-JP"/>
        </w:rPr>
        <w:t xml:space="preserve"> scenario</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 xml:space="preserve">and almost €800m in the case of a </w:t>
      </w:r>
      <w:proofErr w:type="spellStart"/>
      <w:r w:rsidRPr="00FA11D8">
        <w:rPr>
          <w:rFonts w:asciiTheme="majorHAnsi" w:eastAsiaTheme="minorEastAsia" w:hAnsiTheme="majorHAnsi" w:cs="Verdana"/>
          <w:szCs w:val="20"/>
          <w:lang w:eastAsia="ja-JP"/>
        </w:rPr>
        <w:t>HighTech</w:t>
      </w:r>
      <w:proofErr w:type="spellEnd"/>
      <w:r w:rsidRPr="00FA11D8">
        <w:rPr>
          <w:rFonts w:asciiTheme="majorHAnsi" w:eastAsiaTheme="minorEastAsia" w:hAnsiTheme="majorHAnsi" w:cs="Verdana"/>
          <w:szCs w:val="20"/>
          <w:lang w:eastAsia="ja-JP"/>
        </w:rPr>
        <w:t xml:space="preserve"> scenario.</w:t>
      </w:r>
    </w:p>
    <w:p w14:paraId="69E8E95F" w14:textId="77777777" w:rsidR="00552EC1" w:rsidRPr="00FA11D8" w:rsidRDefault="008D27C8" w:rsidP="00FA11D8">
      <w:pPr>
        <w:pStyle w:val="ListParagraph"/>
        <w:numPr>
          <w:ilvl w:val="0"/>
          <w:numId w:val="33"/>
        </w:numPr>
        <w:autoSpaceDE w:val="0"/>
        <w:autoSpaceDN w:val="0"/>
        <w:adjustRightInd w:val="0"/>
        <w:rPr>
          <w:rFonts w:asciiTheme="majorHAnsi" w:eastAsiaTheme="minorEastAsia" w:hAnsiTheme="majorHAnsi" w:cs="Verdana"/>
          <w:szCs w:val="20"/>
          <w:lang w:eastAsia="ja-JP"/>
        </w:rPr>
      </w:pPr>
      <w:r w:rsidRPr="00FA11D8">
        <w:rPr>
          <w:rFonts w:asciiTheme="majorHAnsi" w:eastAsiaTheme="minorEastAsia" w:hAnsiTheme="majorHAnsi" w:cs="Verdana"/>
          <w:szCs w:val="20"/>
          <w:lang w:eastAsia="ja-JP"/>
        </w:rPr>
        <w:t>Within the bioeconomy, agriculture is a key sector in terms of value added. The value added of</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 xml:space="preserve">agriculture decreases slightly (by €160m) between 2015 and 2030 in the </w:t>
      </w:r>
      <w:proofErr w:type="spellStart"/>
      <w:r w:rsidRPr="00FA11D8">
        <w:rPr>
          <w:rFonts w:asciiTheme="majorHAnsi" w:eastAsiaTheme="minorEastAsia" w:hAnsiTheme="majorHAnsi" w:cs="Verdana"/>
          <w:szCs w:val="20"/>
          <w:lang w:eastAsia="ja-JP"/>
        </w:rPr>
        <w:t>NoBioBased</w:t>
      </w:r>
      <w:proofErr w:type="spellEnd"/>
      <w:r w:rsidRPr="00FA11D8">
        <w:rPr>
          <w:rFonts w:asciiTheme="majorHAnsi" w:eastAsiaTheme="minorEastAsia" w:hAnsiTheme="majorHAnsi" w:cs="Verdana"/>
          <w:szCs w:val="20"/>
          <w:lang w:eastAsia="ja-JP"/>
        </w:rPr>
        <w:t xml:space="preserve"> scenarios. In</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all four MEV II scenarios the value added in the Netherlands increases due to the emergence of the</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 xml:space="preserve">broader bioeconomy. The increase in value added relative to the </w:t>
      </w:r>
      <w:proofErr w:type="spellStart"/>
      <w:r w:rsidRPr="00FA11D8">
        <w:rPr>
          <w:rFonts w:asciiTheme="majorHAnsi" w:eastAsiaTheme="minorEastAsia" w:hAnsiTheme="majorHAnsi" w:cs="Verdana"/>
          <w:szCs w:val="20"/>
          <w:lang w:eastAsia="ja-JP"/>
        </w:rPr>
        <w:t>NoBioBased</w:t>
      </w:r>
      <w:proofErr w:type="spellEnd"/>
      <w:r w:rsidRPr="00FA11D8">
        <w:rPr>
          <w:rFonts w:asciiTheme="majorHAnsi" w:eastAsiaTheme="minorEastAsia" w:hAnsiTheme="majorHAnsi" w:cs="Verdana"/>
          <w:szCs w:val="20"/>
          <w:lang w:eastAsia="ja-JP"/>
        </w:rPr>
        <w:t xml:space="preserve"> is higher in the</w:t>
      </w:r>
      <w:r w:rsidR="00552EC1" w:rsidRPr="00FA11D8">
        <w:rPr>
          <w:rFonts w:asciiTheme="majorHAnsi" w:eastAsiaTheme="minorEastAsia" w:hAnsiTheme="majorHAnsi" w:cs="Verdana"/>
          <w:szCs w:val="20"/>
          <w:lang w:eastAsia="ja-JP"/>
        </w:rPr>
        <w:t xml:space="preserve"> </w:t>
      </w:r>
      <w:proofErr w:type="spellStart"/>
      <w:r w:rsidRPr="00FA11D8">
        <w:rPr>
          <w:rFonts w:asciiTheme="majorHAnsi" w:eastAsiaTheme="minorEastAsia" w:hAnsiTheme="majorHAnsi" w:cs="Verdana"/>
          <w:szCs w:val="20"/>
          <w:lang w:eastAsia="ja-JP"/>
        </w:rPr>
        <w:t>HighTech</w:t>
      </w:r>
      <w:proofErr w:type="spellEnd"/>
      <w:r w:rsidRPr="00FA11D8">
        <w:rPr>
          <w:rFonts w:asciiTheme="majorHAnsi" w:eastAsiaTheme="minorEastAsia" w:hAnsiTheme="majorHAnsi" w:cs="Verdana"/>
          <w:szCs w:val="20"/>
          <w:lang w:eastAsia="ja-JP"/>
        </w:rPr>
        <w:t xml:space="preserve"> than the </w:t>
      </w:r>
      <w:proofErr w:type="spellStart"/>
      <w:r w:rsidRPr="00FA11D8">
        <w:rPr>
          <w:rFonts w:asciiTheme="majorHAnsi" w:eastAsiaTheme="minorEastAsia" w:hAnsiTheme="majorHAnsi" w:cs="Verdana"/>
          <w:szCs w:val="20"/>
          <w:lang w:eastAsia="ja-JP"/>
        </w:rPr>
        <w:t>LowTech</w:t>
      </w:r>
      <w:proofErr w:type="spellEnd"/>
      <w:r w:rsidRPr="00FA11D8">
        <w:rPr>
          <w:rFonts w:asciiTheme="majorHAnsi" w:eastAsiaTheme="minorEastAsia" w:hAnsiTheme="majorHAnsi" w:cs="Verdana"/>
          <w:szCs w:val="20"/>
          <w:lang w:eastAsia="ja-JP"/>
        </w:rPr>
        <w:t xml:space="preserve"> scenarios by respectively about €200m and €120m. The opening up of</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trade has a very minor negative impact (€40m) on Dutch agricultural value added.</w:t>
      </w:r>
      <w:r w:rsidR="00552EC1" w:rsidRPr="00FA11D8">
        <w:rPr>
          <w:rFonts w:asciiTheme="majorHAnsi" w:eastAsiaTheme="minorEastAsia" w:hAnsiTheme="majorHAnsi" w:cs="Verdana"/>
          <w:szCs w:val="20"/>
          <w:lang w:eastAsia="ja-JP"/>
        </w:rPr>
        <w:t xml:space="preserve"> </w:t>
      </w:r>
    </w:p>
    <w:p w14:paraId="40997651" w14:textId="382C4712" w:rsidR="008D27C8" w:rsidRPr="00FA11D8" w:rsidRDefault="008D27C8" w:rsidP="00FA11D8">
      <w:pPr>
        <w:pStyle w:val="ListParagraph"/>
        <w:numPr>
          <w:ilvl w:val="0"/>
          <w:numId w:val="33"/>
        </w:numPr>
        <w:autoSpaceDE w:val="0"/>
        <w:autoSpaceDN w:val="0"/>
        <w:adjustRightInd w:val="0"/>
        <w:rPr>
          <w:rFonts w:asciiTheme="majorHAnsi" w:eastAsiaTheme="minorEastAsia" w:hAnsiTheme="majorHAnsi" w:cs="Verdana"/>
          <w:szCs w:val="20"/>
          <w:lang w:eastAsia="ja-JP"/>
        </w:rPr>
      </w:pPr>
      <w:r w:rsidRPr="00FA11D8">
        <w:rPr>
          <w:rFonts w:asciiTheme="majorHAnsi" w:eastAsiaTheme="minorEastAsia" w:hAnsiTheme="majorHAnsi" w:cs="Verdana"/>
          <w:szCs w:val="20"/>
          <w:lang w:eastAsia="ja-JP"/>
        </w:rPr>
        <w:t xml:space="preserve">The value added in the biochemical sectors increases by €130m in the </w:t>
      </w:r>
      <w:proofErr w:type="spellStart"/>
      <w:r w:rsidRPr="00FA11D8">
        <w:rPr>
          <w:rFonts w:asciiTheme="majorHAnsi" w:eastAsiaTheme="minorEastAsia" w:hAnsiTheme="majorHAnsi" w:cs="Verdana"/>
          <w:szCs w:val="20"/>
          <w:lang w:eastAsia="ja-JP"/>
        </w:rPr>
        <w:t>LowTech</w:t>
      </w:r>
      <w:proofErr w:type="spellEnd"/>
      <w:r w:rsidRPr="00FA11D8">
        <w:rPr>
          <w:rFonts w:asciiTheme="majorHAnsi" w:eastAsiaTheme="minorEastAsia" w:hAnsiTheme="majorHAnsi" w:cs="Verdana"/>
          <w:szCs w:val="20"/>
          <w:lang w:eastAsia="ja-JP"/>
        </w:rPr>
        <w:t xml:space="preserve"> scenarios and by</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 xml:space="preserve">€250m in the </w:t>
      </w:r>
      <w:proofErr w:type="spellStart"/>
      <w:r w:rsidRPr="00FA11D8">
        <w:rPr>
          <w:rFonts w:asciiTheme="majorHAnsi" w:eastAsiaTheme="minorEastAsia" w:hAnsiTheme="majorHAnsi" w:cs="Verdana"/>
          <w:szCs w:val="20"/>
          <w:lang w:eastAsia="ja-JP"/>
        </w:rPr>
        <w:t>HighTech</w:t>
      </w:r>
      <w:proofErr w:type="spellEnd"/>
      <w:r w:rsidRPr="00FA11D8">
        <w:rPr>
          <w:rFonts w:asciiTheme="majorHAnsi" w:eastAsiaTheme="minorEastAsia" w:hAnsiTheme="majorHAnsi" w:cs="Verdana"/>
          <w:szCs w:val="20"/>
          <w:lang w:eastAsia="ja-JP"/>
        </w:rPr>
        <w:t xml:space="preserve"> scenarios (compared to a </w:t>
      </w:r>
      <w:proofErr w:type="spellStart"/>
      <w:r w:rsidRPr="00FA11D8">
        <w:rPr>
          <w:rFonts w:asciiTheme="majorHAnsi" w:eastAsiaTheme="minorEastAsia" w:hAnsiTheme="majorHAnsi" w:cs="Verdana"/>
          <w:szCs w:val="20"/>
          <w:lang w:eastAsia="ja-JP"/>
        </w:rPr>
        <w:t>NoBioBased</w:t>
      </w:r>
      <w:proofErr w:type="spellEnd"/>
      <w:r w:rsidRPr="00FA11D8">
        <w:rPr>
          <w:rFonts w:asciiTheme="majorHAnsi" w:eastAsiaTheme="minorEastAsia" w:hAnsiTheme="majorHAnsi" w:cs="Verdana"/>
          <w:szCs w:val="20"/>
          <w:lang w:eastAsia="ja-JP"/>
        </w:rPr>
        <w:t xml:space="preserve"> scenario). Biofuels and bioenergy are</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largely driven by policies and value added is fairly constant across the scenarios. Relative to the</w:t>
      </w:r>
      <w:r w:rsidR="00552EC1" w:rsidRPr="00FA11D8">
        <w:rPr>
          <w:rFonts w:asciiTheme="majorHAnsi" w:eastAsiaTheme="minorEastAsia" w:hAnsiTheme="majorHAnsi" w:cs="Verdana"/>
          <w:szCs w:val="20"/>
          <w:lang w:eastAsia="ja-JP"/>
        </w:rPr>
        <w:t xml:space="preserve"> </w:t>
      </w:r>
      <w:proofErr w:type="spellStart"/>
      <w:r w:rsidRPr="00FA11D8">
        <w:rPr>
          <w:rFonts w:asciiTheme="majorHAnsi" w:eastAsiaTheme="minorEastAsia" w:hAnsiTheme="majorHAnsi" w:cs="Verdana"/>
          <w:szCs w:val="20"/>
          <w:lang w:eastAsia="ja-JP"/>
        </w:rPr>
        <w:t>NoBioBased</w:t>
      </w:r>
      <w:proofErr w:type="spellEnd"/>
      <w:r w:rsidRPr="00FA11D8">
        <w:rPr>
          <w:rFonts w:asciiTheme="majorHAnsi" w:eastAsiaTheme="minorEastAsia" w:hAnsiTheme="majorHAnsi" w:cs="Verdana"/>
          <w:szCs w:val="20"/>
          <w:lang w:eastAsia="ja-JP"/>
        </w:rPr>
        <w:t xml:space="preserve"> scenario, the value added of bioenergy is about €280m.</w:t>
      </w:r>
    </w:p>
    <w:p w14:paraId="688B0B1F" w14:textId="77777777" w:rsidR="00552EC1" w:rsidRPr="00FA11D8" w:rsidRDefault="00552EC1" w:rsidP="00FA11D8">
      <w:pPr>
        <w:pStyle w:val="ListParagraph"/>
        <w:autoSpaceDE w:val="0"/>
        <w:autoSpaceDN w:val="0"/>
        <w:adjustRightInd w:val="0"/>
        <w:ind w:left="360"/>
        <w:rPr>
          <w:rFonts w:asciiTheme="majorHAnsi" w:eastAsiaTheme="minorEastAsia" w:hAnsiTheme="majorHAnsi" w:cs="Verdana"/>
          <w:szCs w:val="20"/>
          <w:lang w:eastAsia="ja-JP"/>
        </w:rPr>
      </w:pPr>
    </w:p>
    <w:p w14:paraId="5A5CE095" w14:textId="77777777" w:rsidR="008D27C8" w:rsidRPr="00FA11D8" w:rsidRDefault="008D27C8" w:rsidP="008D27C8">
      <w:pPr>
        <w:autoSpaceDE w:val="0"/>
        <w:autoSpaceDN w:val="0"/>
        <w:adjustRightInd w:val="0"/>
        <w:rPr>
          <w:rFonts w:asciiTheme="majorHAnsi" w:eastAsiaTheme="minorEastAsia" w:hAnsiTheme="majorHAnsi" w:cs="Verdana-Italic"/>
          <w:b/>
          <w:iCs/>
          <w:szCs w:val="20"/>
          <w:lang w:eastAsia="ja-JP"/>
        </w:rPr>
      </w:pPr>
      <w:r w:rsidRPr="00FA11D8">
        <w:rPr>
          <w:rFonts w:asciiTheme="majorHAnsi" w:eastAsiaTheme="minorEastAsia" w:hAnsiTheme="majorHAnsi" w:cs="Verdana-Italic"/>
          <w:b/>
          <w:iCs/>
          <w:szCs w:val="20"/>
          <w:lang w:eastAsia="ja-JP"/>
        </w:rPr>
        <w:t>Employment</w:t>
      </w:r>
    </w:p>
    <w:p w14:paraId="3820A832" w14:textId="1A18BB11" w:rsidR="008D27C8" w:rsidRPr="00FA11D8" w:rsidRDefault="008D27C8" w:rsidP="003065BA">
      <w:pPr>
        <w:pStyle w:val="ListParagraph"/>
        <w:numPr>
          <w:ilvl w:val="0"/>
          <w:numId w:val="33"/>
        </w:numPr>
        <w:autoSpaceDE w:val="0"/>
        <w:autoSpaceDN w:val="0"/>
        <w:adjustRightInd w:val="0"/>
        <w:rPr>
          <w:rFonts w:asciiTheme="majorHAnsi" w:eastAsiaTheme="minorEastAsia" w:hAnsiTheme="majorHAnsi" w:cs="Verdana"/>
          <w:szCs w:val="20"/>
          <w:lang w:eastAsia="ja-JP"/>
        </w:rPr>
      </w:pPr>
      <w:r w:rsidRPr="00FA11D8">
        <w:rPr>
          <w:rFonts w:asciiTheme="majorHAnsi" w:eastAsiaTheme="minorEastAsia" w:hAnsiTheme="majorHAnsi" w:cs="Verdana"/>
          <w:szCs w:val="20"/>
          <w:lang w:eastAsia="ja-JP"/>
        </w:rPr>
        <w:t>The decline in employment in agriculture between 2015 and 2030 also leads to a decline in</w:t>
      </w:r>
    </w:p>
    <w:p w14:paraId="6C685452" w14:textId="77777777" w:rsidR="00552EC1" w:rsidRPr="00FA11D8" w:rsidRDefault="008D27C8" w:rsidP="008D27C8">
      <w:pPr>
        <w:autoSpaceDE w:val="0"/>
        <w:autoSpaceDN w:val="0"/>
        <w:adjustRightInd w:val="0"/>
        <w:rPr>
          <w:rFonts w:asciiTheme="majorHAnsi" w:eastAsiaTheme="minorEastAsia" w:hAnsiTheme="majorHAnsi" w:cs="Verdana"/>
          <w:szCs w:val="20"/>
          <w:lang w:eastAsia="ja-JP"/>
        </w:rPr>
      </w:pPr>
      <w:r w:rsidRPr="00FA11D8">
        <w:rPr>
          <w:rFonts w:asciiTheme="majorHAnsi" w:eastAsiaTheme="minorEastAsia" w:hAnsiTheme="majorHAnsi" w:cs="Verdana"/>
          <w:szCs w:val="20"/>
          <w:lang w:eastAsia="ja-JP"/>
        </w:rPr>
        <w:t>employment in the bioenergy &amp; biochemical sectors. The bioeconomy only partially mitigates this</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effect, partly because we assume full employment in 2030 and thus the bioeconomy competes with</w:t>
      </w:r>
      <w:r w:rsidR="00552EC1" w:rsidRPr="00FA11D8">
        <w:rPr>
          <w:rFonts w:asciiTheme="majorHAnsi" w:eastAsiaTheme="minorEastAsia" w:hAnsiTheme="majorHAnsi" w:cs="Verdana"/>
          <w:szCs w:val="20"/>
          <w:lang w:eastAsia="ja-JP"/>
        </w:rPr>
        <w:t xml:space="preserve"> other sectors for </w:t>
      </w:r>
      <w:proofErr w:type="spellStart"/>
      <w:r w:rsidR="00552EC1" w:rsidRPr="00FA11D8">
        <w:rPr>
          <w:rFonts w:asciiTheme="majorHAnsi" w:eastAsiaTheme="minorEastAsia" w:hAnsiTheme="majorHAnsi" w:cs="Verdana"/>
          <w:szCs w:val="20"/>
          <w:lang w:eastAsia="ja-JP"/>
        </w:rPr>
        <w:t>labour</w:t>
      </w:r>
      <w:proofErr w:type="spellEnd"/>
      <w:r w:rsidR="00552EC1" w:rsidRPr="00FA11D8">
        <w:rPr>
          <w:rFonts w:asciiTheme="majorHAnsi" w:eastAsiaTheme="minorEastAsia" w:hAnsiTheme="majorHAnsi" w:cs="Verdana"/>
          <w:szCs w:val="20"/>
          <w:lang w:eastAsia="ja-JP"/>
        </w:rPr>
        <w:t>.</w:t>
      </w:r>
    </w:p>
    <w:p w14:paraId="2E20FCDB" w14:textId="00FB6A37" w:rsidR="008D27C8" w:rsidRPr="00FA11D8" w:rsidRDefault="008D27C8" w:rsidP="00FA11D8">
      <w:pPr>
        <w:pStyle w:val="ListParagraph"/>
        <w:numPr>
          <w:ilvl w:val="0"/>
          <w:numId w:val="33"/>
        </w:numPr>
        <w:autoSpaceDE w:val="0"/>
        <w:autoSpaceDN w:val="0"/>
        <w:adjustRightInd w:val="0"/>
        <w:rPr>
          <w:rFonts w:asciiTheme="majorHAnsi" w:eastAsiaTheme="minorEastAsia" w:hAnsiTheme="majorHAnsi" w:cs="Verdana"/>
          <w:szCs w:val="20"/>
          <w:lang w:eastAsia="ja-JP"/>
        </w:rPr>
      </w:pPr>
      <w:r w:rsidRPr="00FA11D8">
        <w:rPr>
          <w:rFonts w:asciiTheme="majorHAnsi" w:eastAsiaTheme="minorEastAsia" w:hAnsiTheme="majorHAnsi" w:cs="Verdana"/>
          <w:szCs w:val="20"/>
          <w:lang w:eastAsia="ja-JP"/>
        </w:rPr>
        <w:t>The highest employment impacts come from the production of bio-based chemicals in the case of</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 xml:space="preserve">the </w:t>
      </w:r>
      <w:proofErr w:type="spellStart"/>
      <w:r w:rsidRPr="00FA11D8">
        <w:rPr>
          <w:rFonts w:asciiTheme="majorHAnsi" w:eastAsiaTheme="minorEastAsia" w:hAnsiTheme="majorHAnsi" w:cs="Verdana"/>
          <w:szCs w:val="20"/>
          <w:lang w:eastAsia="ja-JP"/>
        </w:rPr>
        <w:t>HighTech</w:t>
      </w:r>
      <w:proofErr w:type="spellEnd"/>
      <w:r w:rsidRPr="00FA11D8">
        <w:rPr>
          <w:rFonts w:asciiTheme="majorHAnsi" w:eastAsiaTheme="minorEastAsia" w:hAnsiTheme="majorHAnsi" w:cs="Verdana"/>
          <w:szCs w:val="20"/>
          <w:lang w:eastAsia="ja-JP"/>
        </w:rPr>
        <w:t xml:space="preserve"> scenarios and to a smaller extent in the </w:t>
      </w:r>
      <w:proofErr w:type="spellStart"/>
      <w:r w:rsidRPr="00FA11D8">
        <w:rPr>
          <w:rFonts w:asciiTheme="majorHAnsi" w:eastAsiaTheme="minorEastAsia" w:hAnsiTheme="majorHAnsi" w:cs="Verdana"/>
          <w:szCs w:val="20"/>
          <w:lang w:eastAsia="ja-JP"/>
        </w:rPr>
        <w:t>GlobLowTech</w:t>
      </w:r>
      <w:proofErr w:type="spellEnd"/>
      <w:r w:rsidRPr="00FA11D8">
        <w:rPr>
          <w:rFonts w:asciiTheme="majorHAnsi" w:eastAsiaTheme="minorEastAsia" w:hAnsiTheme="majorHAnsi" w:cs="Verdana"/>
          <w:szCs w:val="20"/>
          <w:lang w:eastAsia="ja-JP"/>
        </w:rPr>
        <w:t xml:space="preserve"> scenario.</w:t>
      </w:r>
    </w:p>
    <w:p w14:paraId="647619CD" w14:textId="77777777" w:rsidR="00552EC1" w:rsidRPr="00FA11D8" w:rsidRDefault="00552EC1" w:rsidP="008D27C8">
      <w:pPr>
        <w:autoSpaceDE w:val="0"/>
        <w:autoSpaceDN w:val="0"/>
        <w:adjustRightInd w:val="0"/>
        <w:rPr>
          <w:rFonts w:asciiTheme="majorHAnsi" w:eastAsiaTheme="minorEastAsia" w:hAnsiTheme="majorHAnsi" w:cs="Verdana-Italic"/>
          <w:i/>
          <w:iCs/>
          <w:szCs w:val="20"/>
          <w:lang w:eastAsia="ja-JP"/>
        </w:rPr>
      </w:pPr>
    </w:p>
    <w:p w14:paraId="42911B86" w14:textId="4475A33F" w:rsidR="008D27C8" w:rsidRPr="00FA11D8" w:rsidRDefault="00552EC1" w:rsidP="008D27C8">
      <w:pPr>
        <w:autoSpaceDE w:val="0"/>
        <w:autoSpaceDN w:val="0"/>
        <w:adjustRightInd w:val="0"/>
        <w:rPr>
          <w:rFonts w:asciiTheme="majorHAnsi" w:eastAsiaTheme="minorEastAsia" w:hAnsiTheme="majorHAnsi" w:cs="Verdana-Italic"/>
          <w:b/>
          <w:iCs/>
          <w:szCs w:val="20"/>
          <w:lang w:eastAsia="ja-JP"/>
        </w:rPr>
      </w:pPr>
      <w:r w:rsidRPr="00FA11D8">
        <w:rPr>
          <w:rFonts w:asciiTheme="majorHAnsi" w:eastAsiaTheme="minorEastAsia" w:hAnsiTheme="majorHAnsi" w:cs="Verdana-Italic"/>
          <w:b/>
          <w:iCs/>
          <w:szCs w:val="20"/>
          <w:lang w:eastAsia="ja-JP"/>
        </w:rPr>
        <w:t>Emerging sectors (biochemicals)</w:t>
      </w:r>
    </w:p>
    <w:p w14:paraId="0A6D3732" w14:textId="77777777" w:rsidR="00552EC1" w:rsidRPr="00FA11D8" w:rsidRDefault="008D27C8" w:rsidP="00FA11D8">
      <w:pPr>
        <w:pStyle w:val="ListParagraph"/>
        <w:numPr>
          <w:ilvl w:val="0"/>
          <w:numId w:val="33"/>
        </w:numPr>
        <w:autoSpaceDE w:val="0"/>
        <w:autoSpaceDN w:val="0"/>
        <w:adjustRightInd w:val="0"/>
        <w:rPr>
          <w:rFonts w:asciiTheme="majorHAnsi" w:eastAsiaTheme="minorEastAsia" w:hAnsiTheme="majorHAnsi" w:cs="Verdana"/>
          <w:szCs w:val="20"/>
          <w:lang w:eastAsia="ja-JP"/>
        </w:rPr>
      </w:pPr>
      <w:r w:rsidRPr="00FA11D8">
        <w:rPr>
          <w:rFonts w:asciiTheme="majorHAnsi" w:eastAsiaTheme="minorEastAsia" w:hAnsiTheme="majorHAnsi" w:cs="Verdana"/>
          <w:szCs w:val="20"/>
          <w:lang w:eastAsia="ja-JP"/>
        </w:rPr>
        <w:t>The value of bio-based chemicals production is about €2bn in the high technology scenarios and</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€700m in the low technology scenarios.</w:t>
      </w:r>
      <w:r w:rsidR="00552EC1" w:rsidRPr="00FA11D8">
        <w:rPr>
          <w:rFonts w:asciiTheme="majorHAnsi" w:eastAsiaTheme="minorEastAsia" w:hAnsiTheme="majorHAnsi" w:cs="Verdana"/>
          <w:szCs w:val="20"/>
          <w:lang w:eastAsia="ja-JP"/>
        </w:rPr>
        <w:t xml:space="preserve"> </w:t>
      </w:r>
    </w:p>
    <w:p w14:paraId="7B35ED3C" w14:textId="548585E4" w:rsidR="008D27C8" w:rsidRPr="00FA11D8" w:rsidRDefault="008D27C8" w:rsidP="00FA11D8">
      <w:pPr>
        <w:pStyle w:val="ListParagraph"/>
        <w:numPr>
          <w:ilvl w:val="0"/>
          <w:numId w:val="33"/>
        </w:numPr>
        <w:autoSpaceDE w:val="0"/>
        <w:autoSpaceDN w:val="0"/>
        <w:adjustRightInd w:val="0"/>
        <w:rPr>
          <w:rFonts w:asciiTheme="majorHAnsi" w:eastAsiaTheme="minorEastAsia" w:hAnsiTheme="majorHAnsi" w:cs="Verdana"/>
          <w:szCs w:val="20"/>
          <w:lang w:eastAsia="ja-JP"/>
        </w:rPr>
      </w:pPr>
      <w:r w:rsidRPr="00FA11D8">
        <w:rPr>
          <w:rFonts w:asciiTheme="majorHAnsi" w:eastAsiaTheme="minorEastAsia" w:hAnsiTheme="majorHAnsi" w:cs="Verdana"/>
          <w:szCs w:val="20"/>
          <w:lang w:eastAsia="ja-JP"/>
        </w:rPr>
        <w:t xml:space="preserve">The production value of bio-based polyethylene is €600m in the </w:t>
      </w:r>
      <w:proofErr w:type="spellStart"/>
      <w:r w:rsidRPr="00FA11D8">
        <w:rPr>
          <w:rFonts w:asciiTheme="majorHAnsi" w:eastAsiaTheme="minorEastAsia" w:hAnsiTheme="majorHAnsi" w:cs="Verdana"/>
          <w:szCs w:val="20"/>
          <w:lang w:eastAsia="ja-JP"/>
        </w:rPr>
        <w:t>LowTech</w:t>
      </w:r>
      <w:proofErr w:type="spellEnd"/>
      <w:r w:rsidRPr="00FA11D8">
        <w:rPr>
          <w:rFonts w:asciiTheme="majorHAnsi" w:eastAsiaTheme="minorEastAsia" w:hAnsiTheme="majorHAnsi" w:cs="Verdana"/>
          <w:szCs w:val="20"/>
          <w:lang w:eastAsia="ja-JP"/>
        </w:rPr>
        <w:t xml:space="preserve"> scenarios and €1,7bn in</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 xml:space="preserve">the </w:t>
      </w:r>
      <w:proofErr w:type="spellStart"/>
      <w:r w:rsidRPr="00FA11D8">
        <w:rPr>
          <w:rFonts w:asciiTheme="majorHAnsi" w:eastAsiaTheme="minorEastAsia" w:hAnsiTheme="majorHAnsi" w:cs="Verdana"/>
          <w:szCs w:val="20"/>
          <w:lang w:eastAsia="ja-JP"/>
        </w:rPr>
        <w:t>HighTech</w:t>
      </w:r>
      <w:proofErr w:type="spellEnd"/>
      <w:r w:rsidRPr="00FA11D8">
        <w:rPr>
          <w:rFonts w:asciiTheme="majorHAnsi" w:eastAsiaTheme="minorEastAsia" w:hAnsiTheme="majorHAnsi" w:cs="Verdana"/>
          <w:szCs w:val="20"/>
          <w:lang w:eastAsia="ja-JP"/>
        </w:rPr>
        <w:t xml:space="preserve"> scenarios. The production of PLA from conventional sugar and lignocellulosic sugar</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increases to, respectively, €60m and €200m in</w:t>
      </w:r>
      <w:r w:rsidR="00552EC1" w:rsidRPr="00FA11D8">
        <w:rPr>
          <w:rFonts w:asciiTheme="majorHAnsi" w:eastAsiaTheme="minorEastAsia" w:hAnsiTheme="majorHAnsi" w:cs="Verdana"/>
          <w:szCs w:val="20"/>
          <w:lang w:eastAsia="ja-JP"/>
        </w:rPr>
        <w:t xml:space="preserve"> the low and </w:t>
      </w:r>
      <w:proofErr w:type="spellStart"/>
      <w:r w:rsidR="00552EC1" w:rsidRPr="00FA11D8">
        <w:rPr>
          <w:rFonts w:asciiTheme="majorHAnsi" w:eastAsiaTheme="minorEastAsia" w:hAnsiTheme="majorHAnsi" w:cs="Verdana"/>
          <w:szCs w:val="20"/>
          <w:lang w:eastAsia="ja-JP"/>
        </w:rPr>
        <w:t>HighTech</w:t>
      </w:r>
      <w:proofErr w:type="spellEnd"/>
      <w:r w:rsidR="00552EC1" w:rsidRPr="00FA11D8">
        <w:rPr>
          <w:rFonts w:asciiTheme="majorHAnsi" w:eastAsiaTheme="minorEastAsia" w:hAnsiTheme="majorHAnsi" w:cs="Verdana"/>
          <w:szCs w:val="20"/>
          <w:lang w:eastAsia="ja-JP"/>
        </w:rPr>
        <w:t xml:space="preserve"> scenarios</w:t>
      </w:r>
    </w:p>
    <w:p w14:paraId="216E6FF8" w14:textId="77777777" w:rsidR="00552EC1" w:rsidRPr="00FA11D8" w:rsidRDefault="00552EC1" w:rsidP="00FA11D8">
      <w:pPr>
        <w:pStyle w:val="ListParagraph"/>
        <w:autoSpaceDE w:val="0"/>
        <w:autoSpaceDN w:val="0"/>
        <w:adjustRightInd w:val="0"/>
        <w:ind w:left="360"/>
        <w:rPr>
          <w:rFonts w:asciiTheme="majorHAnsi" w:eastAsiaTheme="minorEastAsia" w:hAnsiTheme="majorHAnsi" w:cs="Verdana"/>
          <w:szCs w:val="20"/>
          <w:lang w:eastAsia="ja-JP"/>
        </w:rPr>
      </w:pPr>
    </w:p>
    <w:p w14:paraId="5EDB17BF" w14:textId="77777777" w:rsidR="008D27C8" w:rsidRPr="00FA11D8" w:rsidRDefault="008D27C8" w:rsidP="008D27C8">
      <w:pPr>
        <w:autoSpaceDE w:val="0"/>
        <w:autoSpaceDN w:val="0"/>
        <w:adjustRightInd w:val="0"/>
        <w:rPr>
          <w:rFonts w:asciiTheme="majorHAnsi" w:eastAsiaTheme="minorEastAsia" w:hAnsiTheme="majorHAnsi" w:cs="Verdana-Italic"/>
          <w:b/>
          <w:iCs/>
          <w:szCs w:val="20"/>
          <w:lang w:eastAsia="ja-JP"/>
        </w:rPr>
      </w:pPr>
      <w:r w:rsidRPr="00FA11D8">
        <w:rPr>
          <w:rFonts w:asciiTheme="majorHAnsi" w:eastAsiaTheme="minorEastAsia" w:hAnsiTheme="majorHAnsi" w:cs="Verdana-Italic"/>
          <w:b/>
          <w:iCs/>
          <w:szCs w:val="20"/>
          <w:lang w:eastAsia="ja-JP"/>
        </w:rPr>
        <w:t>Biomass trade</w:t>
      </w:r>
    </w:p>
    <w:p w14:paraId="3DF3D4E0" w14:textId="7B0F75CE" w:rsidR="008D27C8" w:rsidRPr="00FA11D8" w:rsidRDefault="008D27C8" w:rsidP="00FA11D8">
      <w:pPr>
        <w:autoSpaceDE w:val="0"/>
        <w:autoSpaceDN w:val="0"/>
        <w:adjustRightInd w:val="0"/>
        <w:rPr>
          <w:rFonts w:asciiTheme="majorHAnsi" w:eastAsiaTheme="minorEastAsia" w:hAnsiTheme="majorHAnsi" w:cs="Verdana"/>
          <w:szCs w:val="20"/>
          <w:lang w:eastAsia="ja-JP"/>
        </w:rPr>
      </w:pPr>
      <w:r w:rsidRPr="00FA11D8">
        <w:rPr>
          <w:rFonts w:asciiTheme="majorHAnsi" w:eastAsiaTheme="minorEastAsia" w:hAnsiTheme="majorHAnsi" w:cs="Verdana"/>
          <w:szCs w:val="20"/>
          <w:lang w:eastAsia="ja-JP"/>
        </w:rPr>
        <w:t>The total trade balance in the Netherlands deteriorates in bioeconomy scenarios. The positive impact</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of RED policies and technological change in chemical technologies on the energy and chemical trade</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balance is more than offset by increased biomass imports and especially an deterioration of the</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other industries and services trade balance. The latter deteriorates as resources are pulled away</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from these sectors to less competitive sectors. As technological change gets higher, the negative</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impact becomes smaller. Biomass (pellets, residues) and biofuels are imported to fulfil the RED</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 xml:space="preserve">mandates and primary agricultural exports decline. In the </w:t>
      </w:r>
      <w:proofErr w:type="spellStart"/>
      <w:r w:rsidRPr="00FA11D8">
        <w:rPr>
          <w:rFonts w:asciiTheme="majorHAnsi" w:eastAsiaTheme="minorEastAsia" w:hAnsiTheme="majorHAnsi" w:cs="Verdana"/>
          <w:szCs w:val="20"/>
          <w:lang w:eastAsia="ja-JP"/>
        </w:rPr>
        <w:t>HighTech</w:t>
      </w:r>
      <w:proofErr w:type="spellEnd"/>
      <w:r w:rsidRPr="00FA11D8">
        <w:rPr>
          <w:rFonts w:asciiTheme="majorHAnsi" w:eastAsiaTheme="minorEastAsia" w:hAnsiTheme="majorHAnsi" w:cs="Verdana"/>
          <w:szCs w:val="20"/>
          <w:lang w:eastAsia="ja-JP"/>
        </w:rPr>
        <w:t xml:space="preserve"> scenarios, the deterioration in</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the trade balance is less, as chemical and second-generation biofuel exports increase. In the</w:t>
      </w:r>
      <w:r w:rsidR="00552EC1" w:rsidRPr="00FA11D8">
        <w:rPr>
          <w:rFonts w:asciiTheme="majorHAnsi" w:eastAsiaTheme="minorEastAsia" w:hAnsiTheme="majorHAnsi" w:cs="Verdana"/>
          <w:szCs w:val="20"/>
          <w:lang w:eastAsia="ja-JP"/>
        </w:rPr>
        <w:t xml:space="preserve"> </w:t>
      </w:r>
      <w:proofErr w:type="spellStart"/>
      <w:r w:rsidRPr="00FA11D8">
        <w:rPr>
          <w:rFonts w:asciiTheme="majorHAnsi" w:eastAsiaTheme="minorEastAsia" w:hAnsiTheme="majorHAnsi" w:cs="Verdana"/>
          <w:szCs w:val="20"/>
          <w:lang w:eastAsia="ja-JP"/>
        </w:rPr>
        <w:t>LowTech</w:t>
      </w:r>
      <w:proofErr w:type="spellEnd"/>
      <w:r w:rsidRPr="00FA11D8">
        <w:rPr>
          <w:rFonts w:asciiTheme="majorHAnsi" w:eastAsiaTheme="minorEastAsia" w:hAnsiTheme="majorHAnsi" w:cs="Verdana"/>
          <w:szCs w:val="20"/>
          <w:lang w:eastAsia="ja-JP"/>
        </w:rPr>
        <w:t xml:space="preserve"> scenario, fossil energy is substituted by first-generation biofuels, but as part of these are</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 xml:space="preserve">produced domestically the energy trade balance improves. In the </w:t>
      </w:r>
      <w:proofErr w:type="spellStart"/>
      <w:r w:rsidRPr="00FA11D8">
        <w:rPr>
          <w:rFonts w:asciiTheme="majorHAnsi" w:eastAsiaTheme="minorEastAsia" w:hAnsiTheme="majorHAnsi" w:cs="Verdana"/>
          <w:szCs w:val="20"/>
          <w:lang w:eastAsia="ja-JP"/>
        </w:rPr>
        <w:t>HighTech</w:t>
      </w:r>
      <w:proofErr w:type="spellEnd"/>
      <w:r w:rsidRPr="00FA11D8">
        <w:rPr>
          <w:rFonts w:asciiTheme="majorHAnsi" w:eastAsiaTheme="minorEastAsia" w:hAnsiTheme="majorHAnsi" w:cs="Verdana"/>
          <w:szCs w:val="20"/>
          <w:lang w:eastAsia="ja-JP"/>
        </w:rPr>
        <w:t xml:space="preserve"> scenario, substitution of</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fossil by bio-based substitutes occurs and also the second-generation and chemical markets grow,</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which implies less savings on fossil energy imports. However, this results in bio-based exports that</w:t>
      </w:r>
      <w:r w:rsidR="00552EC1" w:rsidRPr="00FA11D8">
        <w:rPr>
          <w:rFonts w:asciiTheme="majorHAnsi" w:eastAsiaTheme="minorEastAsia" w:hAnsiTheme="majorHAnsi" w:cs="Verdana"/>
          <w:szCs w:val="20"/>
          <w:lang w:eastAsia="ja-JP"/>
        </w:rPr>
        <w:t xml:space="preserve"> </w:t>
      </w:r>
      <w:r w:rsidRPr="00FA11D8">
        <w:rPr>
          <w:rFonts w:asciiTheme="majorHAnsi" w:eastAsiaTheme="minorEastAsia" w:hAnsiTheme="majorHAnsi" w:cs="Verdana"/>
          <w:szCs w:val="20"/>
          <w:lang w:eastAsia="ja-JP"/>
        </w:rPr>
        <w:t>substitute for fossil energy in other countries.</w:t>
      </w:r>
    </w:p>
    <w:p w14:paraId="416656D7" w14:textId="77777777" w:rsidR="00552EC1" w:rsidRPr="00FA11D8" w:rsidRDefault="00552EC1" w:rsidP="00FA11D8">
      <w:pPr>
        <w:autoSpaceDE w:val="0"/>
        <w:autoSpaceDN w:val="0"/>
        <w:adjustRightInd w:val="0"/>
        <w:rPr>
          <w:rFonts w:asciiTheme="majorHAnsi" w:hAnsiTheme="majorHAnsi"/>
          <w:szCs w:val="20"/>
        </w:rPr>
      </w:pPr>
    </w:p>
    <w:p w14:paraId="2958FD35" w14:textId="43263F15" w:rsidR="008D27C8" w:rsidRPr="00FA11D8" w:rsidRDefault="001855E1" w:rsidP="00127AE7">
      <w:pPr>
        <w:rPr>
          <w:rFonts w:asciiTheme="majorHAnsi" w:hAnsiTheme="majorHAnsi"/>
          <w:b/>
          <w:szCs w:val="20"/>
        </w:rPr>
      </w:pPr>
      <w:r w:rsidRPr="00FA11D8">
        <w:rPr>
          <w:rFonts w:asciiTheme="majorHAnsi" w:hAnsiTheme="majorHAnsi"/>
          <w:b/>
          <w:szCs w:val="20"/>
        </w:rPr>
        <w:t xml:space="preserve">6.2. </w:t>
      </w:r>
      <w:r w:rsidR="008D27C8" w:rsidRPr="00FA11D8">
        <w:rPr>
          <w:rFonts w:asciiTheme="majorHAnsi" w:hAnsiTheme="majorHAnsi"/>
          <w:b/>
          <w:szCs w:val="20"/>
        </w:rPr>
        <w:t>Further research</w:t>
      </w:r>
    </w:p>
    <w:p w14:paraId="0A22D944" w14:textId="45B61F14" w:rsidR="008D27C8" w:rsidRPr="00FA11D8" w:rsidRDefault="008D27C8" w:rsidP="008D27C8">
      <w:pPr>
        <w:autoSpaceDE w:val="0"/>
        <w:autoSpaceDN w:val="0"/>
        <w:adjustRightInd w:val="0"/>
        <w:rPr>
          <w:rFonts w:asciiTheme="majorHAnsi" w:eastAsiaTheme="minorEastAsia" w:hAnsiTheme="majorHAnsi" w:cs="Verdana"/>
          <w:szCs w:val="20"/>
          <w:lang w:eastAsia="ja-JP"/>
        </w:rPr>
      </w:pPr>
      <w:r w:rsidRPr="00FA11D8">
        <w:rPr>
          <w:rFonts w:asciiTheme="majorHAnsi" w:eastAsiaTheme="minorEastAsia" w:hAnsiTheme="majorHAnsi" w:cs="Verdana"/>
          <w:szCs w:val="20"/>
          <w:lang w:eastAsia="ja-JP"/>
        </w:rPr>
        <w:t xml:space="preserve">The MEV II study was designed on the basis of a midterm temporal scope (2030) and a large-scale deployment potential for biomass conversion technologies across different sectors. To a large extent, this defined the role that biomass might have as reflected by the study’s outcomes. In the discussion, the impact of this assumption on the core assumptions of this study, such as the selection of technologies, substitution possibilities and policy drivers. The time frame therefore cannot be extended simply by extrapolating from the outcomes of MEV II. We recommend further research to extend the temporal scope to e.g. 2050, whereby technological learning and economies of scale may reveal a larger role for biomass due to the improved cost competitiveness of technologies, improvements in biomass value chains, etc. Alternative renewable energy sources (wind, sun) and substitutes for materials should also be taken into account. By extending the temporal scope, it is also recommended to diversify and extend the technology portfolio covered by the study. This is particularly relevant for biomass conversion technologies to chemicals. Innovative production routes may have a significant impact (e.g. lignin valorization to high-value products). Finally, a study </w:t>
      </w:r>
      <w:proofErr w:type="spellStart"/>
      <w:r w:rsidRPr="00FA11D8">
        <w:rPr>
          <w:rFonts w:asciiTheme="majorHAnsi" w:eastAsiaTheme="minorEastAsia" w:hAnsiTheme="majorHAnsi" w:cs="Verdana"/>
          <w:szCs w:val="20"/>
          <w:lang w:eastAsia="ja-JP"/>
        </w:rPr>
        <w:t>thatassesses</w:t>
      </w:r>
      <w:proofErr w:type="spellEnd"/>
      <w:r w:rsidRPr="00FA11D8">
        <w:rPr>
          <w:rFonts w:asciiTheme="majorHAnsi" w:eastAsiaTheme="minorEastAsia" w:hAnsiTheme="majorHAnsi" w:cs="Verdana"/>
          <w:szCs w:val="20"/>
          <w:lang w:eastAsia="ja-JP"/>
        </w:rPr>
        <w:t xml:space="preserve"> a longer term can focus not only on the replacement of bulk fossil fuels but also on </w:t>
      </w:r>
      <w:proofErr w:type="spellStart"/>
      <w:r w:rsidRPr="00FA11D8">
        <w:rPr>
          <w:rFonts w:asciiTheme="majorHAnsi" w:eastAsiaTheme="minorEastAsia" w:hAnsiTheme="majorHAnsi" w:cs="Verdana"/>
          <w:szCs w:val="20"/>
          <w:lang w:eastAsia="ja-JP"/>
        </w:rPr>
        <w:t>highvalue</w:t>
      </w:r>
      <w:proofErr w:type="spellEnd"/>
      <w:r w:rsidRPr="00FA11D8">
        <w:rPr>
          <w:rFonts w:asciiTheme="majorHAnsi" w:eastAsiaTheme="minorEastAsia" w:hAnsiTheme="majorHAnsi" w:cs="Verdana"/>
          <w:szCs w:val="20"/>
          <w:lang w:eastAsia="ja-JP"/>
        </w:rPr>
        <w:t xml:space="preserve">, low-volume products. Although such routes may not play a significant role in bridging </w:t>
      </w:r>
      <w:proofErr w:type="spellStart"/>
      <w:r w:rsidRPr="00FA11D8">
        <w:rPr>
          <w:rFonts w:asciiTheme="majorHAnsi" w:eastAsiaTheme="minorEastAsia" w:hAnsiTheme="majorHAnsi" w:cs="Verdana"/>
          <w:szCs w:val="20"/>
          <w:lang w:eastAsia="ja-JP"/>
        </w:rPr>
        <w:t>emissionreduction</w:t>
      </w:r>
      <w:proofErr w:type="spellEnd"/>
      <w:r w:rsidRPr="00FA11D8">
        <w:rPr>
          <w:rFonts w:asciiTheme="majorHAnsi" w:eastAsiaTheme="minorEastAsia" w:hAnsiTheme="majorHAnsi" w:cs="Verdana"/>
          <w:szCs w:val="20"/>
          <w:lang w:eastAsia="ja-JP"/>
        </w:rPr>
        <w:t xml:space="preserve"> gaps or in substituting large volumes of fossil fuel, they can have a large impact on the bioeconomy in terms of value added (e.g. specialty chemicals). Such a study would be more forward looking, and more bold assumptions would have to be made and the degree of uncertainty would be</w:t>
      </w:r>
    </w:p>
    <w:p w14:paraId="6DC40FA7" w14:textId="69E39951" w:rsidR="007E3D16" w:rsidRDefault="008D27C8" w:rsidP="003065BA">
      <w:pPr>
        <w:autoSpaceDE w:val="0"/>
        <w:autoSpaceDN w:val="0"/>
        <w:adjustRightInd w:val="0"/>
        <w:rPr>
          <w:b/>
        </w:rPr>
      </w:pPr>
      <w:r w:rsidRPr="00FA11D8">
        <w:rPr>
          <w:rFonts w:asciiTheme="majorHAnsi" w:eastAsiaTheme="minorEastAsia" w:hAnsiTheme="majorHAnsi" w:cs="Verdana"/>
          <w:szCs w:val="20"/>
          <w:lang w:eastAsia="ja-JP"/>
        </w:rPr>
        <w:t>larger. However, it might provide insights into which technologies require support now in order to stimulate their deployment in the future. It should include scaling-up, synergies with technologies that might improve their economics due to valorization of side-streams, and returns for the Dutch economy.</w:t>
      </w:r>
    </w:p>
    <w:p w14:paraId="4F844B7B" w14:textId="77777777" w:rsidR="00F71277" w:rsidRPr="00EB52FC" w:rsidRDefault="00F71277" w:rsidP="0099404D">
      <w:pPr>
        <w:rPr>
          <w:b/>
        </w:rPr>
      </w:pPr>
    </w:p>
    <w:p w14:paraId="61F20973" w14:textId="6C16F3A5" w:rsidR="0019250C" w:rsidRDefault="00A36E93" w:rsidP="0019250C">
      <w:pPr>
        <w:pStyle w:val="Heading2"/>
      </w:pPr>
      <w:r>
        <w:br w:type="column"/>
      </w:r>
      <w:r w:rsidR="0019250C">
        <w:t xml:space="preserve"> </w:t>
      </w:r>
    </w:p>
    <w:p w14:paraId="4265A7EC" w14:textId="76E68658" w:rsidR="0099404D" w:rsidRDefault="00A36E93" w:rsidP="003065BA">
      <w:pPr>
        <w:pStyle w:val="Heading2"/>
      </w:pPr>
      <w:r>
        <w:br w:type="column"/>
      </w:r>
      <w:r w:rsidR="0099404D" w:rsidRPr="00EB52FC">
        <w:t>Appendix</w:t>
      </w:r>
    </w:p>
    <w:p w14:paraId="3B1EEA51" w14:textId="77777777" w:rsidR="00987B80" w:rsidRDefault="00987B80" w:rsidP="00987B80"/>
    <w:p w14:paraId="5473F25F" w14:textId="0809B851" w:rsidR="00987B80" w:rsidRDefault="00987B80" w:rsidP="00987B80">
      <w:pPr>
        <w:pStyle w:val="Caption"/>
        <w:keepNext/>
      </w:pPr>
      <w:bookmarkStart w:id="22" w:name="_Ref448231091"/>
      <w:r>
        <w:t xml:space="preserve">Table S </w:t>
      </w:r>
      <w:r w:rsidR="0019250C">
        <w:fldChar w:fldCharType="begin"/>
      </w:r>
      <w:r w:rsidR="0019250C">
        <w:instrText xml:space="preserve"> SEQ Table_S \* ARABIC </w:instrText>
      </w:r>
      <w:r w:rsidR="0019250C">
        <w:fldChar w:fldCharType="separate"/>
      </w:r>
      <w:r w:rsidR="009B58B7">
        <w:rPr>
          <w:noProof/>
        </w:rPr>
        <w:t>1</w:t>
      </w:r>
      <w:r w:rsidR="0019250C">
        <w:rPr>
          <w:noProof/>
        </w:rPr>
        <w:fldChar w:fldCharType="end"/>
      </w:r>
      <w:bookmarkEnd w:id="22"/>
      <w:r>
        <w:t xml:space="preserve"> MAGNET data aggregation</w:t>
      </w:r>
    </w:p>
    <w:tbl>
      <w:tblPr>
        <w:tblW w:w="8379" w:type="dxa"/>
        <w:tblInd w:w="93" w:type="dxa"/>
        <w:tblBorders>
          <w:top w:val="single" w:sz="4" w:space="0" w:color="auto"/>
          <w:bottom w:val="single" w:sz="4" w:space="0" w:color="auto"/>
        </w:tblBorders>
        <w:tblLook w:val="04A0" w:firstRow="1" w:lastRow="0" w:firstColumn="1" w:lastColumn="0" w:noHBand="0" w:noVBand="1"/>
      </w:tblPr>
      <w:tblGrid>
        <w:gridCol w:w="8379"/>
      </w:tblGrid>
      <w:tr w:rsidR="00154CBF" w:rsidRPr="00154CBF" w14:paraId="29A96EE7" w14:textId="77777777" w:rsidTr="000B5F6F">
        <w:trPr>
          <w:trHeight w:val="62"/>
        </w:trPr>
        <w:tc>
          <w:tcPr>
            <w:tcW w:w="8379" w:type="dxa"/>
            <w:shd w:val="clear" w:color="auto" w:fill="auto"/>
            <w:noWrap/>
            <w:hideMark/>
          </w:tcPr>
          <w:p w14:paraId="5D232E05" w14:textId="77777777" w:rsidR="00154CBF" w:rsidRPr="00154CBF" w:rsidRDefault="00154CBF" w:rsidP="000B5F6F">
            <w:pPr>
              <w:rPr>
                <w:rFonts w:eastAsia="Times New Roman" w:cs="Times New Roman"/>
                <w:b/>
                <w:bCs/>
                <w:color w:val="000000"/>
                <w:sz w:val="18"/>
                <w:szCs w:val="18"/>
              </w:rPr>
            </w:pPr>
            <w:r w:rsidRPr="00154CBF">
              <w:rPr>
                <w:rFonts w:eastAsia="Times New Roman" w:cs="Times New Roman"/>
                <w:b/>
                <w:bCs/>
                <w:color w:val="000000"/>
                <w:sz w:val="18"/>
                <w:szCs w:val="18"/>
              </w:rPr>
              <w:t>Sectoral disaggregation (63 commodities):</w:t>
            </w:r>
          </w:p>
        </w:tc>
      </w:tr>
      <w:tr w:rsidR="00154CBF" w:rsidRPr="00154CBF" w14:paraId="629D9C2F" w14:textId="77777777" w:rsidTr="000B5F6F">
        <w:trPr>
          <w:trHeight w:val="62"/>
        </w:trPr>
        <w:tc>
          <w:tcPr>
            <w:tcW w:w="8379" w:type="dxa"/>
            <w:shd w:val="clear" w:color="auto" w:fill="auto"/>
            <w:hideMark/>
          </w:tcPr>
          <w:p w14:paraId="64105BC6" w14:textId="77777777" w:rsidR="00154CBF" w:rsidRPr="00154CBF" w:rsidRDefault="00154CBF" w:rsidP="000B5F6F">
            <w:pPr>
              <w:rPr>
                <w:rFonts w:eastAsia="Times New Roman" w:cs="Times New Roman"/>
                <w:color w:val="000000"/>
                <w:sz w:val="18"/>
                <w:szCs w:val="18"/>
              </w:rPr>
            </w:pPr>
            <w:r w:rsidRPr="00154CBF">
              <w:rPr>
                <w:rFonts w:eastAsia="Times New Roman" w:cs="Times New Roman"/>
                <w:b/>
                <w:bCs/>
                <w:color w:val="000000"/>
                <w:sz w:val="18"/>
                <w:szCs w:val="18"/>
              </w:rPr>
              <w:t xml:space="preserve">Primary agriculture (11 commodities): </w:t>
            </w:r>
            <w:proofErr w:type="spellStart"/>
            <w:r w:rsidRPr="00154CBF">
              <w:rPr>
                <w:rFonts w:eastAsia="Times New Roman" w:cs="Times New Roman"/>
                <w:color w:val="000000"/>
                <w:sz w:val="18"/>
                <w:szCs w:val="18"/>
              </w:rPr>
              <w:t>pdr</w:t>
            </w:r>
            <w:proofErr w:type="spellEnd"/>
            <w:r w:rsidRPr="00154CBF">
              <w:rPr>
                <w:rFonts w:eastAsia="Times New Roman" w:cs="Times New Roman"/>
                <w:color w:val="000000"/>
                <w:sz w:val="18"/>
                <w:szCs w:val="18"/>
              </w:rPr>
              <w:t xml:space="preserve"> (paddy rice); wheat (</w:t>
            </w:r>
            <w:proofErr w:type="spellStart"/>
            <w:r w:rsidRPr="00154CBF">
              <w:rPr>
                <w:rFonts w:eastAsia="Times New Roman" w:cs="Times New Roman"/>
                <w:color w:val="000000"/>
                <w:sz w:val="18"/>
                <w:szCs w:val="18"/>
              </w:rPr>
              <w:t>wht</w:t>
            </w:r>
            <w:proofErr w:type="spellEnd"/>
            <w:r w:rsidRPr="00154CBF">
              <w:rPr>
                <w:rFonts w:eastAsia="Times New Roman" w:cs="Times New Roman"/>
                <w:color w:val="000000"/>
                <w:sz w:val="18"/>
                <w:szCs w:val="18"/>
              </w:rPr>
              <w:t>); other grains (grain); oilseeds (oils); raw sugar (</w:t>
            </w:r>
            <w:proofErr w:type="spellStart"/>
            <w:r w:rsidRPr="00154CBF">
              <w:rPr>
                <w:rFonts w:eastAsia="Times New Roman" w:cs="Times New Roman"/>
                <w:color w:val="000000"/>
                <w:sz w:val="18"/>
                <w:szCs w:val="18"/>
              </w:rPr>
              <w:t>sug</w:t>
            </w:r>
            <w:proofErr w:type="spellEnd"/>
            <w:r w:rsidRPr="00154CBF">
              <w:rPr>
                <w:rFonts w:eastAsia="Times New Roman" w:cs="Times New Roman"/>
                <w:color w:val="000000"/>
                <w:sz w:val="18"/>
                <w:szCs w:val="18"/>
              </w:rPr>
              <w:t>); vegetables, fruits and nuts (</w:t>
            </w:r>
            <w:proofErr w:type="spellStart"/>
            <w:r w:rsidRPr="00154CBF">
              <w:rPr>
                <w:rFonts w:eastAsia="Times New Roman" w:cs="Times New Roman"/>
                <w:color w:val="000000"/>
                <w:sz w:val="18"/>
                <w:szCs w:val="18"/>
              </w:rPr>
              <w:t>hort</w:t>
            </w:r>
            <w:proofErr w:type="spellEnd"/>
            <w:r w:rsidRPr="00154CBF">
              <w:rPr>
                <w:rFonts w:eastAsia="Times New Roman" w:cs="Times New Roman"/>
                <w:color w:val="000000"/>
                <w:sz w:val="18"/>
                <w:szCs w:val="18"/>
              </w:rPr>
              <w:t>); other crops (crops); cattle and sheep (cattle); pigs and milk (milk); crude vegetable oil (</w:t>
            </w:r>
            <w:proofErr w:type="spellStart"/>
            <w:r w:rsidRPr="00154CBF">
              <w:rPr>
                <w:rFonts w:eastAsia="Times New Roman" w:cs="Times New Roman"/>
                <w:color w:val="000000"/>
                <w:sz w:val="18"/>
                <w:szCs w:val="18"/>
              </w:rPr>
              <w:t>cvol</w:t>
            </w:r>
            <w:proofErr w:type="spellEnd"/>
            <w:r w:rsidRPr="00154CBF">
              <w:rPr>
                <w:rFonts w:eastAsia="Times New Roman" w:cs="Times New Roman"/>
                <w:color w:val="000000"/>
                <w:sz w:val="18"/>
                <w:szCs w:val="18"/>
              </w:rPr>
              <w:t>) ;poultry (</w:t>
            </w:r>
            <w:proofErr w:type="spellStart"/>
            <w:r w:rsidRPr="00154CBF">
              <w:rPr>
                <w:rFonts w:eastAsia="Times New Roman" w:cs="Times New Roman"/>
                <w:color w:val="000000"/>
                <w:sz w:val="18"/>
                <w:szCs w:val="18"/>
              </w:rPr>
              <w:t>pigpoul</w:t>
            </w:r>
            <w:proofErr w:type="spellEnd"/>
            <w:r w:rsidRPr="00154CBF">
              <w:rPr>
                <w:rFonts w:eastAsia="Times New Roman" w:cs="Times New Roman"/>
                <w:color w:val="000000"/>
                <w:sz w:val="18"/>
                <w:szCs w:val="18"/>
              </w:rPr>
              <w:t>); raw</w:t>
            </w:r>
          </w:p>
        </w:tc>
      </w:tr>
      <w:tr w:rsidR="00154CBF" w:rsidRPr="00154CBF" w14:paraId="1799BFBA" w14:textId="77777777" w:rsidTr="000B5F6F">
        <w:trPr>
          <w:trHeight w:val="334"/>
        </w:trPr>
        <w:tc>
          <w:tcPr>
            <w:tcW w:w="8379" w:type="dxa"/>
            <w:shd w:val="clear" w:color="auto" w:fill="auto"/>
            <w:hideMark/>
          </w:tcPr>
          <w:p w14:paraId="537DAE6F" w14:textId="77777777" w:rsidR="00154CBF" w:rsidRPr="00154CBF" w:rsidRDefault="00154CBF" w:rsidP="000B5F6F">
            <w:pPr>
              <w:rPr>
                <w:rFonts w:eastAsia="Times New Roman" w:cs="Times New Roman"/>
                <w:color w:val="000000"/>
                <w:sz w:val="18"/>
                <w:szCs w:val="18"/>
              </w:rPr>
            </w:pPr>
            <w:r w:rsidRPr="00154CBF">
              <w:rPr>
                <w:rFonts w:eastAsia="Times New Roman" w:cs="Times New Roman"/>
                <w:b/>
                <w:bCs/>
                <w:color w:val="000000"/>
                <w:sz w:val="18"/>
                <w:szCs w:val="18"/>
              </w:rPr>
              <w:t xml:space="preserve">Food and beverages (6 commodities): </w:t>
            </w:r>
            <w:r w:rsidRPr="00154CBF">
              <w:rPr>
                <w:rFonts w:eastAsia="Times New Roman" w:cs="Times New Roman"/>
                <w:color w:val="000000"/>
                <w:sz w:val="18"/>
                <w:szCs w:val="18"/>
              </w:rPr>
              <w:t>meat (</w:t>
            </w:r>
            <w:proofErr w:type="spellStart"/>
            <w:r w:rsidRPr="00154CBF">
              <w:rPr>
                <w:rFonts w:eastAsia="Times New Roman" w:cs="Times New Roman"/>
                <w:color w:val="000000"/>
                <w:sz w:val="18"/>
                <w:szCs w:val="18"/>
              </w:rPr>
              <w:t>cmt</w:t>
            </w:r>
            <w:proofErr w:type="spellEnd"/>
            <w:r w:rsidRPr="00154CBF">
              <w:rPr>
                <w:rFonts w:eastAsia="Times New Roman" w:cs="Times New Roman"/>
                <w:color w:val="000000"/>
                <w:sz w:val="18"/>
                <w:szCs w:val="18"/>
              </w:rPr>
              <w:t>); meat product (</w:t>
            </w:r>
            <w:proofErr w:type="spellStart"/>
            <w:r w:rsidRPr="00154CBF">
              <w:rPr>
                <w:rFonts w:eastAsia="Times New Roman" w:cs="Times New Roman"/>
                <w:color w:val="000000"/>
                <w:sz w:val="18"/>
                <w:szCs w:val="18"/>
              </w:rPr>
              <w:t>omt</w:t>
            </w:r>
            <w:proofErr w:type="spellEnd"/>
            <w:r w:rsidRPr="00154CBF">
              <w:rPr>
                <w:rFonts w:eastAsia="Times New Roman" w:cs="Times New Roman"/>
                <w:color w:val="000000"/>
                <w:sz w:val="18"/>
                <w:szCs w:val="18"/>
              </w:rPr>
              <w:t>) dairy (dairy); sugar processing (sugar); vegetable oils and fats (</w:t>
            </w:r>
            <w:proofErr w:type="spellStart"/>
            <w:r w:rsidRPr="00154CBF">
              <w:rPr>
                <w:rFonts w:eastAsia="Times New Roman" w:cs="Times New Roman"/>
                <w:color w:val="000000"/>
                <w:sz w:val="18"/>
                <w:szCs w:val="18"/>
              </w:rPr>
              <w:t>vol</w:t>
            </w:r>
            <w:proofErr w:type="spellEnd"/>
            <w:r w:rsidRPr="00154CBF">
              <w:rPr>
                <w:rFonts w:eastAsia="Times New Roman" w:cs="Times New Roman"/>
                <w:color w:val="000000"/>
                <w:sz w:val="18"/>
                <w:szCs w:val="18"/>
              </w:rPr>
              <w:t>); other food and beverages (</w:t>
            </w:r>
            <w:proofErr w:type="spellStart"/>
            <w:r w:rsidRPr="00154CBF">
              <w:rPr>
                <w:rFonts w:eastAsia="Times New Roman" w:cs="Times New Roman"/>
                <w:color w:val="000000"/>
                <w:sz w:val="18"/>
                <w:szCs w:val="18"/>
              </w:rPr>
              <w:t>ofd</w:t>
            </w:r>
            <w:proofErr w:type="spellEnd"/>
            <w:r w:rsidRPr="00154CBF">
              <w:rPr>
                <w:rFonts w:eastAsia="Times New Roman" w:cs="Times New Roman"/>
                <w:color w:val="000000"/>
                <w:sz w:val="18"/>
                <w:szCs w:val="18"/>
              </w:rPr>
              <w:t>);</w:t>
            </w:r>
          </w:p>
        </w:tc>
      </w:tr>
      <w:tr w:rsidR="00154CBF" w:rsidRPr="00154CBF" w14:paraId="0D295010" w14:textId="77777777" w:rsidTr="000B5F6F">
        <w:trPr>
          <w:trHeight w:val="62"/>
        </w:trPr>
        <w:tc>
          <w:tcPr>
            <w:tcW w:w="8379" w:type="dxa"/>
            <w:shd w:val="clear" w:color="auto" w:fill="auto"/>
            <w:noWrap/>
            <w:hideMark/>
          </w:tcPr>
          <w:p w14:paraId="005D0F87" w14:textId="77777777" w:rsidR="00154CBF" w:rsidRPr="00154CBF" w:rsidRDefault="00154CBF" w:rsidP="000B5F6F">
            <w:pPr>
              <w:rPr>
                <w:rFonts w:eastAsia="Times New Roman" w:cs="Times New Roman"/>
                <w:color w:val="000000"/>
                <w:sz w:val="18"/>
                <w:szCs w:val="18"/>
              </w:rPr>
            </w:pPr>
            <w:r w:rsidRPr="00154CBF">
              <w:rPr>
                <w:rFonts w:eastAsia="Times New Roman" w:cs="Times New Roman"/>
                <w:b/>
                <w:bCs/>
                <w:color w:val="000000"/>
                <w:sz w:val="18"/>
                <w:szCs w:val="18"/>
              </w:rPr>
              <w:t>Other ‘traditional’ bio-based activities (2 Commodities):</w:t>
            </w:r>
            <w:r w:rsidRPr="00154CBF">
              <w:rPr>
                <w:rFonts w:eastAsia="Times New Roman" w:cs="Times New Roman"/>
                <w:color w:val="000000"/>
                <w:sz w:val="18"/>
                <w:szCs w:val="18"/>
              </w:rPr>
              <w:t xml:space="preserve"> fisheries (fish); forestry (</w:t>
            </w:r>
            <w:proofErr w:type="spellStart"/>
            <w:r w:rsidRPr="00154CBF">
              <w:rPr>
                <w:rFonts w:eastAsia="Times New Roman" w:cs="Times New Roman"/>
                <w:color w:val="000000"/>
                <w:sz w:val="18"/>
                <w:szCs w:val="18"/>
              </w:rPr>
              <w:t>frs</w:t>
            </w:r>
            <w:proofErr w:type="spellEnd"/>
            <w:r w:rsidRPr="00154CBF">
              <w:rPr>
                <w:rFonts w:eastAsia="Times New Roman" w:cs="Times New Roman"/>
                <w:color w:val="000000"/>
                <w:sz w:val="18"/>
                <w:szCs w:val="18"/>
              </w:rPr>
              <w:t>);</w:t>
            </w:r>
          </w:p>
        </w:tc>
      </w:tr>
      <w:tr w:rsidR="00154CBF" w:rsidRPr="00154CBF" w14:paraId="3575FD27" w14:textId="77777777" w:rsidTr="000B5F6F">
        <w:trPr>
          <w:trHeight w:val="356"/>
        </w:trPr>
        <w:tc>
          <w:tcPr>
            <w:tcW w:w="8379" w:type="dxa"/>
            <w:shd w:val="clear" w:color="auto" w:fill="auto"/>
            <w:hideMark/>
          </w:tcPr>
          <w:p w14:paraId="04F13B20" w14:textId="77777777" w:rsidR="00154CBF" w:rsidRPr="00154CBF" w:rsidRDefault="00154CBF" w:rsidP="000B5F6F">
            <w:pPr>
              <w:rPr>
                <w:rFonts w:eastAsia="Times New Roman" w:cs="Times New Roman"/>
                <w:color w:val="000000"/>
                <w:sz w:val="18"/>
                <w:szCs w:val="18"/>
              </w:rPr>
            </w:pPr>
            <w:r w:rsidRPr="00154CBF">
              <w:rPr>
                <w:rFonts w:eastAsia="Times New Roman" w:cs="Times New Roman"/>
                <w:b/>
                <w:bCs/>
                <w:color w:val="000000"/>
                <w:sz w:val="18"/>
                <w:szCs w:val="18"/>
              </w:rPr>
              <w:t>Bio-mass supply (10 commodities):</w:t>
            </w:r>
            <w:r w:rsidRPr="00154CBF">
              <w:rPr>
                <w:rFonts w:eastAsia="Times New Roman" w:cs="Times New Roman"/>
                <w:color w:val="000000"/>
                <w:sz w:val="18"/>
                <w:szCs w:val="18"/>
              </w:rPr>
              <w:t xml:space="preserve"> plantations (plan); residue processing (res); pellets (</w:t>
            </w:r>
            <w:proofErr w:type="spellStart"/>
            <w:r w:rsidRPr="00154CBF">
              <w:rPr>
                <w:rFonts w:eastAsia="Times New Roman" w:cs="Times New Roman"/>
                <w:color w:val="000000"/>
                <w:sz w:val="18"/>
                <w:szCs w:val="18"/>
              </w:rPr>
              <w:t>pel</w:t>
            </w:r>
            <w:proofErr w:type="spellEnd"/>
            <w:r w:rsidRPr="00154CBF">
              <w:rPr>
                <w:rFonts w:eastAsia="Times New Roman" w:cs="Times New Roman"/>
                <w:color w:val="000000"/>
                <w:sz w:val="18"/>
                <w:szCs w:val="18"/>
              </w:rPr>
              <w:t>); agricultural residues (</w:t>
            </w:r>
            <w:proofErr w:type="spellStart"/>
            <w:r w:rsidRPr="00154CBF">
              <w:rPr>
                <w:rFonts w:eastAsia="Times New Roman" w:cs="Times New Roman"/>
                <w:color w:val="000000"/>
                <w:sz w:val="18"/>
                <w:szCs w:val="18"/>
              </w:rPr>
              <w:t>r_pdr</w:t>
            </w:r>
            <w:proofErr w:type="spellEnd"/>
            <w:r w:rsidRPr="00154CBF">
              <w:rPr>
                <w:rFonts w:eastAsia="Times New Roman" w:cs="Times New Roman"/>
                <w:color w:val="000000"/>
                <w:sz w:val="18"/>
                <w:szCs w:val="18"/>
              </w:rPr>
              <w:t xml:space="preserve">, </w:t>
            </w:r>
            <w:proofErr w:type="spellStart"/>
            <w:r w:rsidRPr="00154CBF">
              <w:rPr>
                <w:rFonts w:eastAsia="Times New Roman" w:cs="Times New Roman"/>
                <w:color w:val="000000"/>
                <w:sz w:val="18"/>
                <w:szCs w:val="18"/>
              </w:rPr>
              <w:t>r_wht</w:t>
            </w:r>
            <w:proofErr w:type="spellEnd"/>
            <w:r w:rsidRPr="00154CBF">
              <w:rPr>
                <w:rFonts w:eastAsia="Times New Roman" w:cs="Times New Roman"/>
                <w:color w:val="000000"/>
                <w:sz w:val="18"/>
                <w:szCs w:val="18"/>
              </w:rPr>
              <w:t xml:space="preserve">, </w:t>
            </w:r>
            <w:proofErr w:type="spellStart"/>
            <w:r w:rsidRPr="00154CBF">
              <w:rPr>
                <w:rFonts w:eastAsia="Times New Roman" w:cs="Times New Roman"/>
                <w:color w:val="000000"/>
                <w:sz w:val="18"/>
                <w:szCs w:val="18"/>
              </w:rPr>
              <w:t>r_grain</w:t>
            </w:r>
            <w:proofErr w:type="spellEnd"/>
            <w:r w:rsidRPr="00154CBF">
              <w:rPr>
                <w:rFonts w:eastAsia="Times New Roman" w:cs="Times New Roman"/>
                <w:color w:val="000000"/>
                <w:sz w:val="18"/>
                <w:szCs w:val="18"/>
              </w:rPr>
              <w:t xml:space="preserve">, </w:t>
            </w:r>
            <w:proofErr w:type="spellStart"/>
            <w:r w:rsidRPr="00154CBF">
              <w:rPr>
                <w:rFonts w:eastAsia="Times New Roman" w:cs="Times New Roman"/>
                <w:color w:val="000000"/>
                <w:sz w:val="18"/>
                <w:szCs w:val="18"/>
              </w:rPr>
              <w:t>r_oils</w:t>
            </w:r>
            <w:proofErr w:type="spellEnd"/>
            <w:r w:rsidRPr="00154CBF">
              <w:rPr>
                <w:rFonts w:eastAsia="Times New Roman" w:cs="Times New Roman"/>
                <w:color w:val="000000"/>
                <w:sz w:val="18"/>
                <w:szCs w:val="18"/>
              </w:rPr>
              <w:t xml:space="preserve">, </w:t>
            </w:r>
            <w:proofErr w:type="spellStart"/>
            <w:r w:rsidRPr="00154CBF">
              <w:rPr>
                <w:rFonts w:eastAsia="Times New Roman" w:cs="Times New Roman"/>
                <w:color w:val="000000"/>
                <w:sz w:val="18"/>
                <w:szCs w:val="18"/>
              </w:rPr>
              <w:t>r_crops</w:t>
            </w:r>
            <w:proofErr w:type="spellEnd"/>
            <w:r w:rsidRPr="00154CBF">
              <w:rPr>
                <w:rFonts w:eastAsia="Times New Roman" w:cs="Times New Roman"/>
                <w:color w:val="000000"/>
                <w:sz w:val="18"/>
                <w:szCs w:val="18"/>
              </w:rPr>
              <w:t xml:space="preserve">, </w:t>
            </w:r>
            <w:proofErr w:type="spellStart"/>
            <w:r w:rsidRPr="00154CBF">
              <w:rPr>
                <w:rFonts w:eastAsia="Times New Roman" w:cs="Times New Roman"/>
                <w:color w:val="000000"/>
                <w:sz w:val="18"/>
                <w:szCs w:val="18"/>
              </w:rPr>
              <w:t>r_hort</w:t>
            </w:r>
            <w:proofErr w:type="spellEnd"/>
            <w:r w:rsidRPr="00154CBF">
              <w:rPr>
                <w:rFonts w:eastAsia="Times New Roman" w:cs="Times New Roman"/>
                <w:color w:val="000000"/>
                <w:sz w:val="18"/>
                <w:szCs w:val="18"/>
              </w:rPr>
              <w:t>); forestry residues (</w:t>
            </w:r>
            <w:proofErr w:type="spellStart"/>
            <w:r w:rsidRPr="00154CBF">
              <w:rPr>
                <w:rFonts w:eastAsia="Times New Roman" w:cs="Times New Roman"/>
                <w:color w:val="000000"/>
                <w:sz w:val="18"/>
                <w:szCs w:val="18"/>
              </w:rPr>
              <w:t>r_frs</w:t>
            </w:r>
            <w:proofErr w:type="spellEnd"/>
            <w:r w:rsidRPr="00154CBF">
              <w:rPr>
                <w:rFonts w:eastAsia="Times New Roman" w:cs="Times New Roman"/>
                <w:color w:val="000000"/>
                <w:sz w:val="18"/>
                <w:szCs w:val="18"/>
              </w:rPr>
              <w:t>);</w:t>
            </w:r>
          </w:p>
        </w:tc>
      </w:tr>
      <w:tr w:rsidR="00154CBF" w:rsidRPr="00154CBF" w14:paraId="0F1C0816" w14:textId="77777777" w:rsidTr="000B5F6F">
        <w:trPr>
          <w:trHeight w:val="674"/>
        </w:trPr>
        <w:tc>
          <w:tcPr>
            <w:tcW w:w="8379" w:type="dxa"/>
            <w:shd w:val="clear" w:color="auto" w:fill="auto"/>
            <w:hideMark/>
          </w:tcPr>
          <w:p w14:paraId="0A7D9724" w14:textId="77777777" w:rsidR="00154CBF" w:rsidRPr="00154CBF" w:rsidRDefault="00154CBF" w:rsidP="000B5F6F">
            <w:pPr>
              <w:rPr>
                <w:rFonts w:eastAsia="Times New Roman" w:cs="Times New Roman"/>
                <w:color w:val="000000"/>
                <w:sz w:val="18"/>
                <w:szCs w:val="18"/>
              </w:rPr>
            </w:pPr>
            <w:r w:rsidRPr="00154CBF">
              <w:rPr>
                <w:rFonts w:eastAsia="Times New Roman" w:cs="Times New Roman"/>
                <w:b/>
                <w:bCs/>
                <w:color w:val="000000"/>
                <w:sz w:val="18"/>
                <w:szCs w:val="18"/>
              </w:rPr>
              <w:t>Bio-based energy (9 commodities):</w:t>
            </w:r>
            <w:r w:rsidRPr="00154CBF">
              <w:rPr>
                <w:rFonts w:eastAsia="Times New Roman" w:cs="Times New Roman"/>
                <w:color w:val="000000"/>
                <w:sz w:val="18"/>
                <w:szCs w:val="18"/>
              </w:rPr>
              <w:t xml:space="preserve"> first-generation biodiesel (</w:t>
            </w:r>
            <w:proofErr w:type="spellStart"/>
            <w:r w:rsidRPr="00154CBF">
              <w:rPr>
                <w:rFonts w:eastAsia="Times New Roman" w:cs="Times New Roman"/>
                <w:color w:val="000000"/>
                <w:sz w:val="18"/>
                <w:szCs w:val="18"/>
              </w:rPr>
              <w:t>biod</w:t>
            </w:r>
            <w:proofErr w:type="spellEnd"/>
            <w:r w:rsidRPr="00154CBF">
              <w:rPr>
                <w:rFonts w:eastAsia="Times New Roman" w:cs="Times New Roman"/>
                <w:color w:val="000000"/>
                <w:sz w:val="18"/>
                <w:szCs w:val="18"/>
              </w:rPr>
              <w:t>); first-generation bioethanol (</w:t>
            </w:r>
            <w:proofErr w:type="spellStart"/>
            <w:r w:rsidRPr="00154CBF">
              <w:rPr>
                <w:rFonts w:eastAsia="Times New Roman" w:cs="Times New Roman"/>
                <w:color w:val="000000"/>
                <w:sz w:val="18"/>
                <w:szCs w:val="18"/>
              </w:rPr>
              <w:t>biog</w:t>
            </w:r>
            <w:proofErr w:type="spellEnd"/>
            <w:r w:rsidRPr="00154CBF">
              <w:rPr>
                <w:rFonts w:eastAsia="Times New Roman" w:cs="Times New Roman"/>
                <w:color w:val="000000"/>
                <w:sz w:val="18"/>
                <w:szCs w:val="18"/>
              </w:rPr>
              <w:t>); bioelectricity (</w:t>
            </w:r>
            <w:proofErr w:type="spellStart"/>
            <w:r w:rsidRPr="00154CBF">
              <w:rPr>
                <w:rFonts w:eastAsia="Times New Roman" w:cs="Times New Roman"/>
                <w:color w:val="000000"/>
                <w:sz w:val="18"/>
                <w:szCs w:val="18"/>
              </w:rPr>
              <w:t>bioe</w:t>
            </w:r>
            <w:proofErr w:type="spellEnd"/>
            <w:r w:rsidRPr="00154CBF">
              <w:rPr>
                <w:rFonts w:eastAsia="Times New Roman" w:cs="Times New Roman"/>
                <w:color w:val="000000"/>
                <w:sz w:val="18"/>
                <w:szCs w:val="18"/>
              </w:rPr>
              <w:t>); second-generation thermal technology biofuel (</w:t>
            </w:r>
            <w:proofErr w:type="spellStart"/>
            <w:r w:rsidRPr="00154CBF">
              <w:rPr>
                <w:rFonts w:eastAsia="Times New Roman" w:cs="Times New Roman"/>
                <w:color w:val="000000"/>
                <w:sz w:val="18"/>
                <w:szCs w:val="18"/>
              </w:rPr>
              <w:t>ft_fuel</w:t>
            </w:r>
            <w:proofErr w:type="spellEnd"/>
            <w:r w:rsidRPr="00154CBF">
              <w:rPr>
                <w:rFonts w:eastAsia="Times New Roman" w:cs="Times New Roman"/>
                <w:color w:val="000000"/>
                <w:sz w:val="18"/>
                <w:szCs w:val="18"/>
              </w:rPr>
              <w:t>); second-generation biochemical technology biofuel (eth); biofuel feedstock grains (</w:t>
            </w:r>
            <w:proofErr w:type="spellStart"/>
            <w:r w:rsidRPr="00154CBF">
              <w:rPr>
                <w:rFonts w:eastAsia="Times New Roman" w:cs="Times New Roman"/>
                <w:color w:val="000000"/>
                <w:sz w:val="18"/>
                <w:szCs w:val="18"/>
              </w:rPr>
              <w:t>bf_g</w:t>
            </w:r>
            <w:proofErr w:type="spellEnd"/>
            <w:r w:rsidRPr="00154CBF">
              <w:rPr>
                <w:rFonts w:eastAsia="Times New Roman" w:cs="Times New Roman"/>
                <w:color w:val="000000"/>
                <w:sz w:val="18"/>
                <w:szCs w:val="18"/>
              </w:rPr>
              <w:t>); biofuel feedstock molasses (</w:t>
            </w:r>
            <w:proofErr w:type="spellStart"/>
            <w:r w:rsidRPr="00154CBF">
              <w:rPr>
                <w:rFonts w:eastAsia="Times New Roman" w:cs="Times New Roman"/>
                <w:color w:val="000000"/>
                <w:sz w:val="18"/>
                <w:szCs w:val="18"/>
              </w:rPr>
              <w:t>bf_m</w:t>
            </w:r>
            <w:proofErr w:type="spellEnd"/>
            <w:r w:rsidRPr="00154CBF">
              <w:rPr>
                <w:rFonts w:eastAsia="Times New Roman" w:cs="Times New Roman"/>
                <w:color w:val="000000"/>
                <w:sz w:val="18"/>
                <w:szCs w:val="18"/>
              </w:rPr>
              <w:t>); biofuel feedstock oils (</w:t>
            </w:r>
            <w:proofErr w:type="spellStart"/>
            <w:r w:rsidRPr="00154CBF">
              <w:rPr>
                <w:rFonts w:eastAsia="Times New Roman" w:cs="Times New Roman"/>
                <w:color w:val="000000"/>
                <w:sz w:val="18"/>
                <w:szCs w:val="18"/>
              </w:rPr>
              <w:t>bf_o</w:t>
            </w:r>
            <w:proofErr w:type="spellEnd"/>
            <w:r w:rsidRPr="00154CBF">
              <w:rPr>
                <w:rFonts w:eastAsia="Times New Roman" w:cs="Times New Roman"/>
                <w:color w:val="000000"/>
                <w:sz w:val="18"/>
                <w:szCs w:val="18"/>
              </w:rPr>
              <w:t>); biofuel feedstock sugar (</w:t>
            </w:r>
            <w:proofErr w:type="spellStart"/>
            <w:r w:rsidRPr="00154CBF">
              <w:rPr>
                <w:rFonts w:eastAsia="Times New Roman" w:cs="Times New Roman"/>
                <w:color w:val="000000"/>
                <w:sz w:val="18"/>
                <w:szCs w:val="18"/>
              </w:rPr>
              <w:t>bf_s</w:t>
            </w:r>
            <w:proofErr w:type="spellEnd"/>
            <w:r w:rsidRPr="00154CBF">
              <w:rPr>
                <w:rFonts w:eastAsia="Times New Roman" w:cs="Times New Roman"/>
                <w:color w:val="000000"/>
                <w:sz w:val="18"/>
                <w:szCs w:val="18"/>
              </w:rPr>
              <w:t>);</w:t>
            </w:r>
          </w:p>
        </w:tc>
      </w:tr>
      <w:tr w:rsidR="00154CBF" w:rsidRPr="00154CBF" w14:paraId="59E5F368" w14:textId="77777777" w:rsidTr="000B5F6F">
        <w:trPr>
          <w:trHeight w:val="231"/>
        </w:trPr>
        <w:tc>
          <w:tcPr>
            <w:tcW w:w="8379" w:type="dxa"/>
            <w:shd w:val="clear" w:color="auto" w:fill="auto"/>
            <w:hideMark/>
          </w:tcPr>
          <w:p w14:paraId="416EFCD3" w14:textId="77777777" w:rsidR="00154CBF" w:rsidRPr="00154CBF" w:rsidRDefault="00154CBF" w:rsidP="000B5F6F">
            <w:pPr>
              <w:rPr>
                <w:rFonts w:eastAsia="Times New Roman" w:cs="Times New Roman"/>
                <w:color w:val="000000"/>
                <w:sz w:val="18"/>
                <w:szCs w:val="18"/>
              </w:rPr>
            </w:pPr>
            <w:r w:rsidRPr="00154CBF">
              <w:rPr>
                <w:rFonts w:eastAsia="Times New Roman" w:cs="Times New Roman"/>
                <w:b/>
                <w:bCs/>
                <w:color w:val="000000"/>
                <w:sz w:val="18"/>
                <w:szCs w:val="18"/>
              </w:rPr>
              <w:t>Bio-based chemicals (4 commodities):</w:t>
            </w:r>
            <w:r w:rsidRPr="00154CBF">
              <w:rPr>
                <w:rFonts w:eastAsia="Times New Roman" w:cs="Times New Roman"/>
                <w:color w:val="000000"/>
                <w:sz w:val="18"/>
                <w:szCs w:val="18"/>
              </w:rPr>
              <w:t xml:space="preserve"> lignocellulose sugar (</w:t>
            </w:r>
            <w:proofErr w:type="spellStart"/>
            <w:r w:rsidRPr="00154CBF">
              <w:rPr>
                <w:rFonts w:eastAsia="Times New Roman" w:cs="Times New Roman"/>
                <w:color w:val="000000"/>
                <w:sz w:val="18"/>
                <w:szCs w:val="18"/>
              </w:rPr>
              <w:t>lsug</w:t>
            </w:r>
            <w:proofErr w:type="spellEnd"/>
            <w:r w:rsidRPr="00154CBF">
              <w:rPr>
                <w:rFonts w:eastAsia="Times New Roman" w:cs="Times New Roman"/>
                <w:color w:val="000000"/>
                <w:sz w:val="18"/>
                <w:szCs w:val="18"/>
              </w:rPr>
              <w:t xml:space="preserve">); </w:t>
            </w:r>
            <w:proofErr w:type="spellStart"/>
            <w:r w:rsidRPr="00154CBF">
              <w:rPr>
                <w:rFonts w:eastAsia="Times New Roman" w:cs="Times New Roman"/>
                <w:color w:val="000000"/>
                <w:sz w:val="18"/>
                <w:szCs w:val="18"/>
              </w:rPr>
              <w:t>polylactic</w:t>
            </w:r>
            <w:proofErr w:type="spellEnd"/>
            <w:r w:rsidRPr="00154CBF">
              <w:rPr>
                <w:rFonts w:eastAsia="Times New Roman" w:cs="Times New Roman"/>
                <w:color w:val="000000"/>
                <w:sz w:val="18"/>
                <w:szCs w:val="18"/>
              </w:rPr>
              <w:t xml:space="preserve"> acid (</w:t>
            </w:r>
            <w:proofErr w:type="spellStart"/>
            <w:r w:rsidRPr="00154CBF">
              <w:rPr>
                <w:rFonts w:eastAsia="Times New Roman" w:cs="Times New Roman"/>
                <w:color w:val="000000"/>
                <w:sz w:val="18"/>
                <w:szCs w:val="18"/>
              </w:rPr>
              <w:t>pla</w:t>
            </w:r>
            <w:proofErr w:type="spellEnd"/>
            <w:r w:rsidRPr="00154CBF">
              <w:rPr>
                <w:rFonts w:eastAsia="Times New Roman" w:cs="Times New Roman"/>
                <w:color w:val="000000"/>
                <w:sz w:val="18"/>
                <w:szCs w:val="18"/>
              </w:rPr>
              <w:t>); polyethylene (</w:t>
            </w:r>
            <w:proofErr w:type="spellStart"/>
            <w:r w:rsidRPr="00154CBF">
              <w:rPr>
                <w:rFonts w:eastAsia="Times New Roman" w:cs="Times New Roman"/>
                <w:color w:val="000000"/>
                <w:sz w:val="18"/>
                <w:szCs w:val="18"/>
              </w:rPr>
              <w:t>pe</w:t>
            </w:r>
            <w:proofErr w:type="spellEnd"/>
            <w:r w:rsidRPr="00154CBF">
              <w:rPr>
                <w:rFonts w:eastAsia="Times New Roman" w:cs="Times New Roman"/>
                <w:color w:val="000000"/>
                <w:sz w:val="18"/>
                <w:szCs w:val="18"/>
              </w:rPr>
              <w:t>); mixed bio/fossil chemicals (</w:t>
            </w:r>
            <w:proofErr w:type="spellStart"/>
            <w:r w:rsidRPr="00154CBF">
              <w:rPr>
                <w:rFonts w:eastAsia="Times New Roman" w:cs="Times New Roman"/>
                <w:color w:val="000000"/>
                <w:sz w:val="18"/>
                <w:szCs w:val="18"/>
              </w:rPr>
              <w:t>f_chem</w:t>
            </w:r>
            <w:proofErr w:type="spellEnd"/>
            <w:r w:rsidRPr="00154CBF">
              <w:rPr>
                <w:rFonts w:eastAsia="Times New Roman" w:cs="Times New Roman"/>
                <w:color w:val="000000"/>
                <w:sz w:val="18"/>
                <w:szCs w:val="18"/>
              </w:rPr>
              <w:t>);</w:t>
            </w:r>
          </w:p>
        </w:tc>
      </w:tr>
      <w:tr w:rsidR="00154CBF" w:rsidRPr="00154CBF" w14:paraId="560ACABB" w14:textId="77777777" w:rsidTr="000B5F6F">
        <w:trPr>
          <w:trHeight w:val="405"/>
        </w:trPr>
        <w:tc>
          <w:tcPr>
            <w:tcW w:w="8379" w:type="dxa"/>
            <w:shd w:val="clear" w:color="auto" w:fill="auto"/>
            <w:hideMark/>
          </w:tcPr>
          <w:p w14:paraId="65B7C4EE" w14:textId="77777777" w:rsidR="00154CBF" w:rsidRPr="00154CBF" w:rsidRDefault="00154CBF" w:rsidP="000B5F6F">
            <w:pPr>
              <w:rPr>
                <w:rFonts w:eastAsia="Times New Roman" w:cs="Times New Roman"/>
                <w:color w:val="000000"/>
                <w:sz w:val="18"/>
                <w:szCs w:val="18"/>
              </w:rPr>
            </w:pPr>
            <w:r w:rsidRPr="00154CBF">
              <w:rPr>
                <w:rFonts w:eastAsia="Times New Roman" w:cs="Times New Roman"/>
                <w:b/>
                <w:bCs/>
                <w:color w:val="000000"/>
                <w:sz w:val="18"/>
                <w:szCs w:val="18"/>
              </w:rPr>
              <w:t xml:space="preserve">Bio-based and non-bio-based animal feeds (4 commodities): </w:t>
            </w:r>
            <w:r w:rsidRPr="00154CBF">
              <w:rPr>
                <w:rFonts w:eastAsia="Times New Roman" w:cs="Times New Roman"/>
                <w:color w:val="000000"/>
                <w:sz w:val="18"/>
                <w:szCs w:val="18"/>
              </w:rPr>
              <w:t xml:space="preserve">bioethanol by-product distillers dried grains and </w:t>
            </w:r>
            <w:proofErr w:type="spellStart"/>
            <w:r w:rsidRPr="00154CBF">
              <w:rPr>
                <w:rFonts w:eastAsia="Times New Roman" w:cs="Times New Roman"/>
                <w:color w:val="000000"/>
                <w:sz w:val="18"/>
                <w:szCs w:val="18"/>
              </w:rPr>
              <w:t>solubles</w:t>
            </w:r>
            <w:proofErr w:type="spellEnd"/>
            <w:r w:rsidRPr="00154CBF">
              <w:rPr>
                <w:rFonts w:eastAsia="Times New Roman" w:cs="Times New Roman"/>
                <w:color w:val="000000"/>
                <w:sz w:val="18"/>
                <w:szCs w:val="18"/>
              </w:rPr>
              <w:t xml:space="preserve"> (</w:t>
            </w:r>
            <w:proofErr w:type="spellStart"/>
            <w:r w:rsidRPr="00154CBF">
              <w:rPr>
                <w:rFonts w:eastAsia="Times New Roman" w:cs="Times New Roman"/>
                <w:color w:val="000000"/>
                <w:sz w:val="18"/>
                <w:szCs w:val="18"/>
              </w:rPr>
              <w:t>ddgs</w:t>
            </w:r>
            <w:proofErr w:type="spellEnd"/>
            <w:r w:rsidRPr="00154CBF">
              <w:rPr>
                <w:rFonts w:eastAsia="Times New Roman" w:cs="Times New Roman"/>
                <w:color w:val="000000"/>
                <w:sz w:val="18"/>
                <w:szCs w:val="18"/>
              </w:rPr>
              <w:t>); biodiesel by-product oilcake (oilcake); animal feed (feed);</w:t>
            </w:r>
          </w:p>
        </w:tc>
      </w:tr>
      <w:tr w:rsidR="00154CBF" w:rsidRPr="00154CBF" w14:paraId="486CDB6F" w14:textId="77777777" w:rsidTr="000B5F6F">
        <w:trPr>
          <w:trHeight w:val="242"/>
        </w:trPr>
        <w:tc>
          <w:tcPr>
            <w:tcW w:w="8379" w:type="dxa"/>
            <w:shd w:val="clear" w:color="auto" w:fill="auto"/>
            <w:noWrap/>
            <w:hideMark/>
          </w:tcPr>
          <w:p w14:paraId="771053D4" w14:textId="77777777" w:rsidR="00154CBF" w:rsidRPr="00154CBF" w:rsidRDefault="00154CBF" w:rsidP="000B5F6F">
            <w:pPr>
              <w:rPr>
                <w:rFonts w:eastAsia="Times New Roman" w:cs="Times New Roman"/>
                <w:color w:val="000000"/>
                <w:sz w:val="18"/>
                <w:szCs w:val="18"/>
              </w:rPr>
            </w:pPr>
            <w:r w:rsidRPr="00154CBF">
              <w:rPr>
                <w:rFonts w:eastAsia="Times New Roman" w:cs="Times New Roman"/>
                <w:b/>
                <w:bCs/>
                <w:color w:val="000000"/>
                <w:sz w:val="18"/>
                <w:szCs w:val="18"/>
              </w:rPr>
              <w:t xml:space="preserve">Fertilizer (3 commodities): </w:t>
            </w:r>
            <w:r w:rsidRPr="00154CBF">
              <w:rPr>
                <w:rFonts w:eastAsia="Times New Roman" w:cs="Times New Roman"/>
                <w:color w:val="000000"/>
                <w:sz w:val="18"/>
                <w:szCs w:val="18"/>
              </w:rPr>
              <w:t>fertilizer nutrient nitrogen (</w:t>
            </w:r>
            <w:proofErr w:type="spellStart"/>
            <w:r w:rsidRPr="00154CBF">
              <w:rPr>
                <w:rFonts w:eastAsia="Times New Roman" w:cs="Times New Roman"/>
                <w:color w:val="000000"/>
                <w:sz w:val="18"/>
                <w:szCs w:val="18"/>
              </w:rPr>
              <w:t>fert_N</w:t>
            </w:r>
            <w:proofErr w:type="spellEnd"/>
            <w:r w:rsidRPr="00154CBF">
              <w:rPr>
                <w:rFonts w:eastAsia="Times New Roman" w:cs="Times New Roman"/>
                <w:color w:val="000000"/>
                <w:sz w:val="18"/>
                <w:szCs w:val="18"/>
              </w:rPr>
              <w:t>), phosphorous (</w:t>
            </w:r>
            <w:proofErr w:type="spellStart"/>
            <w:r w:rsidRPr="00154CBF">
              <w:rPr>
                <w:rFonts w:eastAsia="Times New Roman" w:cs="Times New Roman"/>
                <w:color w:val="000000"/>
                <w:sz w:val="18"/>
                <w:szCs w:val="18"/>
              </w:rPr>
              <w:t>fert_P</w:t>
            </w:r>
            <w:proofErr w:type="spellEnd"/>
            <w:r w:rsidRPr="00154CBF">
              <w:rPr>
                <w:rFonts w:eastAsia="Times New Roman" w:cs="Times New Roman"/>
                <w:color w:val="000000"/>
                <w:sz w:val="18"/>
                <w:szCs w:val="18"/>
              </w:rPr>
              <w:t>), potassium (</w:t>
            </w:r>
            <w:proofErr w:type="spellStart"/>
            <w:r w:rsidRPr="00154CBF">
              <w:rPr>
                <w:rFonts w:eastAsia="Times New Roman" w:cs="Times New Roman"/>
                <w:color w:val="000000"/>
                <w:sz w:val="18"/>
                <w:szCs w:val="18"/>
              </w:rPr>
              <w:t>fert_K</w:t>
            </w:r>
            <w:proofErr w:type="spellEnd"/>
            <w:r w:rsidRPr="00154CBF">
              <w:rPr>
                <w:rFonts w:eastAsia="Times New Roman" w:cs="Times New Roman"/>
                <w:color w:val="000000"/>
                <w:sz w:val="18"/>
                <w:szCs w:val="18"/>
              </w:rPr>
              <w:t>);</w:t>
            </w:r>
          </w:p>
        </w:tc>
      </w:tr>
      <w:tr w:rsidR="00154CBF" w:rsidRPr="00154CBF" w14:paraId="75ED9534" w14:textId="77777777" w:rsidTr="000B5F6F">
        <w:trPr>
          <w:trHeight w:val="62"/>
        </w:trPr>
        <w:tc>
          <w:tcPr>
            <w:tcW w:w="8379" w:type="dxa"/>
            <w:shd w:val="clear" w:color="auto" w:fill="auto"/>
            <w:noWrap/>
            <w:hideMark/>
          </w:tcPr>
          <w:p w14:paraId="132B0F10" w14:textId="77777777" w:rsidR="00154CBF" w:rsidRPr="00154CBF" w:rsidRDefault="00154CBF" w:rsidP="000B5F6F">
            <w:pPr>
              <w:rPr>
                <w:rFonts w:eastAsia="Times New Roman" w:cs="Times New Roman"/>
                <w:color w:val="000000"/>
                <w:sz w:val="18"/>
                <w:szCs w:val="18"/>
              </w:rPr>
            </w:pPr>
            <w:r w:rsidRPr="00154CBF">
              <w:rPr>
                <w:rFonts w:eastAsia="Times New Roman" w:cs="Times New Roman"/>
                <w:b/>
                <w:bCs/>
                <w:color w:val="000000"/>
                <w:sz w:val="18"/>
                <w:szCs w:val="18"/>
              </w:rPr>
              <w:t xml:space="preserve">Fossil fuels (5 commodities): </w:t>
            </w:r>
            <w:r w:rsidRPr="00154CBF">
              <w:rPr>
                <w:rFonts w:eastAsia="Times New Roman" w:cs="Times New Roman"/>
                <w:color w:val="000000"/>
                <w:sz w:val="18"/>
                <w:szCs w:val="18"/>
              </w:rPr>
              <w:t>crude oil (</w:t>
            </w:r>
            <w:proofErr w:type="spellStart"/>
            <w:r w:rsidRPr="00154CBF">
              <w:rPr>
                <w:rFonts w:eastAsia="Times New Roman" w:cs="Times New Roman"/>
                <w:color w:val="000000"/>
                <w:sz w:val="18"/>
                <w:szCs w:val="18"/>
              </w:rPr>
              <w:t>c_oil</w:t>
            </w:r>
            <w:proofErr w:type="spellEnd"/>
            <w:r w:rsidRPr="00154CBF">
              <w:rPr>
                <w:rFonts w:eastAsia="Times New Roman" w:cs="Times New Roman"/>
                <w:color w:val="000000"/>
                <w:sz w:val="18"/>
                <w:szCs w:val="18"/>
              </w:rPr>
              <w:t>); petroleum (petro); gas (gas); gas distribution (</w:t>
            </w:r>
            <w:proofErr w:type="spellStart"/>
            <w:r w:rsidRPr="00154CBF">
              <w:rPr>
                <w:rFonts w:eastAsia="Times New Roman" w:cs="Times New Roman"/>
                <w:color w:val="000000"/>
                <w:sz w:val="18"/>
                <w:szCs w:val="18"/>
              </w:rPr>
              <w:t>gas_dist</w:t>
            </w:r>
            <w:proofErr w:type="spellEnd"/>
            <w:r w:rsidRPr="00154CBF">
              <w:rPr>
                <w:rFonts w:eastAsia="Times New Roman" w:cs="Times New Roman"/>
                <w:color w:val="000000"/>
                <w:sz w:val="18"/>
                <w:szCs w:val="18"/>
              </w:rPr>
              <w:t>); coal (</w:t>
            </w:r>
            <w:proofErr w:type="spellStart"/>
            <w:r w:rsidRPr="00154CBF">
              <w:rPr>
                <w:rFonts w:eastAsia="Times New Roman" w:cs="Times New Roman"/>
                <w:color w:val="000000"/>
                <w:sz w:val="18"/>
                <w:szCs w:val="18"/>
              </w:rPr>
              <w:t>coa</w:t>
            </w:r>
            <w:proofErr w:type="spellEnd"/>
            <w:r w:rsidRPr="00154CBF">
              <w:rPr>
                <w:rFonts w:eastAsia="Times New Roman" w:cs="Times New Roman"/>
                <w:color w:val="000000"/>
                <w:sz w:val="18"/>
                <w:szCs w:val="18"/>
              </w:rPr>
              <w:t>);</w:t>
            </w:r>
          </w:p>
        </w:tc>
      </w:tr>
      <w:tr w:rsidR="00154CBF" w:rsidRPr="00154CBF" w14:paraId="2DDB8E0A" w14:textId="77777777" w:rsidTr="000B5F6F">
        <w:trPr>
          <w:trHeight w:val="62"/>
        </w:trPr>
        <w:tc>
          <w:tcPr>
            <w:tcW w:w="8379" w:type="dxa"/>
            <w:shd w:val="clear" w:color="auto" w:fill="auto"/>
            <w:noWrap/>
            <w:hideMark/>
          </w:tcPr>
          <w:p w14:paraId="3681D52A" w14:textId="77777777" w:rsidR="00154CBF" w:rsidRPr="00154CBF" w:rsidRDefault="00154CBF" w:rsidP="000B5F6F">
            <w:pPr>
              <w:rPr>
                <w:rFonts w:eastAsia="Times New Roman" w:cs="Times New Roman"/>
                <w:color w:val="000000"/>
                <w:sz w:val="18"/>
                <w:szCs w:val="18"/>
              </w:rPr>
            </w:pPr>
            <w:r w:rsidRPr="00154CBF">
              <w:rPr>
                <w:rFonts w:eastAsia="Times New Roman" w:cs="Times New Roman"/>
                <w:b/>
                <w:bCs/>
                <w:color w:val="000000"/>
                <w:sz w:val="18"/>
                <w:szCs w:val="18"/>
              </w:rPr>
              <w:t xml:space="preserve">Electricity (6 commodities): </w:t>
            </w:r>
            <w:r w:rsidRPr="00154CBF">
              <w:rPr>
                <w:rFonts w:eastAsia="Times New Roman" w:cs="Times New Roman"/>
                <w:color w:val="000000"/>
                <w:sz w:val="18"/>
                <w:szCs w:val="18"/>
              </w:rPr>
              <w:t>electricity from gas (</w:t>
            </w:r>
            <w:proofErr w:type="spellStart"/>
            <w:r w:rsidRPr="00154CBF">
              <w:rPr>
                <w:rFonts w:eastAsia="Times New Roman" w:cs="Times New Roman"/>
                <w:color w:val="000000"/>
                <w:sz w:val="18"/>
                <w:szCs w:val="18"/>
              </w:rPr>
              <w:t>ely_g</w:t>
            </w:r>
            <w:proofErr w:type="spellEnd"/>
            <w:r w:rsidRPr="00154CBF">
              <w:rPr>
                <w:rFonts w:eastAsia="Times New Roman" w:cs="Times New Roman"/>
                <w:color w:val="000000"/>
                <w:sz w:val="18"/>
                <w:szCs w:val="18"/>
              </w:rPr>
              <w:t>); electricity from coal (</w:t>
            </w:r>
            <w:proofErr w:type="spellStart"/>
            <w:r w:rsidRPr="00154CBF">
              <w:rPr>
                <w:rFonts w:eastAsia="Times New Roman" w:cs="Times New Roman"/>
                <w:color w:val="000000"/>
                <w:sz w:val="18"/>
                <w:szCs w:val="18"/>
              </w:rPr>
              <w:t>ely_c</w:t>
            </w:r>
            <w:proofErr w:type="spellEnd"/>
            <w:r w:rsidRPr="00154CBF">
              <w:rPr>
                <w:rFonts w:eastAsia="Times New Roman" w:cs="Times New Roman"/>
                <w:color w:val="000000"/>
                <w:sz w:val="18"/>
                <w:szCs w:val="18"/>
              </w:rPr>
              <w:t>); electricity from nuclear (</w:t>
            </w:r>
            <w:proofErr w:type="spellStart"/>
            <w:r w:rsidRPr="00154CBF">
              <w:rPr>
                <w:rFonts w:eastAsia="Times New Roman" w:cs="Times New Roman"/>
                <w:color w:val="000000"/>
                <w:sz w:val="18"/>
                <w:szCs w:val="18"/>
              </w:rPr>
              <w:t>ely_n</w:t>
            </w:r>
            <w:proofErr w:type="spellEnd"/>
            <w:r w:rsidRPr="00154CBF">
              <w:rPr>
                <w:rFonts w:eastAsia="Times New Roman" w:cs="Times New Roman"/>
                <w:color w:val="000000"/>
                <w:sz w:val="18"/>
                <w:szCs w:val="18"/>
              </w:rPr>
              <w:t>);</w:t>
            </w:r>
          </w:p>
        </w:tc>
      </w:tr>
      <w:tr w:rsidR="00154CBF" w:rsidRPr="00154CBF" w14:paraId="1C0023EA" w14:textId="77777777" w:rsidTr="000B5F6F">
        <w:trPr>
          <w:trHeight w:val="62"/>
        </w:trPr>
        <w:tc>
          <w:tcPr>
            <w:tcW w:w="8379" w:type="dxa"/>
            <w:shd w:val="clear" w:color="auto" w:fill="auto"/>
            <w:noWrap/>
            <w:hideMark/>
          </w:tcPr>
          <w:p w14:paraId="5AE4F10B" w14:textId="77777777" w:rsidR="00154CBF" w:rsidRPr="00154CBF" w:rsidRDefault="00154CBF" w:rsidP="000B5F6F">
            <w:pPr>
              <w:rPr>
                <w:rFonts w:eastAsia="Times New Roman" w:cs="Times New Roman"/>
                <w:color w:val="000000"/>
                <w:sz w:val="18"/>
                <w:szCs w:val="18"/>
              </w:rPr>
            </w:pPr>
            <w:r w:rsidRPr="00154CBF">
              <w:rPr>
                <w:rFonts w:eastAsia="Times New Roman" w:cs="Times New Roman"/>
                <w:color w:val="000000"/>
                <w:sz w:val="18"/>
                <w:szCs w:val="18"/>
              </w:rPr>
              <w:t>electricity from wind and solar (</w:t>
            </w:r>
            <w:proofErr w:type="spellStart"/>
            <w:r w:rsidRPr="00154CBF">
              <w:rPr>
                <w:rFonts w:eastAsia="Times New Roman" w:cs="Times New Roman"/>
                <w:color w:val="000000"/>
                <w:sz w:val="18"/>
                <w:szCs w:val="18"/>
              </w:rPr>
              <w:t>ely_w</w:t>
            </w:r>
            <w:proofErr w:type="spellEnd"/>
            <w:r w:rsidRPr="00154CBF">
              <w:rPr>
                <w:rFonts w:eastAsia="Times New Roman" w:cs="Times New Roman"/>
                <w:color w:val="000000"/>
                <w:sz w:val="18"/>
                <w:szCs w:val="18"/>
              </w:rPr>
              <w:t>); electricity from hydro and thermal (</w:t>
            </w:r>
            <w:proofErr w:type="spellStart"/>
            <w:r w:rsidRPr="00154CBF">
              <w:rPr>
                <w:rFonts w:eastAsia="Times New Roman" w:cs="Times New Roman"/>
                <w:color w:val="000000"/>
                <w:sz w:val="18"/>
                <w:szCs w:val="18"/>
              </w:rPr>
              <w:t>ely_h</w:t>
            </w:r>
            <w:proofErr w:type="spellEnd"/>
            <w:r w:rsidRPr="00154CBF">
              <w:rPr>
                <w:rFonts w:eastAsia="Times New Roman" w:cs="Times New Roman"/>
                <w:color w:val="000000"/>
                <w:sz w:val="18"/>
                <w:szCs w:val="18"/>
              </w:rPr>
              <w:t>); electricity transport (</w:t>
            </w:r>
            <w:proofErr w:type="spellStart"/>
            <w:r w:rsidRPr="00154CBF">
              <w:rPr>
                <w:rFonts w:eastAsia="Times New Roman" w:cs="Times New Roman"/>
                <w:color w:val="000000"/>
                <w:sz w:val="18"/>
                <w:szCs w:val="18"/>
              </w:rPr>
              <w:t>ely</w:t>
            </w:r>
            <w:proofErr w:type="spellEnd"/>
            <w:r w:rsidRPr="00154CBF">
              <w:rPr>
                <w:rFonts w:eastAsia="Times New Roman" w:cs="Times New Roman"/>
                <w:color w:val="000000"/>
                <w:sz w:val="18"/>
                <w:szCs w:val="18"/>
              </w:rPr>
              <w:t>);</w:t>
            </w:r>
          </w:p>
        </w:tc>
      </w:tr>
      <w:tr w:rsidR="00154CBF" w:rsidRPr="00154CBF" w14:paraId="49BA0539" w14:textId="77777777" w:rsidTr="000B5F6F">
        <w:trPr>
          <w:trHeight w:val="201"/>
        </w:trPr>
        <w:tc>
          <w:tcPr>
            <w:tcW w:w="8379" w:type="dxa"/>
            <w:shd w:val="clear" w:color="auto" w:fill="auto"/>
            <w:hideMark/>
          </w:tcPr>
          <w:p w14:paraId="4C6E9795" w14:textId="77777777" w:rsidR="00154CBF" w:rsidRPr="00154CBF" w:rsidRDefault="00154CBF" w:rsidP="000B5F6F">
            <w:pPr>
              <w:rPr>
                <w:rFonts w:eastAsia="Times New Roman" w:cs="Times New Roman"/>
                <w:color w:val="000000"/>
                <w:sz w:val="18"/>
                <w:szCs w:val="18"/>
              </w:rPr>
            </w:pPr>
            <w:r w:rsidRPr="00154CBF">
              <w:rPr>
                <w:rFonts w:eastAsia="Times New Roman" w:cs="Times New Roman"/>
                <w:b/>
                <w:bCs/>
                <w:color w:val="000000"/>
                <w:sz w:val="18"/>
                <w:szCs w:val="18"/>
              </w:rPr>
              <w:t xml:space="preserve">Other sectors (4 commodities): </w:t>
            </w:r>
            <w:r w:rsidRPr="00154CBF">
              <w:rPr>
                <w:rFonts w:eastAsia="Times New Roman" w:cs="Times New Roman"/>
                <w:color w:val="000000"/>
                <w:sz w:val="18"/>
                <w:szCs w:val="18"/>
              </w:rPr>
              <w:t>chemicals, rubber and plastics (</w:t>
            </w:r>
            <w:proofErr w:type="spellStart"/>
            <w:r w:rsidRPr="00154CBF">
              <w:rPr>
                <w:rFonts w:eastAsia="Times New Roman" w:cs="Times New Roman"/>
                <w:color w:val="000000"/>
                <w:sz w:val="18"/>
                <w:szCs w:val="18"/>
              </w:rPr>
              <w:t>chem</w:t>
            </w:r>
            <w:proofErr w:type="spellEnd"/>
            <w:r w:rsidRPr="00154CBF">
              <w:rPr>
                <w:rFonts w:eastAsia="Times New Roman" w:cs="Times New Roman"/>
                <w:color w:val="000000"/>
                <w:sz w:val="18"/>
                <w:szCs w:val="18"/>
              </w:rPr>
              <w:t>); transport (trans); other industry (</w:t>
            </w:r>
            <w:proofErr w:type="spellStart"/>
            <w:r w:rsidRPr="00154CBF">
              <w:rPr>
                <w:rFonts w:eastAsia="Times New Roman" w:cs="Times New Roman"/>
                <w:color w:val="000000"/>
                <w:sz w:val="18"/>
                <w:szCs w:val="18"/>
              </w:rPr>
              <w:t>OthInd</w:t>
            </w:r>
            <w:proofErr w:type="spellEnd"/>
            <w:r w:rsidRPr="00154CBF">
              <w:rPr>
                <w:rFonts w:eastAsia="Times New Roman" w:cs="Times New Roman"/>
                <w:color w:val="000000"/>
                <w:sz w:val="18"/>
                <w:szCs w:val="18"/>
              </w:rPr>
              <w:t>); services (</w:t>
            </w:r>
            <w:proofErr w:type="spellStart"/>
            <w:r w:rsidRPr="00154CBF">
              <w:rPr>
                <w:rFonts w:eastAsia="Times New Roman" w:cs="Times New Roman"/>
                <w:color w:val="000000"/>
                <w:sz w:val="18"/>
                <w:szCs w:val="18"/>
              </w:rPr>
              <w:t>serv</w:t>
            </w:r>
            <w:proofErr w:type="spellEnd"/>
            <w:r w:rsidRPr="00154CBF">
              <w:rPr>
                <w:rFonts w:eastAsia="Times New Roman" w:cs="Times New Roman"/>
                <w:color w:val="000000"/>
                <w:sz w:val="18"/>
                <w:szCs w:val="18"/>
              </w:rPr>
              <w:t>);</w:t>
            </w:r>
          </w:p>
        </w:tc>
      </w:tr>
      <w:tr w:rsidR="00154CBF" w:rsidRPr="00154CBF" w14:paraId="10CC0110" w14:textId="77777777" w:rsidTr="000B5F6F">
        <w:trPr>
          <w:trHeight w:val="62"/>
        </w:trPr>
        <w:tc>
          <w:tcPr>
            <w:tcW w:w="8379" w:type="dxa"/>
            <w:shd w:val="clear" w:color="auto" w:fill="auto"/>
            <w:noWrap/>
            <w:hideMark/>
          </w:tcPr>
          <w:p w14:paraId="00672A3C" w14:textId="77777777" w:rsidR="00154CBF" w:rsidRPr="00154CBF" w:rsidRDefault="00154CBF" w:rsidP="000B5F6F">
            <w:pPr>
              <w:rPr>
                <w:rFonts w:eastAsia="Times New Roman" w:cs="Times New Roman"/>
                <w:b/>
                <w:bCs/>
                <w:color w:val="000000"/>
                <w:sz w:val="18"/>
                <w:szCs w:val="18"/>
              </w:rPr>
            </w:pPr>
            <w:r w:rsidRPr="00154CBF">
              <w:rPr>
                <w:rFonts w:eastAsia="Times New Roman" w:cs="Times New Roman"/>
                <w:b/>
                <w:bCs/>
                <w:color w:val="000000"/>
                <w:sz w:val="18"/>
                <w:szCs w:val="18"/>
              </w:rPr>
              <w:t>Regional disaggregation (8 regions):</w:t>
            </w:r>
          </w:p>
        </w:tc>
      </w:tr>
      <w:tr w:rsidR="00154CBF" w:rsidRPr="00154CBF" w14:paraId="3A676716" w14:textId="77777777" w:rsidTr="000B5F6F">
        <w:trPr>
          <w:trHeight w:val="123"/>
        </w:trPr>
        <w:tc>
          <w:tcPr>
            <w:tcW w:w="8379" w:type="dxa"/>
            <w:shd w:val="clear" w:color="auto" w:fill="auto"/>
            <w:noWrap/>
            <w:hideMark/>
          </w:tcPr>
          <w:p w14:paraId="7D517E4E" w14:textId="77777777" w:rsidR="00154CBF" w:rsidRPr="00154CBF" w:rsidRDefault="00154CBF" w:rsidP="000B5F6F">
            <w:pPr>
              <w:rPr>
                <w:rFonts w:eastAsia="Times New Roman" w:cs="Times New Roman"/>
                <w:color w:val="000000"/>
                <w:sz w:val="18"/>
                <w:szCs w:val="18"/>
              </w:rPr>
            </w:pPr>
            <w:r w:rsidRPr="00154CBF">
              <w:rPr>
                <w:rFonts w:eastAsia="Times New Roman" w:cs="Times New Roman"/>
                <w:b/>
                <w:bCs/>
                <w:color w:val="000000"/>
                <w:sz w:val="18"/>
                <w:szCs w:val="18"/>
              </w:rPr>
              <w:t>EU members (4 regions):</w:t>
            </w:r>
            <w:r w:rsidRPr="00154CBF">
              <w:rPr>
                <w:rFonts w:eastAsia="Times New Roman" w:cs="Times New Roman"/>
                <w:color w:val="000000"/>
                <w:sz w:val="18"/>
                <w:szCs w:val="18"/>
              </w:rPr>
              <w:t xml:space="preserve"> Netherlands (NLD); Germany (DEU); Belgium (BEL); Rest Europe (REU);</w:t>
            </w:r>
          </w:p>
        </w:tc>
      </w:tr>
      <w:tr w:rsidR="00154CBF" w:rsidRPr="00154CBF" w14:paraId="5E50693E" w14:textId="77777777" w:rsidTr="000B5F6F">
        <w:trPr>
          <w:trHeight w:val="62"/>
        </w:trPr>
        <w:tc>
          <w:tcPr>
            <w:tcW w:w="8379" w:type="dxa"/>
            <w:shd w:val="clear" w:color="auto" w:fill="auto"/>
            <w:noWrap/>
            <w:hideMark/>
          </w:tcPr>
          <w:p w14:paraId="2BEA8080" w14:textId="77777777" w:rsidR="00154CBF" w:rsidRPr="00154CBF" w:rsidRDefault="00154CBF" w:rsidP="000B5F6F">
            <w:pPr>
              <w:rPr>
                <w:rFonts w:eastAsia="Times New Roman" w:cs="Times New Roman"/>
                <w:color w:val="000000"/>
                <w:sz w:val="18"/>
                <w:szCs w:val="18"/>
              </w:rPr>
            </w:pPr>
            <w:r w:rsidRPr="00154CBF">
              <w:rPr>
                <w:rFonts w:eastAsia="Times New Roman" w:cs="Times New Roman"/>
                <w:b/>
                <w:bCs/>
                <w:color w:val="000000"/>
                <w:sz w:val="18"/>
                <w:szCs w:val="18"/>
              </w:rPr>
              <w:t>Non-EU regions (4 regions):</w:t>
            </w:r>
            <w:r w:rsidRPr="00154CBF">
              <w:rPr>
                <w:rFonts w:eastAsia="Times New Roman" w:cs="Times New Roman"/>
                <w:color w:val="000000"/>
                <w:sz w:val="18"/>
                <w:szCs w:val="18"/>
              </w:rPr>
              <w:t xml:space="preserve"> North America (NA); South and Central America (SCA); Africa (AF); Asia and Oceania (ASIA).</w:t>
            </w:r>
          </w:p>
        </w:tc>
      </w:tr>
    </w:tbl>
    <w:p w14:paraId="6E5C7174" w14:textId="77777777" w:rsidR="00154CBF" w:rsidRDefault="00154CBF" w:rsidP="00154CBF"/>
    <w:p w14:paraId="745CA1F1" w14:textId="77777777" w:rsidR="009D020E" w:rsidRPr="00154CBF" w:rsidRDefault="009D020E" w:rsidP="00154CBF"/>
    <w:p w14:paraId="7FC42C9C" w14:textId="1ABA05A8" w:rsidR="009D020E" w:rsidRDefault="009D020E" w:rsidP="009D020E">
      <w:pPr>
        <w:pStyle w:val="Caption"/>
        <w:keepNext/>
      </w:pPr>
      <w:bookmarkStart w:id="23" w:name="_Ref448329176"/>
      <w:r>
        <w:t xml:space="preserve">Table S </w:t>
      </w:r>
      <w:r w:rsidR="0019250C">
        <w:fldChar w:fldCharType="begin"/>
      </w:r>
      <w:r w:rsidR="0019250C">
        <w:instrText xml:space="preserve"> SEQ Table_S \* ARABIC </w:instrText>
      </w:r>
      <w:r w:rsidR="0019250C">
        <w:fldChar w:fldCharType="separate"/>
      </w:r>
      <w:r w:rsidR="009B58B7">
        <w:rPr>
          <w:noProof/>
        </w:rPr>
        <w:t>2</w:t>
      </w:r>
      <w:r w:rsidR="0019250C">
        <w:rPr>
          <w:noProof/>
        </w:rPr>
        <w:fldChar w:fldCharType="end"/>
      </w:r>
      <w:bookmarkEnd w:id="23"/>
      <w:r>
        <w:t xml:space="preserve"> Exogenous inputs for </w:t>
      </w:r>
      <w:r w:rsidR="008E325A">
        <w:t>MARKAL-NL-UU and MAGNET</w:t>
      </w:r>
      <w:r w:rsidR="001076C8">
        <w:t xml:space="preserve"> expressed in USD 2007</w:t>
      </w:r>
    </w:p>
    <w:tbl>
      <w:tblPr>
        <w:tblW w:w="7425" w:type="dxa"/>
        <w:tblInd w:w="108" w:type="dxa"/>
        <w:tblLook w:val="04A0" w:firstRow="1" w:lastRow="0" w:firstColumn="1" w:lastColumn="0" w:noHBand="0" w:noVBand="1"/>
      </w:tblPr>
      <w:tblGrid>
        <w:gridCol w:w="2002"/>
        <w:gridCol w:w="1391"/>
        <w:gridCol w:w="934"/>
        <w:gridCol w:w="1032"/>
        <w:gridCol w:w="1032"/>
        <w:gridCol w:w="1034"/>
      </w:tblGrid>
      <w:tr w:rsidR="00FA7BE4" w:rsidRPr="005E2E2E" w14:paraId="64AF970E" w14:textId="77777777" w:rsidTr="00FA7BE4">
        <w:trPr>
          <w:trHeight w:val="300"/>
        </w:trPr>
        <w:tc>
          <w:tcPr>
            <w:tcW w:w="2002" w:type="dxa"/>
            <w:tcBorders>
              <w:top w:val="nil"/>
              <w:left w:val="nil"/>
              <w:bottom w:val="nil"/>
              <w:right w:val="nil"/>
            </w:tcBorders>
            <w:shd w:val="clear" w:color="auto" w:fill="auto"/>
            <w:noWrap/>
            <w:vAlign w:val="bottom"/>
            <w:hideMark/>
          </w:tcPr>
          <w:p w14:paraId="0BFC3DC5" w14:textId="77777777" w:rsidR="00FA7BE4" w:rsidRPr="005E2E2E" w:rsidRDefault="00FA7BE4" w:rsidP="00DC2C4D">
            <w:pPr>
              <w:rPr>
                <w:rFonts w:eastAsia="Times New Roman" w:cs="Times New Roman"/>
                <w:color w:val="000000"/>
                <w:sz w:val="18"/>
                <w:szCs w:val="18"/>
              </w:rPr>
            </w:pPr>
          </w:p>
        </w:tc>
        <w:tc>
          <w:tcPr>
            <w:tcW w:w="0" w:type="auto"/>
            <w:tcBorders>
              <w:top w:val="nil"/>
              <w:left w:val="nil"/>
              <w:bottom w:val="nil"/>
              <w:right w:val="nil"/>
            </w:tcBorders>
            <w:shd w:val="clear" w:color="auto" w:fill="auto"/>
            <w:noWrap/>
            <w:vAlign w:val="bottom"/>
            <w:hideMark/>
          </w:tcPr>
          <w:p w14:paraId="66DA67BC" w14:textId="77777777" w:rsidR="00FA7BE4" w:rsidRPr="005E2E2E" w:rsidRDefault="00FA7BE4" w:rsidP="00DC2C4D">
            <w:pPr>
              <w:rPr>
                <w:rFonts w:eastAsia="Times New Roman" w:cs="Times New Roman"/>
                <w:color w:val="000000"/>
                <w:sz w:val="18"/>
                <w:szCs w:val="18"/>
              </w:rPr>
            </w:pPr>
          </w:p>
        </w:tc>
        <w:tc>
          <w:tcPr>
            <w:tcW w:w="0" w:type="auto"/>
            <w:tcBorders>
              <w:top w:val="nil"/>
              <w:left w:val="nil"/>
              <w:bottom w:val="nil"/>
              <w:right w:val="nil"/>
            </w:tcBorders>
            <w:shd w:val="clear" w:color="auto" w:fill="auto"/>
            <w:noWrap/>
            <w:vAlign w:val="bottom"/>
            <w:hideMark/>
          </w:tcPr>
          <w:p w14:paraId="6BCA1633" w14:textId="77777777" w:rsidR="00FA7BE4" w:rsidRPr="005E2E2E" w:rsidRDefault="00FA7BE4" w:rsidP="00DC2C4D">
            <w:pPr>
              <w:jc w:val="center"/>
              <w:rPr>
                <w:rFonts w:eastAsia="Times New Roman" w:cs="Times New Roman"/>
                <w:color w:val="000000"/>
                <w:sz w:val="18"/>
                <w:szCs w:val="18"/>
              </w:rPr>
            </w:pPr>
            <w:r w:rsidRPr="005E2E2E">
              <w:rPr>
                <w:rFonts w:eastAsia="Times New Roman" w:cs="Times New Roman"/>
                <w:color w:val="000000"/>
                <w:sz w:val="18"/>
                <w:szCs w:val="18"/>
              </w:rPr>
              <w:t>2010</w:t>
            </w:r>
          </w:p>
        </w:tc>
        <w:tc>
          <w:tcPr>
            <w:tcW w:w="0" w:type="auto"/>
            <w:tcBorders>
              <w:top w:val="nil"/>
              <w:left w:val="nil"/>
              <w:bottom w:val="nil"/>
              <w:right w:val="nil"/>
            </w:tcBorders>
            <w:shd w:val="clear" w:color="auto" w:fill="auto"/>
            <w:noWrap/>
            <w:vAlign w:val="bottom"/>
            <w:hideMark/>
          </w:tcPr>
          <w:p w14:paraId="42C28D3A" w14:textId="77777777" w:rsidR="00FA7BE4" w:rsidRPr="005E2E2E" w:rsidRDefault="00FA7BE4" w:rsidP="00DC2C4D">
            <w:pPr>
              <w:jc w:val="center"/>
              <w:rPr>
                <w:rFonts w:eastAsia="Times New Roman" w:cs="Times New Roman"/>
                <w:color w:val="000000"/>
                <w:sz w:val="18"/>
                <w:szCs w:val="18"/>
              </w:rPr>
            </w:pPr>
            <w:r w:rsidRPr="005E2E2E">
              <w:rPr>
                <w:rFonts w:eastAsia="Times New Roman" w:cs="Times New Roman"/>
                <w:color w:val="000000"/>
                <w:sz w:val="18"/>
                <w:szCs w:val="18"/>
              </w:rPr>
              <w:t>2020</w:t>
            </w:r>
          </w:p>
        </w:tc>
        <w:tc>
          <w:tcPr>
            <w:tcW w:w="0" w:type="auto"/>
            <w:tcBorders>
              <w:top w:val="nil"/>
              <w:left w:val="nil"/>
              <w:bottom w:val="nil"/>
              <w:right w:val="nil"/>
            </w:tcBorders>
            <w:shd w:val="clear" w:color="auto" w:fill="auto"/>
            <w:noWrap/>
            <w:vAlign w:val="bottom"/>
            <w:hideMark/>
          </w:tcPr>
          <w:p w14:paraId="3CB0B6B9" w14:textId="77777777" w:rsidR="00FA7BE4" w:rsidRPr="005E2E2E" w:rsidRDefault="00FA7BE4" w:rsidP="00DC2C4D">
            <w:pPr>
              <w:jc w:val="center"/>
              <w:rPr>
                <w:rFonts w:eastAsia="Times New Roman" w:cs="Times New Roman"/>
                <w:color w:val="000000"/>
                <w:sz w:val="18"/>
                <w:szCs w:val="18"/>
              </w:rPr>
            </w:pPr>
            <w:r w:rsidRPr="005E2E2E">
              <w:rPr>
                <w:rFonts w:eastAsia="Times New Roman" w:cs="Times New Roman"/>
                <w:color w:val="000000"/>
                <w:sz w:val="18"/>
                <w:szCs w:val="18"/>
              </w:rPr>
              <w:t>2030</w:t>
            </w:r>
          </w:p>
        </w:tc>
        <w:tc>
          <w:tcPr>
            <w:tcW w:w="0" w:type="auto"/>
            <w:tcBorders>
              <w:top w:val="nil"/>
              <w:left w:val="nil"/>
              <w:bottom w:val="nil"/>
              <w:right w:val="nil"/>
            </w:tcBorders>
            <w:shd w:val="clear" w:color="auto" w:fill="auto"/>
            <w:noWrap/>
            <w:vAlign w:val="bottom"/>
            <w:hideMark/>
          </w:tcPr>
          <w:p w14:paraId="625EAA13" w14:textId="77777777" w:rsidR="00FA7BE4" w:rsidRPr="005E2E2E" w:rsidRDefault="00FA7BE4" w:rsidP="00DC2C4D">
            <w:pPr>
              <w:rPr>
                <w:rFonts w:eastAsia="Times New Roman" w:cs="Times New Roman"/>
                <w:color w:val="000000"/>
                <w:sz w:val="18"/>
                <w:szCs w:val="18"/>
              </w:rPr>
            </w:pPr>
            <w:r w:rsidRPr="005E2E2E">
              <w:rPr>
                <w:rFonts w:eastAsia="Times New Roman" w:cs="Times New Roman"/>
                <w:color w:val="000000"/>
                <w:sz w:val="18"/>
                <w:szCs w:val="18"/>
              </w:rPr>
              <w:t>Reference</w:t>
            </w:r>
          </w:p>
        </w:tc>
      </w:tr>
      <w:tr w:rsidR="00FA7BE4" w:rsidRPr="005E2E2E" w14:paraId="79249F52" w14:textId="77777777" w:rsidTr="00FA7BE4">
        <w:trPr>
          <w:trHeight w:val="300"/>
        </w:trPr>
        <w:tc>
          <w:tcPr>
            <w:tcW w:w="2002" w:type="dxa"/>
            <w:tcBorders>
              <w:top w:val="nil"/>
              <w:left w:val="nil"/>
              <w:bottom w:val="nil"/>
              <w:right w:val="nil"/>
            </w:tcBorders>
            <w:shd w:val="clear" w:color="auto" w:fill="auto"/>
            <w:noWrap/>
            <w:vAlign w:val="bottom"/>
            <w:hideMark/>
          </w:tcPr>
          <w:p w14:paraId="3F42F377" w14:textId="77777777" w:rsidR="00FA7BE4" w:rsidRPr="005E2E2E" w:rsidRDefault="00FA7BE4" w:rsidP="00DC2C4D">
            <w:pPr>
              <w:rPr>
                <w:rFonts w:eastAsia="Times New Roman" w:cs="Times New Roman"/>
                <w:color w:val="000000"/>
                <w:sz w:val="18"/>
                <w:szCs w:val="18"/>
              </w:rPr>
            </w:pPr>
            <w:r w:rsidRPr="005E2E2E">
              <w:rPr>
                <w:rFonts w:eastAsia="Times New Roman" w:cs="Times New Roman"/>
                <w:color w:val="000000"/>
                <w:sz w:val="18"/>
                <w:szCs w:val="18"/>
              </w:rPr>
              <w:t xml:space="preserve">Oil </w:t>
            </w:r>
          </w:p>
        </w:tc>
        <w:tc>
          <w:tcPr>
            <w:tcW w:w="0" w:type="auto"/>
            <w:tcBorders>
              <w:top w:val="nil"/>
              <w:left w:val="nil"/>
              <w:bottom w:val="nil"/>
              <w:right w:val="nil"/>
            </w:tcBorders>
            <w:shd w:val="clear" w:color="auto" w:fill="auto"/>
            <w:noWrap/>
            <w:vAlign w:val="bottom"/>
            <w:hideMark/>
          </w:tcPr>
          <w:p w14:paraId="0682EDFB" w14:textId="77777777" w:rsidR="00FA7BE4" w:rsidRPr="005E2E2E" w:rsidRDefault="00FA7BE4" w:rsidP="00DC2C4D">
            <w:pPr>
              <w:rPr>
                <w:rFonts w:eastAsia="Times New Roman" w:cs="Times New Roman"/>
                <w:color w:val="000000"/>
                <w:sz w:val="18"/>
                <w:szCs w:val="18"/>
              </w:rPr>
            </w:pPr>
            <w:r w:rsidRPr="005E2E2E">
              <w:rPr>
                <w:rFonts w:eastAsia="Times New Roman" w:cs="Times New Roman"/>
                <w:color w:val="000000"/>
                <w:sz w:val="18"/>
                <w:szCs w:val="18"/>
              </w:rPr>
              <w:t>$/GJ ($/</w:t>
            </w:r>
            <w:proofErr w:type="spellStart"/>
            <w:r w:rsidRPr="005E2E2E">
              <w:rPr>
                <w:rFonts w:eastAsia="Times New Roman" w:cs="Times New Roman"/>
                <w:color w:val="000000"/>
                <w:sz w:val="18"/>
                <w:szCs w:val="18"/>
              </w:rPr>
              <w:t>bbl</w:t>
            </w:r>
            <w:proofErr w:type="spellEnd"/>
            <w:r w:rsidRPr="005E2E2E">
              <w:rPr>
                <w:rFonts w:eastAsia="Times New Roman" w:cs="Times New Roman"/>
                <w:color w:val="000000"/>
                <w:sz w:val="18"/>
                <w:szCs w:val="18"/>
              </w:rPr>
              <w:t>)</w:t>
            </w:r>
          </w:p>
        </w:tc>
        <w:tc>
          <w:tcPr>
            <w:tcW w:w="0" w:type="auto"/>
            <w:tcBorders>
              <w:top w:val="nil"/>
              <w:left w:val="nil"/>
              <w:bottom w:val="nil"/>
              <w:right w:val="nil"/>
            </w:tcBorders>
            <w:shd w:val="clear" w:color="auto" w:fill="auto"/>
            <w:noWrap/>
            <w:vAlign w:val="bottom"/>
            <w:hideMark/>
          </w:tcPr>
          <w:p w14:paraId="0E0C5ED2" w14:textId="77777777" w:rsidR="00FA7BE4" w:rsidRPr="005E2E2E" w:rsidRDefault="00FA7BE4" w:rsidP="00DC2C4D">
            <w:pPr>
              <w:jc w:val="center"/>
              <w:rPr>
                <w:rFonts w:eastAsia="Times New Roman" w:cs="Times New Roman"/>
                <w:color w:val="000000"/>
                <w:sz w:val="18"/>
                <w:szCs w:val="18"/>
              </w:rPr>
            </w:pPr>
            <w:r w:rsidRPr="005E2E2E">
              <w:rPr>
                <w:rFonts w:eastAsia="Times New Roman" w:cs="Times New Roman"/>
                <w:color w:val="000000"/>
                <w:sz w:val="18"/>
                <w:szCs w:val="18"/>
              </w:rPr>
              <w:t>12.9 (74)</w:t>
            </w:r>
          </w:p>
        </w:tc>
        <w:tc>
          <w:tcPr>
            <w:tcW w:w="0" w:type="auto"/>
            <w:tcBorders>
              <w:top w:val="nil"/>
              <w:left w:val="nil"/>
              <w:bottom w:val="nil"/>
              <w:right w:val="nil"/>
            </w:tcBorders>
            <w:shd w:val="clear" w:color="auto" w:fill="auto"/>
            <w:noWrap/>
            <w:vAlign w:val="bottom"/>
            <w:hideMark/>
          </w:tcPr>
          <w:p w14:paraId="0B9E440E" w14:textId="77777777" w:rsidR="00FA7BE4" w:rsidRPr="005E2E2E" w:rsidRDefault="00FA7BE4" w:rsidP="00DC2C4D">
            <w:pPr>
              <w:jc w:val="center"/>
              <w:rPr>
                <w:rFonts w:eastAsia="Times New Roman" w:cs="Times New Roman"/>
                <w:color w:val="000000"/>
                <w:sz w:val="18"/>
                <w:szCs w:val="18"/>
              </w:rPr>
            </w:pPr>
            <w:r w:rsidRPr="005E2E2E">
              <w:rPr>
                <w:rFonts w:eastAsia="Times New Roman" w:cs="Times New Roman"/>
                <w:color w:val="000000"/>
                <w:sz w:val="18"/>
                <w:szCs w:val="18"/>
              </w:rPr>
              <w:t>17.3 (100)</w:t>
            </w:r>
          </w:p>
        </w:tc>
        <w:tc>
          <w:tcPr>
            <w:tcW w:w="0" w:type="auto"/>
            <w:tcBorders>
              <w:top w:val="nil"/>
              <w:left w:val="nil"/>
              <w:bottom w:val="nil"/>
              <w:right w:val="nil"/>
            </w:tcBorders>
            <w:shd w:val="clear" w:color="auto" w:fill="auto"/>
            <w:noWrap/>
            <w:vAlign w:val="bottom"/>
            <w:hideMark/>
          </w:tcPr>
          <w:p w14:paraId="51A5958A" w14:textId="77777777" w:rsidR="00FA7BE4" w:rsidRPr="005E2E2E" w:rsidRDefault="00FA7BE4" w:rsidP="00DC2C4D">
            <w:pPr>
              <w:jc w:val="center"/>
              <w:rPr>
                <w:rFonts w:eastAsia="Times New Roman" w:cs="Times New Roman"/>
                <w:color w:val="000000"/>
                <w:sz w:val="18"/>
                <w:szCs w:val="18"/>
              </w:rPr>
            </w:pPr>
            <w:r w:rsidRPr="005E2E2E">
              <w:rPr>
                <w:rFonts w:eastAsia="Times New Roman" w:cs="Times New Roman"/>
                <w:color w:val="000000"/>
                <w:sz w:val="18"/>
                <w:szCs w:val="18"/>
              </w:rPr>
              <w:t>19.1 (109)</w:t>
            </w:r>
          </w:p>
        </w:tc>
        <w:tc>
          <w:tcPr>
            <w:tcW w:w="0" w:type="auto"/>
            <w:tcBorders>
              <w:top w:val="nil"/>
              <w:left w:val="nil"/>
              <w:bottom w:val="nil"/>
              <w:right w:val="nil"/>
            </w:tcBorders>
            <w:shd w:val="clear" w:color="auto" w:fill="auto"/>
            <w:noWrap/>
            <w:vAlign w:val="bottom"/>
          </w:tcPr>
          <w:p w14:paraId="5866C1C6" w14:textId="36C54F9F" w:rsidR="00FA7BE4" w:rsidRPr="005E2E2E" w:rsidRDefault="00FA7BE4" w:rsidP="00DC2C4D">
            <w:pPr>
              <w:rPr>
                <w:rFonts w:eastAsia="Times New Roman" w:cs="Times New Roman"/>
                <w:color w:val="000000"/>
                <w:sz w:val="18"/>
                <w:szCs w:val="18"/>
              </w:rPr>
            </w:pPr>
            <w:r>
              <w:rPr>
                <w:rFonts w:eastAsia="Times New Roman" w:cs="Times New Roman"/>
                <w:color w:val="000000"/>
                <w:sz w:val="18"/>
                <w:szCs w:val="18"/>
              </w:rPr>
              <w:fldChar w:fldCharType="begin" w:fldLock="1"/>
            </w:r>
            <w:r>
              <w:rPr>
                <w:rFonts w:eastAsia="Times New Roman" w:cs="Times New Roman"/>
                <w:color w:val="000000"/>
                <w:sz w:val="18"/>
                <w:szCs w:val="18"/>
              </w:rPr>
              <w:instrText>ADDIN CSL_CITATION { "citationItems" : [ { "id" : "ITEM-1", "itemData" : { "author" : [ { "dropping-particle" : "", "family" : "OECD/IEA", "given" : "", "non-dropping-particle" : "", "parse-names" : false, "suffix" : "" } ], "id" : "ITEM-1", "issued" : { "date-parts" : [ [ "2014" ] ] }, "publisher" : "OECD/International Energy Agency", "publisher-place" : "Paris", "title" : "World Energy Outlook 2014", "type" : "book" }, "uris" : [ "http://www.mendeley.com/documents/?uuid=a4ff3ba0-7772-47f4-8423-6ccf7959e278" ] } ], "mendeley" : { "formattedCitation" : "[22]", "plainTextFormattedCitation" : "[22]", "previouslyFormattedCitation" : "[22]" }, "properties" : { "noteIndex" : 0 }, "schema" : "https://github.com/citation-style-language/schema/raw/master/csl-citation.json" }</w:instrText>
            </w:r>
            <w:r>
              <w:rPr>
                <w:rFonts w:eastAsia="Times New Roman" w:cs="Times New Roman"/>
                <w:color w:val="000000"/>
                <w:sz w:val="18"/>
                <w:szCs w:val="18"/>
              </w:rPr>
              <w:fldChar w:fldCharType="separate"/>
            </w:r>
            <w:r w:rsidRPr="003F791C">
              <w:rPr>
                <w:rFonts w:eastAsia="Times New Roman" w:cs="Times New Roman"/>
                <w:noProof/>
                <w:color w:val="000000"/>
                <w:sz w:val="18"/>
                <w:szCs w:val="18"/>
              </w:rPr>
              <w:t>[22]</w:t>
            </w:r>
            <w:r>
              <w:rPr>
                <w:rFonts w:eastAsia="Times New Roman" w:cs="Times New Roman"/>
                <w:color w:val="000000"/>
                <w:sz w:val="18"/>
                <w:szCs w:val="18"/>
              </w:rPr>
              <w:fldChar w:fldCharType="end"/>
            </w:r>
          </w:p>
        </w:tc>
      </w:tr>
      <w:tr w:rsidR="00FA7BE4" w:rsidRPr="005E2E2E" w14:paraId="18370F9F" w14:textId="77777777" w:rsidTr="00FA7BE4">
        <w:trPr>
          <w:trHeight w:val="300"/>
        </w:trPr>
        <w:tc>
          <w:tcPr>
            <w:tcW w:w="2002" w:type="dxa"/>
            <w:tcBorders>
              <w:top w:val="nil"/>
              <w:left w:val="nil"/>
              <w:bottom w:val="nil"/>
              <w:right w:val="nil"/>
            </w:tcBorders>
            <w:shd w:val="clear" w:color="auto" w:fill="auto"/>
            <w:noWrap/>
            <w:vAlign w:val="bottom"/>
            <w:hideMark/>
          </w:tcPr>
          <w:p w14:paraId="0D00F731" w14:textId="77777777" w:rsidR="00FA7BE4" w:rsidRPr="005E2E2E" w:rsidRDefault="00FA7BE4" w:rsidP="00DC2C4D">
            <w:pPr>
              <w:rPr>
                <w:rFonts w:eastAsia="Times New Roman" w:cs="Times New Roman"/>
                <w:color w:val="000000"/>
                <w:sz w:val="18"/>
                <w:szCs w:val="18"/>
              </w:rPr>
            </w:pPr>
            <w:r w:rsidRPr="005E2E2E">
              <w:rPr>
                <w:rFonts w:eastAsia="Times New Roman" w:cs="Times New Roman"/>
                <w:color w:val="000000"/>
                <w:sz w:val="18"/>
                <w:szCs w:val="18"/>
              </w:rPr>
              <w:t>Natural gas</w:t>
            </w:r>
          </w:p>
        </w:tc>
        <w:tc>
          <w:tcPr>
            <w:tcW w:w="0" w:type="auto"/>
            <w:tcBorders>
              <w:top w:val="nil"/>
              <w:left w:val="nil"/>
              <w:bottom w:val="nil"/>
              <w:right w:val="nil"/>
            </w:tcBorders>
            <w:shd w:val="clear" w:color="auto" w:fill="auto"/>
            <w:noWrap/>
            <w:vAlign w:val="bottom"/>
            <w:hideMark/>
          </w:tcPr>
          <w:p w14:paraId="7917C393" w14:textId="77777777" w:rsidR="00FA7BE4" w:rsidRPr="005E2E2E" w:rsidRDefault="00FA7BE4" w:rsidP="00DC2C4D">
            <w:pPr>
              <w:rPr>
                <w:rFonts w:eastAsia="Times New Roman" w:cs="Times New Roman"/>
                <w:color w:val="000000"/>
                <w:sz w:val="18"/>
                <w:szCs w:val="18"/>
              </w:rPr>
            </w:pPr>
            <w:r w:rsidRPr="005E2E2E">
              <w:rPr>
                <w:rFonts w:eastAsia="Times New Roman" w:cs="Times New Roman"/>
                <w:color w:val="000000"/>
                <w:sz w:val="18"/>
                <w:szCs w:val="18"/>
              </w:rPr>
              <w:t>$/GJ ($/</w:t>
            </w:r>
            <w:proofErr w:type="spellStart"/>
            <w:r w:rsidRPr="005E2E2E">
              <w:rPr>
                <w:rFonts w:eastAsia="Times New Roman" w:cs="Times New Roman"/>
                <w:color w:val="000000"/>
                <w:sz w:val="18"/>
                <w:szCs w:val="18"/>
              </w:rPr>
              <w:t>MBtu</w:t>
            </w:r>
            <w:proofErr w:type="spellEnd"/>
            <w:r w:rsidRPr="005E2E2E">
              <w:rPr>
                <w:rFonts w:eastAsia="Times New Roman" w:cs="Times New Roman"/>
                <w:color w:val="000000"/>
                <w:sz w:val="18"/>
                <w:szCs w:val="18"/>
              </w:rPr>
              <w:t>)</w:t>
            </w:r>
          </w:p>
        </w:tc>
        <w:tc>
          <w:tcPr>
            <w:tcW w:w="0" w:type="auto"/>
            <w:tcBorders>
              <w:top w:val="nil"/>
              <w:left w:val="nil"/>
              <w:bottom w:val="nil"/>
              <w:right w:val="nil"/>
            </w:tcBorders>
            <w:shd w:val="clear" w:color="auto" w:fill="auto"/>
            <w:noWrap/>
            <w:vAlign w:val="bottom"/>
            <w:hideMark/>
          </w:tcPr>
          <w:p w14:paraId="46F3C18E" w14:textId="77777777" w:rsidR="00FA7BE4" w:rsidRPr="005E2E2E" w:rsidRDefault="00FA7BE4" w:rsidP="00DC2C4D">
            <w:pPr>
              <w:jc w:val="center"/>
              <w:rPr>
                <w:rFonts w:eastAsia="Times New Roman" w:cs="Times New Roman"/>
                <w:color w:val="000000"/>
                <w:sz w:val="18"/>
                <w:szCs w:val="18"/>
              </w:rPr>
            </w:pPr>
            <w:r w:rsidRPr="005E2E2E">
              <w:rPr>
                <w:rFonts w:eastAsia="Times New Roman" w:cs="Times New Roman"/>
                <w:color w:val="000000"/>
                <w:sz w:val="18"/>
                <w:szCs w:val="18"/>
              </w:rPr>
              <w:t>6.8 (7)</w:t>
            </w:r>
          </w:p>
        </w:tc>
        <w:tc>
          <w:tcPr>
            <w:tcW w:w="0" w:type="auto"/>
            <w:tcBorders>
              <w:top w:val="nil"/>
              <w:left w:val="nil"/>
              <w:bottom w:val="nil"/>
              <w:right w:val="nil"/>
            </w:tcBorders>
            <w:shd w:val="clear" w:color="auto" w:fill="auto"/>
            <w:noWrap/>
            <w:vAlign w:val="bottom"/>
            <w:hideMark/>
          </w:tcPr>
          <w:p w14:paraId="10554BB1" w14:textId="77777777" w:rsidR="00FA7BE4" w:rsidRPr="005E2E2E" w:rsidRDefault="00FA7BE4" w:rsidP="00DC2C4D">
            <w:pPr>
              <w:jc w:val="center"/>
              <w:rPr>
                <w:rFonts w:eastAsia="Times New Roman" w:cs="Times New Roman"/>
                <w:color w:val="000000"/>
                <w:sz w:val="18"/>
                <w:szCs w:val="18"/>
              </w:rPr>
            </w:pPr>
            <w:r w:rsidRPr="005E2E2E">
              <w:rPr>
                <w:rFonts w:eastAsia="Times New Roman" w:cs="Times New Roman"/>
                <w:color w:val="000000"/>
                <w:sz w:val="18"/>
                <w:szCs w:val="18"/>
              </w:rPr>
              <w:t>9.4 (10)</w:t>
            </w:r>
          </w:p>
        </w:tc>
        <w:tc>
          <w:tcPr>
            <w:tcW w:w="0" w:type="auto"/>
            <w:tcBorders>
              <w:top w:val="nil"/>
              <w:left w:val="nil"/>
              <w:bottom w:val="nil"/>
              <w:right w:val="nil"/>
            </w:tcBorders>
            <w:shd w:val="clear" w:color="auto" w:fill="auto"/>
            <w:noWrap/>
            <w:vAlign w:val="bottom"/>
            <w:hideMark/>
          </w:tcPr>
          <w:p w14:paraId="33457661" w14:textId="77777777" w:rsidR="00FA7BE4" w:rsidRPr="005E2E2E" w:rsidRDefault="00FA7BE4" w:rsidP="00DC2C4D">
            <w:pPr>
              <w:jc w:val="center"/>
              <w:rPr>
                <w:rFonts w:eastAsia="Times New Roman" w:cs="Times New Roman"/>
                <w:color w:val="000000"/>
                <w:sz w:val="18"/>
                <w:szCs w:val="18"/>
              </w:rPr>
            </w:pPr>
            <w:r w:rsidRPr="005E2E2E">
              <w:rPr>
                <w:rFonts w:eastAsia="Times New Roman" w:cs="Times New Roman"/>
                <w:color w:val="000000"/>
                <w:sz w:val="18"/>
                <w:szCs w:val="18"/>
              </w:rPr>
              <w:t>10.2 (11)</w:t>
            </w:r>
          </w:p>
        </w:tc>
        <w:tc>
          <w:tcPr>
            <w:tcW w:w="0" w:type="auto"/>
            <w:tcBorders>
              <w:top w:val="nil"/>
              <w:left w:val="nil"/>
              <w:bottom w:val="nil"/>
              <w:right w:val="nil"/>
            </w:tcBorders>
            <w:shd w:val="clear" w:color="auto" w:fill="auto"/>
            <w:noWrap/>
            <w:vAlign w:val="bottom"/>
          </w:tcPr>
          <w:p w14:paraId="0ADB401B" w14:textId="4C9DF5CE" w:rsidR="00FA7BE4" w:rsidRPr="005E2E2E" w:rsidRDefault="00FA7BE4" w:rsidP="00DC2C4D">
            <w:pPr>
              <w:rPr>
                <w:rFonts w:eastAsia="Times New Roman" w:cs="Times New Roman"/>
                <w:color w:val="000000"/>
                <w:sz w:val="18"/>
                <w:szCs w:val="18"/>
              </w:rPr>
            </w:pPr>
            <w:r>
              <w:rPr>
                <w:rFonts w:eastAsia="Times New Roman" w:cs="Times New Roman"/>
                <w:color w:val="000000"/>
                <w:sz w:val="18"/>
                <w:szCs w:val="18"/>
              </w:rPr>
              <w:fldChar w:fldCharType="begin" w:fldLock="1"/>
            </w:r>
            <w:r>
              <w:rPr>
                <w:rFonts w:eastAsia="Times New Roman" w:cs="Times New Roman"/>
                <w:color w:val="000000"/>
                <w:sz w:val="18"/>
                <w:szCs w:val="18"/>
              </w:rPr>
              <w:instrText>ADDIN CSL_CITATION { "citationItems" : [ { "id" : "ITEM-1", "itemData" : { "author" : [ { "dropping-particle" : "", "family" : "OECD/IEA", "given" : "", "non-dropping-particle" : "", "parse-names" : false, "suffix" : "" } ], "id" : "ITEM-1", "issued" : { "date-parts" : [ [ "2014" ] ] }, "publisher" : "OECD/International Energy Agency", "publisher-place" : "Paris", "title" : "World Energy Outlook 2014", "type" : "book" }, "uris" : [ "http://www.mendeley.com/documents/?uuid=a4ff3ba0-7772-47f4-8423-6ccf7959e278" ] } ], "mendeley" : { "formattedCitation" : "[22]", "plainTextFormattedCitation" : "[22]", "previouslyFormattedCitation" : "[22]" }, "properties" : { "noteIndex" : 0 }, "schema" : "https://github.com/citation-style-language/schema/raw/master/csl-citation.json" }</w:instrText>
            </w:r>
            <w:r>
              <w:rPr>
                <w:rFonts w:eastAsia="Times New Roman" w:cs="Times New Roman"/>
                <w:color w:val="000000"/>
                <w:sz w:val="18"/>
                <w:szCs w:val="18"/>
              </w:rPr>
              <w:fldChar w:fldCharType="separate"/>
            </w:r>
            <w:r w:rsidRPr="003F791C">
              <w:rPr>
                <w:rFonts w:eastAsia="Times New Roman" w:cs="Times New Roman"/>
                <w:noProof/>
                <w:color w:val="000000"/>
                <w:sz w:val="18"/>
                <w:szCs w:val="18"/>
              </w:rPr>
              <w:t>[22]</w:t>
            </w:r>
            <w:r>
              <w:rPr>
                <w:rFonts w:eastAsia="Times New Roman" w:cs="Times New Roman"/>
                <w:color w:val="000000"/>
                <w:sz w:val="18"/>
                <w:szCs w:val="18"/>
              </w:rPr>
              <w:fldChar w:fldCharType="end"/>
            </w:r>
          </w:p>
        </w:tc>
      </w:tr>
      <w:tr w:rsidR="00FA7BE4" w:rsidRPr="005E2E2E" w14:paraId="69CFE976" w14:textId="77777777" w:rsidTr="00FA7BE4">
        <w:trPr>
          <w:trHeight w:val="300"/>
        </w:trPr>
        <w:tc>
          <w:tcPr>
            <w:tcW w:w="2002" w:type="dxa"/>
            <w:tcBorders>
              <w:top w:val="nil"/>
              <w:left w:val="nil"/>
              <w:bottom w:val="nil"/>
              <w:right w:val="nil"/>
            </w:tcBorders>
            <w:shd w:val="clear" w:color="auto" w:fill="auto"/>
            <w:noWrap/>
            <w:vAlign w:val="bottom"/>
            <w:hideMark/>
          </w:tcPr>
          <w:p w14:paraId="135F0900" w14:textId="77777777" w:rsidR="00FA7BE4" w:rsidRPr="005E2E2E" w:rsidRDefault="00FA7BE4" w:rsidP="00DC2C4D">
            <w:pPr>
              <w:rPr>
                <w:rFonts w:eastAsia="Times New Roman" w:cs="Times New Roman"/>
                <w:color w:val="000000"/>
                <w:sz w:val="18"/>
                <w:szCs w:val="18"/>
              </w:rPr>
            </w:pPr>
            <w:r w:rsidRPr="005E2E2E">
              <w:rPr>
                <w:rFonts w:eastAsia="Times New Roman" w:cs="Times New Roman"/>
                <w:color w:val="000000"/>
                <w:sz w:val="18"/>
                <w:szCs w:val="18"/>
              </w:rPr>
              <w:t>Coal</w:t>
            </w:r>
          </w:p>
        </w:tc>
        <w:tc>
          <w:tcPr>
            <w:tcW w:w="0" w:type="auto"/>
            <w:tcBorders>
              <w:top w:val="nil"/>
              <w:left w:val="nil"/>
              <w:bottom w:val="nil"/>
              <w:right w:val="nil"/>
            </w:tcBorders>
            <w:shd w:val="clear" w:color="auto" w:fill="auto"/>
            <w:noWrap/>
            <w:vAlign w:val="bottom"/>
            <w:hideMark/>
          </w:tcPr>
          <w:p w14:paraId="3FE90E5B" w14:textId="77777777" w:rsidR="00FA7BE4" w:rsidRPr="005E2E2E" w:rsidRDefault="00FA7BE4" w:rsidP="00DC2C4D">
            <w:pPr>
              <w:rPr>
                <w:rFonts w:eastAsia="Times New Roman" w:cs="Times New Roman"/>
                <w:color w:val="000000"/>
                <w:sz w:val="18"/>
                <w:szCs w:val="18"/>
              </w:rPr>
            </w:pPr>
            <w:r w:rsidRPr="005E2E2E">
              <w:rPr>
                <w:rFonts w:eastAsia="Times New Roman" w:cs="Times New Roman"/>
                <w:color w:val="000000"/>
                <w:sz w:val="18"/>
                <w:szCs w:val="18"/>
              </w:rPr>
              <w:t>$/GJ ($/</w:t>
            </w:r>
            <w:proofErr w:type="spellStart"/>
            <w:r w:rsidRPr="005E2E2E">
              <w:rPr>
                <w:rFonts w:eastAsia="Times New Roman" w:cs="Times New Roman"/>
                <w:color w:val="000000"/>
                <w:sz w:val="18"/>
                <w:szCs w:val="18"/>
              </w:rPr>
              <w:t>tonne</w:t>
            </w:r>
            <w:proofErr w:type="spellEnd"/>
            <w:r w:rsidRPr="005E2E2E">
              <w:rPr>
                <w:rFonts w:eastAsia="Times New Roman" w:cs="Times New Roman"/>
                <w:color w:val="000000"/>
                <w:sz w:val="18"/>
                <w:szCs w:val="18"/>
              </w:rPr>
              <w:t>)</w:t>
            </w:r>
          </w:p>
        </w:tc>
        <w:tc>
          <w:tcPr>
            <w:tcW w:w="0" w:type="auto"/>
            <w:tcBorders>
              <w:top w:val="nil"/>
              <w:left w:val="nil"/>
              <w:bottom w:val="nil"/>
              <w:right w:val="nil"/>
            </w:tcBorders>
            <w:shd w:val="clear" w:color="auto" w:fill="auto"/>
            <w:noWrap/>
            <w:vAlign w:val="bottom"/>
            <w:hideMark/>
          </w:tcPr>
          <w:p w14:paraId="10887EBD" w14:textId="77777777" w:rsidR="00FA7BE4" w:rsidRPr="005E2E2E" w:rsidRDefault="00FA7BE4" w:rsidP="00DC2C4D">
            <w:pPr>
              <w:jc w:val="center"/>
              <w:rPr>
                <w:rFonts w:eastAsia="Times New Roman" w:cs="Times New Roman"/>
                <w:color w:val="000000"/>
                <w:sz w:val="18"/>
                <w:szCs w:val="18"/>
              </w:rPr>
            </w:pPr>
            <w:r w:rsidRPr="005E2E2E">
              <w:rPr>
                <w:rFonts w:eastAsia="Times New Roman" w:cs="Times New Roman"/>
                <w:color w:val="000000"/>
                <w:sz w:val="18"/>
                <w:szCs w:val="18"/>
              </w:rPr>
              <w:t>4.2 (94)</w:t>
            </w:r>
          </w:p>
        </w:tc>
        <w:tc>
          <w:tcPr>
            <w:tcW w:w="0" w:type="auto"/>
            <w:tcBorders>
              <w:top w:val="nil"/>
              <w:left w:val="nil"/>
              <w:bottom w:val="nil"/>
              <w:right w:val="nil"/>
            </w:tcBorders>
            <w:shd w:val="clear" w:color="auto" w:fill="auto"/>
            <w:noWrap/>
            <w:vAlign w:val="bottom"/>
            <w:hideMark/>
          </w:tcPr>
          <w:p w14:paraId="5F72E144" w14:textId="77777777" w:rsidR="00FA7BE4" w:rsidRPr="005E2E2E" w:rsidRDefault="00FA7BE4" w:rsidP="00DC2C4D">
            <w:pPr>
              <w:jc w:val="center"/>
              <w:rPr>
                <w:rFonts w:eastAsia="Times New Roman" w:cs="Times New Roman"/>
                <w:color w:val="000000"/>
                <w:sz w:val="18"/>
                <w:szCs w:val="18"/>
              </w:rPr>
            </w:pPr>
            <w:r w:rsidRPr="005E2E2E">
              <w:rPr>
                <w:rFonts w:eastAsia="Times New Roman" w:cs="Times New Roman"/>
                <w:color w:val="000000"/>
                <w:sz w:val="18"/>
                <w:szCs w:val="18"/>
              </w:rPr>
              <w:t>4 (90)</w:t>
            </w:r>
          </w:p>
        </w:tc>
        <w:tc>
          <w:tcPr>
            <w:tcW w:w="0" w:type="auto"/>
            <w:tcBorders>
              <w:top w:val="nil"/>
              <w:left w:val="nil"/>
              <w:bottom w:val="nil"/>
              <w:right w:val="nil"/>
            </w:tcBorders>
            <w:shd w:val="clear" w:color="auto" w:fill="auto"/>
            <w:noWrap/>
            <w:vAlign w:val="bottom"/>
            <w:hideMark/>
          </w:tcPr>
          <w:p w14:paraId="5538C7EA" w14:textId="77777777" w:rsidR="00FA7BE4" w:rsidRPr="005E2E2E" w:rsidRDefault="00FA7BE4" w:rsidP="00DC2C4D">
            <w:pPr>
              <w:jc w:val="center"/>
              <w:rPr>
                <w:rFonts w:eastAsia="Times New Roman" w:cs="Times New Roman"/>
                <w:color w:val="000000"/>
                <w:sz w:val="18"/>
                <w:szCs w:val="18"/>
              </w:rPr>
            </w:pPr>
            <w:r w:rsidRPr="005E2E2E">
              <w:rPr>
                <w:rFonts w:eastAsia="Times New Roman" w:cs="Times New Roman"/>
                <w:color w:val="000000"/>
                <w:sz w:val="18"/>
                <w:szCs w:val="18"/>
              </w:rPr>
              <w:t>4.2 (96)</w:t>
            </w:r>
          </w:p>
        </w:tc>
        <w:tc>
          <w:tcPr>
            <w:tcW w:w="0" w:type="auto"/>
            <w:tcBorders>
              <w:top w:val="nil"/>
              <w:left w:val="nil"/>
              <w:bottom w:val="nil"/>
              <w:right w:val="nil"/>
            </w:tcBorders>
            <w:shd w:val="clear" w:color="auto" w:fill="auto"/>
            <w:noWrap/>
            <w:vAlign w:val="bottom"/>
          </w:tcPr>
          <w:p w14:paraId="7E5A5085" w14:textId="1F4EE962" w:rsidR="00FA7BE4" w:rsidRPr="005E2E2E" w:rsidRDefault="00FA7BE4" w:rsidP="00DC2C4D">
            <w:pPr>
              <w:rPr>
                <w:rFonts w:eastAsia="Times New Roman" w:cs="Times New Roman"/>
                <w:color w:val="000000"/>
                <w:sz w:val="18"/>
                <w:szCs w:val="18"/>
              </w:rPr>
            </w:pPr>
            <w:r>
              <w:rPr>
                <w:rFonts w:eastAsia="Times New Roman" w:cs="Times New Roman"/>
                <w:color w:val="000000"/>
                <w:sz w:val="18"/>
                <w:szCs w:val="18"/>
              </w:rPr>
              <w:fldChar w:fldCharType="begin" w:fldLock="1"/>
            </w:r>
            <w:r>
              <w:rPr>
                <w:rFonts w:eastAsia="Times New Roman" w:cs="Times New Roman"/>
                <w:color w:val="000000"/>
                <w:sz w:val="18"/>
                <w:szCs w:val="18"/>
              </w:rPr>
              <w:instrText>ADDIN CSL_CITATION { "citationItems" : [ { "id" : "ITEM-1", "itemData" : { "author" : [ { "dropping-particle" : "", "family" : "OECD/IEA", "given" : "", "non-dropping-particle" : "", "parse-names" : false, "suffix" : "" } ], "id" : "ITEM-1", "issued" : { "date-parts" : [ [ "2014" ] ] }, "publisher" : "OECD/International Energy Agency", "publisher-place" : "Paris", "title" : "World Energy Outlook 2014", "type" : "book" }, "uris" : [ "http://www.mendeley.com/documents/?uuid=a4ff3ba0-7772-47f4-8423-6ccf7959e278" ] } ], "mendeley" : { "formattedCitation" : "[22]", "plainTextFormattedCitation" : "[22]", "previouslyFormattedCitation" : "[22]" }, "properties" : { "noteIndex" : 0 }, "schema" : "https://github.com/citation-style-language/schema/raw/master/csl-citation.json" }</w:instrText>
            </w:r>
            <w:r>
              <w:rPr>
                <w:rFonts w:eastAsia="Times New Roman" w:cs="Times New Roman"/>
                <w:color w:val="000000"/>
                <w:sz w:val="18"/>
                <w:szCs w:val="18"/>
              </w:rPr>
              <w:fldChar w:fldCharType="separate"/>
            </w:r>
            <w:r w:rsidRPr="003F791C">
              <w:rPr>
                <w:rFonts w:eastAsia="Times New Roman" w:cs="Times New Roman"/>
                <w:noProof/>
                <w:color w:val="000000"/>
                <w:sz w:val="18"/>
                <w:szCs w:val="18"/>
              </w:rPr>
              <w:t>[22]</w:t>
            </w:r>
            <w:r>
              <w:rPr>
                <w:rFonts w:eastAsia="Times New Roman" w:cs="Times New Roman"/>
                <w:color w:val="000000"/>
                <w:sz w:val="18"/>
                <w:szCs w:val="18"/>
              </w:rPr>
              <w:fldChar w:fldCharType="end"/>
            </w:r>
          </w:p>
        </w:tc>
      </w:tr>
      <w:tr w:rsidR="00FA7BE4" w:rsidRPr="005E2E2E" w14:paraId="587FA83F" w14:textId="77777777" w:rsidTr="00FA7BE4">
        <w:trPr>
          <w:trHeight w:val="300"/>
        </w:trPr>
        <w:tc>
          <w:tcPr>
            <w:tcW w:w="2002" w:type="dxa"/>
            <w:tcBorders>
              <w:top w:val="nil"/>
              <w:left w:val="nil"/>
              <w:bottom w:val="nil"/>
              <w:right w:val="nil"/>
            </w:tcBorders>
            <w:shd w:val="clear" w:color="auto" w:fill="auto"/>
            <w:noWrap/>
            <w:vAlign w:val="bottom"/>
            <w:hideMark/>
          </w:tcPr>
          <w:p w14:paraId="683C4A54" w14:textId="77777777" w:rsidR="00FA7BE4" w:rsidRPr="005E2E2E" w:rsidRDefault="00FA7BE4" w:rsidP="00DC2C4D">
            <w:pPr>
              <w:rPr>
                <w:rFonts w:eastAsia="Times New Roman" w:cs="Times New Roman"/>
                <w:color w:val="000000"/>
                <w:sz w:val="18"/>
                <w:szCs w:val="18"/>
              </w:rPr>
            </w:pPr>
            <w:r w:rsidRPr="005E2E2E">
              <w:rPr>
                <w:rFonts w:eastAsia="Times New Roman" w:cs="Times New Roman"/>
                <w:color w:val="000000"/>
                <w:sz w:val="18"/>
                <w:szCs w:val="18"/>
              </w:rPr>
              <w:t>CO</w:t>
            </w:r>
            <w:r w:rsidRPr="005E2E2E">
              <w:rPr>
                <w:rFonts w:eastAsia="Times New Roman" w:cs="Times New Roman"/>
                <w:color w:val="000000"/>
                <w:sz w:val="18"/>
                <w:szCs w:val="18"/>
                <w:vertAlign w:val="subscript"/>
              </w:rPr>
              <w:t>2</w:t>
            </w:r>
          </w:p>
        </w:tc>
        <w:tc>
          <w:tcPr>
            <w:tcW w:w="0" w:type="auto"/>
            <w:tcBorders>
              <w:top w:val="nil"/>
              <w:left w:val="nil"/>
              <w:bottom w:val="nil"/>
              <w:right w:val="nil"/>
            </w:tcBorders>
            <w:shd w:val="clear" w:color="auto" w:fill="auto"/>
            <w:noWrap/>
            <w:vAlign w:val="bottom"/>
            <w:hideMark/>
          </w:tcPr>
          <w:p w14:paraId="6BFC5905" w14:textId="77777777" w:rsidR="00FA7BE4" w:rsidRPr="005E2E2E" w:rsidRDefault="00FA7BE4" w:rsidP="00DC2C4D">
            <w:pPr>
              <w:rPr>
                <w:rFonts w:eastAsia="Times New Roman" w:cs="Times New Roman"/>
                <w:color w:val="000000"/>
                <w:sz w:val="18"/>
                <w:szCs w:val="18"/>
              </w:rPr>
            </w:pPr>
            <w:r w:rsidRPr="005E2E2E">
              <w:rPr>
                <w:rFonts w:eastAsia="Times New Roman" w:cs="Times New Roman"/>
                <w:color w:val="000000"/>
                <w:sz w:val="18"/>
                <w:szCs w:val="18"/>
              </w:rPr>
              <w:t>$/</w:t>
            </w:r>
            <w:proofErr w:type="spellStart"/>
            <w:r w:rsidRPr="005E2E2E">
              <w:rPr>
                <w:rFonts w:eastAsia="Times New Roman" w:cs="Times New Roman"/>
                <w:color w:val="000000"/>
                <w:sz w:val="18"/>
                <w:szCs w:val="18"/>
              </w:rPr>
              <w:t>tonne</w:t>
            </w:r>
            <w:proofErr w:type="spellEnd"/>
          </w:p>
        </w:tc>
        <w:tc>
          <w:tcPr>
            <w:tcW w:w="0" w:type="auto"/>
            <w:tcBorders>
              <w:top w:val="nil"/>
              <w:left w:val="nil"/>
              <w:bottom w:val="nil"/>
              <w:right w:val="nil"/>
            </w:tcBorders>
            <w:shd w:val="clear" w:color="auto" w:fill="auto"/>
            <w:noWrap/>
            <w:vAlign w:val="bottom"/>
            <w:hideMark/>
          </w:tcPr>
          <w:p w14:paraId="771E35AA" w14:textId="24342445" w:rsidR="00FA7BE4" w:rsidRPr="005E2E2E" w:rsidRDefault="00FA7BE4" w:rsidP="00DC2C4D">
            <w:pPr>
              <w:rPr>
                <w:rFonts w:eastAsia="Times New Roman" w:cs="Times New Roman"/>
                <w:color w:val="000000"/>
                <w:sz w:val="18"/>
                <w:szCs w:val="18"/>
              </w:rPr>
            </w:pPr>
          </w:p>
        </w:tc>
        <w:tc>
          <w:tcPr>
            <w:tcW w:w="0" w:type="auto"/>
            <w:tcBorders>
              <w:top w:val="nil"/>
              <w:left w:val="nil"/>
              <w:bottom w:val="nil"/>
              <w:right w:val="nil"/>
            </w:tcBorders>
            <w:shd w:val="clear" w:color="auto" w:fill="auto"/>
            <w:noWrap/>
            <w:vAlign w:val="bottom"/>
            <w:hideMark/>
          </w:tcPr>
          <w:p w14:paraId="5CFDB14B" w14:textId="77777777" w:rsidR="00FA7BE4" w:rsidRPr="005E2E2E" w:rsidRDefault="00FA7BE4" w:rsidP="00DC2C4D">
            <w:pPr>
              <w:jc w:val="center"/>
              <w:rPr>
                <w:rFonts w:eastAsia="Times New Roman" w:cs="Times New Roman"/>
                <w:color w:val="000000"/>
                <w:sz w:val="18"/>
                <w:szCs w:val="18"/>
              </w:rPr>
            </w:pPr>
            <w:r w:rsidRPr="005E2E2E">
              <w:rPr>
                <w:rFonts w:eastAsia="Times New Roman" w:cs="Times New Roman"/>
                <w:color w:val="000000"/>
                <w:sz w:val="18"/>
                <w:szCs w:val="18"/>
              </w:rPr>
              <w:t>20</w:t>
            </w:r>
          </w:p>
        </w:tc>
        <w:tc>
          <w:tcPr>
            <w:tcW w:w="0" w:type="auto"/>
            <w:tcBorders>
              <w:top w:val="nil"/>
              <w:left w:val="nil"/>
              <w:bottom w:val="nil"/>
              <w:right w:val="nil"/>
            </w:tcBorders>
            <w:shd w:val="clear" w:color="auto" w:fill="auto"/>
            <w:noWrap/>
            <w:vAlign w:val="bottom"/>
            <w:hideMark/>
          </w:tcPr>
          <w:p w14:paraId="0B8771BA" w14:textId="77777777" w:rsidR="00FA7BE4" w:rsidRPr="005E2E2E" w:rsidRDefault="00FA7BE4" w:rsidP="00DC2C4D">
            <w:pPr>
              <w:jc w:val="center"/>
              <w:rPr>
                <w:rFonts w:eastAsia="Times New Roman" w:cs="Times New Roman"/>
                <w:color w:val="000000"/>
                <w:sz w:val="18"/>
                <w:szCs w:val="18"/>
              </w:rPr>
            </w:pPr>
            <w:r w:rsidRPr="005E2E2E">
              <w:rPr>
                <w:rFonts w:eastAsia="Times New Roman" w:cs="Times New Roman"/>
                <w:color w:val="000000"/>
                <w:sz w:val="18"/>
                <w:szCs w:val="18"/>
              </w:rPr>
              <w:t>33</w:t>
            </w:r>
          </w:p>
        </w:tc>
        <w:tc>
          <w:tcPr>
            <w:tcW w:w="0" w:type="auto"/>
            <w:tcBorders>
              <w:top w:val="nil"/>
              <w:left w:val="nil"/>
              <w:bottom w:val="nil"/>
              <w:right w:val="nil"/>
            </w:tcBorders>
            <w:shd w:val="clear" w:color="auto" w:fill="auto"/>
            <w:noWrap/>
            <w:vAlign w:val="bottom"/>
          </w:tcPr>
          <w:p w14:paraId="66229A20" w14:textId="462460F4" w:rsidR="00FA7BE4" w:rsidRPr="005E2E2E" w:rsidRDefault="00FA7BE4" w:rsidP="00DC2C4D">
            <w:pPr>
              <w:rPr>
                <w:rFonts w:eastAsia="Times New Roman" w:cs="Times New Roman"/>
                <w:color w:val="000000"/>
                <w:sz w:val="18"/>
                <w:szCs w:val="18"/>
              </w:rPr>
            </w:pPr>
            <w:r>
              <w:rPr>
                <w:rFonts w:eastAsia="Times New Roman" w:cs="Times New Roman"/>
                <w:color w:val="000000"/>
                <w:sz w:val="18"/>
                <w:szCs w:val="18"/>
              </w:rPr>
              <w:fldChar w:fldCharType="begin" w:fldLock="1"/>
            </w:r>
            <w:r>
              <w:rPr>
                <w:rFonts w:eastAsia="Times New Roman" w:cs="Times New Roman"/>
                <w:color w:val="000000"/>
                <w:sz w:val="18"/>
                <w:szCs w:val="18"/>
              </w:rPr>
              <w:instrText>ADDIN CSL_CITATION { "citationItems" : [ { "id" : "ITEM-1", "itemData" : { "author" : [ { "dropping-particle" : "", "family" : "OECD/IEA", "given" : "", "non-dropping-particle" : "", "parse-names" : false, "suffix" : "" } ], "id" : "ITEM-1", "issued" : { "date-parts" : [ [ "2014" ] ] }, "publisher" : "OECD/International Energy Agency", "publisher-place" : "Paris", "title" : "World Energy Outlook 2014", "type" : "book" }, "uris" : [ "http://www.mendeley.com/documents/?uuid=a4ff3ba0-7772-47f4-8423-6ccf7959e278" ] } ], "mendeley" : { "formattedCitation" : "[22]", "plainTextFormattedCitation" : "[22]", "previouslyFormattedCitation" : "[22]" }, "properties" : { "noteIndex" : 0 }, "schema" : "https://github.com/citation-style-language/schema/raw/master/csl-citation.json" }</w:instrText>
            </w:r>
            <w:r>
              <w:rPr>
                <w:rFonts w:eastAsia="Times New Roman" w:cs="Times New Roman"/>
                <w:color w:val="000000"/>
                <w:sz w:val="18"/>
                <w:szCs w:val="18"/>
              </w:rPr>
              <w:fldChar w:fldCharType="separate"/>
            </w:r>
            <w:r w:rsidRPr="003F791C">
              <w:rPr>
                <w:rFonts w:eastAsia="Times New Roman" w:cs="Times New Roman"/>
                <w:noProof/>
                <w:color w:val="000000"/>
                <w:sz w:val="18"/>
                <w:szCs w:val="18"/>
              </w:rPr>
              <w:t>[22]</w:t>
            </w:r>
            <w:r>
              <w:rPr>
                <w:rFonts w:eastAsia="Times New Roman" w:cs="Times New Roman"/>
                <w:color w:val="000000"/>
                <w:sz w:val="18"/>
                <w:szCs w:val="18"/>
              </w:rPr>
              <w:fldChar w:fldCharType="end"/>
            </w:r>
          </w:p>
        </w:tc>
      </w:tr>
    </w:tbl>
    <w:p w14:paraId="47C3AAC1" w14:textId="63C2FB58" w:rsidR="00F618A4" w:rsidRDefault="00F618A4" w:rsidP="009C4EFE">
      <w:pPr>
        <w:pStyle w:val="Heading1"/>
      </w:pPr>
      <w:bookmarkStart w:id="24" w:name="_GoBack"/>
      <w:bookmarkEnd w:id="24"/>
    </w:p>
    <w:sectPr w:rsidR="00F618A4" w:rsidSect="0064744C">
      <w:headerReference w:type="default" r:id="rId25"/>
      <w:footerReference w:type="even" r:id="rId26"/>
      <w:footerReference w:type="default" r:id="rId2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219E15" w14:textId="77777777" w:rsidR="00BD3302" w:rsidRDefault="00BD3302" w:rsidP="006C0F9B">
      <w:r>
        <w:separator/>
      </w:r>
    </w:p>
  </w:endnote>
  <w:endnote w:type="continuationSeparator" w:id="0">
    <w:p w14:paraId="5B54816D" w14:textId="77777777" w:rsidR="00BD3302" w:rsidRDefault="00BD3302" w:rsidP="006C0F9B">
      <w:r>
        <w:continuationSeparator/>
      </w:r>
    </w:p>
  </w:endnote>
  <w:endnote w:type="continuationNotice" w:id="1">
    <w:p w14:paraId="2178D42A" w14:textId="77777777" w:rsidR="00BD3302" w:rsidRDefault="00BD33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5FC0E" w14:textId="77777777" w:rsidR="00BD3302" w:rsidRDefault="00BD3302" w:rsidP="00951A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2F9362" w14:textId="77777777" w:rsidR="00BD3302" w:rsidRDefault="00BD3302" w:rsidP="006C0F9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79905" w14:textId="77777777" w:rsidR="00BD3302" w:rsidRDefault="00BD3302" w:rsidP="00951A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250C">
      <w:rPr>
        <w:rStyle w:val="PageNumber"/>
        <w:noProof/>
      </w:rPr>
      <w:t>21</w:t>
    </w:r>
    <w:r>
      <w:rPr>
        <w:rStyle w:val="PageNumber"/>
      </w:rPr>
      <w:fldChar w:fldCharType="end"/>
    </w:r>
  </w:p>
  <w:p w14:paraId="15A89F65" w14:textId="77777777" w:rsidR="00BD3302" w:rsidRDefault="00BD3302" w:rsidP="006C0F9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65C3C1" w14:textId="77777777" w:rsidR="00BD3302" w:rsidRDefault="00BD3302" w:rsidP="006C0F9B">
      <w:r>
        <w:separator/>
      </w:r>
    </w:p>
  </w:footnote>
  <w:footnote w:type="continuationSeparator" w:id="0">
    <w:p w14:paraId="7C5ED874" w14:textId="77777777" w:rsidR="00BD3302" w:rsidRDefault="00BD3302" w:rsidP="006C0F9B">
      <w:r>
        <w:continuationSeparator/>
      </w:r>
    </w:p>
  </w:footnote>
  <w:footnote w:type="continuationNotice" w:id="1">
    <w:p w14:paraId="4AAADEA2" w14:textId="77777777" w:rsidR="00BD3302" w:rsidRDefault="00BD3302"/>
  </w:footnote>
  <w:footnote w:id="2">
    <w:p w14:paraId="5F586973" w14:textId="77777777" w:rsidR="00BD3302" w:rsidRPr="00887DEC" w:rsidRDefault="00BD3302" w:rsidP="00F15830">
      <w:pPr>
        <w:pStyle w:val="FootnoteText"/>
        <w:rPr>
          <w:rFonts w:asciiTheme="majorHAnsi" w:hAnsiTheme="majorHAnsi"/>
          <w:sz w:val="18"/>
          <w:szCs w:val="18"/>
          <w:lang w:val="en-GB"/>
        </w:rPr>
      </w:pPr>
      <w:r w:rsidRPr="00887DEC">
        <w:rPr>
          <w:rStyle w:val="FootnoteReference"/>
          <w:rFonts w:asciiTheme="majorHAnsi" w:hAnsiTheme="majorHAnsi"/>
          <w:sz w:val="18"/>
          <w:szCs w:val="18"/>
        </w:rPr>
        <w:footnoteRef/>
      </w:r>
      <w:r w:rsidRPr="00887DEC">
        <w:rPr>
          <w:rFonts w:asciiTheme="majorHAnsi" w:hAnsiTheme="majorHAnsi"/>
          <w:sz w:val="18"/>
          <w:szCs w:val="18"/>
        </w:rPr>
        <w:t xml:space="preserve"> Not included are food processing, forestry and pulp and papers sectors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CE01E" w14:textId="77777777" w:rsidR="00BD3302" w:rsidRDefault="00BD33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B4AD5"/>
    <w:multiLevelType w:val="multilevel"/>
    <w:tmpl w:val="2124D7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ECF40B0"/>
    <w:multiLevelType w:val="hybridMultilevel"/>
    <w:tmpl w:val="DE60A052"/>
    <w:lvl w:ilvl="0" w:tplc="E388569C">
      <w:start w:val="1"/>
      <w:numFmt w:val="lowerLetter"/>
      <w:lvlText w:val="%1."/>
      <w:lvlJc w:val="left"/>
      <w:pPr>
        <w:ind w:left="720" w:hanging="360"/>
      </w:pPr>
      <w:rPr>
        <w:rFonts w:ascii="Calibri" w:eastAsiaTheme="minorHAnsi" w:hAnsi="Calibr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EA1B42"/>
    <w:multiLevelType w:val="hybridMultilevel"/>
    <w:tmpl w:val="1B060026"/>
    <w:lvl w:ilvl="0" w:tplc="703E529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F20F93"/>
    <w:multiLevelType w:val="hybridMultilevel"/>
    <w:tmpl w:val="7838A244"/>
    <w:lvl w:ilvl="0" w:tplc="F21EF5E8">
      <w:start w:val="4"/>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7F0C79"/>
    <w:multiLevelType w:val="hybridMultilevel"/>
    <w:tmpl w:val="29CE1168"/>
    <w:lvl w:ilvl="0" w:tplc="E04A31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356296"/>
    <w:multiLevelType w:val="hybridMultilevel"/>
    <w:tmpl w:val="850A6C44"/>
    <w:lvl w:ilvl="0" w:tplc="6D96A63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3C7630"/>
    <w:multiLevelType w:val="hybridMultilevel"/>
    <w:tmpl w:val="7DF6A48C"/>
    <w:lvl w:ilvl="0" w:tplc="8550D5D2">
      <w:start w:val="4"/>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E222E1E"/>
    <w:multiLevelType w:val="hybridMultilevel"/>
    <w:tmpl w:val="D26027F4"/>
    <w:lvl w:ilvl="0" w:tplc="F21EF5E8">
      <w:start w:val="4"/>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5B0DC4"/>
    <w:multiLevelType w:val="hybridMultilevel"/>
    <w:tmpl w:val="5D3059C2"/>
    <w:lvl w:ilvl="0" w:tplc="E04A31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B526B9"/>
    <w:multiLevelType w:val="hybridMultilevel"/>
    <w:tmpl w:val="8258FC08"/>
    <w:lvl w:ilvl="0" w:tplc="F21EF5E8">
      <w:start w:val="4"/>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D55138"/>
    <w:multiLevelType w:val="hybridMultilevel"/>
    <w:tmpl w:val="141A7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AB7EF1"/>
    <w:multiLevelType w:val="hybridMultilevel"/>
    <w:tmpl w:val="12CA2908"/>
    <w:lvl w:ilvl="0" w:tplc="A748E4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AF7603"/>
    <w:multiLevelType w:val="hybridMultilevel"/>
    <w:tmpl w:val="62442DB8"/>
    <w:lvl w:ilvl="0" w:tplc="4D66BC4A">
      <w:start w:val="1"/>
      <w:numFmt w:val="bullet"/>
      <w:pStyle w:val="Opsomming1"/>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4903327"/>
    <w:multiLevelType w:val="hybridMultilevel"/>
    <w:tmpl w:val="87462558"/>
    <w:lvl w:ilvl="0" w:tplc="DCD8E3E6">
      <w:start w:val="2012"/>
      <w:numFmt w:val="bullet"/>
      <w:lvlText w:val="-"/>
      <w:lvlJc w:val="left"/>
      <w:pPr>
        <w:ind w:left="720" w:hanging="360"/>
      </w:pPr>
      <w:rPr>
        <w:rFonts w:ascii="Verdana" w:eastAsiaTheme="minorHAnsi" w:hAnsi="Verdan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8B4377"/>
    <w:multiLevelType w:val="multilevel"/>
    <w:tmpl w:val="9F9A4A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42B30A65"/>
    <w:multiLevelType w:val="multilevel"/>
    <w:tmpl w:val="FF88C4D6"/>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5F809E4"/>
    <w:multiLevelType w:val="multilevel"/>
    <w:tmpl w:val="3E9EC79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460F60FA"/>
    <w:multiLevelType w:val="hybridMultilevel"/>
    <w:tmpl w:val="E182DB42"/>
    <w:lvl w:ilvl="0" w:tplc="833E48F6">
      <w:start w:val="1"/>
      <w:numFmt w:val="decimal"/>
      <w:lvlText w:val="[%1]."/>
      <w:lvlJc w:val="left"/>
      <w:pPr>
        <w:ind w:left="720" w:hanging="360"/>
      </w:pPr>
      <w:rPr>
        <w:rFonts w:hint="default"/>
      </w:rPr>
    </w:lvl>
    <w:lvl w:ilvl="1" w:tplc="1F6CDA10">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9A04A2A"/>
    <w:multiLevelType w:val="hybridMultilevel"/>
    <w:tmpl w:val="5D3059C2"/>
    <w:lvl w:ilvl="0" w:tplc="E04A31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BF4376"/>
    <w:multiLevelType w:val="hybridMultilevel"/>
    <w:tmpl w:val="8BB29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362E90"/>
    <w:multiLevelType w:val="multilevel"/>
    <w:tmpl w:val="F6E2EB8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4F8D14E8"/>
    <w:multiLevelType w:val="hybridMultilevel"/>
    <w:tmpl w:val="DE60A052"/>
    <w:lvl w:ilvl="0" w:tplc="E388569C">
      <w:start w:val="1"/>
      <w:numFmt w:val="lowerLetter"/>
      <w:lvlText w:val="%1."/>
      <w:lvlJc w:val="left"/>
      <w:pPr>
        <w:ind w:left="720" w:hanging="360"/>
      </w:pPr>
      <w:rPr>
        <w:rFonts w:ascii="Calibri" w:eastAsiaTheme="minorHAnsi" w:hAnsi="Calibr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045F46"/>
    <w:multiLevelType w:val="hybridMultilevel"/>
    <w:tmpl w:val="214009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2345D4"/>
    <w:multiLevelType w:val="multilevel"/>
    <w:tmpl w:val="57DE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B2A161E"/>
    <w:multiLevelType w:val="hybridMultilevel"/>
    <w:tmpl w:val="37A6381C"/>
    <w:lvl w:ilvl="0" w:tplc="E1760174">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022CCD"/>
    <w:multiLevelType w:val="hybridMultilevel"/>
    <w:tmpl w:val="1D10382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E1210ED"/>
    <w:multiLevelType w:val="hybridMultilevel"/>
    <w:tmpl w:val="40D8F4CA"/>
    <w:lvl w:ilvl="0" w:tplc="CE88CC7C">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2701AD"/>
    <w:multiLevelType w:val="hybridMultilevel"/>
    <w:tmpl w:val="6C7C2F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7AC7546"/>
    <w:multiLevelType w:val="hybridMultilevel"/>
    <w:tmpl w:val="7ECE27C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CC16734"/>
    <w:multiLevelType w:val="hybridMultilevel"/>
    <w:tmpl w:val="29CE1168"/>
    <w:lvl w:ilvl="0" w:tplc="E04A31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0038FF"/>
    <w:multiLevelType w:val="multilevel"/>
    <w:tmpl w:val="8B060B20"/>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40362EC"/>
    <w:multiLevelType w:val="hybridMultilevel"/>
    <w:tmpl w:val="BED8100C"/>
    <w:lvl w:ilvl="0" w:tplc="66D09252">
      <w:start w:val="2"/>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F1101F3"/>
    <w:multiLevelType w:val="multilevel"/>
    <w:tmpl w:val="CF882DE0"/>
    <w:lvl w:ilvl="0">
      <w:start w:val="5"/>
      <w:numFmt w:val="bullet"/>
      <w:lvlText w:val=""/>
      <w:lvlJc w:val="left"/>
      <w:pPr>
        <w:ind w:left="360" w:hanging="360"/>
      </w:pPr>
      <w:rPr>
        <w:rFonts w:ascii="Symbol" w:eastAsiaTheme="minorHAnsi" w:hAnsi="Symbol" w:cstheme="minorBidi"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27"/>
  </w:num>
  <w:num w:numId="2">
    <w:abstractNumId w:val="10"/>
  </w:num>
  <w:num w:numId="3">
    <w:abstractNumId w:val="1"/>
  </w:num>
  <w:num w:numId="4">
    <w:abstractNumId w:val="5"/>
  </w:num>
  <w:num w:numId="5">
    <w:abstractNumId w:val="19"/>
  </w:num>
  <w:num w:numId="6">
    <w:abstractNumId w:val="16"/>
  </w:num>
  <w:num w:numId="7">
    <w:abstractNumId w:val="21"/>
  </w:num>
  <w:num w:numId="8">
    <w:abstractNumId w:val="3"/>
  </w:num>
  <w:num w:numId="9">
    <w:abstractNumId w:val="20"/>
  </w:num>
  <w:num w:numId="10">
    <w:abstractNumId w:val="29"/>
  </w:num>
  <w:num w:numId="11">
    <w:abstractNumId w:val="4"/>
  </w:num>
  <w:num w:numId="12">
    <w:abstractNumId w:val="8"/>
  </w:num>
  <w:num w:numId="13">
    <w:abstractNumId w:val="18"/>
  </w:num>
  <w:num w:numId="14">
    <w:abstractNumId w:val="9"/>
  </w:num>
  <w:num w:numId="15">
    <w:abstractNumId w:val="11"/>
  </w:num>
  <w:num w:numId="16">
    <w:abstractNumId w:val="28"/>
  </w:num>
  <w:num w:numId="17">
    <w:abstractNumId w:val="24"/>
  </w:num>
  <w:num w:numId="18">
    <w:abstractNumId w:val="23"/>
  </w:num>
  <w:num w:numId="19">
    <w:abstractNumId w:val="2"/>
  </w:num>
  <w:num w:numId="20">
    <w:abstractNumId w:val="26"/>
  </w:num>
  <w:num w:numId="21">
    <w:abstractNumId w:val="32"/>
  </w:num>
  <w:num w:numId="22">
    <w:abstractNumId w:val="25"/>
  </w:num>
  <w:num w:numId="23">
    <w:abstractNumId w:val="0"/>
  </w:num>
  <w:num w:numId="24">
    <w:abstractNumId w:val="22"/>
  </w:num>
  <w:num w:numId="25">
    <w:abstractNumId w:val="14"/>
  </w:num>
  <w:num w:numId="26">
    <w:abstractNumId w:val="15"/>
  </w:num>
  <w:num w:numId="27">
    <w:abstractNumId w:val="30"/>
  </w:num>
  <w:num w:numId="28">
    <w:abstractNumId w:val="31"/>
  </w:num>
  <w:num w:numId="29">
    <w:abstractNumId w:val="6"/>
  </w:num>
  <w:num w:numId="30">
    <w:abstractNumId w:val="17"/>
  </w:num>
  <w:num w:numId="31">
    <w:abstractNumId w:val="13"/>
  </w:num>
  <w:num w:numId="32">
    <w:abstractNumId w:val="12"/>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6DC"/>
    <w:rsid w:val="00000009"/>
    <w:rsid w:val="00001D28"/>
    <w:rsid w:val="000027D7"/>
    <w:rsid w:val="0000417B"/>
    <w:rsid w:val="00004349"/>
    <w:rsid w:val="00005C91"/>
    <w:rsid w:val="000065A3"/>
    <w:rsid w:val="000078DF"/>
    <w:rsid w:val="00010764"/>
    <w:rsid w:val="00010F0C"/>
    <w:rsid w:val="00011AA9"/>
    <w:rsid w:val="00012ECD"/>
    <w:rsid w:val="00013450"/>
    <w:rsid w:val="0001389B"/>
    <w:rsid w:val="000171E5"/>
    <w:rsid w:val="000178C8"/>
    <w:rsid w:val="0002065C"/>
    <w:rsid w:val="00020F6D"/>
    <w:rsid w:val="000217F7"/>
    <w:rsid w:val="0002563A"/>
    <w:rsid w:val="000271D8"/>
    <w:rsid w:val="000329A8"/>
    <w:rsid w:val="00032DAD"/>
    <w:rsid w:val="000331BC"/>
    <w:rsid w:val="00033DFC"/>
    <w:rsid w:val="00034289"/>
    <w:rsid w:val="000373AF"/>
    <w:rsid w:val="00037718"/>
    <w:rsid w:val="00040D4E"/>
    <w:rsid w:val="000434AD"/>
    <w:rsid w:val="00044869"/>
    <w:rsid w:val="0004523E"/>
    <w:rsid w:val="0004541C"/>
    <w:rsid w:val="0004545B"/>
    <w:rsid w:val="000460F4"/>
    <w:rsid w:val="00050B79"/>
    <w:rsid w:val="00051443"/>
    <w:rsid w:val="000533F3"/>
    <w:rsid w:val="00054E4D"/>
    <w:rsid w:val="0005504A"/>
    <w:rsid w:val="00055056"/>
    <w:rsid w:val="0005674B"/>
    <w:rsid w:val="000576FB"/>
    <w:rsid w:val="00057D10"/>
    <w:rsid w:val="000603E8"/>
    <w:rsid w:val="000608C1"/>
    <w:rsid w:val="00062411"/>
    <w:rsid w:val="00063FAF"/>
    <w:rsid w:val="00064C47"/>
    <w:rsid w:val="00071816"/>
    <w:rsid w:val="0007370A"/>
    <w:rsid w:val="00074FA5"/>
    <w:rsid w:val="00075DFC"/>
    <w:rsid w:val="00076CCF"/>
    <w:rsid w:val="00077DDE"/>
    <w:rsid w:val="00080D44"/>
    <w:rsid w:val="000819F2"/>
    <w:rsid w:val="00082046"/>
    <w:rsid w:val="0008416D"/>
    <w:rsid w:val="00090D98"/>
    <w:rsid w:val="00091292"/>
    <w:rsid w:val="00091517"/>
    <w:rsid w:val="000924F6"/>
    <w:rsid w:val="0009619D"/>
    <w:rsid w:val="000A0C72"/>
    <w:rsid w:val="000A17FD"/>
    <w:rsid w:val="000A1EB9"/>
    <w:rsid w:val="000A24A3"/>
    <w:rsid w:val="000A634B"/>
    <w:rsid w:val="000A73BE"/>
    <w:rsid w:val="000A743B"/>
    <w:rsid w:val="000A7C02"/>
    <w:rsid w:val="000B096C"/>
    <w:rsid w:val="000B2B42"/>
    <w:rsid w:val="000B2C62"/>
    <w:rsid w:val="000B3242"/>
    <w:rsid w:val="000B4059"/>
    <w:rsid w:val="000B5F6F"/>
    <w:rsid w:val="000C0678"/>
    <w:rsid w:val="000C0CA7"/>
    <w:rsid w:val="000C3006"/>
    <w:rsid w:val="000C3323"/>
    <w:rsid w:val="000C44C9"/>
    <w:rsid w:val="000C532C"/>
    <w:rsid w:val="000C56FF"/>
    <w:rsid w:val="000C6033"/>
    <w:rsid w:val="000C63AF"/>
    <w:rsid w:val="000C71EE"/>
    <w:rsid w:val="000C77D1"/>
    <w:rsid w:val="000C7E4F"/>
    <w:rsid w:val="000D16C6"/>
    <w:rsid w:val="000D71D3"/>
    <w:rsid w:val="000D7E84"/>
    <w:rsid w:val="000E13CF"/>
    <w:rsid w:val="000E2099"/>
    <w:rsid w:val="000E2951"/>
    <w:rsid w:val="000E3337"/>
    <w:rsid w:val="000E3D8B"/>
    <w:rsid w:val="000E58D2"/>
    <w:rsid w:val="000F1501"/>
    <w:rsid w:val="000F1791"/>
    <w:rsid w:val="000F4BCC"/>
    <w:rsid w:val="000F566F"/>
    <w:rsid w:val="000F61EA"/>
    <w:rsid w:val="000F6C53"/>
    <w:rsid w:val="00100B86"/>
    <w:rsid w:val="001063F3"/>
    <w:rsid w:val="001076C8"/>
    <w:rsid w:val="00107CE8"/>
    <w:rsid w:val="00111C37"/>
    <w:rsid w:val="00111F13"/>
    <w:rsid w:val="001135B3"/>
    <w:rsid w:val="00113AB1"/>
    <w:rsid w:val="00114740"/>
    <w:rsid w:val="00116D65"/>
    <w:rsid w:val="001176F7"/>
    <w:rsid w:val="00117F5D"/>
    <w:rsid w:val="00121D21"/>
    <w:rsid w:val="001243D7"/>
    <w:rsid w:val="0012443B"/>
    <w:rsid w:val="001254DC"/>
    <w:rsid w:val="0012568C"/>
    <w:rsid w:val="00127472"/>
    <w:rsid w:val="00127AE7"/>
    <w:rsid w:val="00127E79"/>
    <w:rsid w:val="00140EB0"/>
    <w:rsid w:val="00141169"/>
    <w:rsid w:val="00142C97"/>
    <w:rsid w:val="00145C9E"/>
    <w:rsid w:val="00146110"/>
    <w:rsid w:val="00146437"/>
    <w:rsid w:val="001467B7"/>
    <w:rsid w:val="00150D1F"/>
    <w:rsid w:val="001529DC"/>
    <w:rsid w:val="00153EC9"/>
    <w:rsid w:val="00154CBF"/>
    <w:rsid w:val="00155043"/>
    <w:rsid w:val="001551CD"/>
    <w:rsid w:val="00156D7E"/>
    <w:rsid w:val="00156DC3"/>
    <w:rsid w:val="0015703D"/>
    <w:rsid w:val="001570CE"/>
    <w:rsid w:val="00157197"/>
    <w:rsid w:val="00161544"/>
    <w:rsid w:val="001617C5"/>
    <w:rsid w:val="0016279F"/>
    <w:rsid w:val="00164670"/>
    <w:rsid w:val="001651D1"/>
    <w:rsid w:val="001663BD"/>
    <w:rsid w:val="00166A06"/>
    <w:rsid w:val="00166C0A"/>
    <w:rsid w:val="00171475"/>
    <w:rsid w:val="00173D2C"/>
    <w:rsid w:val="001811EA"/>
    <w:rsid w:val="00184925"/>
    <w:rsid w:val="00184D32"/>
    <w:rsid w:val="00184DB2"/>
    <w:rsid w:val="001855E1"/>
    <w:rsid w:val="00190C0F"/>
    <w:rsid w:val="00191816"/>
    <w:rsid w:val="0019250C"/>
    <w:rsid w:val="00194302"/>
    <w:rsid w:val="00194760"/>
    <w:rsid w:val="001965F1"/>
    <w:rsid w:val="0019778A"/>
    <w:rsid w:val="001A142D"/>
    <w:rsid w:val="001A1567"/>
    <w:rsid w:val="001A188B"/>
    <w:rsid w:val="001A5FA1"/>
    <w:rsid w:val="001A6A82"/>
    <w:rsid w:val="001A6E74"/>
    <w:rsid w:val="001B0EB6"/>
    <w:rsid w:val="001B0EDA"/>
    <w:rsid w:val="001B37FD"/>
    <w:rsid w:val="001B3F47"/>
    <w:rsid w:val="001B4E7D"/>
    <w:rsid w:val="001B7706"/>
    <w:rsid w:val="001B7799"/>
    <w:rsid w:val="001C12DD"/>
    <w:rsid w:val="001C1572"/>
    <w:rsid w:val="001C1C60"/>
    <w:rsid w:val="001C1C82"/>
    <w:rsid w:val="001C1FFD"/>
    <w:rsid w:val="001C2FE1"/>
    <w:rsid w:val="001C4254"/>
    <w:rsid w:val="001C5CFD"/>
    <w:rsid w:val="001C6DFB"/>
    <w:rsid w:val="001C7DBE"/>
    <w:rsid w:val="001D1C4B"/>
    <w:rsid w:val="001D2B75"/>
    <w:rsid w:val="001D4559"/>
    <w:rsid w:val="001D56D3"/>
    <w:rsid w:val="001D5FB8"/>
    <w:rsid w:val="001D746E"/>
    <w:rsid w:val="001D7A43"/>
    <w:rsid w:val="001E2844"/>
    <w:rsid w:val="001E2B08"/>
    <w:rsid w:val="001E2CED"/>
    <w:rsid w:val="001E2DA2"/>
    <w:rsid w:val="001E595B"/>
    <w:rsid w:val="001F0099"/>
    <w:rsid w:val="001F5AE6"/>
    <w:rsid w:val="001F5CDF"/>
    <w:rsid w:val="001F6826"/>
    <w:rsid w:val="001F706F"/>
    <w:rsid w:val="002020D2"/>
    <w:rsid w:val="0020337C"/>
    <w:rsid w:val="00203670"/>
    <w:rsid w:val="00204E1E"/>
    <w:rsid w:val="00207907"/>
    <w:rsid w:val="00211DB3"/>
    <w:rsid w:val="00212C68"/>
    <w:rsid w:val="0021322C"/>
    <w:rsid w:val="00213333"/>
    <w:rsid w:val="00213ECC"/>
    <w:rsid w:val="00214722"/>
    <w:rsid w:val="00214F94"/>
    <w:rsid w:val="00214FF5"/>
    <w:rsid w:val="00215C05"/>
    <w:rsid w:val="0021700A"/>
    <w:rsid w:val="002174FE"/>
    <w:rsid w:val="00217D14"/>
    <w:rsid w:val="002200A3"/>
    <w:rsid w:val="002208CA"/>
    <w:rsid w:val="00221648"/>
    <w:rsid w:val="00223331"/>
    <w:rsid w:val="002244A7"/>
    <w:rsid w:val="00225FA1"/>
    <w:rsid w:val="00227010"/>
    <w:rsid w:val="0023332F"/>
    <w:rsid w:val="002342F9"/>
    <w:rsid w:val="002342FD"/>
    <w:rsid w:val="00235A91"/>
    <w:rsid w:val="002372BE"/>
    <w:rsid w:val="002377C0"/>
    <w:rsid w:val="00237E1C"/>
    <w:rsid w:val="00243D85"/>
    <w:rsid w:val="00244BEF"/>
    <w:rsid w:val="002451C2"/>
    <w:rsid w:val="00246101"/>
    <w:rsid w:val="00247318"/>
    <w:rsid w:val="00250034"/>
    <w:rsid w:val="002515B9"/>
    <w:rsid w:val="002524B1"/>
    <w:rsid w:val="00254186"/>
    <w:rsid w:val="00254BB6"/>
    <w:rsid w:val="00255409"/>
    <w:rsid w:val="00255F3C"/>
    <w:rsid w:val="002560E1"/>
    <w:rsid w:val="0026085E"/>
    <w:rsid w:val="00260CC3"/>
    <w:rsid w:val="0026132B"/>
    <w:rsid w:val="00261CB8"/>
    <w:rsid w:val="00262604"/>
    <w:rsid w:val="002632D9"/>
    <w:rsid w:val="00264478"/>
    <w:rsid w:val="002650CA"/>
    <w:rsid w:val="00265CD1"/>
    <w:rsid w:val="00265D37"/>
    <w:rsid w:val="00266539"/>
    <w:rsid w:val="0027074E"/>
    <w:rsid w:val="00270FA1"/>
    <w:rsid w:val="0027422D"/>
    <w:rsid w:val="00274C32"/>
    <w:rsid w:val="00277BD6"/>
    <w:rsid w:val="00277E07"/>
    <w:rsid w:val="00281288"/>
    <w:rsid w:val="00281CD3"/>
    <w:rsid w:val="00282516"/>
    <w:rsid w:val="002833EA"/>
    <w:rsid w:val="00283C0B"/>
    <w:rsid w:val="00284235"/>
    <w:rsid w:val="002847AF"/>
    <w:rsid w:val="00284C1C"/>
    <w:rsid w:val="002861B9"/>
    <w:rsid w:val="002869BF"/>
    <w:rsid w:val="00287EC7"/>
    <w:rsid w:val="002907AD"/>
    <w:rsid w:val="002907E4"/>
    <w:rsid w:val="002913DA"/>
    <w:rsid w:val="00294A65"/>
    <w:rsid w:val="002961C5"/>
    <w:rsid w:val="00296D75"/>
    <w:rsid w:val="002A0742"/>
    <w:rsid w:val="002A1298"/>
    <w:rsid w:val="002A3B04"/>
    <w:rsid w:val="002A3F01"/>
    <w:rsid w:val="002A6807"/>
    <w:rsid w:val="002A7A8F"/>
    <w:rsid w:val="002B0447"/>
    <w:rsid w:val="002B1544"/>
    <w:rsid w:val="002B1DB0"/>
    <w:rsid w:val="002B38F3"/>
    <w:rsid w:val="002B445F"/>
    <w:rsid w:val="002B4B7A"/>
    <w:rsid w:val="002B5572"/>
    <w:rsid w:val="002B6128"/>
    <w:rsid w:val="002B62FB"/>
    <w:rsid w:val="002C00F2"/>
    <w:rsid w:val="002C518D"/>
    <w:rsid w:val="002D098F"/>
    <w:rsid w:val="002D1465"/>
    <w:rsid w:val="002D2130"/>
    <w:rsid w:val="002D406A"/>
    <w:rsid w:val="002D428E"/>
    <w:rsid w:val="002E067B"/>
    <w:rsid w:val="002E0FE8"/>
    <w:rsid w:val="002E13F1"/>
    <w:rsid w:val="002E1D1A"/>
    <w:rsid w:val="002E4C5B"/>
    <w:rsid w:val="002E6784"/>
    <w:rsid w:val="002E7980"/>
    <w:rsid w:val="002F0208"/>
    <w:rsid w:val="002F0DF8"/>
    <w:rsid w:val="002F10C5"/>
    <w:rsid w:val="002F281F"/>
    <w:rsid w:val="002F2A0D"/>
    <w:rsid w:val="002F2AE5"/>
    <w:rsid w:val="002F2ED0"/>
    <w:rsid w:val="002F673F"/>
    <w:rsid w:val="002F6C34"/>
    <w:rsid w:val="002F7E1C"/>
    <w:rsid w:val="003010DF"/>
    <w:rsid w:val="00301194"/>
    <w:rsid w:val="00301811"/>
    <w:rsid w:val="00302396"/>
    <w:rsid w:val="00302852"/>
    <w:rsid w:val="00302EB3"/>
    <w:rsid w:val="00305188"/>
    <w:rsid w:val="003065BA"/>
    <w:rsid w:val="00307BF1"/>
    <w:rsid w:val="00310C16"/>
    <w:rsid w:val="00312AE3"/>
    <w:rsid w:val="00314CE1"/>
    <w:rsid w:val="00314F58"/>
    <w:rsid w:val="00320AF9"/>
    <w:rsid w:val="00327343"/>
    <w:rsid w:val="003314CE"/>
    <w:rsid w:val="00333059"/>
    <w:rsid w:val="00333BB8"/>
    <w:rsid w:val="003349EA"/>
    <w:rsid w:val="003359A6"/>
    <w:rsid w:val="0034107F"/>
    <w:rsid w:val="0034133F"/>
    <w:rsid w:val="003438C2"/>
    <w:rsid w:val="003438CD"/>
    <w:rsid w:val="00345A3A"/>
    <w:rsid w:val="003460AF"/>
    <w:rsid w:val="00346953"/>
    <w:rsid w:val="00347BA7"/>
    <w:rsid w:val="003513E3"/>
    <w:rsid w:val="003518F3"/>
    <w:rsid w:val="00353437"/>
    <w:rsid w:val="00353DA8"/>
    <w:rsid w:val="00353F62"/>
    <w:rsid w:val="003543CA"/>
    <w:rsid w:val="00357139"/>
    <w:rsid w:val="0036107F"/>
    <w:rsid w:val="0036314E"/>
    <w:rsid w:val="00363647"/>
    <w:rsid w:val="00363F47"/>
    <w:rsid w:val="00364C90"/>
    <w:rsid w:val="00365003"/>
    <w:rsid w:val="00371F1B"/>
    <w:rsid w:val="0037380F"/>
    <w:rsid w:val="003738C6"/>
    <w:rsid w:val="00373A0A"/>
    <w:rsid w:val="00374136"/>
    <w:rsid w:val="00374566"/>
    <w:rsid w:val="003763EC"/>
    <w:rsid w:val="00380076"/>
    <w:rsid w:val="003809BC"/>
    <w:rsid w:val="0038231E"/>
    <w:rsid w:val="00382911"/>
    <w:rsid w:val="0038324E"/>
    <w:rsid w:val="003839B1"/>
    <w:rsid w:val="0038414F"/>
    <w:rsid w:val="00384B8C"/>
    <w:rsid w:val="00384D46"/>
    <w:rsid w:val="00385CF0"/>
    <w:rsid w:val="00390F59"/>
    <w:rsid w:val="00392E2E"/>
    <w:rsid w:val="003936DC"/>
    <w:rsid w:val="00394FBB"/>
    <w:rsid w:val="00395CE9"/>
    <w:rsid w:val="00396B4E"/>
    <w:rsid w:val="0039724B"/>
    <w:rsid w:val="00397E92"/>
    <w:rsid w:val="003A1AC9"/>
    <w:rsid w:val="003A1BD5"/>
    <w:rsid w:val="003A3D4F"/>
    <w:rsid w:val="003A3D9C"/>
    <w:rsid w:val="003A3E50"/>
    <w:rsid w:val="003A6CA9"/>
    <w:rsid w:val="003A6D5E"/>
    <w:rsid w:val="003A712D"/>
    <w:rsid w:val="003A74B8"/>
    <w:rsid w:val="003B2452"/>
    <w:rsid w:val="003B335F"/>
    <w:rsid w:val="003B473C"/>
    <w:rsid w:val="003B486F"/>
    <w:rsid w:val="003B4A59"/>
    <w:rsid w:val="003B4B32"/>
    <w:rsid w:val="003B5147"/>
    <w:rsid w:val="003B68AB"/>
    <w:rsid w:val="003C1068"/>
    <w:rsid w:val="003C16B3"/>
    <w:rsid w:val="003C2795"/>
    <w:rsid w:val="003C58FD"/>
    <w:rsid w:val="003D01B1"/>
    <w:rsid w:val="003D0603"/>
    <w:rsid w:val="003D084A"/>
    <w:rsid w:val="003D0B70"/>
    <w:rsid w:val="003D0D5E"/>
    <w:rsid w:val="003D14EB"/>
    <w:rsid w:val="003D1E06"/>
    <w:rsid w:val="003D236E"/>
    <w:rsid w:val="003D3457"/>
    <w:rsid w:val="003D52AD"/>
    <w:rsid w:val="003D735D"/>
    <w:rsid w:val="003D7475"/>
    <w:rsid w:val="003D7F46"/>
    <w:rsid w:val="003E3DB6"/>
    <w:rsid w:val="003E44B4"/>
    <w:rsid w:val="003E5742"/>
    <w:rsid w:val="003E639B"/>
    <w:rsid w:val="003F0FB1"/>
    <w:rsid w:val="003F4115"/>
    <w:rsid w:val="003F56DC"/>
    <w:rsid w:val="003F70F2"/>
    <w:rsid w:val="003F74C3"/>
    <w:rsid w:val="003F774A"/>
    <w:rsid w:val="003F791C"/>
    <w:rsid w:val="00402533"/>
    <w:rsid w:val="00407066"/>
    <w:rsid w:val="00407711"/>
    <w:rsid w:val="004150C8"/>
    <w:rsid w:val="00417095"/>
    <w:rsid w:val="004249AE"/>
    <w:rsid w:val="0042591F"/>
    <w:rsid w:val="00426420"/>
    <w:rsid w:val="00426DBE"/>
    <w:rsid w:val="00430DD9"/>
    <w:rsid w:val="00431AA5"/>
    <w:rsid w:val="00432C7A"/>
    <w:rsid w:val="0043731B"/>
    <w:rsid w:val="004377D5"/>
    <w:rsid w:val="00442CF9"/>
    <w:rsid w:val="004450F2"/>
    <w:rsid w:val="00446603"/>
    <w:rsid w:val="00447AFA"/>
    <w:rsid w:val="00452B70"/>
    <w:rsid w:val="00454088"/>
    <w:rsid w:val="0045524D"/>
    <w:rsid w:val="00455865"/>
    <w:rsid w:val="00456CFC"/>
    <w:rsid w:val="004571DF"/>
    <w:rsid w:val="00457D16"/>
    <w:rsid w:val="004633BA"/>
    <w:rsid w:val="00464DD0"/>
    <w:rsid w:val="0046575D"/>
    <w:rsid w:val="00466CB7"/>
    <w:rsid w:val="004674C0"/>
    <w:rsid w:val="00470EEF"/>
    <w:rsid w:val="00472CEC"/>
    <w:rsid w:val="004739D3"/>
    <w:rsid w:val="00474195"/>
    <w:rsid w:val="00474B7A"/>
    <w:rsid w:val="0047546D"/>
    <w:rsid w:val="004754FB"/>
    <w:rsid w:val="0047556A"/>
    <w:rsid w:val="004761D1"/>
    <w:rsid w:val="00476A9F"/>
    <w:rsid w:val="004811BF"/>
    <w:rsid w:val="004835F9"/>
    <w:rsid w:val="00485A69"/>
    <w:rsid w:val="0049014A"/>
    <w:rsid w:val="004910F3"/>
    <w:rsid w:val="004924B9"/>
    <w:rsid w:val="004926CE"/>
    <w:rsid w:val="00492C52"/>
    <w:rsid w:val="00492DCF"/>
    <w:rsid w:val="00493C20"/>
    <w:rsid w:val="00494448"/>
    <w:rsid w:val="00496090"/>
    <w:rsid w:val="00496234"/>
    <w:rsid w:val="00497252"/>
    <w:rsid w:val="004A23AC"/>
    <w:rsid w:val="004A2DE0"/>
    <w:rsid w:val="004A4D93"/>
    <w:rsid w:val="004A4F63"/>
    <w:rsid w:val="004A56FB"/>
    <w:rsid w:val="004B1826"/>
    <w:rsid w:val="004B1F22"/>
    <w:rsid w:val="004B3506"/>
    <w:rsid w:val="004B3CC7"/>
    <w:rsid w:val="004B46FD"/>
    <w:rsid w:val="004B7BE1"/>
    <w:rsid w:val="004B7EEC"/>
    <w:rsid w:val="004C1A49"/>
    <w:rsid w:val="004C1B1D"/>
    <w:rsid w:val="004C1E35"/>
    <w:rsid w:val="004C20CC"/>
    <w:rsid w:val="004C27C8"/>
    <w:rsid w:val="004C287B"/>
    <w:rsid w:val="004C2FC6"/>
    <w:rsid w:val="004C429F"/>
    <w:rsid w:val="004C52BE"/>
    <w:rsid w:val="004C5A86"/>
    <w:rsid w:val="004D06B8"/>
    <w:rsid w:val="004D0DFD"/>
    <w:rsid w:val="004D1C4A"/>
    <w:rsid w:val="004D22B2"/>
    <w:rsid w:val="004D680C"/>
    <w:rsid w:val="004D6C52"/>
    <w:rsid w:val="004E02D2"/>
    <w:rsid w:val="004E048C"/>
    <w:rsid w:val="004E0FAC"/>
    <w:rsid w:val="004E208A"/>
    <w:rsid w:val="004E39CC"/>
    <w:rsid w:val="004E49C2"/>
    <w:rsid w:val="004E76EB"/>
    <w:rsid w:val="004F1502"/>
    <w:rsid w:val="004F313E"/>
    <w:rsid w:val="004F374A"/>
    <w:rsid w:val="004F5347"/>
    <w:rsid w:val="0050011C"/>
    <w:rsid w:val="00500821"/>
    <w:rsid w:val="005011D8"/>
    <w:rsid w:val="0050241C"/>
    <w:rsid w:val="00502E4E"/>
    <w:rsid w:val="0050324F"/>
    <w:rsid w:val="005043CF"/>
    <w:rsid w:val="0050454D"/>
    <w:rsid w:val="0050543A"/>
    <w:rsid w:val="00506266"/>
    <w:rsid w:val="005076CD"/>
    <w:rsid w:val="0051174D"/>
    <w:rsid w:val="00512BE4"/>
    <w:rsid w:val="00514415"/>
    <w:rsid w:val="00514AF7"/>
    <w:rsid w:val="0051546C"/>
    <w:rsid w:val="0051561A"/>
    <w:rsid w:val="00515923"/>
    <w:rsid w:val="00516E30"/>
    <w:rsid w:val="0052057C"/>
    <w:rsid w:val="00520DE0"/>
    <w:rsid w:val="00522B63"/>
    <w:rsid w:val="00524369"/>
    <w:rsid w:val="00525509"/>
    <w:rsid w:val="00526CFF"/>
    <w:rsid w:val="00526FEA"/>
    <w:rsid w:val="00527F17"/>
    <w:rsid w:val="00531A85"/>
    <w:rsid w:val="00531B89"/>
    <w:rsid w:val="00531CB5"/>
    <w:rsid w:val="005324A1"/>
    <w:rsid w:val="005326BD"/>
    <w:rsid w:val="005335A2"/>
    <w:rsid w:val="00534E65"/>
    <w:rsid w:val="00535020"/>
    <w:rsid w:val="00535115"/>
    <w:rsid w:val="005353B6"/>
    <w:rsid w:val="00540E4F"/>
    <w:rsid w:val="00540FCB"/>
    <w:rsid w:val="005413D5"/>
    <w:rsid w:val="00542C05"/>
    <w:rsid w:val="005457F7"/>
    <w:rsid w:val="00547EA3"/>
    <w:rsid w:val="005501D8"/>
    <w:rsid w:val="00550341"/>
    <w:rsid w:val="00550A8D"/>
    <w:rsid w:val="00550F19"/>
    <w:rsid w:val="00552960"/>
    <w:rsid w:val="00552B09"/>
    <w:rsid w:val="00552C19"/>
    <w:rsid w:val="00552EC1"/>
    <w:rsid w:val="0055395D"/>
    <w:rsid w:val="00555124"/>
    <w:rsid w:val="0055520E"/>
    <w:rsid w:val="005566E1"/>
    <w:rsid w:val="00556C9B"/>
    <w:rsid w:val="00557BFA"/>
    <w:rsid w:val="00561ADE"/>
    <w:rsid w:val="00562EC4"/>
    <w:rsid w:val="00567135"/>
    <w:rsid w:val="005722FF"/>
    <w:rsid w:val="00573186"/>
    <w:rsid w:val="0057563A"/>
    <w:rsid w:val="00575762"/>
    <w:rsid w:val="00575D74"/>
    <w:rsid w:val="00576B4E"/>
    <w:rsid w:val="005779A6"/>
    <w:rsid w:val="00582F60"/>
    <w:rsid w:val="00584D11"/>
    <w:rsid w:val="0058519A"/>
    <w:rsid w:val="005865E8"/>
    <w:rsid w:val="00590E7E"/>
    <w:rsid w:val="00591BD4"/>
    <w:rsid w:val="00592666"/>
    <w:rsid w:val="005945D8"/>
    <w:rsid w:val="005948C1"/>
    <w:rsid w:val="00595C25"/>
    <w:rsid w:val="005964A6"/>
    <w:rsid w:val="005977D1"/>
    <w:rsid w:val="005A07B9"/>
    <w:rsid w:val="005A1265"/>
    <w:rsid w:val="005A1578"/>
    <w:rsid w:val="005A1D48"/>
    <w:rsid w:val="005A2473"/>
    <w:rsid w:val="005A4B64"/>
    <w:rsid w:val="005A5A76"/>
    <w:rsid w:val="005B1838"/>
    <w:rsid w:val="005B1B9B"/>
    <w:rsid w:val="005B25DE"/>
    <w:rsid w:val="005B2FD3"/>
    <w:rsid w:val="005B33BA"/>
    <w:rsid w:val="005B3DCE"/>
    <w:rsid w:val="005B62E6"/>
    <w:rsid w:val="005C0CC9"/>
    <w:rsid w:val="005C0F34"/>
    <w:rsid w:val="005C1AB6"/>
    <w:rsid w:val="005C20AE"/>
    <w:rsid w:val="005C2D8E"/>
    <w:rsid w:val="005C36D9"/>
    <w:rsid w:val="005C3E36"/>
    <w:rsid w:val="005C435F"/>
    <w:rsid w:val="005C7079"/>
    <w:rsid w:val="005C752A"/>
    <w:rsid w:val="005C7F79"/>
    <w:rsid w:val="005D15D8"/>
    <w:rsid w:val="005D1878"/>
    <w:rsid w:val="005D29DB"/>
    <w:rsid w:val="005D3A83"/>
    <w:rsid w:val="005D406C"/>
    <w:rsid w:val="005D4C8D"/>
    <w:rsid w:val="005D63F1"/>
    <w:rsid w:val="005E0C80"/>
    <w:rsid w:val="005E0D95"/>
    <w:rsid w:val="005E2E2E"/>
    <w:rsid w:val="005E3382"/>
    <w:rsid w:val="005E3EA3"/>
    <w:rsid w:val="005E4F92"/>
    <w:rsid w:val="005F14A2"/>
    <w:rsid w:val="005F157D"/>
    <w:rsid w:val="005F1756"/>
    <w:rsid w:val="005F2265"/>
    <w:rsid w:val="005F2BB3"/>
    <w:rsid w:val="005F2D78"/>
    <w:rsid w:val="005F343F"/>
    <w:rsid w:val="005F3DC9"/>
    <w:rsid w:val="005F423D"/>
    <w:rsid w:val="005F60B9"/>
    <w:rsid w:val="005F6F93"/>
    <w:rsid w:val="00601FA1"/>
    <w:rsid w:val="0060283F"/>
    <w:rsid w:val="00604A53"/>
    <w:rsid w:val="0060592A"/>
    <w:rsid w:val="00610872"/>
    <w:rsid w:val="00613EF5"/>
    <w:rsid w:val="00613FC0"/>
    <w:rsid w:val="006149BE"/>
    <w:rsid w:val="00614AAA"/>
    <w:rsid w:val="00617AD3"/>
    <w:rsid w:val="00621A15"/>
    <w:rsid w:val="006243B7"/>
    <w:rsid w:val="006246B8"/>
    <w:rsid w:val="0062566D"/>
    <w:rsid w:val="006278DD"/>
    <w:rsid w:val="0063152E"/>
    <w:rsid w:val="00632480"/>
    <w:rsid w:val="00632D37"/>
    <w:rsid w:val="00633BD7"/>
    <w:rsid w:val="00634A4C"/>
    <w:rsid w:val="00635C29"/>
    <w:rsid w:val="00635D7E"/>
    <w:rsid w:val="00636269"/>
    <w:rsid w:val="00636CA1"/>
    <w:rsid w:val="006370B7"/>
    <w:rsid w:val="00637227"/>
    <w:rsid w:val="006425CA"/>
    <w:rsid w:val="0064356C"/>
    <w:rsid w:val="00643DC3"/>
    <w:rsid w:val="0064522C"/>
    <w:rsid w:val="0064555C"/>
    <w:rsid w:val="0064744C"/>
    <w:rsid w:val="00650131"/>
    <w:rsid w:val="006514B0"/>
    <w:rsid w:val="00653101"/>
    <w:rsid w:val="006531BB"/>
    <w:rsid w:val="00654B2C"/>
    <w:rsid w:val="0065554C"/>
    <w:rsid w:val="006629BA"/>
    <w:rsid w:val="00665B55"/>
    <w:rsid w:val="0067141A"/>
    <w:rsid w:val="00671F97"/>
    <w:rsid w:val="00673359"/>
    <w:rsid w:val="0067454A"/>
    <w:rsid w:val="006767C4"/>
    <w:rsid w:val="00676B07"/>
    <w:rsid w:val="00676B41"/>
    <w:rsid w:val="00677F07"/>
    <w:rsid w:val="006809B5"/>
    <w:rsid w:val="00682531"/>
    <w:rsid w:val="0068488C"/>
    <w:rsid w:val="00691FD8"/>
    <w:rsid w:val="00692962"/>
    <w:rsid w:val="00694D51"/>
    <w:rsid w:val="0069613D"/>
    <w:rsid w:val="0069621D"/>
    <w:rsid w:val="00696740"/>
    <w:rsid w:val="00696A69"/>
    <w:rsid w:val="006A051D"/>
    <w:rsid w:val="006A0A29"/>
    <w:rsid w:val="006A0E47"/>
    <w:rsid w:val="006A164E"/>
    <w:rsid w:val="006A1904"/>
    <w:rsid w:val="006A191B"/>
    <w:rsid w:val="006A19ED"/>
    <w:rsid w:val="006A36B2"/>
    <w:rsid w:val="006A3C8C"/>
    <w:rsid w:val="006A5E3F"/>
    <w:rsid w:val="006B0E6E"/>
    <w:rsid w:val="006B1522"/>
    <w:rsid w:val="006B260B"/>
    <w:rsid w:val="006B51B7"/>
    <w:rsid w:val="006B6433"/>
    <w:rsid w:val="006B6434"/>
    <w:rsid w:val="006B687A"/>
    <w:rsid w:val="006C00E8"/>
    <w:rsid w:val="006C0C87"/>
    <w:rsid w:val="006C0F9B"/>
    <w:rsid w:val="006C1105"/>
    <w:rsid w:val="006C3E48"/>
    <w:rsid w:val="006C41A3"/>
    <w:rsid w:val="006C4401"/>
    <w:rsid w:val="006C5050"/>
    <w:rsid w:val="006C5C25"/>
    <w:rsid w:val="006C615C"/>
    <w:rsid w:val="006C695C"/>
    <w:rsid w:val="006C70DD"/>
    <w:rsid w:val="006D1CDC"/>
    <w:rsid w:val="006D3E0B"/>
    <w:rsid w:val="006D5019"/>
    <w:rsid w:val="006D67E2"/>
    <w:rsid w:val="006E04CD"/>
    <w:rsid w:val="006E1B8E"/>
    <w:rsid w:val="006E1F8F"/>
    <w:rsid w:val="006E2261"/>
    <w:rsid w:val="006E2F3D"/>
    <w:rsid w:val="006E5FFF"/>
    <w:rsid w:val="006E6BA8"/>
    <w:rsid w:val="006F14BB"/>
    <w:rsid w:val="006F1CDB"/>
    <w:rsid w:val="006F3E4B"/>
    <w:rsid w:val="006F4F59"/>
    <w:rsid w:val="006F5B24"/>
    <w:rsid w:val="006F6AFC"/>
    <w:rsid w:val="006F6D81"/>
    <w:rsid w:val="00701823"/>
    <w:rsid w:val="00702C7B"/>
    <w:rsid w:val="00703D40"/>
    <w:rsid w:val="00704416"/>
    <w:rsid w:val="0070557B"/>
    <w:rsid w:val="00710A2F"/>
    <w:rsid w:val="007115E1"/>
    <w:rsid w:val="0071420E"/>
    <w:rsid w:val="0071468C"/>
    <w:rsid w:val="00714F1E"/>
    <w:rsid w:val="00716637"/>
    <w:rsid w:val="0071754B"/>
    <w:rsid w:val="00722C4E"/>
    <w:rsid w:val="00726398"/>
    <w:rsid w:val="00731491"/>
    <w:rsid w:val="0073158B"/>
    <w:rsid w:val="0073349D"/>
    <w:rsid w:val="00733B76"/>
    <w:rsid w:val="007349FE"/>
    <w:rsid w:val="00734F72"/>
    <w:rsid w:val="00735AAA"/>
    <w:rsid w:val="00735BC5"/>
    <w:rsid w:val="00736648"/>
    <w:rsid w:val="00740EEA"/>
    <w:rsid w:val="00742BF2"/>
    <w:rsid w:val="00744431"/>
    <w:rsid w:val="00744B23"/>
    <w:rsid w:val="00745031"/>
    <w:rsid w:val="007504F5"/>
    <w:rsid w:val="007506DB"/>
    <w:rsid w:val="0075178B"/>
    <w:rsid w:val="007536CF"/>
    <w:rsid w:val="007544EE"/>
    <w:rsid w:val="00755A05"/>
    <w:rsid w:val="0075635A"/>
    <w:rsid w:val="007563AB"/>
    <w:rsid w:val="007572A1"/>
    <w:rsid w:val="007601CF"/>
    <w:rsid w:val="00760AA9"/>
    <w:rsid w:val="00762432"/>
    <w:rsid w:val="00762EDB"/>
    <w:rsid w:val="00762F9C"/>
    <w:rsid w:val="00763D0A"/>
    <w:rsid w:val="007640B2"/>
    <w:rsid w:val="007669B5"/>
    <w:rsid w:val="007701A3"/>
    <w:rsid w:val="007707E1"/>
    <w:rsid w:val="00770F92"/>
    <w:rsid w:val="00772496"/>
    <w:rsid w:val="00772AB6"/>
    <w:rsid w:val="00772C3B"/>
    <w:rsid w:val="00774E0F"/>
    <w:rsid w:val="00776565"/>
    <w:rsid w:val="00776DE5"/>
    <w:rsid w:val="00777405"/>
    <w:rsid w:val="007802FF"/>
    <w:rsid w:val="00780CFD"/>
    <w:rsid w:val="0078172F"/>
    <w:rsid w:val="007817D3"/>
    <w:rsid w:val="007821A3"/>
    <w:rsid w:val="00783E5F"/>
    <w:rsid w:val="00784447"/>
    <w:rsid w:val="007846DE"/>
    <w:rsid w:val="00784A07"/>
    <w:rsid w:val="0078519F"/>
    <w:rsid w:val="00785901"/>
    <w:rsid w:val="00787A60"/>
    <w:rsid w:val="00792629"/>
    <w:rsid w:val="00794A2E"/>
    <w:rsid w:val="00796858"/>
    <w:rsid w:val="0079747F"/>
    <w:rsid w:val="007A00F7"/>
    <w:rsid w:val="007A1E85"/>
    <w:rsid w:val="007A2F84"/>
    <w:rsid w:val="007A3448"/>
    <w:rsid w:val="007A352E"/>
    <w:rsid w:val="007A4A28"/>
    <w:rsid w:val="007A518A"/>
    <w:rsid w:val="007A5DC7"/>
    <w:rsid w:val="007A64A5"/>
    <w:rsid w:val="007A6BBE"/>
    <w:rsid w:val="007A77BA"/>
    <w:rsid w:val="007A7A3E"/>
    <w:rsid w:val="007B1B2F"/>
    <w:rsid w:val="007B20C4"/>
    <w:rsid w:val="007B392B"/>
    <w:rsid w:val="007B4AB6"/>
    <w:rsid w:val="007B5B2D"/>
    <w:rsid w:val="007B7681"/>
    <w:rsid w:val="007C02CF"/>
    <w:rsid w:val="007C2AF8"/>
    <w:rsid w:val="007C3478"/>
    <w:rsid w:val="007C34C6"/>
    <w:rsid w:val="007C6043"/>
    <w:rsid w:val="007D6843"/>
    <w:rsid w:val="007D6D73"/>
    <w:rsid w:val="007D7766"/>
    <w:rsid w:val="007D7AAB"/>
    <w:rsid w:val="007E0492"/>
    <w:rsid w:val="007E108E"/>
    <w:rsid w:val="007E1EE4"/>
    <w:rsid w:val="007E35B5"/>
    <w:rsid w:val="007E3D16"/>
    <w:rsid w:val="007E40D9"/>
    <w:rsid w:val="007E41B6"/>
    <w:rsid w:val="007E4CA3"/>
    <w:rsid w:val="007E54A7"/>
    <w:rsid w:val="007E5745"/>
    <w:rsid w:val="007E7CAE"/>
    <w:rsid w:val="007F188D"/>
    <w:rsid w:val="007F1DE6"/>
    <w:rsid w:val="007F1E58"/>
    <w:rsid w:val="007F4210"/>
    <w:rsid w:val="007F5263"/>
    <w:rsid w:val="00800FFD"/>
    <w:rsid w:val="00803D32"/>
    <w:rsid w:val="0080441F"/>
    <w:rsid w:val="00804D51"/>
    <w:rsid w:val="0080645F"/>
    <w:rsid w:val="008104F1"/>
    <w:rsid w:val="0081145B"/>
    <w:rsid w:val="00811891"/>
    <w:rsid w:val="00811D38"/>
    <w:rsid w:val="00813215"/>
    <w:rsid w:val="0081458F"/>
    <w:rsid w:val="008145F7"/>
    <w:rsid w:val="00814891"/>
    <w:rsid w:val="00814E23"/>
    <w:rsid w:val="00816F03"/>
    <w:rsid w:val="00817C40"/>
    <w:rsid w:val="00817FC5"/>
    <w:rsid w:val="008212B2"/>
    <w:rsid w:val="0082197E"/>
    <w:rsid w:val="00821CDA"/>
    <w:rsid w:val="00822375"/>
    <w:rsid w:val="00822830"/>
    <w:rsid w:val="008230E0"/>
    <w:rsid w:val="008247FD"/>
    <w:rsid w:val="00826F3A"/>
    <w:rsid w:val="0082792C"/>
    <w:rsid w:val="008325E5"/>
    <w:rsid w:val="00832D9D"/>
    <w:rsid w:val="008330CF"/>
    <w:rsid w:val="00834784"/>
    <w:rsid w:val="00834FB2"/>
    <w:rsid w:val="008350E2"/>
    <w:rsid w:val="0083549B"/>
    <w:rsid w:val="008365D0"/>
    <w:rsid w:val="00836870"/>
    <w:rsid w:val="00837D95"/>
    <w:rsid w:val="0084139F"/>
    <w:rsid w:val="0084595D"/>
    <w:rsid w:val="008465C6"/>
    <w:rsid w:val="00847E26"/>
    <w:rsid w:val="00850DF5"/>
    <w:rsid w:val="00851276"/>
    <w:rsid w:val="0085406E"/>
    <w:rsid w:val="00854A23"/>
    <w:rsid w:val="0085521D"/>
    <w:rsid w:val="008558A8"/>
    <w:rsid w:val="008563FE"/>
    <w:rsid w:val="00861B6B"/>
    <w:rsid w:val="00862083"/>
    <w:rsid w:val="0086488D"/>
    <w:rsid w:val="00864F27"/>
    <w:rsid w:val="008662B6"/>
    <w:rsid w:val="00867071"/>
    <w:rsid w:val="0087177E"/>
    <w:rsid w:val="00872F81"/>
    <w:rsid w:val="00874DEB"/>
    <w:rsid w:val="00875378"/>
    <w:rsid w:val="00875672"/>
    <w:rsid w:val="00875778"/>
    <w:rsid w:val="0087706D"/>
    <w:rsid w:val="00881C88"/>
    <w:rsid w:val="00882043"/>
    <w:rsid w:val="00882045"/>
    <w:rsid w:val="00882AAB"/>
    <w:rsid w:val="00883243"/>
    <w:rsid w:val="008845C6"/>
    <w:rsid w:val="00884BF1"/>
    <w:rsid w:val="008856C6"/>
    <w:rsid w:val="00885849"/>
    <w:rsid w:val="008868FC"/>
    <w:rsid w:val="0088768A"/>
    <w:rsid w:val="00887DEC"/>
    <w:rsid w:val="008904A0"/>
    <w:rsid w:val="00891F0E"/>
    <w:rsid w:val="00895763"/>
    <w:rsid w:val="008959AA"/>
    <w:rsid w:val="00896ADB"/>
    <w:rsid w:val="008A0471"/>
    <w:rsid w:val="008A0954"/>
    <w:rsid w:val="008A2CA6"/>
    <w:rsid w:val="008A36CA"/>
    <w:rsid w:val="008A3F36"/>
    <w:rsid w:val="008A4465"/>
    <w:rsid w:val="008A4D5F"/>
    <w:rsid w:val="008A5934"/>
    <w:rsid w:val="008A675E"/>
    <w:rsid w:val="008A7CBE"/>
    <w:rsid w:val="008B1A85"/>
    <w:rsid w:val="008B38C3"/>
    <w:rsid w:val="008B3F01"/>
    <w:rsid w:val="008B683B"/>
    <w:rsid w:val="008B74BF"/>
    <w:rsid w:val="008C1E08"/>
    <w:rsid w:val="008C1F70"/>
    <w:rsid w:val="008C217E"/>
    <w:rsid w:val="008C289D"/>
    <w:rsid w:val="008C3E50"/>
    <w:rsid w:val="008D0299"/>
    <w:rsid w:val="008D0456"/>
    <w:rsid w:val="008D27C8"/>
    <w:rsid w:val="008D30EA"/>
    <w:rsid w:val="008D4EC1"/>
    <w:rsid w:val="008D7407"/>
    <w:rsid w:val="008D7935"/>
    <w:rsid w:val="008E1416"/>
    <w:rsid w:val="008E18F5"/>
    <w:rsid w:val="008E1E0A"/>
    <w:rsid w:val="008E2769"/>
    <w:rsid w:val="008E325A"/>
    <w:rsid w:val="008E370C"/>
    <w:rsid w:val="008E5888"/>
    <w:rsid w:val="008E5E12"/>
    <w:rsid w:val="008E6981"/>
    <w:rsid w:val="008F01DA"/>
    <w:rsid w:val="008F1541"/>
    <w:rsid w:val="008F18AA"/>
    <w:rsid w:val="008F374F"/>
    <w:rsid w:val="008F3919"/>
    <w:rsid w:val="008F4345"/>
    <w:rsid w:val="008F45CE"/>
    <w:rsid w:val="008F5E01"/>
    <w:rsid w:val="008F7CF0"/>
    <w:rsid w:val="00900A24"/>
    <w:rsid w:val="0090107D"/>
    <w:rsid w:val="0090138B"/>
    <w:rsid w:val="00901A43"/>
    <w:rsid w:val="009057EE"/>
    <w:rsid w:val="00905A1A"/>
    <w:rsid w:val="009109B8"/>
    <w:rsid w:val="00911066"/>
    <w:rsid w:val="00912EFD"/>
    <w:rsid w:val="00916903"/>
    <w:rsid w:val="00917814"/>
    <w:rsid w:val="00917B3E"/>
    <w:rsid w:val="00917DE2"/>
    <w:rsid w:val="00920E7B"/>
    <w:rsid w:val="00924A07"/>
    <w:rsid w:val="00924A3C"/>
    <w:rsid w:val="00926FF5"/>
    <w:rsid w:val="00927038"/>
    <w:rsid w:val="009273F6"/>
    <w:rsid w:val="009302C6"/>
    <w:rsid w:val="009307E2"/>
    <w:rsid w:val="00930A5D"/>
    <w:rsid w:val="00930CCE"/>
    <w:rsid w:val="009337D2"/>
    <w:rsid w:val="009355DF"/>
    <w:rsid w:val="00935759"/>
    <w:rsid w:val="00935C5A"/>
    <w:rsid w:val="0093660D"/>
    <w:rsid w:val="009418D8"/>
    <w:rsid w:val="00941A22"/>
    <w:rsid w:val="00943CBC"/>
    <w:rsid w:val="009447E8"/>
    <w:rsid w:val="0094491D"/>
    <w:rsid w:val="009475EA"/>
    <w:rsid w:val="009504CD"/>
    <w:rsid w:val="00950F2E"/>
    <w:rsid w:val="00951A2D"/>
    <w:rsid w:val="009534BB"/>
    <w:rsid w:val="009538F8"/>
    <w:rsid w:val="00954923"/>
    <w:rsid w:val="00954E10"/>
    <w:rsid w:val="0095686A"/>
    <w:rsid w:val="00956B54"/>
    <w:rsid w:val="00957465"/>
    <w:rsid w:val="00960256"/>
    <w:rsid w:val="00961014"/>
    <w:rsid w:val="00963403"/>
    <w:rsid w:val="00965E69"/>
    <w:rsid w:val="009662E4"/>
    <w:rsid w:val="009675AA"/>
    <w:rsid w:val="00967A3A"/>
    <w:rsid w:val="009703F1"/>
    <w:rsid w:val="0097340A"/>
    <w:rsid w:val="00973FC7"/>
    <w:rsid w:val="009760BE"/>
    <w:rsid w:val="00976A9C"/>
    <w:rsid w:val="009777B4"/>
    <w:rsid w:val="00977B7D"/>
    <w:rsid w:val="009811C1"/>
    <w:rsid w:val="00981D87"/>
    <w:rsid w:val="00981E64"/>
    <w:rsid w:val="00982439"/>
    <w:rsid w:val="00984A27"/>
    <w:rsid w:val="00984AF1"/>
    <w:rsid w:val="00985AE0"/>
    <w:rsid w:val="0098633C"/>
    <w:rsid w:val="0098652E"/>
    <w:rsid w:val="00987722"/>
    <w:rsid w:val="00987B80"/>
    <w:rsid w:val="0099085D"/>
    <w:rsid w:val="00991D53"/>
    <w:rsid w:val="00992C7C"/>
    <w:rsid w:val="00993C6D"/>
    <w:rsid w:val="0099404D"/>
    <w:rsid w:val="00996B4B"/>
    <w:rsid w:val="009A08A0"/>
    <w:rsid w:val="009A09A7"/>
    <w:rsid w:val="009A0AE2"/>
    <w:rsid w:val="009A1A3E"/>
    <w:rsid w:val="009A247B"/>
    <w:rsid w:val="009A4D31"/>
    <w:rsid w:val="009A4FA6"/>
    <w:rsid w:val="009A626C"/>
    <w:rsid w:val="009A6A7A"/>
    <w:rsid w:val="009A6BAF"/>
    <w:rsid w:val="009B02E2"/>
    <w:rsid w:val="009B089B"/>
    <w:rsid w:val="009B10C3"/>
    <w:rsid w:val="009B2751"/>
    <w:rsid w:val="009B2D6A"/>
    <w:rsid w:val="009B2D97"/>
    <w:rsid w:val="009B3089"/>
    <w:rsid w:val="009B4291"/>
    <w:rsid w:val="009B453A"/>
    <w:rsid w:val="009B4959"/>
    <w:rsid w:val="009B58B7"/>
    <w:rsid w:val="009B5C40"/>
    <w:rsid w:val="009B5E13"/>
    <w:rsid w:val="009B625E"/>
    <w:rsid w:val="009B6EF1"/>
    <w:rsid w:val="009B71B9"/>
    <w:rsid w:val="009B7909"/>
    <w:rsid w:val="009B7D2E"/>
    <w:rsid w:val="009C023E"/>
    <w:rsid w:val="009C05A3"/>
    <w:rsid w:val="009C2B3C"/>
    <w:rsid w:val="009C46D2"/>
    <w:rsid w:val="009C4E2C"/>
    <w:rsid w:val="009C4EFE"/>
    <w:rsid w:val="009C5726"/>
    <w:rsid w:val="009C5B19"/>
    <w:rsid w:val="009C6E33"/>
    <w:rsid w:val="009C7B2D"/>
    <w:rsid w:val="009D020E"/>
    <w:rsid w:val="009D2F12"/>
    <w:rsid w:val="009D36FB"/>
    <w:rsid w:val="009D3D3F"/>
    <w:rsid w:val="009D4313"/>
    <w:rsid w:val="009D433F"/>
    <w:rsid w:val="009D46C4"/>
    <w:rsid w:val="009D55B7"/>
    <w:rsid w:val="009D59F2"/>
    <w:rsid w:val="009D6002"/>
    <w:rsid w:val="009D71EB"/>
    <w:rsid w:val="009D75CC"/>
    <w:rsid w:val="009E1806"/>
    <w:rsid w:val="009E43C2"/>
    <w:rsid w:val="009E5079"/>
    <w:rsid w:val="009E67B1"/>
    <w:rsid w:val="009E68B6"/>
    <w:rsid w:val="009E6D23"/>
    <w:rsid w:val="009E7F53"/>
    <w:rsid w:val="009F1506"/>
    <w:rsid w:val="009F15A5"/>
    <w:rsid w:val="009F1A68"/>
    <w:rsid w:val="009F5EBC"/>
    <w:rsid w:val="009F6EA4"/>
    <w:rsid w:val="00A01DC4"/>
    <w:rsid w:val="00A0344C"/>
    <w:rsid w:val="00A03EE8"/>
    <w:rsid w:val="00A04E45"/>
    <w:rsid w:val="00A0587C"/>
    <w:rsid w:val="00A102BB"/>
    <w:rsid w:val="00A10BBE"/>
    <w:rsid w:val="00A13F25"/>
    <w:rsid w:val="00A15809"/>
    <w:rsid w:val="00A17CCB"/>
    <w:rsid w:val="00A17D9E"/>
    <w:rsid w:val="00A17DF7"/>
    <w:rsid w:val="00A20A6B"/>
    <w:rsid w:val="00A22D26"/>
    <w:rsid w:val="00A22E8F"/>
    <w:rsid w:val="00A23495"/>
    <w:rsid w:val="00A23752"/>
    <w:rsid w:val="00A23B99"/>
    <w:rsid w:val="00A23E4D"/>
    <w:rsid w:val="00A241F8"/>
    <w:rsid w:val="00A24EFD"/>
    <w:rsid w:val="00A267E4"/>
    <w:rsid w:val="00A26A9D"/>
    <w:rsid w:val="00A32474"/>
    <w:rsid w:val="00A330B4"/>
    <w:rsid w:val="00A331C6"/>
    <w:rsid w:val="00A3343E"/>
    <w:rsid w:val="00A34DF2"/>
    <w:rsid w:val="00A364DE"/>
    <w:rsid w:val="00A36E93"/>
    <w:rsid w:val="00A40779"/>
    <w:rsid w:val="00A41F4E"/>
    <w:rsid w:val="00A426CA"/>
    <w:rsid w:val="00A44BB9"/>
    <w:rsid w:val="00A45BDC"/>
    <w:rsid w:val="00A51F95"/>
    <w:rsid w:val="00A53810"/>
    <w:rsid w:val="00A5425C"/>
    <w:rsid w:val="00A54680"/>
    <w:rsid w:val="00A57BF8"/>
    <w:rsid w:val="00A60F2C"/>
    <w:rsid w:val="00A62322"/>
    <w:rsid w:val="00A727DA"/>
    <w:rsid w:val="00A72AF3"/>
    <w:rsid w:val="00A749AD"/>
    <w:rsid w:val="00A74B70"/>
    <w:rsid w:val="00A76777"/>
    <w:rsid w:val="00A767AA"/>
    <w:rsid w:val="00A82107"/>
    <w:rsid w:val="00A826BE"/>
    <w:rsid w:val="00A83B12"/>
    <w:rsid w:val="00A84D3C"/>
    <w:rsid w:val="00A85BED"/>
    <w:rsid w:val="00A86E39"/>
    <w:rsid w:val="00A872B6"/>
    <w:rsid w:val="00A903CD"/>
    <w:rsid w:val="00A944E6"/>
    <w:rsid w:val="00A94F01"/>
    <w:rsid w:val="00A94FAC"/>
    <w:rsid w:val="00A96344"/>
    <w:rsid w:val="00A9636B"/>
    <w:rsid w:val="00A96B18"/>
    <w:rsid w:val="00AA0555"/>
    <w:rsid w:val="00AA0E8F"/>
    <w:rsid w:val="00AA239A"/>
    <w:rsid w:val="00AA26B8"/>
    <w:rsid w:val="00AA518D"/>
    <w:rsid w:val="00AA6099"/>
    <w:rsid w:val="00AA7BD6"/>
    <w:rsid w:val="00AA7E88"/>
    <w:rsid w:val="00AB03E5"/>
    <w:rsid w:val="00AB3049"/>
    <w:rsid w:val="00AB31AF"/>
    <w:rsid w:val="00AB4E08"/>
    <w:rsid w:val="00AB4E6A"/>
    <w:rsid w:val="00AB5356"/>
    <w:rsid w:val="00AB585B"/>
    <w:rsid w:val="00AB6B96"/>
    <w:rsid w:val="00AB6DAE"/>
    <w:rsid w:val="00AB7829"/>
    <w:rsid w:val="00AC03DB"/>
    <w:rsid w:val="00AC0989"/>
    <w:rsid w:val="00AC0F5A"/>
    <w:rsid w:val="00AC1795"/>
    <w:rsid w:val="00AC24BB"/>
    <w:rsid w:val="00AC4746"/>
    <w:rsid w:val="00AC508E"/>
    <w:rsid w:val="00AC6FC1"/>
    <w:rsid w:val="00AC7620"/>
    <w:rsid w:val="00AD089C"/>
    <w:rsid w:val="00AD0D65"/>
    <w:rsid w:val="00AD0E7A"/>
    <w:rsid w:val="00AD23C1"/>
    <w:rsid w:val="00AD240E"/>
    <w:rsid w:val="00AD37C9"/>
    <w:rsid w:val="00AD3EA6"/>
    <w:rsid w:val="00AD4748"/>
    <w:rsid w:val="00AD4F87"/>
    <w:rsid w:val="00AD562F"/>
    <w:rsid w:val="00AD7FF5"/>
    <w:rsid w:val="00AE04AE"/>
    <w:rsid w:val="00AE28C1"/>
    <w:rsid w:val="00AE42EA"/>
    <w:rsid w:val="00AE6D29"/>
    <w:rsid w:val="00AE6FF8"/>
    <w:rsid w:val="00AF63C4"/>
    <w:rsid w:val="00AF6E9F"/>
    <w:rsid w:val="00B0261E"/>
    <w:rsid w:val="00B0329D"/>
    <w:rsid w:val="00B04AB3"/>
    <w:rsid w:val="00B04B8A"/>
    <w:rsid w:val="00B058A0"/>
    <w:rsid w:val="00B073C7"/>
    <w:rsid w:val="00B074CB"/>
    <w:rsid w:val="00B1037E"/>
    <w:rsid w:val="00B10EE7"/>
    <w:rsid w:val="00B116F7"/>
    <w:rsid w:val="00B1237C"/>
    <w:rsid w:val="00B126AB"/>
    <w:rsid w:val="00B13520"/>
    <w:rsid w:val="00B14406"/>
    <w:rsid w:val="00B166EC"/>
    <w:rsid w:val="00B16F82"/>
    <w:rsid w:val="00B17063"/>
    <w:rsid w:val="00B213A6"/>
    <w:rsid w:val="00B22524"/>
    <w:rsid w:val="00B23853"/>
    <w:rsid w:val="00B24CA3"/>
    <w:rsid w:val="00B25BE6"/>
    <w:rsid w:val="00B27BC5"/>
    <w:rsid w:val="00B3125F"/>
    <w:rsid w:val="00B32BB6"/>
    <w:rsid w:val="00B33E83"/>
    <w:rsid w:val="00B34887"/>
    <w:rsid w:val="00B34EE0"/>
    <w:rsid w:val="00B3555D"/>
    <w:rsid w:val="00B3568A"/>
    <w:rsid w:val="00B36638"/>
    <w:rsid w:val="00B3679F"/>
    <w:rsid w:val="00B36FE8"/>
    <w:rsid w:val="00B3784B"/>
    <w:rsid w:val="00B407D9"/>
    <w:rsid w:val="00B41D95"/>
    <w:rsid w:val="00B43CDA"/>
    <w:rsid w:val="00B440B8"/>
    <w:rsid w:val="00B441E9"/>
    <w:rsid w:val="00B4424B"/>
    <w:rsid w:val="00B44AFA"/>
    <w:rsid w:val="00B44B1E"/>
    <w:rsid w:val="00B46479"/>
    <w:rsid w:val="00B505C5"/>
    <w:rsid w:val="00B50FF4"/>
    <w:rsid w:val="00B51664"/>
    <w:rsid w:val="00B51822"/>
    <w:rsid w:val="00B52308"/>
    <w:rsid w:val="00B54F9F"/>
    <w:rsid w:val="00B55A88"/>
    <w:rsid w:val="00B61664"/>
    <w:rsid w:val="00B61D85"/>
    <w:rsid w:val="00B62FD4"/>
    <w:rsid w:val="00B67426"/>
    <w:rsid w:val="00B7140A"/>
    <w:rsid w:val="00B719EB"/>
    <w:rsid w:val="00B74ED8"/>
    <w:rsid w:val="00B75B9C"/>
    <w:rsid w:val="00B804D9"/>
    <w:rsid w:val="00B80A11"/>
    <w:rsid w:val="00B82594"/>
    <w:rsid w:val="00B836D1"/>
    <w:rsid w:val="00B84BA5"/>
    <w:rsid w:val="00B84D4D"/>
    <w:rsid w:val="00B857AE"/>
    <w:rsid w:val="00B85DE8"/>
    <w:rsid w:val="00B86767"/>
    <w:rsid w:val="00B873EB"/>
    <w:rsid w:val="00B90748"/>
    <w:rsid w:val="00B91176"/>
    <w:rsid w:val="00B92A69"/>
    <w:rsid w:val="00B93A51"/>
    <w:rsid w:val="00BA1C97"/>
    <w:rsid w:val="00BA21FC"/>
    <w:rsid w:val="00BA33F9"/>
    <w:rsid w:val="00BA3E60"/>
    <w:rsid w:val="00BA57B3"/>
    <w:rsid w:val="00BA666E"/>
    <w:rsid w:val="00BA7DD4"/>
    <w:rsid w:val="00BB0263"/>
    <w:rsid w:val="00BB11B7"/>
    <w:rsid w:val="00BB19E3"/>
    <w:rsid w:val="00BB632A"/>
    <w:rsid w:val="00BC03EB"/>
    <w:rsid w:val="00BC0514"/>
    <w:rsid w:val="00BC1F9F"/>
    <w:rsid w:val="00BC31EB"/>
    <w:rsid w:val="00BC4302"/>
    <w:rsid w:val="00BC43D3"/>
    <w:rsid w:val="00BC53A9"/>
    <w:rsid w:val="00BC640C"/>
    <w:rsid w:val="00BC67E0"/>
    <w:rsid w:val="00BD171C"/>
    <w:rsid w:val="00BD3302"/>
    <w:rsid w:val="00BD4BA3"/>
    <w:rsid w:val="00BD4D3D"/>
    <w:rsid w:val="00BD580C"/>
    <w:rsid w:val="00BD6BA0"/>
    <w:rsid w:val="00BE0334"/>
    <w:rsid w:val="00BE0956"/>
    <w:rsid w:val="00BE0C7C"/>
    <w:rsid w:val="00BE115A"/>
    <w:rsid w:val="00BE1BD2"/>
    <w:rsid w:val="00BE7AAC"/>
    <w:rsid w:val="00BF099A"/>
    <w:rsid w:val="00BF3774"/>
    <w:rsid w:val="00BF45AE"/>
    <w:rsid w:val="00BF5C7F"/>
    <w:rsid w:val="00C03882"/>
    <w:rsid w:val="00C04301"/>
    <w:rsid w:val="00C05482"/>
    <w:rsid w:val="00C05ADE"/>
    <w:rsid w:val="00C06912"/>
    <w:rsid w:val="00C06DBA"/>
    <w:rsid w:val="00C0760A"/>
    <w:rsid w:val="00C10F4A"/>
    <w:rsid w:val="00C11076"/>
    <w:rsid w:val="00C11B0A"/>
    <w:rsid w:val="00C12310"/>
    <w:rsid w:val="00C16A3C"/>
    <w:rsid w:val="00C16AEB"/>
    <w:rsid w:val="00C16D1E"/>
    <w:rsid w:val="00C22452"/>
    <w:rsid w:val="00C23015"/>
    <w:rsid w:val="00C23532"/>
    <w:rsid w:val="00C236BD"/>
    <w:rsid w:val="00C253B6"/>
    <w:rsid w:val="00C26FBB"/>
    <w:rsid w:val="00C3059F"/>
    <w:rsid w:val="00C31AAD"/>
    <w:rsid w:val="00C31D5E"/>
    <w:rsid w:val="00C33CB9"/>
    <w:rsid w:val="00C3585A"/>
    <w:rsid w:val="00C36331"/>
    <w:rsid w:val="00C36A14"/>
    <w:rsid w:val="00C37D06"/>
    <w:rsid w:val="00C40566"/>
    <w:rsid w:val="00C44855"/>
    <w:rsid w:val="00C478A3"/>
    <w:rsid w:val="00C479FC"/>
    <w:rsid w:val="00C50540"/>
    <w:rsid w:val="00C50BE1"/>
    <w:rsid w:val="00C5193E"/>
    <w:rsid w:val="00C52053"/>
    <w:rsid w:val="00C570D7"/>
    <w:rsid w:val="00C5752F"/>
    <w:rsid w:val="00C57FCB"/>
    <w:rsid w:val="00C605B2"/>
    <w:rsid w:val="00C6226A"/>
    <w:rsid w:val="00C63283"/>
    <w:rsid w:val="00C654E4"/>
    <w:rsid w:val="00C65D0C"/>
    <w:rsid w:val="00C66E19"/>
    <w:rsid w:val="00C67049"/>
    <w:rsid w:val="00C7196C"/>
    <w:rsid w:val="00C74728"/>
    <w:rsid w:val="00C74904"/>
    <w:rsid w:val="00C75682"/>
    <w:rsid w:val="00C7761A"/>
    <w:rsid w:val="00C80699"/>
    <w:rsid w:val="00C811D2"/>
    <w:rsid w:val="00C83AD4"/>
    <w:rsid w:val="00C85F88"/>
    <w:rsid w:val="00C9087E"/>
    <w:rsid w:val="00C927C0"/>
    <w:rsid w:val="00C93266"/>
    <w:rsid w:val="00C95996"/>
    <w:rsid w:val="00C95FA4"/>
    <w:rsid w:val="00C97453"/>
    <w:rsid w:val="00C97A3E"/>
    <w:rsid w:val="00CA5E72"/>
    <w:rsid w:val="00CA615F"/>
    <w:rsid w:val="00CA65D9"/>
    <w:rsid w:val="00CA6986"/>
    <w:rsid w:val="00CA6A3C"/>
    <w:rsid w:val="00CA779D"/>
    <w:rsid w:val="00CA7B15"/>
    <w:rsid w:val="00CB10F9"/>
    <w:rsid w:val="00CB1E27"/>
    <w:rsid w:val="00CB347F"/>
    <w:rsid w:val="00CB3664"/>
    <w:rsid w:val="00CB46B5"/>
    <w:rsid w:val="00CB5830"/>
    <w:rsid w:val="00CB5F80"/>
    <w:rsid w:val="00CC08AB"/>
    <w:rsid w:val="00CC1AF4"/>
    <w:rsid w:val="00CC36B8"/>
    <w:rsid w:val="00CC3A58"/>
    <w:rsid w:val="00CC5CDD"/>
    <w:rsid w:val="00CC7208"/>
    <w:rsid w:val="00CC7214"/>
    <w:rsid w:val="00CD1E90"/>
    <w:rsid w:val="00CD273C"/>
    <w:rsid w:val="00CD35E3"/>
    <w:rsid w:val="00CD3A89"/>
    <w:rsid w:val="00CD3F74"/>
    <w:rsid w:val="00CD5D78"/>
    <w:rsid w:val="00CD619B"/>
    <w:rsid w:val="00CD67F7"/>
    <w:rsid w:val="00CD6DF7"/>
    <w:rsid w:val="00CD7A42"/>
    <w:rsid w:val="00CD7B0F"/>
    <w:rsid w:val="00CE0696"/>
    <w:rsid w:val="00CE1B34"/>
    <w:rsid w:val="00CE1D14"/>
    <w:rsid w:val="00CE2241"/>
    <w:rsid w:val="00CE2E94"/>
    <w:rsid w:val="00CE35D1"/>
    <w:rsid w:val="00CE39CF"/>
    <w:rsid w:val="00CE7C4D"/>
    <w:rsid w:val="00CF36FF"/>
    <w:rsid w:val="00CF40A7"/>
    <w:rsid w:val="00CF4610"/>
    <w:rsid w:val="00CF5875"/>
    <w:rsid w:val="00CF59D2"/>
    <w:rsid w:val="00CF6493"/>
    <w:rsid w:val="00CF78B1"/>
    <w:rsid w:val="00D007EC"/>
    <w:rsid w:val="00D01383"/>
    <w:rsid w:val="00D0438C"/>
    <w:rsid w:val="00D04F4F"/>
    <w:rsid w:val="00D05437"/>
    <w:rsid w:val="00D0590B"/>
    <w:rsid w:val="00D07606"/>
    <w:rsid w:val="00D10BC0"/>
    <w:rsid w:val="00D10FE2"/>
    <w:rsid w:val="00D11CAB"/>
    <w:rsid w:val="00D123B7"/>
    <w:rsid w:val="00D140D8"/>
    <w:rsid w:val="00D14D1C"/>
    <w:rsid w:val="00D1528D"/>
    <w:rsid w:val="00D162EF"/>
    <w:rsid w:val="00D16E61"/>
    <w:rsid w:val="00D17706"/>
    <w:rsid w:val="00D23444"/>
    <w:rsid w:val="00D24AA2"/>
    <w:rsid w:val="00D301E1"/>
    <w:rsid w:val="00D30C71"/>
    <w:rsid w:val="00D316E5"/>
    <w:rsid w:val="00D31E44"/>
    <w:rsid w:val="00D3326B"/>
    <w:rsid w:val="00D35DB0"/>
    <w:rsid w:val="00D3660E"/>
    <w:rsid w:val="00D36DF6"/>
    <w:rsid w:val="00D37D8A"/>
    <w:rsid w:val="00D408DD"/>
    <w:rsid w:val="00D409E0"/>
    <w:rsid w:val="00D41699"/>
    <w:rsid w:val="00D43E1C"/>
    <w:rsid w:val="00D44E44"/>
    <w:rsid w:val="00D46026"/>
    <w:rsid w:val="00D50384"/>
    <w:rsid w:val="00D52430"/>
    <w:rsid w:val="00D5282F"/>
    <w:rsid w:val="00D52F64"/>
    <w:rsid w:val="00D570C2"/>
    <w:rsid w:val="00D61823"/>
    <w:rsid w:val="00D62FFA"/>
    <w:rsid w:val="00D63E2F"/>
    <w:rsid w:val="00D65368"/>
    <w:rsid w:val="00D66465"/>
    <w:rsid w:val="00D7139A"/>
    <w:rsid w:val="00D72966"/>
    <w:rsid w:val="00D74332"/>
    <w:rsid w:val="00D743E7"/>
    <w:rsid w:val="00D7480B"/>
    <w:rsid w:val="00D7501B"/>
    <w:rsid w:val="00D754D3"/>
    <w:rsid w:val="00D76CE8"/>
    <w:rsid w:val="00D77FFC"/>
    <w:rsid w:val="00D80439"/>
    <w:rsid w:val="00D8271B"/>
    <w:rsid w:val="00D8273A"/>
    <w:rsid w:val="00D84F71"/>
    <w:rsid w:val="00D87530"/>
    <w:rsid w:val="00D87E33"/>
    <w:rsid w:val="00D91296"/>
    <w:rsid w:val="00D91D32"/>
    <w:rsid w:val="00D93351"/>
    <w:rsid w:val="00D9366E"/>
    <w:rsid w:val="00D9522C"/>
    <w:rsid w:val="00D9610D"/>
    <w:rsid w:val="00D962F2"/>
    <w:rsid w:val="00D964E2"/>
    <w:rsid w:val="00D96641"/>
    <w:rsid w:val="00D97A57"/>
    <w:rsid w:val="00DA208D"/>
    <w:rsid w:val="00DA2B7C"/>
    <w:rsid w:val="00DA7C9E"/>
    <w:rsid w:val="00DB3AEF"/>
    <w:rsid w:val="00DB4907"/>
    <w:rsid w:val="00DB56EB"/>
    <w:rsid w:val="00DB584C"/>
    <w:rsid w:val="00DB685A"/>
    <w:rsid w:val="00DB6F9F"/>
    <w:rsid w:val="00DC2722"/>
    <w:rsid w:val="00DC2B37"/>
    <w:rsid w:val="00DC2C4D"/>
    <w:rsid w:val="00DC4295"/>
    <w:rsid w:val="00DC43B5"/>
    <w:rsid w:val="00DC591A"/>
    <w:rsid w:val="00DC7815"/>
    <w:rsid w:val="00DC7C16"/>
    <w:rsid w:val="00DD030E"/>
    <w:rsid w:val="00DD2246"/>
    <w:rsid w:val="00DD2376"/>
    <w:rsid w:val="00DD3ACE"/>
    <w:rsid w:val="00DD3DED"/>
    <w:rsid w:val="00DD4641"/>
    <w:rsid w:val="00DD6087"/>
    <w:rsid w:val="00DD62F0"/>
    <w:rsid w:val="00DD778E"/>
    <w:rsid w:val="00DE0EE9"/>
    <w:rsid w:val="00DE19AC"/>
    <w:rsid w:val="00DE2F9D"/>
    <w:rsid w:val="00DE46DA"/>
    <w:rsid w:val="00DE50CB"/>
    <w:rsid w:val="00DE5B3A"/>
    <w:rsid w:val="00DE7A82"/>
    <w:rsid w:val="00DF223B"/>
    <w:rsid w:val="00DF2B4E"/>
    <w:rsid w:val="00DF320D"/>
    <w:rsid w:val="00DF5011"/>
    <w:rsid w:val="00DF5ADB"/>
    <w:rsid w:val="00DF7E50"/>
    <w:rsid w:val="00E00388"/>
    <w:rsid w:val="00E00EAA"/>
    <w:rsid w:val="00E04D60"/>
    <w:rsid w:val="00E050C8"/>
    <w:rsid w:val="00E068D6"/>
    <w:rsid w:val="00E104C4"/>
    <w:rsid w:val="00E1190A"/>
    <w:rsid w:val="00E11C41"/>
    <w:rsid w:val="00E14158"/>
    <w:rsid w:val="00E14352"/>
    <w:rsid w:val="00E1631A"/>
    <w:rsid w:val="00E1745A"/>
    <w:rsid w:val="00E20E67"/>
    <w:rsid w:val="00E210D3"/>
    <w:rsid w:val="00E226AF"/>
    <w:rsid w:val="00E22850"/>
    <w:rsid w:val="00E22A8A"/>
    <w:rsid w:val="00E23732"/>
    <w:rsid w:val="00E24C5B"/>
    <w:rsid w:val="00E26378"/>
    <w:rsid w:val="00E2694A"/>
    <w:rsid w:val="00E27464"/>
    <w:rsid w:val="00E31FF6"/>
    <w:rsid w:val="00E32F7C"/>
    <w:rsid w:val="00E35E55"/>
    <w:rsid w:val="00E42957"/>
    <w:rsid w:val="00E44B0B"/>
    <w:rsid w:val="00E44FF6"/>
    <w:rsid w:val="00E470B7"/>
    <w:rsid w:val="00E4739C"/>
    <w:rsid w:val="00E50792"/>
    <w:rsid w:val="00E50900"/>
    <w:rsid w:val="00E51CEF"/>
    <w:rsid w:val="00E52E2B"/>
    <w:rsid w:val="00E53569"/>
    <w:rsid w:val="00E5710C"/>
    <w:rsid w:val="00E57148"/>
    <w:rsid w:val="00E57927"/>
    <w:rsid w:val="00E61CC4"/>
    <w:rsid w:val="00E62280"/>
    <w:rsid w:val="00E63C2D"/>
    <w:rsid w:val="00E656C0"/>
    <w:rsid w:val="00E660D7"/>
    <w:rsid w:val="00E66BD5"/>
    <w:rsid w:val="00E66CAF"/>
    <w:rsid w:val="00E66F8E"/>
    <w:rsid w:val="00E70D4F"/>
    <w:rsid w:val="00E70FDF"/>
    <w:rsid w:val="00E72416"/>
    <w:rsid w:val="00E742FF"/>
    <w:rsid w:val="00E759AE"/>
    <w:rsid w:val="00E75C31"/>
    <w:rsid w:val="00E76558"/>
    <w:rsid w:val="00E77194"/>
    <w:rsid w:val="00E777CC"/>
    <w:rsid w:val="00E77C14"/>
    <w:rsid w:val="00E80506"/>
    <w:rsid w:val="00E80B0F"/>
    <w:rsid w:val="00E82EC4"/>
    <w:rsid w:val="00E83C61"/>
    <w:rsid w:val="00E84746"/>
    <w:rsid w:val="00E84E51"/>
    <w:rsid w:val="00E86CF2"/>
    <w:rsid w:val="00E90A28"/>
    <w:rsid w:val="00E92954"/>
    <w:rsid w:val="00E944A6"/>
    <w:rsid w:val="00E97D08"/>
    <w:rsid w:val="00EA0500"/>
    <w:rsid w:val="00EA171F"/>
    <w:rsid w:val="00EA2882"/>
    <w:rsid w:val="00EA50F6"/>
    <w:rsid w:val="00EA592D"/>
    <w:rsid w:val="00EA6AFB"/>
    <w:rsid w:val="00EB18EE"/>
    <w:rsid w:val="00EB24AC"/>
    <w:rsid w:val="00EB27AC"/>
    <w:rsid w:val="00EB3430"/>
    <w:rsid w:val="00EB355E"/>
    <w:rsid w:val="00EB3F4E"/>
    <w:rsid w:val="00EB52FC"/>
    <w:rsid w:val="00EB6090"/>
    <w:rsid w:val="00EB7104"/>
    <w:rsid w:val="00EB72DB"/>
    <w:rsid w:val="00EC0A45"/>
    <w:rsid w:val="00EC3495"/>
    <w:rsid w:val="00EC40D1"/>
    <w:rsid w:val="00EC45E2"/>
    <w:rsid w:val="00EC53BF"/>
    <w:rsid w:val="00EC5B34"/>
    <w:rsid w:val="00EC5FB8"/>
    <w:rsid w:val="00EC656C"/>
    <w:rsid w:val="00EC7071"/>
    <w:rsid w:val="00ED3401"/>
    <w:rsid w:val="00ED3721"/>
    <w:rsid w:val="00ED45ED"/>
    <w:rsid w:val="00ED48FC"/>
    <w:rsid w:val="00ED6BD5"/>
    <w:rsid w:val="00ED7DDD"/>
    <w:rsid w:val="00EE1FFB"/>
    <w:rsid w:val="00EE228D"/>
    <w:rsid w:val="00EE3103"/>
    <w:rsid w:val="00EE31A7"/>
    <w:rsid w:val="00EE4D69"/>
    <w:rsid w:val="00EE4DBB"/>
    <w:rsid w:val="00EE51DA"/>
    <w:rsid w:val="00EE79AA"/>
    <w:rsid w:val="00EF016F"/>
    <w:rsid w:val="00EF035F"/>
    <w:rsid w:val="00EF19C6"/>
    <w:rsid w:val="00EF4B8F"/>
    <w:rsid w:val="00EF5ED3"/>
    <w:rsid w:val="00EF7223"/>
    <w:rsid w:val="00EF7532"/>
    <w:rsid w:val="00F0055B"/>
    <w:rsid w:val="00F041D7"/>
    <w:rsid w:val="00F04399"/>
    <w:rsid w:val="00F1016E"/>
    <w:rsid w:val="00F11532"/>
    <w:rsid w:val="00F12B30"/>
    <w:rsid w:val="00F12BB8"/>
    <w:rsid w:val="00F143AB"/>
    <w:rsid w:val="00F15056"/>
    <w:rsid w:val="00F15821"/>
    <w:rsid w:val="00F15830"/>
    <w:rsid w:val="00F16925"/>
    <w:rsid w:val="00F2121F"/>
    <w:rsid w:val="00F21586"/>
    <w:rsid w:val="00F24271"/>
    <w:rsid w:val="00F25834"/>
    <w:rsid w:val="00F25C9B"/>
    <w:rsid w:val="00F3241A"/>
    <w:rsid w:val="00F3248C"/>
    <w:rsid w:val="00F33ADF"/>
    <w:rsid w:val="00F33E3A"/>
    <w:rsid w:val="00F348DA"/>
    <w:rsid w:val="00F34958"/>
    <w:rsid w:val="00F41669"/>
    <w:rsid w:val="00F428DF"/>
    <w:rsid w:val="00F42FD7"/>
    <w:rsid w:val="00F43348"/>
    <w:rsid w:val="00F4508F"/>
    <w:rsid w:val="00F45620"/>
    <w:rsid w:val="00F461D4"/>
    <w:rsid w:val="00F4767A"/>
    <w:rsid w:val="00F47D31"/>
    <w:rsid w:val="00F50001"/>
    <w:rsid w:val="00F50242"/>
    <w:rsid w:val="00F50657"/>
    <w:rsid w:val="00F52158"/>
    <w:rsid w:val="00F52590"/>
    <w:rsid w:val="00F52F78"/>
    <w:rsid w:val="00F53D42"/>
    <w:rsid w:val="00F54BD8"/>
    <w:rsid w:val="00F54F56"/>
    <w:rsid w:val="00F5776A"/>
    <w:rsid w:val="00F5788F"/>
    <w:rsid w:val="00F60035"/>
    <w:rsid w:val="00F6172A"/>
    <w:rsid w:val="00F618A4"/>
    <w:rsid w:val="00F64F83"/>
    <w:rsid w:val="00F65BE6"/>
    <w:rsid w:val="00F66BB4"/>
    <w:rsid w:val="00F71277"/>
    <w:rsid w:val="00F72B7B"/>
    <w:rsid w:val="00F733A8"/>
    <w:rsid w:val="00F75B6E"/>
    <w:rsid w:val="00F75D84"/>
    <w:rsid w:val="00F8002D"/>
    <w:rsid w:val="00F81C8E"/>
    <w:rsid w:val="00F826D6"/>
    <w:rsid w:val="00F847CD"/>
    <w:rsid w:val="00F84CDA"/>
    <w:rsid w:val="00F85659"/>
    <w:rsid w:val="00F86411"/>
    <w:rsid w:val="00F903EA"/>
    <w:rsid w:val="00F91B99"/>
    <w:rsid w:val="00F92715"/>
    <w:rsid w:val="00F9568C"/>
    <w:rsid w:val="00F959DC"/>
    <w:rsid w:val="00F95E0C"/>
    <w:rsid w:val="00F96838"/>
    <w:rsid w:val="00F96C5F"/>
    <w:rsid w:val="00FA11D8"/>
    <w:rsid w:val="00FA300A"/>
    <w:rsid w:val="00FA3DB4"/>
    <w:rsid w:val="00FA4CEE"/>
    <w:rsid w:val="00FA7246"/>
    <w:rsid w:val="00FA7BE4"/>
    <w:rsid w:val="00FA7CD3"/>
    <w:rsid w:val="00FB0BA1"/>
    <w:rsid w:val="00FB2731"/>
    <w:rsid w:val="00FB2D66"/>
    <w:rsid w:val="00FB3C54"/>
    <w:rsid w:val="00FB71C8"/>
    <w:rsid w:val="00FC0D24"/>
    <w:rsid w:val="00FC1CFE"/>
    <w:rsid w:val="00FC265A"/>
    <w:rsid w:val="00FC4810"/>
    <w:rsid w:val="00FC6737"/>
    <w:rsid w:val="00FC67CE"/>
    <w:rsid w:val="00FC77F4"/>
    <w:rsid w:val="00FD0094"/>
    <w:rsid w:val="00FD0979"/>
    <w:rsid w:val="00FD58EA"/>
    <w:rsid w:val="00FD6197"/>
    <w:rsid w:val="00FD665E"/>
    <w:rsid w:val="00FD700B"/>
    <w:rsid w:val="00FD7B04"/>
    <w:rsid w:val="00FE0853"/>
    <w:rsid w:val="00FE1342"/>
    <w:rsid w:val="00FE1D39"/>
    <w:rsid w:val="00FE2A76"/>
    <w:rsid w:val="00FE4286"/>
    <w:rsid w:val="00FE5A64"/>
    <w:rsid w:val="00FF01B6"/>
    <w:rsid w:val="00FF0DE1"/>
    <w:rsid w:val="00FF0E58"/>
    <w:rsid w:val="00FF17D7"/>
    <w:rsid w:val="00FF2281"/>
    <w:rsid w:val="00FF4394"/>
    <w:rsid w:val="00FF4501"/>
    <w:rsid w:val="00FF7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DE3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6DC"/>
    <w:rPr>
      <w:rFonts w:ascii="Calibri" w:eastAsiaTheme="minorHAnsi" w:hAnsi="Calibri"/>
      <w:sz w:val="20"/>
      <w:lang w:eastAsia="en-US"/>
    </w:rPr>
  </w:style>
  <w:style w:type="paragraph" w:styleId="Heading1">
    <w:name w:val="heading 1"/>
    <w:basedOn w:val="Normal"/>
    <w:next w:val="Normal"/>
    <w:link w:val="Heading1Char"/>
    <w:uiPriority w:val="9"/>
    <w:qFormat/>
    <w:rsid w:val="0099404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50B79"/>
    <w:pPr>
      <w:keepNext/>
      <w:keepLines/>
      <w:spacing w:before="200" w:line="276" w:lineRule="auto"/>
      <w:outlineLvl w:val="1"/>
    </w:pPr>
    <w:rPr>
      <w:rFonts w:eastAsiaTheme="majorEastAsia" w:cstheme="majorBidi"/>
      <w:b/>
      <w:bCs/>
      <w:color w:val="4F81BD" w:themeColor="accent1"/>
      <w:sz w:val="24"/>
      <w:szCs w:val="26"/>
    </w:rPr>
  </w:style>
  <w:style w:type="paragraph" w:styleId="Heading3">
    <w:name w:val="heading 3"/>
    <w:basedOn w:val="Normal"/>
    <w:next w:val="Normal"/>
    <w:link w:val="Heading3Char"/>
    <w:uiPriority w:val="9"/>
    <w:unhideWhenUsed/>
    <w:qFormat/>
    <w:rsid w:val="006B51B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04B8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84B8C"/>
    <w:pPr>
      <w:keepNext/>
      <w:keepLines/>
      <w:spacing w:before="200"/>
      <w:outlineLvl w:val="4"/>
    </w:pPr>
    <w:rPr>
      <w:rFonts w:asciiTheme="majorHAnsi" w:eastAsiaTheme="majorEastAsia" w:hAnsiTheme="majorHAnsi"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0B79"/>
    <w:rPr>
      <w:rFonts w:ascii="Calibri" w:eastAsiaTheme="majorEastAsia" w:hAnsi="Calibri" w:cstheme="majorBidi"/>
      <w:b/>
      <w:bCs/>
      <w:color w:val="4F81BD" w:themeColor="accent1"/>
      <w:sz w:val="24"/>
      <w:szCs w:val="26"/>
    </w:rPr>
  </w:style>
  <w:style w:type="character" w:customStyle="1" w:styleId="Heading1Char">
    <w:name w:val="Heading 1 Char"/>
    <w:basedOn w:val="DefaultParagraphFont"/>
    <w:link w:val="Heading1"/>
    <w:uiPriority w:val="9"/>
    <w:rsid w:val="0099404D"/>
    <w:rPr>
      <w:rFonts w:asciiTheme="majorHAnsi" w:eastAsiaTheme="majorEastAsia" w:hAnsiTheme="majorHAnsi" w:cstheme="majorBidi"/>
      <w:b/>
      <w:bCs/>
      <w:color w:val="345A8A" w:themeColor="accent1" w:themeShade="B5"/>
      <w:sz w:val="32"/>
      <w:szCs w:val="32"/>
      <w:lang w:eastAsia="en-US"/>
    </w:rPr>
  </w:style>
  <w:style w:type="paragraph" w:styleId="ListParagraph">
    <w:name w:val="List Paragraph"/>
    <w:basedOn w:val="Normal"/>
    <w:uiPriority w:val="34"/>
    <w:qFormat/>
    <w:rsid w:val="0099404D"/>
    <w:pPr>
      <w:ind w:left="720"/>
      <w:contextualSpacing/>
    </w:pPr>
  </w:style>
  <w:style w:type="character" w:styleId="CommentReference">
    <w:name w:val="annotation reference"/>
    <w:basedOn w:val="DefaultParagraphFont"/>
    <w:uiPriority w:val="99"/>
    <w:semiHidden/>
    <w:unhideWhenUsed/>
    <w:rsid w:val="00E80B0F"/>
    <w:rPr>
      <w:sz w:val="18"/>
      <w:szCs w:val="18"/>
    </w:rPr>
  </w:style>
  <w:style w:type="paragraph" w:styleId="CommentText">
    <w:name w:val="annotation text"/>
    <w:basedOn w:val="Normal"/>
    <w:link w:val="CommentTextChar"/>
    <w:uiPriority w:val="99"/>
    <w:unhideWhenUsed/>
    <w:rsid w:val="00E80B0F"/>
    <w:rPr>
      <w:sz w:val="24"/>
      <w:szCs w:val="24"/>
    </w:rPr>
  </w:style>
  <w:style w:type="character" w:customStyle="1" w:styleId="CommentTextChar">
    <w:name w:val="Comment Text Char"/>
    <w:basedOn w:val="DefaultParagraphFont"/>
    <w:link w:val="CommentText"/>
    <w:uiPriority w:val="99"/>
    <w:rsid w:val="00E80B0F"/>
    <w:rPr>
      <w:rFonts w:ascii="Calibri" w:eastAsiaTheme="minorHAnsi" w:hAnsi="Calibri"/>
      <w:sz w:val="24"/>
      <w:szCs w:val="24"/>
      <w:lang w:eastAsia="en-US"/>
    </w:rPr>
  </w:style>
  <w:style w:type="paragraph" w:styleId="CommentSubject">
    <w:name w:val="annotation subject"/>
    <w:basedOn w:val="CommentText"/>
    <w:next w:val="CommentText"/>
    <w:link w:val="CommentSubjectChar"/>
    <w:uiPriority w:val="99"/>
    <w:semiHidden/>
    <w:unhideWhenUsed/>
    <w:rsid w:val="00E80B0F"/>
    <w:rPr>
      <w:b/>
      <w:bCs/>
      <w:sz w:val="20"/>
      <w:szCs w:val="20"/>
    </w:rPr>
  </w:style>
  <w:style w:type="character" w:customStyle="1" w:styleId="CommentSubjectChar">
    <w:name w:val="Comment Subject Char"/>
    <w:basedOn w:val="CommentTextChar"/>
    <w:link w:val="CommentSubject"/>
    <w:uiPriority w:val="99"/>
    <w:semiHidden/>
    <w:rsid w:val="00E80B0F"/>
    <w:rPr>
      <w:rFonts w:ascii="Calibri" w:eastAsiaTheme="minorHAnsi" w:hAnsi="Calibri"/>
      <w:b/>
      <w:bCs/>
      <w:sz w:val="20"/>
      <w:szCs w:val="20"/>
      <w:lang w:eastAsia="en-US"/>
    </w:rPr>
  </w:style>
  <w:style w:type="paragraph" w:styleId="BalloonText">
    <w:name w:val="Balloon Text"/>
    <w:basedOn w:val="Normal"/>
    <w:link w:val="BalloonTextChar"/>
    <w:uiPriority w:val="99"/>
    <w:semiHidden/>
    <w:unhideWhenUsed/>
    <w:rsid w:val="00E80B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0B0F"/>
    <w:rPr>
      <w:rFonts w:ascii="Lucida Grande" w:eastAsiaTheme="minorHAnsi" w:hAnsi="Lucida Grande" w:cs="Lucida Grande"/>
      <w:sz w:val="18"/>
      <w:szCs w:val="18"/>
      <w:lang w:eastAsia="en-US"/>
    </w:rPr>
  </w:style>
  <w:style w:type="paragraph" w:styleId="Footer">
    <w:name w:val="footer"/>
    <w:basedOn w:val="Normal"/>
    <w:link w:val="FooterChar"/>
    <w:uiPriority w:val="99"/>
    <w:unhideWhenUsed/>
    <w:rsid w:val="006C0F9B"/>
    <w:pPr>
      <w:tabs>
        <w:tab w:val="center" w:pos="4320"/>
        <w:tab w:val="right" w:pos="8640"/>
      </w:tabs>
    </w:pPr>
  </w:style>
  <w:style w:type="character" w:customStyle="1" w:styleId="FooterChar">
    <w:name w:val="Footer Char"/>
    <w:basedOn w:val="DefaultParagraphFont"/>
    <w:link w:val="Footer"/>
    <w:uiPriority w:val="99"/>
    <w:rsid w:val="006C0F9B"/>
    <w:rPr>
      <w:rFonts w:ascii="Calibri" w:eastAsiaTheme="minorHAnsi" w:hAnsi="Calibri"/>
      <w:sz w:val="20"/>
      <w:lang w:eastAsia="en-US"/>
    </w:rPr>
  </w:style>
  <w:style w:type="character" w:styleId="PageNumber">
    <w:name w:val="page number"/>
    <w:basedOn w:val="DefaultParagraphFont"/>
    <w:uiPriority w:val="99"/>
    <w:semiHidden/>
    <w:unhideWhenUsed/>
    <w:rsid w:val="006C0F9B"/>
  </w:style>
  <w:style w:type="character" w:styleId="Hyperlink">
    <w:name w:val="Hyperlink"/>
    <w:basedOn w:val="DefaultParagraphFont"/>
    <w:uiPriority w:val="99"/>
    <w:unhideWhenUsed/>
    <w:rsid w:val="00A04E45"/>
    <w:rPr>
      <w:color w:val="0000FF" w:themeColor="hyperlink"/>
      <w:u w:val="single"/>
    </w:rPr>
  </w:style>
  <w:style w:type="table" w:styleId="TableGrid">
    <w:name w:val="Table Grid"/>
    <w:basedOn w:val="TableNormal"/>
    <w:uiPriority w:val="59"/>
    <w:rsid w:val="00595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558A8"/>
    <w:pPr>
      <w:spacing w:after="200"/>
    </w:pPr>
    <w:rPr>
      <w:b/>
      <w:bCs/>
      <w:color w:val="4F81BD" w:themeColor="accent1"/>
      <w:sz w:val="18"/>
      <w:szCs w:val="18"/>
    </w:rPr>
  </w:style>
  <w:style w:type="character" w:customStyle="1" w:styleId="Heading3Char">
    <w:name w:val="Heading 3 Char"/>
    <w:basedOn w:val="DefaultParagraphFont"/>
    <w:link w:val="Heading3"/>
    <w:uiPriority w:val="9"/>
    <w:rsid w:val="006B51B7"/>
    <w:rPr>
      <w:rFonts w:asciiTheme="majorHAnsi" w:eastAsiaTheme="majorEastAsia" w:hAnsiTheme="majorHAnsi" w:cstheme="majorBidi"/>
      <w:b/>
      <w:bCs/>
      <w:color w:val="4F81BD" w:themeColor="accent1"/>
      <w:sz w:val="20"/>
      <w:lang w:eastAsia="en-US"/>
    </w:rPr>
  </w:style>
  <w:style w:type="character" w:customStyle="1" w:styleId="Heading4Char">
    <w:name w:val="Heading 4 Char"/>
    <w:basedOn w:val="DefaultParagraphFont"/>
    <w:link w:val="Heading4"/>
    <w:uiPriority w:val="9"/>
    <w:rsid w:val="00B04B8A"/>
    <w:rPr>
      <w:rFonts w:asciiTheme="majorHAnsi" w:eastAsiaTheme="majorEastAsia" w:hAnsiTheme="majorHAnsi" w:cstheme="majorBidi"/>
      <w:b/>
      <w:bCs/>
      <w:i/>
      <w:iCs/>
      <w:color w:val="4F81BD" w:themeColor="accent1"/>
      <w:sz w:val="20"/>
      <w:lang w:eastAsia="en-US"/>
    </w:rPr>
  </w:style>
  <w:style w:type="paragraph" w:styleId="Header">
    <w:name w:val="header"/>
    <w:basedOn w:val="Normal"/>
    <w:link w:val="HeaderChar"/>
    <w:uiPriority w:val="99"/>
    <w:unhideWhenUsed/>
    <w:rsid w:val="00A36E93"/>
    <w:pPr>
      <w:tabs>
        <w:tab w:val="center" w:pos="4320"/>
        <w:tab w:val="right" w:pos="8640"/>
      </w:tabs>
    </w:pPr>
  </w:style>
  <w:style w:type="character" w:customStyle="1" w:styleId="HeaderChar">
    <w:name w:val="Header Char"/>
    <w:basedOn w:val="DefaultParagraphFont"/>
    <w:link w:val="Header"/>
    <w:uiPriority w:val="99"/>
    <w:rsid w:val="00A36E93"/>
    <w:rPr>
      <w:rFonts w:ascii="Calibri" w:eastAsiaTheme="minorHAnsi" w:hAnsi="Calibri"/>
      <w:sz w:val="20"/>
      <w:lang w:eastAsia="en-US"/>
    </w:rPr>
  </w:style>
  <w:style w:type="character" w:customStyle="1" w:styleId="Heading5Char">
    <w:name w:val="Heading 5 Char"/>
    <w:basedOn w:val="DefaultParagraphFont"/>
    <w:link w:val="Heading5"/>
    <w:uiPriority w:val="9"/>
    <w:rsid w:val="00384B8C"/>
    <w:rPr>
      <w:rFonts w:asciiTheme="majorHAnsi" w:eastAsiaTheme="majorEastAsia" w:hAnsiTheme="majorHAnsi" w:cstheme="majorBidi"/>
      <w:b/>
      <w:color w:val="243F60" w:themeColor="accent1" w:themeShade="7F"/>
      <w:sz w:val="20"/>
      <w:lang w:eastAsia="en-US"/>
    </w:rPr>
  </w:style>
  <w:style w:type="character" w:styleId="FollowedHyperlink">
    <w:name w:val="FollowedHyperlink"/>
    <w:basedOn w:val="DefaultParagraphFont"/>
    <w:uiPriority w:val="99"/>
    <w:semiHidden/>
    <w:unhideWhenUsed/>
    <w:rsid w:val="008C1E08"/>
    <w:rPr>
      <w:color w:val="800080" w:themeColor="followedHyperlink"/>
      <w:u w:val="single"/>
    </w:rPr>
  </w:style>
  <w:style w:type="paragraph" w:styleId="NormalWeb">
    <w:name w:val="Normal (Web)"/>
    <w:basedOn w:val="Normal"/>
    <w:uiPriority w:val="99"/>
    <w:unhideWhenUsed/>
    <w:rsid w:val="001F706F"/>
    <w:pPr>
      <w:spacing w:before="100" w:beforeAutospacing="1" w:after="100" w:afterAutospacing="1"/>
    </w:pPr>
    <w:rPr>
      <w:rFonts w:ascii="Times" w:eastAsiaTheme="minorEastAsia" w:hAnsi="Times" w:cs="Times New Roman"/>
      <w:szCs w:val="20"/>
    </w:rPr>
  </w:style>
  <w:style w:type="paragraph" w:styleId="Revision">
    <w:name w:val="Revision"/>
    <w:hidden/>
    <w:uiPriority w:val="99"/>
    <w:semiHidden/>
    <w:rsid w:val="00164670"/>
    <w:rPr>
      <w:rFonts w:ascii="Calibri" w:eastAsiaTheme="minorHAnsi" w:hAnsi="Calibri"/>
      <w:sz w:val="20"/>
      <w:lang w:eastAsia="en-US"/>
    </w:rPr>
  </w:style>
  <w:style w:type="paragraph" w:styleId="FootnoteText">
    <w:name w:val="footnote text"/>
    <w:aliases w:val="Footnote text,Reference,Fußnote,Footnote Text Char Char,Footnote Text Char Char Char Char,Footnote Text1,Footnote Text Char Char Char,-E Fußnotentext,Fußnotentext Ursprung,-E Fußnotentext1,-E Fußnotentext2"/>
    <w:basedOn w:val="Normal"/>
    <w:link w:val="FootnoteTextChar"/>
    <w:uiPriority w:val="99"/>
    <w:unhideWhenUsed/>
    <w:rsid w:val="00BA33F9"/>
    <w:rPr>
      <w:rFonts w:asciiTheme="minorHAnsi" w:hAnsiTheme="minorHAnsi"/>
      <w:szCs w:val="20"/>
    </w:rPr>
  </w:style>
  <w:style w:type="character" w:customStyle="1" w:styleId="FootnoteTextChar">
    <w:name w:val="Footnote Text Char"/>
    <w:aliases w:val="Footnote text Char,Reference Char,Fußnote Char,Footnote Text Char Char Char1,Footnote Text Char Char Char Char Char,Footnote Text1 Char,Footnote Text Char Char Char Char1,-E Fußnotentext Char,Fußnotentext Ursprung Char"/>
    <w:basedOn w:val="DefaultParagraphFont"/>
    <w:link w:val="FootnoteText"/>
    <w:uiPriority w:val="99"/>
    <w:rsid w:val="00BA33F9"/>
    <w:rPr>
      <w:rFonts w:eastAsiaTheme="minorHAnsi"/>
      <w:sz w:val="20"/>
      <w:szCs w:val="20"/>
      <w:lang w:eastAsia="en-US"/>
    </w:rPr>
  </w:style>
  <w:style w:type="character" w:styleId="FootnoteReference">
    <w:name w:val="footnote reference"/>
    <w:aliases w:val="number,SUPERS,Footnote Reference Superscript,stylish,Footnote symbol,BVI fnr,-E Fußnotenzeichen,Source Reference,Footnote reference number,note TESI,Times 10 Point,Exposant 3 Point,Ref,de nota al pie,EN Footnote Reference"/>
    <w:basedOn w:val="DefaultParagraphFont"/>
    <w:uiPriority w:val="99"/>
    <w:unhideWhenUsed/>
    <w:rsid w:val="00BA33F9"/>
    <w:rPr>
      <w:vertAlign w:val="superscript"/>
    </w:rPr>
  </w:style>
  <w:style w:type="paragraph" w:customStyle="1" w:styleId="Opsomming1">
    <w:name w:val="Opsomming 1"/>
    <w:basedOn w:val="Normal"/>
    <w:qFormat/>
    <w:rsid w:val="00250034"/>
    <w:pPr>
      <w:numPr>
        <w:numId w:val="32"/>
      </w:numPr>
      <w:tabs>
        <w:tab w:val="left" w:pos="170"/>
      </w:tabs>
      <w:spacing w:line="260" w:lineRule="exact"/>
      <w:ind w:left="170" w:hanging="170"/>
    </w:pPr>
    <w:rPr>
      <w:rFonts w:ascii="Verdana" w:hAnsi="Verdana"/>
      <w:sz w:val="17"/>
      <w:szCs w:val="17"/>
      <w:lang w:val="en-GB"/>
    </w:rPr>
  </w:style>
  <w:style w:type="paragraph" w:customStyle="1" w:styleId="Figuurstijl">
    <w:name w:val="Figuurstijl"/>
    <w:basedOn w:val="Normal"/>
    <w:qFormat/>
    <w:rsid w:val="00250034"/>
    <w:rPr>
      <w:rFonts w:ascii="Verdana" w:hAnsi="Verdana"/>
      <w:noProof/>
      <w:sz w:val="17"/>
      <w:szCs w:val="17"/>
      <w:lang w:val="en-GB" w:eastAsia="nl-NL"/>
    </w:rPr>
  </w:style>
  <w:style w:type="paragraph" w:customStyle="1" w:styleId="Figuuronderschrift">
    <w:name w:val="Figuur onderschrift"/>
    <w:basedOn w:val="Normal"/>
    <w:next w:val="Normal"/>
    <w:qFormat/>
    <w:rsid w:val="00250034"/>
    <w:pPr>
      <w:tabs>
        <w:tab w:val="left" w:pos="1191"/>
      </w:tabs>
      <w:spacing w:before="130" w:after="130" w:line="260" w:lineRule="exact"/>
    </w:pPr>
    <w:rPr>
      <w:rFonts w:ascii="Verdana" w:hAnsi="Verdana"/>
      <w:i/>
      <w:sz w:val="17"/>
      <w:szCs w:val="17"/>
      <w:lang w:val="en-GB" w:eastAsia="nl-NL"/>
    </w:rPr>
  </w:style>
  <w:style w:type="character" w:customStyle="1" w:styleId="Figuuronderschriftnummer">
    <w:name w:val="Figuuronderschrift nummer"/>
    <w:basedOn w:val="Strong"/>
    <w:qFormat/>
    <w:rsid w:val="00250034"/>
    <w:rPr>
      <w:b/>
      <w:bCs/>
      <w:lang w:val="en-GB"/>
    </w:rPr>
  </w:style>
  <w:style w:type="character" w:styleId="Strong">
    <w:name w:val="Strong"/>
    <w:basedOn w:val="DefaultParagraphFont"/>
    <w:uiPriority w:val="22"/>
    <w:qFormat/>
    <w:rsid w:val="0025003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6DC"/>
    <w:rPr>
      <w:rFonts w:ascii="Calibri" w:eastAsiaTheme="minorHAnsi" w:hAnsi="Calibri"/>
      <w:sz w:val="20"/>
      <w:lang w:eastAsia="en-US"/>
    </w:rPr>
  </w:style>
  <w:style w:type="paragraph" w:styleId="Heading1">
    <w:name w:val="heading 1"/>
    <w:basedOn w:val="Normal"/>
    <w:next w:val="Normal"/>
    <w:link w:val="Heading1Char"/>
    <w:uiPriority w:val="9"/>
    <w:qFormat/>
    <w:rsid w:val="0099404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50B79"/>
    <w:pPr>
      <w:keepNext/>
      <w:keepLines/>
      <w:spacing w:before="200" w:line="276" w:lineRule="auto"/>
      <w:outlineLvl w:val="1"/>
    </w:pPr>
    <w:rPr>
      <w:rFonts w:eastAsiaTheme="majorEastAsia" w:cstheme="majorBidi"/>
      <w:b/>
      <w:bCs/>
      <w:color w:val="4F81BD" w:themeColor="accent1"/>
      <w:sz w:val="24"/>
      <w:szCs w:val="26"/>
    </w:rPr>
  </w:style>
  <w:style w:type="paragraph" w:styleId="Heading3">
    <w:name w:val="heading 3"/>
    <w:basedOn w:val="Normal"/>
    <w:next w:val="Normal"/>
    <w:link w:val="Heading3Char"/>
    <w:uiPriority w:val="9"/>
    <w:unhideWhenUsed/>
    <w:qFormat/>
    <w:rsid w:val="006B51B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04B8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84B8C"/>
    <w:pPr>
      <w:keepNext/>
      <w:keepLines/>
      <w:spacing w:before="200"/>
      <w:outlineLvl w:val="4"/>
    </w:pPr>
    <w:rPr>
      <w:rFonts w:asciiTheme="majorHAnsi" w:eastAsiaTheme="majorEastAsia" w:hAnsiTheme="majorHAnsi"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0B79"/>
    <w:rPr>
      <w:rFonts w:ascii="Calibri" w:eastAsiaTheme="majorEastAsia" w:hAnsi="Calibri" w:cstheme="majorBidi"/>
      <w:b/>
      <w:bCs/>
      <w:color w:val="4F81BD" w:themeColor="accent1"/>
      <w:sz w:val="24"/>
      <w:szCs w:val="26"/>
    </w:rPr>
  </w:style>
  <w:style w:type="character" w:customStyle="1" w:styleId="Heading1Char">
    <w:name w:val="Heading 1 Char"/>
    <w:basedOn w:val="DefaultParagraphFont"/>
    <w:link w:val="Heading1"/>
    <w:uiPriority w:val="9"/>
    <w:rsid w:val="0099404D"/>
    <w:rPr>
      <w:rFonts w:asciiTheme="majorHAnsi" w:eastAsiaTheme="majorEastAsia" w:hAnsiTheme="majorHAnsi" w:cstheme="majorBidi"/>
      <w:b/>
      <w:bCs/>
      <w:color w:val="345A8A" w:themeColor="accent1" w:themeShade="B5"/>
      <w:sz w:val="32"/>
      <w:szCs w:val="32"/>
      <w:lang w:eastAsia="en-US"/>
    </w:rPr>
  </w:style>
  <w:style w:type="paragraph" w:styleId="ListParagraph">
    <w:name w:val="List Paragraph"/>
    <w:basedOn w:val="Normal"/>
    <w:uiPriority w:val="34"/>
    <w:qFormat/>
    <w:rsid w:val="0099404D"/>
    <w:pPr>
      <w:ind w:left="720"/>
      <w:contextualSpacing/>
    </w:pPr>
  </w:style>
  <w:style w:type="character" w:styleId="CommentReference">
    <w:name w:val="annotation reference"/>
    <w:basedOn w:val="DefaultParagraphFont"/>
    <w:uiPriority w:val="99"/>
    <w:semiHidden/>
    <w:unhideWhenUsed/>
    <w:rsid w:val="00E80B0F"/>
    <w:rPr>
      <w:sz w:val="18"/>
      <w:szCs w:val="18"/>
    </w:rPr>
  </w:style>
  <w:style w:type="paragraph" w:styleId="CommentText">
    <w:name w:val="annotation text"/>
    <w:basedOn w:val="Normal"/>
    <w:link w:val="CommentTextChar"/>
    <w:uiPriority w:val="99"/>
    <w:unhideWhenUsed/>
    <w:rsid w:val="00E80B0F"/>
    <w:rPr>
      <w:sz w:val="24"/>
      <w:szCs w:val="24"/>
    </w:rPr>
  </w:style>
  <w:style w:type="character" w:customStyle="1" w:styleId="CommentTextChar">
    <w:name w:val="Comment Text Char"/>
    <w:basedOn w:val="DefaultParagraphFont"/>
    <w:link w:val="CommentText"/>
    <w:uiPriority w:val="99"/>
    <w:rsid w:val="00E80B0F"/>
    <w:rPr>
      <w:rFonts w:ascii="Calibri" w:eastAsiaTheme="minorHAnsi" w:hAnsi="Calibri"/>
      <w:sz w:val="24"/>
      <w:szCs w:val="24"/>
      <w:lang w:eastAsia="en-US"/>
    </w:rPr>
  </w:style>
  <w:style w:type="paragraph" w:styleId="CommentSubject">
    <w:name w:val="annotation subject"/>
    <w:basedOn w:val="CommentText"/>
    <w:next w:val="CommentText"/>
    <w:link w:val="CommentSubjectChar"/>
    <w:uiPriority w:val="99"/>
    <w:semiHidden/>
    <w:unhideWhenUsed/>
    <w:rsid w:val="00E80B0F"/>
    <w:rPr>
      <w:b/>
      <w:bCs/>
      <w:sz w:val="20"/>
      <w:szCs w:val="20"/>
    </w:rPr>
  </w:style>
  <w:style w:type="character" w:customStyle="1" w:styleId="CommentSubjectChar">
    <w:name w:val="Comment Subject Char"/>
    <w:basedOn w:val="CommentTextChar"/>
    <w:link w:val="CommentSubject"/>
    <w:uiPriority w:val="99"/>
    <w:semiHidden/>
    <w:rsid w:val="00E80B0F"/>
    <w:rPr>
      <w:rFonts w:ascii="Calibri" w:eastAsiaTheme="minorHAnsi" w:hAnsi="Calibri"/>
      <w:b/>
      <w:bCs/>
      <w:sz w:val="20"/>
      <w:szCs w:val="20"/>
      <w:lang w:eastAsia="en-US"/>
    </w:rPr>
  </w:style>
  <w:style w:type="paragraph" w:styleId="BalloonText">
    <w:name w:val="Balloon Text"/>
    <w:basedOn w:val="Normal"/>
    <w:link w:val="BalloonTextChar"/>
    <w:uiPriority w:val="99"/>
    <w:semiHidden/>
    <w:unhideWhenUsed/>
    <w:rsid w:val="00E80B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0B0F"/>
    <w:rPr>
      <w:rFonts w:ascii="Lucida Grande" w:eastAsiaTheme="minorHAnsi" w:hAnsi="Lucida Grande" w:cs="Lucida Grande"/>
      <w:sz w:val="18"/>
      <w:szCs w:val="18"/>
      <w:lang w:eastAsia="en-US"/>
    </w:rPr>
  </w:style>
  <w:style w:type="paragraph" w:styleId="Footer">
    <w:name w:val="footer"/>
    <w:basedOn w:val="Normal"/>
    <w:link w:val="FooterChar"/>
    <w:uiPriority w:val="99"/>
    <w:unhideWhenUsed/>
    <w:rsid w:val="006C0F9B"/>
    <w:pPr>
      <w:tabs>
        <w:tab w:val="center" w:pos="4320"/>
        <w:tab w:val="right" w:pos="8640"/>
      </w:tabs>
    </w:pPr>
  </w:style>
  <w:style w:type="character" w:customStyle="1" w:styleId="FooterChar">
    <w:name w:val="Footer Char"/>
    <w:basedOn w:val="DefaultParagraphFont"/>
    <w:link w:val="Footer"/>
    <w:uiPriority w:val="99"/>
    <w:rsid w:val="006C0F9B"/>
    <w:rPr>
      <w:rFonts w:ascii="Calibri" w:eastAsiaTheme="minorHAnsi" w:hAnsi="Calibri"/>
      <w:sz w:val="20"/>
      <w:lang w:eastAsia="en-US"/>
    </w:rPr>
  </w:style>
  <w:style w:type="character" w:styleId="PageNumber">
    <w:name w:val="page number"/>
    <w:basedOn w:val="DefaultParagraphFont"/>
    <w:uiPriority w:val="99"/>
    <w:semiHidden/>
    <w:unhideWhenUsed/>
    <w:rsid w:val="006C0F9B"/>
  </w:style>
  <w:style w:type="character" w:styleId="Hyperlink">
    <w:name w:val="Hyperlink"/>
    <w:basedOn w:val="DefaultParagraphFont"/>
    <w:uiPriority w:val="99"/>
    <w:unhideWhenUsed/>
    <w:rsid w:val="00A04E45"/>
    <w:rPr>
      <w:color w:val="0000FF" w:themeColor="hyperlink"/>
      <w:u w:val="single"/>
    </w:rPr>
  </w:style>
  <w:style w:type="table" w:styleId="TableGrid">
    <w:name w:val="Table Grid"/>
    <w:basedOn w:val="TableNormal"/>
    <w:uiPriority w:val="59"/>
    <w:rsid w:val="00595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558A8"/>
    <w:pPr>
      <w:spacing w:after="200"/>
    </w:pPr>
    <w:rPr>
      <w:b/>
      <w:bCs/>
      <w:color w:val="4F81BD" w:themeColor="accent1"/>
      <w:sz w:val="18"/>
      <w:szCs w:val="18"/>
    </w:rPr>
  </w:style>
  <w:style w:type="character" w:customStyle="1" w:styleId="Heading3Char">
    <w:name w:val="Heading 3 Char"/>
    <w:basedOn w:val="DefaultParagraphFont"/>
    <w:link w:val="Heading3"/>
    <w:uiPriority w:val="9"/>
    <w:rsid w:val="006B51B7"/>
    <w:rPr>
      <w:rFonts w:asciiTheme="majorHAnsi" w:eastAsiaTheme="majorEastAsia" w:hAnsiTheme="majorHAnsi" w:cstheme="majorBidi"/>
      <w:b/>
      <w:bCs/>
      <w:color w:val="4F81BD" w:themeColor="accent1"/>
      <w:sz w:val="20"/>
      <w:lang w:eastAsia="en-US"/>
    </w:rPr>
  </w:style>
  <w:style w:type="character" w:customStyle="1" w:styleId="Heading4Char">
    <w:name w:val="Heading 4 Char"/>
    <w:basedOn w:val="DefaultParagraphFont"/>
    <w:link w:val="Heading4"/>
    <w:uiPriority w:val="9"/>
    <w:rsid w:val="00B04B8A"/>
    <w:rPr>
      <w:rFonts w:asciiTheme="majorHAnsi" w:eastAsiaTheme="majorEastAsia" w:hAnsiTheme="majorHAnsi" w:cstheme="majorBidi"/>
      <w:b/>
      <w:bCs/>
      <w:i/>
      <w:iCs/>
      <w:color w:val="4F81BD" w:themeColor="accent1"/>
      <w:sz w:val="20"/>
      <w:lang w:eastAsia="en-US"/>
    </w:rPr>
  </w:style>
  <w:style w:type="paragraph" w:styleId="Header">
    <w:name w:val="header"/>
    <w:basedOn w:val="Normal"/>
    <w:link w:val="HeaderChar"/>
    <w:uiPriority w:val="99"/>
    <w:unhideWhenUsed/>
    <w:rsid w:val="00A36E93"/>
    <w:pPr>
      <w:tabs>
        <w:tab w:val="center" w:pos="4320"/>
        <w:tab w:val="right" w:pos="8640"/>
      </w:tabs>
    </w:pPr>
  </w:style>
  <w:style w:type="character" w:customStyle="1" w:styleId="HeaderChar">
    <w:name w:val="Header Char"/>
    <w:basedOn w:val="DefaultParagraphFont"/>
    <w:link w:val="Header"/>
    <w:uiPriority w:val="99"/>
    <w:rsid w:val="00A36E93"/>
    <w:rPr>
      <w:rFonts w:ascii="Calibri" w:eastAsiaTheme="minorHAnsi" w:hAnsi="Calibri"/>
      <w:sz w:val="20"/>
      <w:lang w:eastAsia="en-US"/>
    </w:rPr>
  </w:style>
  <w:style w:type="character" w:customStyle="1" w:styleId="Heading5Char">
    <w:name w:val="Heading 5 Char"/>
    <w:basedOn w:val="DefaultParagraphFont"/>
    <w:link w:val="Heading5"/>
    <w:uiPriority w:val="9"/>
    <w:rsid w:val="00384B8C"/>
    <w:rPr>
      <w:rFonts w:asciiTheme="majorHAnsi" w:eastAsiaTheme="majorEastAsia" w:hAnsiTheme="majorHAnsi" w:cstheme="majorBidi"/>
      <w:b/>
      <w:color w:val="243F60" w:themeColor="accent1" w:themeShade="7F"/>
      <w:sz w:val="20"/>
      <w:lang w:eastAsia="en-US"/>
    </w:rPr>
  </w:style>
  <w:style w:type="character" w:styleId="FollowedHyperlink">
    <w:name w:val="FollowedHyperlink"/>
    <w:basedOn w:val="DefaultParagraphFont"/>
    <w:uiPriority w:val="99"/>
    <w:semiHidden/>
    <w:unhideWhenUsed/>
    <w:rsid w:val="008C1E08"/>
    <w:rPr>
      <w:color w:val="800080" w:themeColor="followedHyperlink"/>
      <w:u w:val="single"/>
    </w:rPr>
  </w:style>
  <w:style w:type="paragraph" w:styleId="NormalWeb">
    <w:name w:val="Normal (Web)"/>
    <w:basedOn w:val="Normal"/>
    <w:uiPriority w:val="99"/>
    <w:unhideWhenUsed/>
    <w:rsid w:val="001F706F"/>
    <w:pPr>
      <w:spacing w:before="100" w:beforeAutospacing="1" w:after="100" w:afterAutospacing="1"/>
    </w:pPr>
    <w:rPr>
      <w:rFonts w:ascii="Times" w:eastAsiaTheme="minorEastAsia" w:hAnsi="Times" w:cs="Times New Roman"/>
      <w:szCs w:val="20"/>
    </w:rPr>
  </w:style>
  <w:style w:type="paragraph" w:styleId="Revision">
    <w:name w:val="Revision"/>
    <w:hidden/>
    <w:uiPriority w:val="99"/>
    <w:semiHidden/>
    <w:rsid w:val="00164670"/>
    <w:rPr>
      <w:rFonts w:ascii="Calibri" w:eastAsiaTheme="minorHAnsi" w:hAnsi="Calibri"/>
      <w:sz w:val="20"/>
      <w:lang w:eastAsia="en-US"/>
    </w:rPr>
  </w:style>
  <w:style w:type="paragraph" w:styleId="FootnoteText">
    <w:name w:val="footnote text"/>
    <w:aliases w:val="Footnote text,Reference,Fußnote,Footnote Text Char Char,Footnote Text Char Char Char Char,Footnote Text1,Footnote Text Char Char Char,-E Fußnotentext,Fußnotentext Ursprung,-E Fußnotentext1,-E Fußnotentext2"/>
    <w:basedOn w:val="Normal"/>
    <w:link w:val="FootnoteTextChar"/>
    <w:uiPriority w:val="99"/>
    <w:unhideWhenUsed/>
    <w:rsid w:val="00BA33F9"/>
    <w:rPr>
      <w:rFonts w:asciiTheme="minorHAnsi" w:hAnsiTheme="minorHAnsi"/>
      <w:szCs w:val="20"/>
    </w:rPr>
  </w:style>
  <w:style w:type="character" w:customStyle="1" w:styleId="FootnoteTextChar">
    <w:name w:val="Footnote Text Char"/>
    <w:aliases w:val="Footnote text Char,Reference Char,Fußnote Char,Footnote Text Char Char Char1,Footnote Text Char Char Char Char Char,Footnote Text1 Char,Footnote Text Char Char Char Char1,-E Fußnotentext Char,Fußnotentext Ursprung Char"/>
    <w:basedOn w:val="DefaultParagraphFont"/>
    <w:link w:val="FootnoteText"/>
    <w:uiPriority w:val="99"/>
    <w:rsid w:val="00BA33F9"/>
    <w:rPr>
      <w:rFonts w:eastAsiaTheme="minorHAnsi"/>
      <w:sz w:val="20"/>
      <w:szCs w:val="20"/>
      <w:lang w:eastAsia="en-US"/>
    </w:rPr>
  </w:style>
  <w:style w:type="character" w:styleId="FootnoteReference">
    <w:name w:val="footnote reference"/>
    <w:aliases w:val="number,SUPERS,Footnote Reference Superscript,stylish,Footnote symbol,BVI fnr,-E Fußnotenzeichen,Source Reference,Footnote reference number,note TESI,Times 10 Point,Exposant 3 Point,Ref,de nota al pie,EN Footnote Reference"/>
    <w:basedOn w:val="DefaultParagraphFont"/>
    <w:uiPriority w:val="99"/>
    <w:unhideWhenUsed/>
    <w:rsid w:val="00BA33F9"/>
    <w:rPr>
      <w:vertAlign w:val="superscript"/>
    </w:rPr>
  </w:style>
  <w:style w:type="paragraph" w:customStyle="1" w:styleId="Opsomming1">
    <w:name w:val="Opsomming 1"/>
    <w:basedOn w:val="Normal"/>
    <w:qFormat/>
    <w:rsid w:val="00250034"/>
    <w:pPr>
      <w:numPr>
        <w:numId w:val="32"/>
      </w:numPr>
      <w:tabs>
        <w:tab w:val="left" w:pos="170"/>
      </w:tabs>
      <w:spacing w:line="260" w:lineRule="exact"/>
      <w:ind w:left="170" w:hanging="170"/>
    </w:pPr>
    <w:rPr>
      <w:rFonts w:ascii="Verdana" w:hAnsi="Verdana"/>
      <w:sz w:val="17"/>
      <w:szCs w:val="17"/>
      <w:lang w:val="en-GB"/>
    </w:rPr>
  </w:style>
  <w:style w:type="paragraph" w:customStyle="1" w:styleId="Figuurstijl">
    <w:name w:val="Figuurstijl"/>
    <w:basedOn w:val="Normal"/>
    <w:qFormat/>
    <w:rsid w:val="00250034"/>
    <w:rPr>
      <w:rFonts w:ascii="Verdana" w:hAnsi="Verdana"/>
      <w:noProof/>
      <w:sz w:val="17"/>
      <w:szCs w:val="17"/>
      <w:lang w:val="en-GB" w:eastAsia="nl-NL"/>
    </w:rPr>
  </w:style>
  <w:style w:type="paragraph" w:customStyle="1" w:styleId="Figuuronderschrift">
    <w:name w:val="Figuur onderschrift"/>
    <w:basedOn w:val="Normal"/>
    <w:next w:val="Normal"/>
    <w:qFormat/>
    <w:rsid w:val="00250034"/>
    <w:pPr>
      <w:tabs>
        <w:tab w:val="left" w:pos="1191"/>
      </w:tabs>
      <w:spacing w:before="130" w:after="130" w:line="260" w:lineRule="exact"/>
    </w:pPr>
    <w:rPr>
      <w:rFonts w:ascii="Verdana" w:hAnsi="Verdana"/>
      <w:i/>
      <w:sz w:val="17"/>
      <w:szCs w:val="17"/>
      <w:lang w:val="en-GB" w:eastAsia="nl-NL"/>
    </w:rPr>
  </w:style>
  <w:style w:type="character" w:customStyle="1" w:styleId="Figuuronderschriftnummer">
    <w:name w:val="Figuuronderschrift nummer"/>
    <w:basedOn w:val="Strong"/>
    <w:qFormat/>
    <w:rsid w:val="00250034"/>
    <w:rPr>
      <w:b/>
      <w:bCs/>
      <w:lang w:val="en-GB"/>
    </w:rPr>
  </w:style>
  <w:style w:type="character" w:styleId="Strong">
    <w:name w:val="Strong"/>
    <w:basedOn w:val="DefaultParagraphFont"/>
    <w:uiPriority w:val="22"/>
    <w:qFormat/>
    <w:rsid w:val="002500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64431">
      <w:bodyDiv w:val="1"/>
      <w:marLeft w:val="0"/>
      <w:marRight w:val="0"/>
      <w:marTop w:val="0"/>
      <w:marBottom w:val="0"/>
      <w:divBdr>
        <w:top w:val="none" w:sz="0" w:space="0" w:color="auto"/>
        <w:left w:val="none" w:sz="0" w:space="0" w:color="auto"/>
        <w:bottom w:val="none" w:sz="0" w:space="0" w:color="auto"/>
        <w:right w:val="none" w:sz="0" w:space="0" w:color="auto"/>
      </w:divBdr>
      <w:divsChild>
        <w:div w:id="1980303291">
          <w:marLeft w:val="0"/>
          <w:marRight w:val="0"/>
          <w:marTop w:val="0"/>
          <w:marBottom w:val="0"/>
          <w:divBdr>
            <w:top w:val="none" w:sz="0" w:space="0" w:color="auto"/>
            <w:left w:val="none" w:sz="0" w:space="0" w:color="auto"/>
            <w:bottom w:val="none" w:sz="0" w:space="0" w:color="auto"/>
            <w:right w:val="none" w:sz="0" w:space="0" w:color="auto"/>
          </w:divBdr>
          <w:divsChild>
            <w:div w:id="734013686">
              <w:marLeft w:val="0"/>
              <w:marRight w:val="0"/>
              <w:marTop w:val="0"/>
              <w:marBottom w:val="0"/>
              <w:divBdr>
                <w:top w:val="none" w:sz="0" w:space="0" w:color="auto"/>
                <w:left w:val="none" w:sz="0" w:space="0" w:color="auto"/>
                <w:bottom w:val="none" w:sz="0" w:space="0" w:color="auto"/>
                <w:right w:val="none" w:sz="0" w:space="0" w:color="auto"/>
              </w:divBdr>
              <w:divsChild>
                <w:div w:id="100814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80892">
      <w:bodyDiv w:val="1"/>
      <w:marLeft w:val="0"/>
      <w:marRight w:val="0"/>
      <w:marTop w:val="0"/>
      <w:marBottom w:val="0"/>
      <w:divBdr>
        <w:top w:val="none" w:sz="0" w:space="0" w:color="auto"/>
        <w:left w:val="none" w:sz="0" w:space="0" w:color="auto"/>
        <w:bottom w:val="none" w:sz="0" w:space="0" w:color="auto"/>
        <w:right w:val="none" w:sz="0" w:space="0" w:color="auto"/>
      </w:divBdr>
    </w:div>
    <w:div w:id="498156194">
      <w:bodyDiv w:val="1"/>
      <w:marLeft w:val="0"/>
      <w:marRight w:val="0"/>
      <w:marTop w:val="0"/>
      <w:marBottom w:val="0"/>
      <w:divBdr>
        <w:top w:val="none" w:sz="0" w:space="0" w:color="auto"/>
        <w:left w:val="none" w:sz="0" w:space="0" w:color="auto"/>
        <w:bottom w:val="none" w:sz="0" w:space="0" w:color="auto"/>
        <w:right w:val="none" w:sz="0" w:space="0" w:color="auto"/>
      </w:divBdr>
      <w:divsChild>
        <w:div w:id="1019429263">
          <w:marLeft w:val="0"/>
          <w:marRight w:val="0"/>
          <w:marTop w:val="0"/>
          <w:marBottom w:val="0"/>
          <w:divBdr>
            <w:top w:val="none" w:sz="0" w:space="0" w:color="auto"/>
            <w:left w:val="none" w:sz="0" w:space="0" w:color="auto"/>
            <w:bottom w:val="none" w:sz="0" w:space="0" w:color="auto"/>
            <w:right w:val="none" w:sz="0" w:space="0" w:color="auto"/>
          </w:divBdr>
          <w:divsChild>
            <w:div w:id="698775825">
              <w:marLeft w:val="0"/>
              <w:marRight w:val="0"/>
              <w:marTop w:val="0"/>
              <w:marBottom w:val="0"/>
              <w:divBdr>
                <w:top w:val="none" w:sz="0" w:space="0" w:color="auto"/>
                <w:left w:val="none" w:sz="0" w:space="0" w:color="auto"/>
                <w:bottom w:val="none" w:sz="0" w:space="0" w:color="auto"/>
                <w:right w:val="none" w:sz="0" w:space="0" w:color="auto"/>
              </w:divBdr>
              <w:divsChild>
                <w:div w:id="1431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426088">
      <w:bodyDiv w:val="1"/>
      <w:marLeft w:val="0"/>
      <w:marRight w:val="0"/>
      <w:marTop w:val="0"/>
      <w:marBottom w:val="0"/>
      <w:divBdr>
        <w:top w:val="none" w:sz="0" w:space="0" w:color="auto"/>
        <w:left w:val="none" w:sz="0" w:space="0" w:color="auto"/>
        <w:bottom w:val="none" w:sz="0" w:space="0" w:color="auto"/>
        <w:right w:val="none" w:sz="0" w:space="0" w:color="auto"/>
      </w:divBdr>
      <w:divsChild>
        <w:div w:id="1542207914">
          <w:marLeft w:val="0"/>
          <w:marRight w:val="0"/>
          <w:marTop w:val="0"/>
          <w:marBottom w:val="0"/>
          <w:divBdr>
            <w:top w:val="none" w:sz="0" w:space="0" w:color="auto"/>
            <w:left w:val="none" w:sz="0" w:space="0" w:color="auto"/>
            <w:bottom w:val="none" w:sz="0" w:space="0" w:color="auto"/>
            <w:right w:val="none" w:sz="0" w:space="0" w:color="auto"/>
          </w:divBdr>
          <w:divsChild>
            <w:div w:id="516309943">
              <w:marLeft w:val="0"/>
              <w:marRight w:val="0"/>
              <w:marTop w:val="0"/>
              <w:marBottom w:val="0"/>
              <w:divBdr>
                <w:top w:val="none" w:sz="0" w:space="0" w:color="auto"/>
                <w:left w:val="none" w:sz="0" w:space="0" w:color="auto"/>
                <w:bottom w:val="none" w:sz="0" w:space="0" w:color="auto"/>
                <w:right w:val="none" w:sz="0" w:space="0" w:color="auto"/>
              </w:divBdr>
              <w:divsChild>
                <w:div w:id="1223981549">
                  <w:marLeft w:val="0"/>
                  <w:marRight w:val="0"/>
                  <w:marTop w:val="0"/>
                  <w:marBottom w:val="0"/>
                  <w:divBdr>
                    <w:top w:val="none" w:sz="0" w:space="0" w:color="auto"/>
                    <w:left w:val="none" w:sz="0" w:space="0" w:color="auto"/>
                    <w:bottom w:val="none" w:sz="0" w:space="0" w:color="auto"/>
                    <w:right w:val="none" w:sz="0" w:space="0" w:color="auto"/>
                  </w:divBdr>
                </w:div>
              </w:divsChild>
            </w:div>
            <w:div w:id="761025824">
              <w:marLeft w:val="0"/>
              <w:marRight w:val="0"/>
              <w:marTop w:val="0"/>
              <w:marBottom w:val="0"/>
              <w:divBdr>
                <w:top w:val="none" w:sz="0" w:space="0" w:color="auto"/>
                <w:left w:val="none" w:sz="0" w:space="0" w:color="auto"/>
                <w:bottom w:val="none" w:sz="0" w:space="0" w:color="auto"/>
                <w:right w:val="none" w:sz="0" w:space="0" w:color="auto"/>
              </w:divBdr>
              <w:divsChild>
                <w:div w:id="15913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003492">
          <w:marLeft w:val="0"/>
          <w:marRight w:val="0"/>
          <w:marTop w:val="0"/>
          <w:marBottom w:val="0"/>
          <w:divBdr>
            <w:top w:val="none" w:sz="0" w:space="0" w:color="auto"/>
            <w:left w:val="none" w:sz="0" w:space="0" w:color="auto"/>
            <w:bottom w:val="none" w:sz="0" w:space="0" w:color="auto"/>
            <w:right w:val="none" w:sz="0" w:space="0" w:color="auto"/>
          </w:divBdr>
          <w:divsChild>
            <w:div w:id="331299664">
              <w:marLeft w:val="0"/>
              <w:marRight w:val="0"/>
              <w:marTop w:val="0"/>
              <w:marBottom w:val="0"/>
              <w:divBdr>
                <w:top w:val="none" w:sz="0" w:space="0" w:color="auto"/>
                <w:left w:val="none" w:sz="0" w:space="0" w:color="auto"/>
                <w:bottom w:val="none" w:sz="0" w:space="0" w:color="auto"/>
                <w:right w:val="none" w:sz="0" w:space="0" w:color="auto"/>
              </w:divBdr>
              <w:divsChild>
                <w:div w:id="944191335">
                  <w:marLeft w:val="0"/>
                  <w:marRight w:val="0"/>
                  <w:marTop w:val="0"/>
                  <w:marBottom w:val="0"/>
                  <w:divBdr>
                    <w:top w:val="none" w:sz="0" w:space="0" w:color="auto"/>
                    <w:left w:val="none" w:sz="0" w:space="0" w:color="auto"/>
                    <w:bottom w:val="none" w:sz="0" w:space="0" w:color="auto"/>
                    <w:right w:val="none" w:sz="0" w:space="0" w:color="auto"/>
                  </w:divBdr>
                </w:div>
              </w:divsChild>
            </w:div>
            <w:div w:id="542133994">
              <w:marLeft w:val="0"/>
              <w:marRight w:val="0"/>
              <w:marTop w:val="0"/>
              <w:marBottom w:val="0"/>
              <w:divBdr>
                <w:top w:val="none" w:sz="0" w:space="0" w:color="auto"/>
                <w:left w:val="none" w:sz="0" w:space="0" w:color="auto"/>
                <w:bottom w:val="none" w:sz="0" w:space="0" w:color="auto"/>
                <w:right w:val="none" w:sz="0" w:space="0" w:color="auto"/>
              </w:divBdr>
              <w:divsChild>
                <w:div w:id="78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20954">
          <w:marLeft w:val="0"/>
          <w:marRight w:val="0"/>
          <w:marTop w:val="0"/>
          <w:marBottom w:val="0"/>
          <w:divBdr>
            <w:top w:val="none" w:sz="0" w:space="0" w:color="auto"/>
            <w:left w:val="none" w:sz="0" w:space="0" w:color="auto"/>
            <w:bottom w:val="none" w:sz="0" w:space="0" w:color="auto"/>
            <w:right w:val="none" w:sz="0" w:space="0" w:color="auto"/>
          </w:divBdr>
          <w:divsChild>
            <w:div w:id="105543403">
              <w:marLeft w:val="0"/>
              <w:marRight w:val="0"/>
              <w:marTop w:val="0"/>
              <w:marBottom w:val="0"/>
              <w:divBdr>
                <w:top w:val="none" w:sz="0" w:space="0" w:color="auto"/>
                <w:left w:val="none" w:sz="0" w:space="0" w:color="auto"/>
                <w:bottom w:val="none" w:sz="0" w:space="0" w:color="auto"/>
                <w:right w:val="none" w:sz="0" w:space="0" w:color="auto"/>
              </w:divBdr>
              <w:divsChild>
                <w:div w:id="1496410249">
                  <w:marLeft w:val="0"/>
                  <w:marRight w:val="0"/>
                  <w:marTop w:val="0"/>
                  <w:marBottom w:val="0"/>
                  <w:divBdr>
                    <w:top w:val="none" w:sz="0" w:space="0" w:color="auto"/>
                    <w:left w:val="none" w:sz="0" w:space="0" w:color="auto"/>
                    <w:bottom w:val="none" w:sz="0" w:space="0" w:color="auto"/>
                    <w:right w:val="none" w:sz="0" w:space="0" w:color="auto"/>
                  </w:divBdr>
                </w:div>
              </w:divsChild>
            </w:div>
            <w:div w:id="901403053">
              <w:marLeft w:val="0"/>
              <w:marRight w:val="0"/>
              <w:marTop w:val="0"/>
              <w:marBottom w:val="0"/>
              <w:divBdr>
                <w:top w:val="none" w:sz="0" w:space="0" w:color="auto"/>
                <w:left w:val="none" w:sz="0" w:space="0" w:color="auto"/>
                <w:bottom w:val="none" w:sz="0" w:space="0" w:color="auto"/>
                <w:right w:val="none" w:sz="0" w:space="0" w:color="auto"/>
              </w:divBdr>
              <w:divsChild>
                <w:div w:id="89582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2950">
          <w:marLeft w:val="0"/>
          <w:marRight w:val="0"/>
          <w:marTop w:val="0"/>
          <w:marBottom w:val="0"/>
          <w:divBdr>
            <w:top w:val="none" w:sz="0" w:space="0" w:color="auto"/>
            <w:left w:val="none" w:sz="0" w:space="0" w:color="auto"/>
            <w:bottom w:val="none" w:sz="0" w:space="0" w:color="auto"/>
            <w:right w:val="none" w:sz="0" w:space="0" w:color="auto"/>
          </w:divBdr>
          <w:divsChild>
            <w:div w:id="199896934">
              <w:marLeft w:val="0"/>
              <w:marRight w:val="0"/>
              <w:marTop w:val="0"/>
              <w:marBottom w:val="0"/>
              <w:divBdr>
                <w:top w:val="none" w:sz="0" w:space="0" w:color="auto"/>
                <w:left w:val="none" w:sz="0" w:space="0" w:color="auto"/>
                <w:bottom w:val="none" w:sz="0" w:space="0" w:color="auto"/>
                <w:right w:val="none" w:sz="0" w:space="0" w:color="auto"/>
              </w:divBdr>
              <w:divsChild>
                <w:div w:id="993139614">
                  <w:marLeft w:val="0"/>
                  <w:marRight w:val="0"/>
                  <w:marTop w:val="0"/>
                  <w:marBottom w:val="0"/>
                  <w:divBdr>
                    <w:top w:val="none" w:sz="0" w:space="0" w:color="auto"/>
                    <w:left w:val="none" w:sz="0" w:space="0" w:color="auto"/>
                    <w:bottom w:val="none" w:sz="0" w:space="0" w:color="auto"/>
                    <w:right w:val="none" w:sz="0" w:space="0" w:color="auto"/>
                  </w:divBdr>
                </w:div>
              </w:divsChild>
            </w:div>
            <w:div w:id="1996914567">
              <w:marLeft w:val="0"/>
              <w:marRight w:val="0"/>
              <w:marTop w:val="0"/>
              <w:marBottom w:val="0"/>
              <w:divBdr>
                <w:top w:val="none" w:sz="0" w:space="0" w:color="auto"/>
                <w:left w:val="none" w:sz="0" w:space="0" w:color="auto"/>
                <w:bottom w:val="none" w:sz="0" w:space="0" w:color="auto"/>
                <w:right w:val="none" w:sz="0" w:space="0" w:color="auto"/>
              </w:divBdr>
              <w:divsChild>
                <w:div w:id="19382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14444">
          <w:marLeft w:val="0"/>
          <w:marRight w:val="0"/>
          <w:marTop w:val="0"/>
          <w:marBottom w:val="0"/>
          <w:divBdr>
            <w:top w:val="none" w:sz="0" w:space="0" w:color="auto"/>
            <w:left w:val="none" w:sz="0" w:space="0" w:color="auto"/>
            <w:bottom w:val="none" w:sz="0" w:space="0" w:color="auto"/>
            <w:right w:val="none" w:sz="0" w:space="0" w:color="auto"/>
          </w:divBdr>
          <w:divsChild>
            <w:div w:id="337267787">
              <w:marLeft w:val="0"/>
              <w:marRight w:val="0"/>
              <w:marTop w:val="0"/>
              <w:marBottom w:val="0"/>
              <w:divBdr>
                <w:top w:val="none" w:sz="0" w:space="0" w:color="auto"/>
                <w:left w:val="none" w:sz="0" w:space="0" w:color="auto"/>
                <w:bottom w:val="none" w:sz="0" w:space="0" w:color="auto"/>
                <w:right w:val="none" w:sz="0" w:space="0" w:color="auto"/>
              </w:divBdr>
              <w:divsChild>
                <w:div w:id="52699769">
                  <w:marLeft w:val="0"/>
                  <w:marRight w:val="0"/>
                  <w:marTop w:val="0"/>
                  <w:marBottom w:val="0"/>
                  <w:divBdr>
                    <w:top w:val="none" w:sz="0" w:space="0" w:color="auto"/>
                    <w:left w:val="none" w:sz="0" w:space="0" w:color="auto"/>
                    <w:bottom w:val="none" w:sz="0" w:space="0" w:color="auto"/>
                    <w:right w:val="none" w:sz="0" w:space="0" w:color="auto"/>
                  </w:divBdr>
                </w:div>
              </w:divsChild>
            </w:div>
            <w:div w:id="200047950">
              <w:marLeft w:val="0"/>
              <w:marRight w:val="0"/>
              <w:marTop w:val="0"/>
              <w:marBottom w:val="0"/>
              <w:divBdr>
                <w:top w:val="none" w:sz="0" w:space="0" w:color="auto"/>
                <w:left w:val="none" w:sz="0" w:space="0" w:color="auto"/>
                <w:bottom w:val="none" w:sz="0" w:space="0" w:color="auto"/>
                <w:right w:val="none" w:sz="0" w:space="0" w:color="auto"/>
              </w:divBdr>
              <w:divsChild>
                <w:div w:id="186582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79972">
          <w:marLeft w:val="0"/>
          <w:marRight w:val="0"/>
          <w:marTop w:val="0"/>
          <w:marBottom w:val="0"/>
          <w:divBdr>
            <w:top w:val="none" w:sz="0" w:space="0" w:color="auto"/>
            <w:left w:val="none" w:sz="0" w:space="0" w:color="auto"/>
            <w:bottom w:val="none" w:sz="0" w:space="0" w:color="auto"/>
            <w:right w:val="none" w:sz="0" w:space="0" w:color="auto"/>
          </w:divBdr>
          <w:divsChild>
            <w:div w:id="2124229117">
              <w:marLeft w:val="0"/>
              <w:marRight w:val="0"/>
              <w:marTop w:val="0"/>
              <w:marBottom w:val="0"/>
              <w:divBdr>
                <w:top w:val="none" w:sz="0" w:space="0" w:color="auto"/>
                <w:left w:val="none" w:sz="0" w:space="0" w:color="auto"/>
                <w:bottom w:val="none" w:sz="0" w:space="0" w:color="auto"/>
                <w:right w:val="none" w:sz="0" w:space="0" w:color="auto"/>
              </w:divBdr>
              <w:divsChild>
                <w:div w:id="81606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656113">
      <w:bodyDiv w:val="1"/>
      <w:marLeft w:val="0"/>
      <w:marRight w:val="0"/>
      <w:marTop w:val="0"/>
      <w:marBottom w:val="0"/>
      <w:divBdr>
        <w:top w:val="none" w:sz="0" w:space="0" w:color="auto"/>
        <w:left w:val="none" w:sz="0" w:space="0" w:color="auto"/>
        <w:bottom w:val="none" w:sz="0" w:space="0" w:color="auto"/>
        <w:right w:val="none" w:sz="0" w:space="0" w:color="auto"/>
      </w:divBdr>
    </w:div>
    <w:div w:id="847673510">
      <w:bodyDiv w:val="1"/>
      <w:marLeft w:val="0"/>
      <w:marRight w:val="0"/>
      <w:marTop w:val="0"/>
      <w:marBottom w:val="0"/>
      <w:divBdr>
        <w:top w:val="none" w:sz="0" w:space="0" w:color="auto"/>
        <w:left w:val="none" w:sz="0" w:space="0" w:color="auto"/>
        <w:bottom w:val="none" w:sz="0" w:space="0" w:color="auto"/>
        <w:right w:val="none" w:sz="0" w:space="0" w:color="auto"/>
      </w:divBdr>
      <w:divsChild>
        <w:div w:id="166679422">
          <w:marLeft w:val="0"/>
          <w:marRight w:val="0"/>
          <w:marTop w:val="0"/>
          <w:marBottom w:val="0"/>
          <w:divBdr>
            <w:top w:val="none" w:sz="0" w:space="0" w:color="auto"/>
            <w:left w:val="none" w:sz="0" w:space="0" w:color="auto"/>
            <w:bottom w:val="none" w:sz="0" w:space="0" w:color="auto"/>
            <w:right w:val="none" w:sz="0" w:space="0" w:color="auto"/>
          </w:divBdr>
          <w:divsChild>
            <w:div w:id="1955481455">
              <w:marLeft w:val="0"/>
              <w:marRight w:val="0"/>
              <w:marTop w:val="0"/>
              <w:marBottom w:val="0"/>
              <w:divBdr>
                <w:top w:val="none" w:sz="0" w:space="0" w:color="auto"/>
                <w:left w:val="none" w:sz="0" w:space="0" w:color="auto"/>
                <w:bottom w:val="none" w:sz="0" w:space="0" w:color="auto"/>
                <w:right w:val="none" w:sz="0" w:space="0" w:color="auto"/>
              </w:divBdr>
              <w:divsChild>
                <w:div w:id="136124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59824">
      <w:bodyDiv w:val="1"/>
      <w:marLeft w:val="0"/>
      <w:marRight w:val="0"/>
      <w:marTop w:val="0"/>
      <w:marBottom w:val="0"/>
      <w:divBdr>
        <w:top w:val="none" w:sz="0" w:space="0" w:color="auto"/>
        <w:left w:val="none" w:sz="0" w:space="0" w:color="auto"/>
        <w:bottom w:val="none" w:sz="0" w:space="0" w:color="auto"/>
        <w:right w:val="none" w:sz="0" w:space="0" w:color="auto"/>
      </w:divBdr>
      <w:divsChild>
        <w:div w:id="616790330">
          <w:marLeft w:val="0"/>
          <w:marRight w:val="0"/>
          <w:marTop w:val="0"/>
          <w:marBottom w:val="0"/>
          <w:divBdr>
            <w:top w:val="none" w:sz="0" w:space="0" w:color="auto"/>
            <w:left w:val="none" w:sz="0" w:space="0" w:color="auto"/>
            <w:bottom w:val="none" w:sz="0" w:space="0" w:color="auto"/>
            <w:right w:val="none" w:sz="0" w:space="0" w:color="auto"/>
          </w:divBdr>
          <w:divsChild>
            <w:div w:id="1903128328">
              <w:marLeft w:val="0"/>
              <w:marRight w:val="0"/>
              <w:marTop w:val="0"/>
              <w:marBottom w:val="0"/>
              <w:divBdr>
                <w:top w:val="none" w:sz="0" w:space="0" w:color="auto"/>
                <w:left w:val="none" w:sz="0" w:space="0" w:color="auto"/>
                <w:bottom w:val="none" w:sz="0" w:space="0" w:color="auto"/>
                <w:right w:val="none" w:sz="0" w:space="0" w:color="auto"/>
              </w:divBdr>
              <w:divsChild>
                <w:div w:id="58904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125641">
      <w:bodyDiv w:val="1"/>
      <w:marLeft w:val="0"/>
      <w:marRight w:val="0"/>
      <w:marTop w:val="0"/>
      <w:marBottom w:val="0"/>
      <w:divBdr>
        <w:top w:val="none" w:sz="0" w:space="0" w:color="auto"/>
        <w:left w:val="none" w:sz="0" w:space="0" w:color="auto"/>
        <w:bottom w:val="none" w:sz="0" w:space="0" w:color="auto"/>
        <w:right w:val="none" w:sz="0" w:space="0" w:color="auto"/>
      </w:divBdr>
    </w:div>
    <w:div w:id="1290015798">
      <w:bodyDiv w:val="1"/>
      <w:marLeft w:val="0"/>
      <w:marRight w:val="0"/>
      <w:marTop w:val="0"/>
      <w:marBottom w:val="0"/>
      <w:divBdr>
        <w:top w:val="none" w:sz="0" w:space="0" w:color="auto"/>
        <w:left w:val="none" w:sz="0" w:space="0" w:color="auto"/>
        <w:bottom w:val="none" w:sz="0" w:space="0" w:color="auto"/>
        <w:right w:val="none" w:sz="0" w:space="0" w:color="auto"/>
      </w:divBdr>
      <w:divsChild>
        <w:div w:id="1311792443">
          <w:marLeft w:val="0"/>
          <w:marRight w:val="0"/>
          <w:marTop w:val="0"/>
          <w:marBottom w:val="0"/>
          <w:divBdr>
            <w:top w:val="none" w:sz="0" w:space="0" w:color="auto"/>
            <w:left w:val="none" w:sz="0" w:space="0" w:color="auto"/>
            <w:bottom w:val="none" w:sz="0" w:space="0" w:color="auto"/>
            <w:right w:val="none" w:sz="0" w:space="0" w:color="auto"/>
          </w:divBdr>
          <w:divsChild>
            <w:div w:id="361134621">
              <w:marLeft w:val="0"/>
              <w:marRight w:val="0"/>
              <w:marTop w:val="0"/>
              <w:marBottom w:val="0"/>
              <w:divBdr>
                <w:top w:val="none" w:sz="0" w:space="0" w:color="auto"/>
                <w:left w:val="none" w:sz="0" w:space="0" w:color="auto"/>
                <w:bottom w:val="none" w:sz="0" w:space="0" w:color="auto"/>
                <w:right w:val="none" w:sz="0" w:space="0" w:color="auto"/>
              </w:divBdr>
              <w:divsChild>
                <w:div w:id="5463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832407">
      <w:bodyDiv w:val="1"/>
      <w:marLeft w:val="0"/>
      <w:marRight w:val="0"/>
      <w:marTop w:val="0"/>
      <w:marBottom w:val="0"/>
      <w:divBdr>
        <w:top w:val="none" w:sz="0" w:space="0" w:color="auto"/>
        <w:left w:val="none" w:sz="0" w:space="0" w:color="auto"/>
        <w:bottom w:val="none" w:sz="0" w:space="0" w:color="auto"/>
        <w:right w:val="none" w:sz="0" w:space="0" w:color="auto"/>
      </w:divBdr>
      <w:divsChild>
        <w:div w:id="1341196040">
          <w:marLeft w:val="0"/>
          <w:marRight w:val="0"/>
          <w:marTop w:val="0"/>
          <w:marBottom w:val="0"/>
          <w:divBdr>
            <w:top w:val="none" w:sz="0" w:space="0" w:color="auto"/>
            <w:left w:val="none" w:sz="0" w:space="0" w:color="auto"/>
            <w:bottom w:val="none" w:sz="0" w:space="0" w:color="auto"/>
            <w:right w:val="none" w:sz="0" w:space="0" w:color="auto"/>
          </w:divBdr>
          <w:divsChild>
            <w:div w:id="735783043">
              <w:marLeft w:val="0"/>
              <w:marRight w:val="0"/>
              <w:marTop w:val="0"/>
              <w:marBottom w:val="0"/>
              <w:divBdr>
                <w:top w:val="none" w:sz="0" w:space="0" w:color="auto"/>
                <w:left w:val="none" w:sz="0" w:space="0" w:color="auto"/>
                <w:bottom w:val="none" w:sz="0" w:space="0" w:color="auto"/>
                <w:right w:val="none" w:sz="0" w:space="0" w:color="auto"/>
              </w:divBdr>
              <w:divsChild>
                <w:div w:id="135615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722555">
      <w:bodyDiv w:val="1"/>
      <w:marLeft w:val="0"/>
      <w:marRight w:val="0"/>
      <w:marTop w:val="0"/>
      <w:marBottom w:val="0"/>
      <w:divBdr>
        <w:top w:val="none" w:sz="0" w:space="0" w:color="auto"/>
        <w:left w:val="none" w:sz="0" w:space="0" w:color="auto"/>
        <w:bottom w:val="none" w:sz="0" w:space="0" w:color="auto"/>
        <w:right w:val="none" w:sz="0" w:space="0" w:color="auto"/>
      </w:divBdr>
      <w:divsChild>
        <w:div w:id="307513835">
          <w:marLeft w:val="0"/>
          <w:marRight w:val="0"/>
          <w:marTop w:val="0"/>
          <w:marBottom w:val="0"/>
          <w:divBdr>
            <w:top w:val="none" w:sz="0" w:space="0" w:color="auto"/>
            <w:left w:val="none" w:sz="0" w:space="0" w:color="auto"/>
            <w:bottom w:val="none" w:sz="0" w:space="0" w:color="auto"/>
            <w:right w:val="none" w:sz="0" w:space="0" w:color="auto"/>
          </w:divBdr>
          <w:divsChild>
            <w:div w:id="400182648">
              <w:marLeft w:val="0"/>
              <w:marRight w:val="0"/>
              <w:marTop w:val="0"/>
              <w:marBottom w:val="0"/>
              <w:divBdr>
                <w:top w:val="none" w:sz="0" w:space="0" w:color="auto"/>
                <w:left w:val="none" w:sz="0" w:space="0" w:color="auto"/>
                <w:bottom w:val="none" w:sz="0" w:space="0" w:color="auto"/>
                <w:right w:val="none" w:sz="0" w:space="0" w:color="auto"/>
              </w:divBdr>
              <w:divsChild>
                <w:div w:id="8921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57306">
      <w:bodyDiv w:val="1"/>
      <w:marLeft w:val="0"/>
      <w:marRight w:val="0"/>
      <w:marTop w:val="0"/>
      <w:marBottom w:val="0"/>
      <w:divBdr>
        <w:top w:val="none" w:sz="0" w:space="0" w:color="auto"/>
        <w:left w:val="none" w:sz="0" w:space="0" w:color="auto"/>
        <w:bottom w:val="none" w:sz="0" w:space="0" w:color="auto"/>
        <w:right w:val="none" w:sz="0" w:space="0" w:color="auto"/>
      </w:divBdr>
    </w:div>
    <w:div w:id="1633903501">
      <w:bodyDiv w:val="1"/>
      <w:marLeft w:val="0"/>
      <w:marRight w:val="0"/>
      <w:marTop w:val="0"/>
      <w:marBottom w:val="0"/>
      <w:divBdr>
        <w:top w:val="none" w:sz="0" w:space="0" w:color="auto"/>
        <w:left w:val="none" w:sz="0" w:space="0" w:color="auto"/>
        <w:bottom w:val="none" w:sz="0" w:space="0" w:color="auto"/>
        <w:right w:val="none" w:sz="0" w:space="0" w:color="auto"/>
      </w:divBdr>
      <w:divsChild>
        <w:div w:id="707723793">
          <w:marLeft w:val="0"/>
          <w:marRight w:val="0"/>
          <w:marTop w:val="0"/>
          <w:marBottom w:val="0"/>
          <w:divBdr>
            <w:top w:val="none" w:sz="0" w:space="0" w:color="auto"/>
            <w:left w:val="none" w:sz="0" w:space="0" w:color="auto"/>
            <w:bottom w:val="none" w:sz="0" w:space="0" w:color="auto"/>
            <w:right w:val="none" w:sz="0" w:space="0" w:color="auto"/>
          </w:divBdr>
          <w:divsChild>
            <w:div w:id="1224414888">
              <w:marLeft w:val="0"/>
              <w:marRight w:val="0"/>
              <w:marTop w:val="0"/>
              <w:marBottom w:val="0"/>
              <w:divBdr>
                <w:top w:val="none" w:sz="0" w:space="0" w:color="auto"/>
                <w:left w:val="none" w:sz="0" w:space="0" w:color="auto"/>
                <w:bottom w:val="none" w:sz="0" w:space="0" w:color="auto"/>
                <w:right w:val="none" w:sz="0" w:space="0" w:color="auto"/>
              </w:divBdr>
              <w:divsChild>
                <w:div w:id="69115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79999">
      <w:bodyDiv w:val="1"/>
      <w:marLeft w:val="0"/>
      <w:marRight w:val="0"/>
      <w:marTop w:val="0"/>
      <w:marBottom w:val="0"/>
      <w:divBdr>
        <w:top w:val="none" w:sz="0" w:space="0" w:color="auto"/>
        <w:left w:val="none" w:sz="0" w:space="0" w:color="auto"/>
        <w:bottom w:val="none" w:sz="0" w:space="0" w:color="auto"/>
        <w:right w:val="none" w:sz="0" w:space="0" w:color="auto"/>
      </w:divBdr>
      <w:divsChild>
        <w:div w:id="786197798">
          <w:marLeft w:val="0"/>
          <w:marRight w:val="0"/>
          <w:marTop w:val="0"/>
          <w:marBottom w:val="0"/>
          <w:divBdr>
            <w:top w:val="none" w:sz="0" w:space="0" w:color="auto"/>
            <w:left w:val="none" w:sz="0" w:space="0" w:color="auto"/>
            <w:bottom w:val="none" w:sz="0" w:space="0" w:color="auto"/>
            <w:right w:val="none" w:sz="0" w:space="0" w:color="auto"/>
          </w:divBdr>
          <w:divsChild>
            <w:div w:id="645939095">
              <w:marLeft w:val="0"/>
              <w:marRight w:val="0"/>
              <w:marTop w:val="0"/>
              <w:marBottom w:val="0"/>
              <w:divBdr>
                <w:top w:val="none" w:sz="0" w:space="0" w:color="auto"/>
                <w:left w:val="none" w:sz="0" w:space="0" w:color="auto"/>
                <w:bottom w:val="none" w:sz="0" w:space="0" w:color="auto"/>
                <w:right w:val="none" w:sz="0" w:space="0" w:color="auto"/>
              </w:divBdr>
              <w:divsChild>
                <w:div w:id="110214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379570">
      <w:bodyDiv w:val="1"/>
      <w:marLeft w:val="0"/>
      <w:marRight w:val="0"/>
      <w:marTop w:val="0"/>
      <w:marBottom w:val="0"/>
      <w:divBdr>
        <w:top w:val="none" w:sz="0" w:space="0" w:color="auto"/>
        <w:left w:val="none" w:sz="0" w:space="0" w:color="auto"/>
        <w:bottom w:val="none" w:sz="0" w:space="0" w:color="auto"/>
        <w:right w:val="none" w:sz="0" w:space="0" w:color="auto"/>
      </w:divBdr>
      <w:divsChild>
        <w:div w:id="1568763978">
          <w:marLeft w:val="0"/>
          <w:marRight w:val="0"/>
          <w:marTop w:val="0"/>
          <w:marBottom w:val="0"/>
          <w:divBdr>
            <w:top w:val="none" w:sz="0" w:space="0" w:color="auto"/>
            <w:left w:val="none" w:sz="0" w:space="0" w:color="auto"/>
            <w:bottom w:val="none" w:sz="0" w:space="0" w:color="auto"/>
            <w:right w:val="none" w:sz="0" w:space="0" w:color="auto"/>
          </w:divBdr>
          <w:divsChild>
            <w:div w:id="1621567219">
              <w:marLeft w:val="0"/>
              <w:marRight w:val="0"/>
              <w:marTop w:val="0"/>
              <w:marBottom w:val="0"/>
              <w:divBdr>
                <w:top w:val="none" w:sz="0" w:space="0" w:color="auto"/>
                <w:left w:val="none" w:sz="0" w:space="0" w:color="auto"/>
                <w:bottom w:val="none" w:sz="0" w:space="0" w:color="auto"/>
                <w:right w:val="none" w:sz="0" w:space="0" w:color="auto"/>
              </w:divBdr>
              <w:divsChild>
                <w:div w:id="15969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5224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mailto:hans.vanmeijl@wur.nl" TargetMode="Externa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30D81-8CD6-4DE2-B65D-73C5DF738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6E5890FC.dotm</Template>
  <TotalTime>0</TotalTime>
  <Pages>21</Pages>
  <Words>28112</Words>
  <Characters>160242</Characters>
  <Application>Microsoft Office Word</Application>
  <DocSecurity>0</DocSecurity>
  <Lines>1335</Lines>
  <Paragraphs>375</Paragraphs>
  <ScaleCrop>false</ScaleCrop>
  <HeadingPairs>
    <vt:vector size="2" baseType="variant">
      <vt:variant>
        <vt:lpstr>Title</vt:lpstr>
      </vt:variant>
      <vt:variant>
        <vt:i4>1</vt:i4>
      </vt:variant>
    </vt:vector>
  </HeadingPairs>
  <TitlesOfParts>
    <vt:vector size="1" baseType="lpstr">
      <vt:lpstr/>
    </vt:vector>
  </TitlesOfParts>
  <Company>Utrecht University</Company>
  <LinksUpToDate>false</LinksUpToDate>
  <CharactersWithSpaces>187979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Yannis Tsiropoulos</dc:creator>
  <cp:lastModifiedBy>Yannis Tsiropoulos</cp:lastModifiedBy>
  <cp:revision>4</cp:revision>
  <cp:lastPrinted>2016-04-14T08:02:00Z</cp:lastPrinted>
  <dcterms:created xsi:type="dcterms:W3CDTF">2016-04-14T15:05:00Z</dcterms:created>
  <dcterms:modified xsi:type="dcterms:W3CDTF">2016-04-14T15:09:00Z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i.tsiropoulos@uu.nl@www.mendeley.com</vt:lpwstr>
  </property>
  <property fmtid="{D5CDD505-2E9C-101B-9397-08002B2CF9AE}" pid="4" name="Mendeley Citation Style_1">
    <vt:lpwstr>http://www.zotero.org/styles/biomass-and-bioenergy</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vt:lpwstr>
  </property>
  <property fmtid="{D5CDD505-2E9C-101B-9397-08002B2CF9AE}" pid="7" name="Mendeley Recent Style Id 1_1">
    <vt:lpwstr>http://www.zotero.org/styles/applied-energy</vt:lpwstr>
  </property>
  <property fmtid="{D5CDD505-2E9C-101B-9397-08002B2CF9AE}" pid="8" name="Mendeley Recent Style Name 1_1">
    <vt:lpwstr>Applied Energy</vt:lpwstr>
  </property>
  <property fmtid="{D5CDD505-2E9C-101B-9397-08002B2CF9AE}" pid="9" name="Mendeley Recent Style Id 2_1">
    <vt:lpwstr>http://www.zotero.org/styles/biomass-and-bioenergy</vt:lpwstr>
  </property>
  <property fmtid="{D5CDD505-2E9C-101B-9397-08002B2CF9AE}" pid="10" name="Mendeley Recent Style Name 2_1">
    <vt:lpwstr>Biomass and Bioenergy</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http://www.zotero.org/styles/global-change-biology</vt:lpwstr>
  </property>
  <property fmtid="{D5CDD505-2E9C-101B-9397-08002B2CF9AE}" pid="14" name="Mendeley Recent Style Name 4_1">
    <vt:lpwstr>Global Change Biology</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