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2DE" w:rsidRPr="00AB02DE" w:rsidRDefault="00BD5ABE" w:rsidP="00AB02DE">
      <w:pPr>
        <w:jc w:val="center"/>
        <w:rPr>
          <w:b/>
          <w:lang w:val="en-GB"/>
        </w:rPr>
      </w:pPr>
      <w:bookmarkStart w:id="0" w:name="_Toc236627363"/>
      <w:bookmarkStart w:id="1" w:name="_Toc236717116"/>
      <w:bookmarkStart w:id="2" w:name="_Toc319652817"/>
      <w:proofErr w:type="spellStart"/>
      <w:r>
        <w:rPr>
          <w:b/>
          <w:lang w:val="en-GB"/>
        </w:rPr>
        <w:t>Labor</w:t>
      </w:r>
      <w:proofErr w:type="spellEnd"/>
      <w:r>
        <w:rPr>
          <w:b/>
          <w:lang w:val="en-GB"/>
        </w:rPr>
        <w:t xml:space="preserve"> Specification and</w:t>
      </w:r>
      <w:r w:rsidR="00233396">
        <w:rPr>
          <w:b/>
          <w:lang w:val="en-GB"/>
        </w:rPr>
        <w:t xml:space="preserve"> </w:t>
      </w:r>
      <w:r w:rsidR="00AB02DE" w:rsidRPr="00AB02DE">
        <w:rPr>
          <w:b/>
          <w:lang w:val="en-GB"/>
        </w:rPr>
        <w:t>Systematic Calibration Biases in Trade Policy Analyses</w:t>
      </w:r>
      <w:bookmarkEnd w:id="0"/>
      <w:bookmarkEnd w:id="1"/>
      <w:bookmarkEnd w:id="2"/>
    </w:p>
    <w:p w:rsidR="00AB02DE" w:rsidRPr="00AB02DE" w:rsidRDefault="00AB02DE" w:rsidP="00AB02DE">
      <w:pPr>
        <w:rPr>
          <w:lang w:val="en-GB"/>
        </w:rPr>
      </w:pPr>
    </w:p>
    <w:p w:rsidR="00AB02DE" w:rsidRDefault="00AB02DE" w:rsidP="00AB02DE">
      <w:pPr>
        <w:jc w:val="center"/>
        <w:rPr>
          <w:lang w:val="en-GB"/>
        </w:rPr>
      </w:pPr>
      <w:r w:rsidRPr="00AB02DE">
        <w:rPr>
          <w:lang w:val="en-GB"/>
        </w:rPr>
        <w:t xml:space="preserve">Scott McDonald, Karen </w:t>
      </w:r>
      <w:proofErr w:type="spellStart"/>
      <w:r w:rsidRPr="00AB02DE">
        <w:rPr>
          <w:lang w:val="en-GB"/>
        </w:rPr>
        <w:t>Thierfelder</w:t>
      </w:r>
      <w:proofErr w:type="spellEnd"/>
      <w:r w:rsidRPr="00AB02DE">
        <w:rPr>
          <w:lang w:val="en-GB"/>
        </w:rPr>
        <w:t xml:space="preserve"> and Terrie </w:t>
      </w:r>
      <w:proofErr w:type="spellStart"/>
      <w:r w:rsidRPr="00AB02DE">
        <w:rPr>
          <w:lang w:val="en-GB"/>
        </w:rPr>
        <w:t>Walmsley</w:t>
      </w:r>
      <w:proofErr w:type="spellEnd"/>
    </w:p>
    <w:p w:rsidR="00AB02DE" w:rsidRDefault="00AD7F84" w:rsidP="00AB02DE">
      <w:pPr>
        <w:jc w:val="center"/>
        <w:rPr>
          <w:lang w:val="en-GB"/>
        </w:rPr>
      </w:pPr>
      <w:r>
        <w:rPr>
          <w:lang w:val="en-GB"/>
        </w:rPr>
        <w:t>April</w:t>
      </w:r>
      <w:r w:rsidR="00AB02DE">
        <w:rPr>
          <w:lang w:val="en-GB"/>
        </w:rPr>
        <w:t xml:space="preserve"> 2016</w:t>
      </w:r>
    </w:p>
    <w:p w:rsidR="00AD7F84" w:rsidRPr="00AD7F84" w:rsidRDefault="00AD7F84" w:rsidP="00AB02DE">
      <w:pPr>
        <w:jc w:val="center"/>
        <w:rPr>
          <w:i/>
          <w:lang w:val="en-GB"/>
        </w:rPr>
      </w:pPr>
      <w:r w:rsidRPr="00AD7F84">
        <w:rPr>
          <w:i/>
          <w:lang w:val="en-GB"/>
        </w:rPr>
        <w:t>Draft</w:t>
      </w:r>
    </w:p>
    <w:p w:rsidR="00AD7F84" w:rsidRDefault="00AD7F84" w:rsidP="00AB02DE">
      <w:pPr>
        <w:jc w:val="center"/>
        <w:rPr>
          <w:lang w:val="en-GB"/>
        </w:rPr>
      </w:pPr>
    </w:p>
    <w:p w:rsidR="00AB02DE" w:rsidRPr="00AD7F84" w:rsidRDefault="00AD7F84" w:rsidP="00AD7F84">
      <w:pPr>
        <w:rPr>
          <w:u w:val="single"/>
          <w:lang w:val="en-GB"/>
        </w:rPr>
      </w:pPr>
      <w:r w:rsidRPr="00AD7F84">
        <w:rPr>
          <w:u w:val="single"/>
          <w:lang w:val="en-GB"/>
        </w:rPr>
        <w:t>1. Introduction</w:t>
      </w:r>
    </w:p>
    <w:p w:rsidR="00523B60" w:rsidRDefault="003B75EC" w:rsidP="003B75EC">
      <w:r>
        <w:t xml:space="preserve">This study demonstrates that there are systematic </w:t>
      </w:r>
      <w:r w:rsidR="00BA21F6">
        <w:t xml:space="preserve">theoretical and empirical </w:t>
      </w:r>
      <w:r>
        <w:t xml:space="preserve">biases in results from analyses of </w:t>
      </w:r>
      <w:r w:rsidR="00523B60">
        <w:t>economic</w:t>
      </w:r>
      <w:r>
        <w:t xml:space="preserve"> policies using general equilibrium models. The biases</w:t>
      </w:r>
      <w:r w:rsidR="00523B60">
        <w:t xml:space="preserve"> are a consequence of the </w:t>
      </w:r>
      <w:r>
        <w:t xml:space="preserve">methods used to calibrate the </w:t>
      </w:r>
      <w:r w:rsidR="00523B60">
        <w:t>standard (</w:t>
      </w:r>
      <w:r>
        <w:t>activity specific</w:t>
      </w:r>
      <w:r w:rsidR="00523B60">
        <w:t>)</w:t>
      </w:r>
      <w:r>
        <w:t xml:space="preserve"> production functions; the</w:t>
      </w:r>
      <w:r w:rsidR="00523B60">
        <w:t>ory allows inferences to be drawn on the</w:t>
      </w:r>
      <w:r>
        <w:t xml:space="preserve"> direction</w:t>
      </w:r>
      <w:r w:rsidR="00523B60">
        <w:t>s</w:t>
      </w:r>
      <w:r>
        <w:t xml:space="preserve"> of biases</w:t>
      </w:r>
      <w:r w:rsidR="00523B60">
        <w:t xml:space="preserve"> by reference to the direction of </w:t>
      </w:r>
      <w:r w:rsidR="00BD5ABE">
        <w:t>labor</w:t>
      </w:r>
      <w:r w:rsidR="00523B60">
        <w:t xml:space="preserve"> reallocations</w:t>
      </w:r>
      <w:r w:rsidR="00DD2E17">
        <w:t xml:space="preserve"> among sectors</w:t>
      </w:r>
      <w:r w:rsidR="002A3F51">
        <w:t>.</w:t>
      </w:r>
      <w:r w:rsidR="00523B60">
        <w:t xml:space="preserve"> </w:t>
      </w:r>
      <w:r w:rsidR="002A3F51">
        <w:t>E</w:t>
      </w:r>
      <w:r w:rsidR="00523B60">
        <w:t>mpirically</w:t>
      </w:r>
      <w:r w:rsidR="002A3F51">
        <w:t>,</w:t>
      </w:r>
      <w:r w:rsidR="00523B60">
        <w:t xml:space="preserve"> </w:t>
      </w:r>
      <w:r>
        <w:t>the magnitudes of the biases are uncertain</w:t>
      </w:r>
      <w:r w:rsidR="002A3F51">
        <w:t>,</w:t>
      </w:r>
      <w:r w:rsidR="00523B60">
        <w:t xml:space="preserve"> although it is possible to determine the upper and lower bounds associated with any experiment</w:t>
      </w:r>
      <w:r>
        <w:t xml:space="preserve">. </w:t>
      </w:r>
    </w:p>
    <w:p w:rsidR="00635128" w:rsidRDefault="00523B60" w:rsidP="003B75EC">
      <w:r>
        <w:t>F</w:t>
      </w:r>
      <w:r w:rsidR="003B75EC">
        <w:t>undamental</w:t>
      </w:r>
      <w:r>
        <w:t>ly</w:t>
      </w:r>
      <w:r w:rsidR="003B75EC">
        <w:t xml:space="preserve"> there two alternative ways of calibrating the quantities of </w:t>
      </w:r>
      <w:r w:rsidR="00BD5ABE">
        <w:t xml:space="preserve">labor (and other factors) </w:t>
      </w:r>
      <w:r w:rsidR="003B75EC">
        <w:t xml:space="preserve">in the production functions used in </w:t>
      </w:r>
      <w:r w:rsidR="002A3F51">
        <w:t>computable general equilibrium (</w:t>
      </w:r>
      <w:r w:rsidR="003B75EC">
        <w:t>CGE</w:t>
      </w:r>
      <w:r w:rsidR="002A3F51">
        <w:t>)</w:t>
      </w:r>
      <w:r w:rsidR="003B75EC">
        <w:t xml:space="preserve"> models: </w:t>
      </w:r>
      <w:r w:rsidR="002A3F51">
        <w:t xml:space="preserve">(1) physical quantities or (2) </w:t>
      </w:r>
      <w:r w:rsidR="003B75EC">
        <w:t>the use of value quantities or units</w:t>
      </w:r>
      <w:r w:rsidR="00DD2E17">
        <w:t xml:space="preserve"> of factor services</w:t>
      </w:r>
      <w:r w:rsidR="003B75EC">
        <w:t xml:space="preserve">, (the so-called </w:t>
      </w:r>
      <w:proofErr w:type="spellStart"/>
      <w:r w:rsidR="003B75EC">
        <w:t>Harberger</w:t>
      </w:r>
      <w:proofErr w:type="spellEnd"/>
      <w:r w:rsidR="003B75EC">
        <w:t xml:space="preserve"> convention).</w:t>
      </w:r>
      <w:r w:rsidR="00635128">
        <w:t xml:space="preserve"> </w:t>
      </w:r>
      <w:r w:rsidR="003B75EC">
        <w:t xml:space="preserve"> </w:t>
      </w:r>
      <w:r>
        <w:t>Typically, w</w:t>
      </w:r>
      <w:r w:rsidR="003B75EC">
        <w:t xml:space="preserve">hen </w:t>
      </w:r>
      <w:r w:rsidR="00BD5ABE">
        <w:t>labor</w:t>
      </w:r>
      <w:r w:rsidR="003B75EC">
        <w:t xml:space="preserve"> </w:t>
      </w:r>
      <w:r w:rsidR="00BD5ABE">
        <w:t>is</w:t>
      </w:r>
      <w:r w:rsidR="003B75EC">
        <w:t xml:space="preserve"> measured in physical quantities, </w:t>
      </w:r>
      <w:r>
        <w:t xml:space="preserve">the </w:t>
      </w:r>
      <w:r w:rsidR="007477FF">
        <w:t>calibration of production function</w:t>
      </w:r>
      <w:r>
        <w:t xml:space="preserve">s </w:t>
      </w:r>
      <w:r w:rsidR="007477FF">
        <w:t>results in productivity differences by activity</w:t>
      </w:r>
      <w:r>
        <w:t xml:space="preserve">, i.e., </w:t>
      </w:r>
      <w:r w:rsidR="00BD5ABE">
        <w:t>labor is</w:t>
      </w:r>
      <w:r>
        <w:t xml:space="preserve"> heterogeneous </w:t>
      </w:r>
      <w:r w:rsidR="00DA744F">
        <w:t>as</w:t>
      </w:r>
      <w:r>
        <w:t xml:space="preserve"> </w:t>
      </w:r>
      <w:r w:rsidR="00BD5ABE">
        <w:t>workers</w:t>
      </w:r>
      <w:r>
        <w:t xml:space="preserve"> receive different returns in different activities (</w:t>
      </w:r>
      <w:r w:rsidR="00D4788F">
        <w:t>the value of the marginal product of labor is</w:t>
      </w:r>
      <w:r>
        <w:t xml:space="preserve"> not equali</w:t>
      </w:r>
      <w:r w:rsidR="00E84731">
        <w:t>z</w:t>
      </w:r>
      <w:r>
        <w:t>ed</w:t>
      </w:r>
      <w:r w:rsidR="00D4788F">
        <w:t xml:space="preserve"> across sectors</w:t>
      </w:r>
      <w:r>
        <w:t>)</w:t>
      </w:r>
      <w:r w:rsidR="005F5A13">
        <w:t xml:space="preserve">. However, when the </w:t>
      </w:r>
      <w:proofErr w:type="spellStart"/>
      <w:r w:rsidR="005F5A13">
        <w:t>Harberger</w:t>
      </w:r>
      <w:proofErr w:type="spellEnd"/>
      <w:r w:rsidR="005F5A13">
        <w:t xml:space="preserve"> convention is applied</w:t>
      </w:r>
      <w:r w:rsidR="00FB0CF3">
        <w:t>,</w:t>
      </w:r>
      <w:r w:rsidR="005F5A13">
        <w:t xml:space="preserve"> </w:t>
      </w:r>
      <w:r w:rsidR="00BD5ABE">
        <w:t xml:space="preserve">the </w:t>
      </w:r>
      <w:r w:rsidR="005F5A13">
        <w:t>return</w:t>
      </w:r>
      <w:r w:rsidR="00BD5ABE">
        <w:t xml:space="preserve"> to labor in all activities is </w:t>
      </w:r>
      <w:r w:rsidR="005F5A13">
        <w:t xml:space="preserve">equalized, usually on one, and the inferred physical quantities are recorded in </w:t>
      </w:r>
      <w:r w:rsidR="00BD5ABE">
        <w:t>value quantities or units of labor service</w:t>
      </w:r>
      <w:r w:rsidR="005F5A13">
        <w:t>s</w:t>
      </w:r>
      <w:r w:rsidR="00DA744F">
        <w:t>. L</w:t>
      </w:r>
      <w:r w:rsidR="00BD5ABE">
        <w:t>abor is</w:t>
      </w:r>
      <w:r w:rsidR="005F5A13">
        <w:t xml:space="preserve"> homogeneous </w:t>
      </w:r>
      <w:r w:rsidR="00DA744F">
        <w:t>because</w:t>
      </w:r>
      <w:r w:rsidR="005F5A13">
        <w:t xml:space="preserve"> </w:t>
      </w:r>
      <w:r w:rsidR="00BD5ABE">
        <w:t xml:space="preserve">the </w:t>
      </w:r>
      <w:r w:rsidR="005F5A13">
        <w:t>return</w:t>
      </w:r>
      <w:r w:rsidR="00BD5ABE">
        <w:t xml:space="preserve"> to labor is </w:t>
      </w:r>
      <w:r w:rsidR="005F5A13">
        <w:t xml:space="preserve">equalized across all activities. </w:t>
      </w:r>
    </w:p>
    <w:p w:rsidR="00ED529B" w:rsidRDefault="00BD5ABE" w:rsidP="003B75EC">
      <w:r>
        <w:t>Labor</w:t>
      </w:r>
      <w:r w:rsidR="005F5A13">
        <w:t xml:space="preserve"> reallocations have different implications and interpretations</w:t>
      </w:r>
      <w:r w:rsidR="007477FF">
        <w:t xml:space="preserve"> </w:t>
      </w:r>
      <w:r w:rsidR="005F5A13">
        <w:t xml:space="preserve">according to how </w:t>
      </w:r>
      <w:r>
        <w:t>labor</w:t>
      </w:r>
      <w:r w:rsidR="005F5A13">
        <w:t xml:space="preserve"> quantities are calibrated. If physical quantities are used, </w:t>
      </w:r>
      <w:r>
        <w:t>workers</w:t>
      </w:r>
      <w:r w:rsidR="005F5A13">
        <w:t xml:space="preserve"> that are reallocated (typically) adopt the productivity of </w:t>
      </w:r>
      <w:r>
        <w:t>worker</w:t>
      </w:r>
      <w:r w:rsidR="005F5A13">
        <w:t xml:space="preserve">s </w:t>
      </w:r>
      <w:r w:rsidR="007477FF">
        <w:t xml:space="preserve">employed </w:t>
      </w:r>
      <w:r w:rsidR="005F5A13">
        <w:t>in</w:t>
      </w:r>
      <w:r w:rsidR="007477FF">
        <w:t xml:space="preserve"> the </w:t>
      </w:r>
      <w:r w:rsidR="007477FF" w:rsidRPr="00B612E3">
        <w:rPr>
          <w:b/>
        </w:rPr>
        <w:t>new</w:t>
      </w:r>
      <w:r w:rsidR="007477FF">
        <w:t xml:space="preserve"> sector of employment</w:t>
      </w:r>
      <w:r w:rsidR="005F5A13">
        <w:t xml:space="preserve">. </w:t>
      </w:r>
      <w:r>
        <w:t xml:space="preserve">Workers do not bring their productivity with them when they change sectors. </w:t>
      </w:r>
      <w:r w:rsidR="00DD2E17">
        <w:t>If</w:t>
      </w:r>
      <w:r w:rsidR="007477FF">
        <w:t xml:space="preserve"> </w:t>
      </w:r>
      <w:r>
        <w:t>labor is measured in units of labor services, workers</w:t>
      </w:r>
      <w:r w:rsidR="005F5A13">
        <w:t xml:space="preserve"> (typically) </w:t>
      </w:r>
      <w:r w:rsidR="00DD2E17">
        <w:t>have the same productivity as they did in the sectors that they left</w:t>
      </w:r>
      <w:r w:rsidR="00D4788F">
        <w:t xml:space="preserve"> – </w:t>
      </w:r>
      <w:r w:rsidR="00DD2E17">
        <w:t xml:space="preserve">workers bring their productivity with them when they change sectors. </w:t>
      </w:r>
      <w:r w:rsidR="00624669">
        <w:t xml:space="preserve">The two specifications of </w:t>
      </w:r>
      <w:r w:rsidR="00DD2E17">
        <w:t>labor</w:t>
      </w:r>
      <w:r w:rsidR="00624669">
        <w:t xml:space="preserve"> markets are </w:t>
      </w:r>
      <w:proofErr w:type="gramStart"/>
      <w:r w:rsidR="00624669">
        <w:t>polar</w:t>
      </w:r>
      <w:proofErr w:type="gramEnd"/>
      <w:r w:rsidR="00624669">
        <w:t xml:space="preserve"> opposite representations of</w:t>
      </w:r>
      <w:r w:rsidR="00DD2E17">
        <w:t xml:space="preserve"> </w:t>
      </w:r>
      <w:r w:rsidR="00624669">
        <w:t xml:space="preserve">behavior; in this paper we describe the impact assumptions about factor behavior have on </w:t>
      </w:r>
      <w:r w:rsidR="005F5A13">
        <w:t xml:space="preserve">the </w:t>
      </w:r>
      <w:r w:rsidR="00624669">
        <w:t>results</w:t>
      </w:r>
      <w:r w:rsidR="005F5A13">
        <w:t xml:space="preserve"> from CGE policy simulations</w:t>
      </w:r>
      <w:r w:rsidR="00624669">
        <w:t xml:space="preserve"> and</w:t>
      </w:r>
      <w:r w:rsidR="005F5A13">
        <w:t xml:space="preserve"> the implications for</w:t>
      </w:r>
      <w:r w:rsidR="00624669">
        <w:t xml:space="preserve"> policy advice. </w:t>
      </w:r>
    </w:p>
    <w:p w:rsidR="009323C3" w:rsidRPr="009323C3" w:rsidRDefault="009323C3" w:rsidP="009323C3">
      <w:r w:rsidRPr="009323C3">
        <w:t>The</w:t>
      </w:r>
      <w:r w:rsidR="00C909E6">
        <w:t xml:space="preserve"> empirical illustration is derived using</w:t>
      </w:r>
      <w:r w:rsidRPr="009323C3">
        <w:t xml:space="preserve"> the GLOBE </w:t>
      </w:r>
      <w:r w:rsidR="00C909E6">
        <w:t>(</w:t>
      </w:r>
      <w:r w:rsidRPr="009323C3">
        <w:t>version 2</w:t>
      </w:r>
      <w:r w:rsidR="00C909E6">
        <w:t>)</w:t>
      </w:r>
      <w:r w:rsidRPr="009323C3">
        <w:t xml:space="preserve"> model </w:t>
      </w:r>
      <w:r w:rsidR="005D53B7" w:rsidRPr="009323C3">
        <w:fldChar w:fldCharType="begin"/>
      </w:r>
      <w:r w:rsidRPr="009323C3">
        <w:instrText xml:space="preserve"> ADDIN EN.CITE &lt;EndNote&gt;&lt;Cite&gt;&lt;Author&gt;McDonald&lt;/Author&gt;&lt;Year&gt;2014&lt;/Year&gt;&lt;RecNum&gt;105&lt;/RecNum&gt;&lt;DisplayText&gt;(McDonald, Thierfelder and Walmsley, 2014)&lt;/DisplayText&gt;&lt;record&gt;&lt;rec-number&gt;105&lt;/rec-number&gt;&lt;foreign-keys&gt;&lt;key app="EN" db-id="tfz9v5v04w9xeqetf025f5tv2e2xttaavpp2" timestamp="1408558338"&gt;105&lt;/key&gt;&lt;/foreign-keys&gt;&lt;ref-type name="Manuscript"&gt;36&lt;/ref-type&gt;&lt;contributors&gt;&lt;authors&gt;&lt;author&gt;McDonald, Scott&lt;/author&gt;&lt;author&gt;Thierfelder, Karen&lt;/author&gt;&lt;author&gt;Walmsley, Terrie L&lt;/author&gt;&lt;/authors&gt;&lt;/contributors&gt;&lt;titles&gt;&lt;title&gt;Globe v2: A SAM Based Global CGE Model using GTAP Data&lt;/title&gt;&lt;secondary-title&gt;GLOBE Short Course&lt;/secondary-title&gt;&lt;/titles&gt;&lt;dates&gt;&lt;year&gt;2014&lt;/year&gt;&lt;/dates&gt;&lt;pub-location&gt;Annapolis, USA&lt;/pub-location&gt;&lt;urls&gt;&lt;/urls&gt;&lt;/record&gt;&lt;/Cite&gt;&lt;/EndNote&gt;</w:instrText>
      </w:r>
      <w:r w:rsidR="005D53B7" w:rsidRPr="009323C3">
        <w:fldChar w:fldCharType="separate"/>
      </w:r>
      <w:r w:rsidRPr="009323C3">
        <w:t>(McDonald, Thierfelder and Walmsley, 201</w:t>
      </w:r>
      <w:r w:rsidR="002A38F2">
        <w:t>3</w:t>
      </w:r>
      <w:r w:rsidRPr="009323C3">
        <w:t>)</w:t>
      </w:r>
      <w:r w:rsidR="005D53B7" w:rsidRPr="009323C3">
        <w:fldChar w:fldCharType="end"/>
      </w:r>
      <w:r w:rsidRPr="009323C3">
        <w:t xml:space="preserve">.  The GLOBE model is a standard global CGE model based on </w:t>
      </w:r>
      <w:r w:rsidRPr="009323C3">
        <w:lastRenderedPageBreak/>
        <w:t xml:space="preserve">a global SAM derived from the GTAP database </w:t>
      </w:r>
      <w:r w:rsidR="005D53B7" w:rsidRPr="009323C3">
        <w:fldChar w:fldCharType="begin"/>
      </w:r>
      <w:r w:rsidRPr="009323C3">
        <w:instrText xml:space="preserve"> ADDIN EN.CITE &lt;EndNote&gt;&lt;Cite&gt;&lt;Author&gt;Narayanan&lt;/Author&gt;&lt;Year&gt;2012&lt;/Year&gt;&lt;RecNum&gt;51&lt;/RecNum&gt;&lt;DisplayText&gt;(Narayanan, Aguiar and McDougall, 2012)&lt;/DisplayText&gt;&lt;record&gt;&lt;rec-number&gt;51&lt;/rec-number&gt;&lt;foreign-keys&gt;&lt;key app="EN" db-id="tfz9v5v04w9xeqetf025f5tv2e2xttaavpp2" timestamp="1408548112"&gt;51&lt;/key&gt;&lt;/foreign-keys&gt;&lt;ref-type name="Book"&gt;6&lt;/ref-type&gt;&lt;contributors&gt;&lt;authors&gt;&lt;author&gt;Narayanan, G. Badri&lt;/author&gt;&lt;author&gt;Angel Aguiar &lt;/author&gt;&lt;author&gt;Robert McDougall&lt;/author&gt;&lt;/authors&gt;&lt;/contributors&gt;&lt;titles&gt;&lt;title&gt;Global Trade, Assistance, and Production: The GTAP 8 Data Base&lt;/title&gt;&lt;/titles&gt;&lt;dates&gt;&lt;year&gt;2012&lt;/year&gt;&lt;/dates&gt;&lt;pub-location&gt;West Lafayette, Indiana&lt;/pub-location&gt;&lt;publisher&gt;Center for Global Trade Analysis, Purdue University&lt;/publisher&gt;&lt;urls&gt;&lt;related-urls&gt;&lt;url&gt;https://www.gtap.agecon.purdue.edu/databases/v8/v8_doco.asp&lt;/url&gt;&lt;/related-urls&gt;&lt;/urls&gt;&lt;/record&gt;&lt;/Cite&gt;&lt;/EndNote&gt;</w:instrText>
      </w:r>
      <w:r w:rsidR="005D53B7" w:rsidRPr="009323C3">
        <w:fldChar w:fldCharType="separate"/>
      </w:r>
      <w:r w:rsidRPr="009323C3">
        <w:t>(Narayanan, Aguiar and McDougall, 2012)</w:t>
      </w:r>
      <w:r w:rsidR="005D53B7" w:rsidRPr="009323C3">
        <w:fldChar w:fldCharType="end"/>
      </w:r>
      <w:r w:rsidRPr="009323C3">
        <w:t xml:space="preserve">. </w:t>
      </w:r>
      <w:r w:rsidR="00C909E6">
        <w:t>Production functions in the model are standard three-level nested CES functions.</w:t>
      </w:r>
      <w:r w:rsidRPr="009323C3">
        <w:t xml:space="preserve"> Agents in the model include a private households and a government that independently collect income accruing to them from factor use and taxes, respectively. The household maximizes utility subject to preferences represented by Stone-Geary utility function</w:t>
      </w:r>
      <w:r w:rsidR="00C909E6">
        <w:t>s</w:t>
      </w:r>
      <w:r w:rsidRPr="009323C3">
        <w:t>, i.e., linear expenditure system</w:t>
      </w:r>
      <w:r w:rsidR="00C909E6">
        <w:t>s</w:t>
      </w:r>
      <w:r w:rsidRPr="009323C3">
        <w:t xml:space="preserve">, having first paid income taxes and having saved a fixed proportion of after tax income. The government receives incomes from commodity taxes, production taxes and direct taxes on factor and household incomes, and uses that income to pay for consumption and for savings. This separation of the government and private household agents in the model requires certain modifications to the GTAP database, which are outlined in </w:t>
      </w:r>
      <w:r w:rsidR="005D53B7" w:rsidRPr="009323C3">
        <w:fldChar w:fldCharType="begin"/>
      </w:r>
      <w:r w:rsidRPr="009323C3">
        <w:instrText xml:space="preserve"> ADDIN EN.CITE &lt;EndNote&gt;&lt;Cite AuthorYear="1"&gt;&lt;Author&gt;McDonald&lt;/Author&gt;&lt;Year&gt;2004&lt;/Year&gt;&lt;RecNum&gt;106&lt;/RecNum&gt;&lt;DisplayText&gt;McDonald and Thierfelder (2004b)&lt;/DisplayText&gt;&lt;record&gt;&lt;rec-number&gt;106&lt;/rec-number&gt;&lt;foreign-keys&gt;&lt;key app="EN" db-id="tfz9v5v04w9xeqetf025f5tv2e2xttaavpp2" timestamp="1408559698"&gt;106&lt;/key&gt;&lt;/foreign-keys&gt;&lt;ref-type name="Manuscript"&gt;36&lt;/ref-type&gt;&lt;contributors&gt;&lt;authors&gt;&lt;author&gt;McDonald, Scott&lt;/author&gt;&lt;author&gt;Thierfelder, Karen&lt;/author&gt;&lt;/authors&gt;&lt;/contributors&gt;&lt;titles&gt;&lt;title&gt;Deriving Reduced Form Global Social Accounting Matrices from GTAP Data&lt;/title&gt;&lt;/titles&gt;&lt;dates&gt;&lt;year&gt;2004&lt;/year&gt;&lt;/dates&gt;&lt;urls&gt;&lt;/urls&gt;&lt;/record&gt;&lt;/Cite&gt;&lt;/EndNote&gt;</w:instrText>
      </w:r>
      <w:r w:rsidR="005D53B7" w:rsidRPr="009323C3">
        <w:fldChar w:fldCharType="separate"/>
      </w:r>
      <w:r w:rsidRPr="009323C3">
        <w:t>McDonald and Thierfelder (2004)</w:t>
      </w:r>
      <w:r w:rsidR="005D53B7" w:rsidRPr="009323C3">
        <w:fldChar w:fldCharType="end"/>
      </w:r>
      <w:r w:rsidRPr="009323C3">
        <w:t xml:space="preserve">.  </w:t>
      </w:r>
    </w:p>
    <w:p w:rsidR="009323C3" w:rsidRDefault="009323C3" w:rsidP="003B75EC">
      <w:r>
        <w:t>Data for the analys</w:t>
      </w:r>
      <w:r w:rsidR="00C909E6">
        <w:t>e</w:t>
      </w:r>
      <w:r>
        <w:t xml:space="preserve">s are from GTAP8.1L; there are five labor categories (officers &amp; managers, technicians, clerks, service &amp; shop workers, and agriculture &amp; unskilled labor) as well as land, capital and natural resource inputs. </w:t>
      </w:r>
      <w:proofErr w:type="spellStart"/>
      <w:r w:rsidRPr="001D6EB6">
        <w:t>Walmsley</w:t>
      </w:r>
      <w:proofErr w:type="spellEnd"/>
      <w:r w:rsidRPr="001D6EB6">
        <w:t xml:space="preserve"> and </w:t>
      </w:r>
      <w:proofErr w:type="spellStart"/>
      <w:r w:rsidRPr="001D6EB6">
        <w:t>Carrico</w:t>
      </w:r>
      <w:proofErr w:type="spellEnd"/>
      <w:r>
        <w:t xml:space="preserve"> </w:t>
      </w:r>
      <w:r w:rsidR="00C909E6">
        <w:t xml:space="preserve">(2013) </w:t>
      </w:r>
      <w:r>
        <w:t xml:space="preserve">provide data on </w:t>
      </w:r>
      <w:r w:rsidR="00D4788F">
        <w:t xml:space="preserve">physical quantities of labor used by activity </w:t>
      </w:r>
      <w:r>
        <w:t xml:space="preserve">for </w:t>
      </w:r>
      <w:r w:rsidR="00D4788F">
        <w:t xml:space="preserve">each of </w:t>
      </w:r>
      <w:r>
        <w:t>the five labor categories and for each activity in the GTAP8.1L database. The</w:t>
      </w:r>
      <w:r w:rsidR="00C909E6">
        <w:t>se</w:t>
      </w:r>
      <w:r>
        <w:t xml:space="preserve"> </w:t>
      </w:r>
      <w:r w:rsidRPr="001D6EB6">
        <w:t xml:space="preserve">data </w:t>
      </w:r>
      <w:r w:rsidR="00C909E6">
        <w:t xml:space="preserve">confirm that </w:t>
      </w:r>
      <w:r w:rsidR="00D4788F">
        <w:t>labor</w:t>
      </w:r>
      <w:r w:rsidR="00C909E6">
        <w:t xml:space="preserve"> returns are not equali</w:t>
      </w:r>
      <w:r w:rsidR="00E84731">
        <w:t>z</w:t>
      </w:r>
      <w:r w:rsidR="00C909E6">
        <w:t>ed across activities and hence that the GTAP SAM is consistent with most SAMs used for CGE models in that it is characteri</w:t>
      </w:r>
      <w:r w:rsidR="00E84731">
        <w:t>z</w:t>
      </w:r>
      <w:r w:rsidR="00C909E6">
        <w:t xml:space="preserve">ed by </w:t>
      </w:r>
      <w:r w:rsidR="00DD2E17">
        <w:t>labor</w:t>
      </w:r>
      <w:r w:rsidR="00C909E6">
        <w:t xml:space="preserve"> heterogeneity.</w:t>
      </w:r>
    </w:p>
    <w:p w:rsidR="00FC1D2D" w:rsidRDefault="00764A76" w:rsidP="00073F20">
      <w:r w:rsidRPr="00073F20">
        <w:t>The policy experiment used to illustrate the impact of alternative assumptions about the movement of labor is a stylized representation of the</w:t>
      </w:r>
      <w:r>
        <w:t xml:space="preserve"> </w:t>
      </w:r>
      <w:r w:rsidR="00E84731">
        <w:t>Doha Development Agenda (</w:t>
      </w:r>
      <w:r w:rsidR="00073F20" w:rsidRPr="00073F20">
        <w:t>DDA</w:t>
      </w:r>
      <w:r w:rsidR="00E84731">
        <w:t>)</w:t>
      </w:r>
      <w:r w:rsidR="00073F20" w:rsidRPr="00073F20">
        <w:t xml:space="preserve"> trade reforms</w:t>
      </w:r>
      <w:r>
        <w:t>.</w:t>
      </w:r>
      <w:r w:rsidR="00073F20" w:rsidRPr="00073F20">
        <w:t xml:space="preserve"> </w:t>
      </w:r>
      <w:r w:rsidR="00C909E6">
        <w:t>The</w:t>
      </w:r>
      <w:r>
        <w:t xml:space="preserve"> </w:t>
      </w:r>
      <w:r w:rsidR="00C909E6">
        <w:t>s</w:t>
      </w:r>
      <w:r>
        <w:t>imulation</w:t>
      </w:r>
      <w:r w:rsidR="00C909E6">
        <w:t xml:space="preserve"> demonstrate</w:t>
      </w:r>
      <w:r>
        <w:t>s</w:t>
      </w:r>
      <w:r w:rsidR="00C909E6">
        <w:t xml:space="preserve"> that the </w:t>
      </w:r>
      <w:r w:rsidR="0058183C">
        <w:t>biases inherent in the different methods for calibrating productions functions generate substantial</w:t>
      </w:r>
      <w:r>
        <w:t>ly</w:t>
      </w:r>
      <w:r w:rsidR="0058183C">
        <w:t xml:space="preserve"> differen</w:t>
      </w:r>
      <w:r>
        <w:t>t results</w:t>
      </w:r>
      <w:r w:rsidR="0058183C">
        <w:t xml:space="preserve"> and that the changes </w:t>
      </w:r>
      <w:r w:rsidR="00FB0CF3">
        <w:t>in</w:t>
      </w:r>
      <w:r w:rsidR="0058183C">
        <w:t xml:space="preserve"> variable</w:t>
      </w:r>
      <w:r w:rsidR="005A284C">
        <w:t>s</w:t>
      </w:r>
      <w:r w:rsidR="00FB0CF3">
        <w:t xml:space="preserve"> can</w:t>
      </w:r>
      <w:r w:rsidR="0058183C">
        <w:t xml:space="preserve"> have different signs.</w:t>
      </w:r>
      <w:r w:rsidR="00F6145A">
        <w:t xml:space="preserve"> </w:t>
      </w:r>
      <w:r w:rsidR="00FE2335">
        <w:t>W</w:t>
      </w:r>
      <w:r w:rsidR="00FC1D2D">
        <w:t xml:space="preserve">hen </w:t>
      </w:r>
      <w:r w:rsidR="00DD2E17">
        <w:t>labor</w:t>
      </w:r>
      <w:r w:rsidR="00FC1D2D">
        <w:t xml:space="preserve"> </w:t>
      </w:r>
      <w:r w:rsidR="00DD2E17">
        <w:t>is</w:t>
      </w:r>
      <w:r w:rsidR="00FC1D2D">
        <w:t xml:space="preserve"> measured in units</w:t>
      </w:r>
      <w:r w:rsidR="00DD2E17">
        <w:t xml:space="preserve"> of labor services</w:t>
      </w:r>
      <w:r>
        <w:t xml:space="preserve">, </w:t>
      </w:r>
      <w:r w:rsidR="00FC1D2D">
        <w:t>the typical approach in global models</w:t>
      </w:r>
      <w:r w:rsidR="00DF773A">
        <w:t>,</w:t>
      </w:r>
      <w:r w:rsidR="0058183C">
        <w:t xml:space="preserve"> </w:t>
      </w:r>
      <w:r w:rsidR="00A54E41">
        <w:t xml:space="preserve">welfare gains do not include productivity changes as workers acquire the skills of the sectors to which they relocate. Consequently, the welfare gains for developing countries from a stylized DDA simulation are increased because there is no loss of labor productivity when agricultural production expands. </w:t>
      </w:r>
      <w:r w:rsidR="0058183C">
        <w:t>When factors are measured in physical units the welfare gains are greater when factors move from activities with lower productivities to activities with higher productivities and vice versa. Consequently, the welfare gains for developed countries from a styliz</w:t>
      </w:r>
      <w:r w:rsidR="00D4788F">
        <w:t xml:space="preserve">ed DDA simulation are increased because production moves out of low productivity sectors such as agriculture. </w:t>
      </w:r>
    </w:p>
    <w:p w:rsidR="00D3412A" w:rsidRDefault="00D3412A" w:rsidP="003B75EC">
      <w:r>
        <w:t xml:space="preserve">The measurement of labor in production </w:t>
      </w:r>
      <w:r w:rsidR="0058183C">
        <w:t xml:space="preserve">is a common index number problem, in which case it is important to be able to define the direction of biases. </w:t>
      </w:r>
      <w:r>
        <w:t xml:space="preserve">We demonstrate the direction of bias in a theoretical model in which </w:t>
      </w:r>
      <w:r w:rsidR="0058183C">
        <w:t xml:space="preserve">each region </w:t>
      </w:r>
      <w:proofErr w:type="gramStart"/>
      <w:r w:rsidR="0058183C">
        <w:t>has</w:t>
      </w:r>
      <w:proofErr w:type="gramEnd"/>
      <w:r w:rsidR="005A284C">
        <w:t xml:space="preserve"> two</w:t>
      </w:r>
      <w:r w:rsidR="0058183C">
        <w:t xml:space="preserve"> activit</w:t>
      </w:r>
      <w:r w:rsidR="00764A76">
        <w:t>i</w:t>
      </w:r>
      <w:r w:rsidR="005A284C">
        <w:t>es</w:t>
      </w:r>
      <w:r>
        <w:t xml:space="preserve">, one with high labor productivity and one with low labor productivity. </w:t>
      </w:r>
      <w:r w:rsidR="0058183C">
        <w:t xml:space="preserve"> </w:t>
      </w:r>
      <w:r w:rsidR="00241A33">
        <w:t xml:space="preserve">The calculation is more complex in models where regions have multiple activities because we do not know the bilateral movement of labor, we only know that employment increases in some activities and decreases in others; </w:t>
      </w:r>
      <w:r w:rsidR="005A6671">
        <w:t>only general indicators</w:t>
      </w:r>
      <w:r w:rsidR="00241A33">
        <w:t xml:space="preserve"> of calibration bias</w:t>
      </w:r>
      <w:r w:rsidR="005A6671">
        <w:t xml:space="preserve"> can be defined</w:t>
      </w:r>
      <w:r w:rsidR="0058183C">
        <w:t xml:space="preserve">. </w:t>
      </w:r>
      <w:r w:rsidR="005A6671">
        <w:t>However, i</w:t>
      </w:r>
      <w:r w:rsidR="004C0C46">
        <w:t>n addition to the simulation results, w</w:t>
      </w:r>
      <w:r w:rsidR="00DF773A">
        <w:t xml:space="preserve">e demonstrate the direction of bias given information about </w:t>
      </w:r>
      <w:r w:rsidR="00DD2E17">
        <w:t>the physical amount of labor</w:t>
      </w:r>
      <w:r w:rsidR="00DF773A">
        <w:t xml:space="preserve"> use</w:t>
      </w:r>
      <w:r w:rsidR="00DD2E17">
        <w:t>d in each activity</w:t>
      </w:r>
      <w:r w:rsidR="00DF773A">
        <w:t xml:space="preserve">. It is a systematic bias – there is a relationship between value and quantity units linked via wage </w:t>
      </w:r>
      <w:r w:rsidR="00DF773A">
        <w:lastRenderedPageBreak/>
        <w:t xml:space="preserve">rates. </w:t>
      </w:r>
      <w:r w:rsidR="00241A33">
        <w:t>C</w:t>
      </w:r>
      <w:r w:rsidR="004C0C46">
        <w:t>alibration bias</w:t>
      </w:r>
      <w:r w:rsidR="007477FF">
        <w:t xml:space="preserve"> is </w:t>
      </w:r>
      <w:r w:rsidR="005A6671">
        <w:t>independent of the policy simulations.</w:t>
      </w:r>
      <w:r w:rsidR="007477FF">
        <w:t xml:space="preserve"> </w:t>
      </w:r>
      <w:r w:rsidR="00241A33">
        <w:t>It does affect the form</w:t>
      </w:r>
      <w:r w:rsidR="005A6671">
        <w:t xml:space="preserve">ulation of policy advice </w:t>
      </w:r>
      <w:r w:rsidR="00241A33">
        <w:t xml:space="preserve">based on simulations from models with </w:t>
      </w:r>
      <w:r>
        <w:t xml:space="preserve">labor </w:t>
      </w:r>
      <w:r w:rsidR="005A6671">
        <w:t>heterogeneity</w:t>
      </w:r>
      <w:r w:rsidR="00241A33">
        <w:t xml:space="preserve">, which is </w:t>
      </w:r>
      <w:r w:rsidR="005A6671">
        <w:t xml:space="preserve">the standard case with CGE models. </w:t>
      </w:r>
    </w:p>
    <w:p w:rsidR="00635128" w:rsidRDefault="00A54E41" w:rsidP="00635128">
      <w:r>
        <w:t xml:space="preserve">The specification of labor as either physical quantities or value quantities means workers either take no skills with them when they change sectors or they have the skills </w:t>
      </w:r>
      <w:r w:rsidR="00635128">
        <w:t xml:space="preserve">needed to work in any sector and they take those skills with them when they change sectors.  A more realistic description of behavior lies between these two extremes. We conclude with a description of labor markets in which workers takes some, but not all, of their skills with them when they change sectors. </w:t>
      </w:r>
      <w:r w:rsidR="00C33C65">
        <w:t xml:space="preserve">We note it is an area for further research. The focus of this paper is to describe the bounds </w:t>
      </w:r>
      <w:r w:rsidR="00635128">
        <w:t>on the calibratio</w:t>
      </w:r>
      <w:r w:rsidR="00C33C65">
        <w:t xml:space="preserve">n biases in simulation results based on the specification of labor in production. </w:t>
      </w:r>
    </w:p>
    <w:p w:rsidR="00AD7F84" w:rsidRPr="003554B9" w:rsidRDefault="00AD7F84" w:rsidP="003554B9">
      <w:pPr>
        <w:pStyle w:val="Heading4"/>
        <w:spacing w:line="240" w:lineRule="auto"/>
      </w:pPr>
      <w:r>
        <w:t>2.</w:t>
      </w:r>
      <w:r w:rsidR="003554B9">
        <w:t xml:space="preserve"> </w:t>
      </w:r>
      <w:r w:rsidRPr="00AD7F84">
        <w:rPr>
          <w:rFonts w:eastAsiaTheme="minorHAnsi"/>
          <w:b/>
        </w:rPr>
        <w:t>Factor Market Operations in GE Models</w:t>
      </w:r>
    </w:p>
    <w:p w:rsidR="003554B9" w:rsidRDefault="003554B9" w:rsidP="00AD7F84">
      <w:pPr>
        <w:rPr>
          <w:lang w:val="en-GB"/>
        </w:rPr>
      </w:pPr>
    </w:p>
    <w:p w:rsidR="00AD7F84" w:rsidRPr="00AD7F84" w:rsidRDefault="00AD7F84" w:rsidP="00AD7F84">
      <w:pPr>
        <w:rPr>
          <w:lang w:val="en-GB"/>
        </w:rPr>
      </w:pPr>
      <w:r w:rsidRPr="00AD7F84">
        <w:rPr>
          <w:lang w:val="en-GB"/>
        </w:rPr>
        <w:t xml:space="preserve">In trade theory there are basically two theories used to model factor markets.  The first, is the simple </w:t>
      </w:r>
      <w:proofErr w:type="spellStart"/>
      <w:r w:rsidRPr="00AD7F84">
        <w:rPr>
          <w:lang w:val="en-GB"/>
        </w:rPr>
        <w:t>Harberger</w:t>
      </w:r>
      <w:proofErr w:type="spellEnd"/>
      <w:r w:rsidRPr="00AD7F84">
        <w:rPr>
          <w:lang w:val="en-GB"/>
        </w:rPr>
        <w:t xml:space="preserve"> model </w:t>
      </w:r>
      <w:r w:rsidRPr="00AD7F84">
        <w:rPr>
          <w:lang w:val="en-GB"/>
        </w:rPr>
        <w:fldChar w:fldCharType="begin"/>
      </w:r>
      <w:r w:rsidRPr="00AD7F84">
        <w:rPr>
          <w:lang w:val="en-GB"/>
        </w:rPr>
        <w:instrText xml:space="preserve"> ADDIN EN.CITE &lt;EndNote&gt;&lt;Cite&gt;&lt;Author&gt;Harberger&lt;/Author&gt;&lt;Year&gt;1962&lt;/Year&gt;&lt;RecNum&gt;107&lt;/RecNum&gt;&lt;DisplayText&gt;(Harberger, 1962)&lt;/DisplayText&gt;&lt;record&gt;&lt;rec-number&gt;107&lt;/rec-number&gt;&lt;foreign-keys&gt;&lt;key app="EN" db-id="tfz9v5v04w9xeqetf025f5tv2e2xttaavpp2" timestamp="1408660748"&gt;107&lt;/key&gt;&lt;/foreign-keys&gt;&lt;ref-type name="Journal Article"&gt;17&lt;/ref-type&gt;&lt;contributors&gt;&lt;authors&gt;&lt;author&gt;Harberger, Arnold C.&lt;/author&gt;&lt;/authors&gt;&lt;/contributors&gt;&lt;titles&gt;&lt;title&gt;The Incidence of the Corporation Income Tax&lt;/title&gt;&lt;secondary-title&gt;Journal of Political Economy&lt;/secondary-title&gt;&lt;/titles&gt;&lt;periodical&gt;&lt;full-title&gt;Journal of Political Economy&lt;/full-title&gt;&lt;/periodical&gt;&lt;pages&gt;215-240&lt;/pages&gt;&lt;volume&gt;70&lt;/volume&gt;&lt;number&gt;3&lt;/number&gt;&lt;dates&gt;&lt;year&gt;1962&lt;/year&gt;&lt;/dates&gt;&lt;urls&gt;&lt;/urls&gt;&lt;/record&gt;&lt;/Cite&gt;&lt;/EndNote&gt;</w:instrText>
      </w:r>
      <w:r w:rsidRPr="00AD7F84">
        <w:rPr>
          <w:lang w:val="en-GB"/>
        </w:rPr>
        <w:fldChar w:fldCharType="separate"/>
      </w:r>
      <w:r w:rsidRPr="00AD7F84">
        <w:rPr>
          <w:lang w:val="en-GB"/>
        </w:rPr>
        <w:t>(</w:t>
      </w:r>
      <w:proofErr w:type="spellStart"/>
      <w:r w:rsidRPr="00AD7F84">
        <w:rPr>
          <w:lang w:val="en-GB"/>
        </w:rPr>
        <w:t>Harberger</w:t>
      </w:r>
      <w:proofErr w:type="spellEnd"/>
      <w:r w:rsidRPr="00AD7F84">
        <w:rPr>
          <w:lang w:val="en-GB"/>
        </w:rPr>
        <w:t>, 1962)</w:t>
      </w:r>
      <w:r w:rsidRPr="00AD7F84">
        <w:fldChar w:fldCharType="end"/>
      </w:r>
      <w:r w:rsidRPr="00AD7F84">
        <w:rPr>
          <w:lang w:val="en-GB"/>
        </w:rPr>
        <w:t xml:space="preserve"> that </w:t>
      </w:r>
      <w:r w:rsidRPr="00AD7F84">
        <w:t xml:space="preserve">assumes 2 goods (c1 and c2) are produced using the same constant returns to scale Cobb-Douglas technology and two factors of production are </w:t>
      </w:r>
      <w:proofErr w:type="spellStart"/>
      <w:r w:rsidRPr="00AD7F84">
        <w:t>labour</w:t>
      </w:r>
      <w:proofErr w:type="spellEnd"/>
      <w:r w:rsidRPr="00AD7F84">
        <w:t xml:space="preserve"> (L) and capital (K). </w:t>
      </w:r>
      <w:proofErr w:type="spellStart"/>
      <w:r w:rsidRPr="00AD7F84">
        <w:t>Labour</w:t>
      </w:r>
      <w:proofErr w:type="spellEnd"/>
      <w:r w:rsidRPr="00AD7F84">
        <w:t xml:space="preserve"> is free to move between the two sectors, so that labor is paid the same in both sectors. </w:t>
      </w:r>
      <w:r w:rsidRPr="00AD7F84">
        <w:rPr>
          <w:lang w:val="en-GB"/>
        </w:rPr>
        <w:t xml:space="preserve">The </w:t>
      </w:r>
      <w:proofErr w:type="spellStart"/>
      <w:r w:rsidRPr="00AD7F84">
        <w:rPr>
          <w:lang w:val="en-GB"/>
        </w:rPr>
        <w:t>Harberger</w:t>
      </w:r>
      <w:proofErr w:type="spellEnd"/>
      <w:r w:rsidRPr="00AD7F84">
        <w:rPr>
          <w:lang w:val="en-GB"/>
        </w:rPr>
        <w:t xml:space="preserve"> model therefore implies that labour is homogenous and that the marginal product of </w:t>
      </w:r>
      <w:proofErr w:type="spellStart"/>
      <w:r w:rsidRPr="00AD7F84">
        <w:rPr>
          <w:lang w:val="en-GB"/>
        </w:rPr>
        <w:t>labor</w:t>
      </w:r>
      <w:proofErr w:type="spellEnd"/>
      <w:r w:rsidRPr="00AD7F84">
        <w:rPr>
          <w:lang w:val="en-GB"/>
        </w:rPr>
        <w:t xml:space="preserve"> is identical across sectors.  </w:t>
      </w:r>
    </w:p>
    <w:p w:rsidR="00AD7F84" w:rsidRPr="00AD7F84" w:rsidRDefault="00AD7F84" w:rsidP="00AD7F84">
      <w:r w:rsidRPr="00AD7F84">
        <w:t xml:space="preserve">The second </w:t>
      </w:r>
      <w:proofErr w:type="gramStart"/>
      <w:r w:rsidRPr="00AD7F84">
        <w:t>theory,</w:t>
      </w:r>
      <w:proofErr w:type="gramEnd"/>
      <w:r w:rsidRPr="00AD7F84">
        <w:t xml:space="preserve"> is the factor-specific model that addresses the implication of assuming that factors are specific to an activity and are therefore immobile across activities. This theory….   </w:t>
      </w:r>
    </w:p>
    <w:p w:rsidR="00AD7F84" w:rsidRPr="00AD7F84" w:rsidRDefault="00AD7F84" w:rsidP="00AD7F84">
      <w:pPr>
        <w:rPr>
          <w:lang w:val="en-GB"/>
        </w:rPr>
      </w:pPr>
      <w:r w:rsidRPr="00AD7F84">
        <w:rPr>
          <w:lang w:val="en-GB"/>
        </w:rPr>
        <w:t xml:space="preserve">There are a number of issues with this basic specification of trade theory.  First, all workers of the same type are considered homogeneous and hence marginal productivities are assumed to be equal across all activities. </w:t>
      </w:r>
    </w:p>
    <w:p w:rsidR="00AD7F84" w:rsidRPr="00AD7F84" w:rsidRDefault="00AD7F84" w:rsidP="00AD7F84">
      <w:pPr>
        <w:rPr>
          <w:lang w:val="en-GB"/>
        </w:rPr>
      </w:pPr>
      <w:proofErr w:type="gramStart"/>
      <w:r w:rsidRPr="00AD7F84">
        <w:rPr>
          <w:lang w:val="en-GB"/>
        </w:rPr>
        <w:t>“ …</w:t>
      </w:r>
      <w:proofErr w:type="gramEnd"/>
      <w:r w:rsidRPr="00AD7F84">
        <w:rPr>
          <w:lang w:val="en-GB"/>
        </w:rPr>
        <w:t xml:space="preserve">. the production function has been a powerful instrument of </w:t>
      </w:r>
      <w:proofErr w:type="spellStart"/>
      <w:r w:rsidRPr="00AD7F84">
        <w:rPr>
          <w:lang w:val="en-GB"/>
        </w:rPr>
        <w:t>mis</w:t>
      </w:r>
      <w:proofErr w:type="spellEnd"/>
      <w:r w:rsidRPr="00AD7F84">
        <w:rPr>
          <w:lang w:val="en-GB"/>
        </w:rPr>
        <w:t xml:space="preserve">-education. The student of economic theory is taught to write </w:t>
      </w:r>
      <w:r w:rsidRPr="00AD7F84">
        <w:rPr>
          <w:i/>
          <w:iCs/>
          <w:lang w:val="en-GB"/>
        </w:rPr>
        <w:t>Q</w:t>
      </w:r>
      <w:r w:rsidRPr="00AD7F84">
        <w:rPr>
          <w:lang w:val="en-GB"/>
        </w:rPr>
        <w:t xml:space="preserve"> = </w:t>
      </w:r>
      <w:r w:rsidRPr="00AD7F84">
        <w:rPr>
          <w:i/>
          <w:iCs/>
          <w:lang w:val="en-GB"/>
        </w:rPr>
        <w:t>f</w:t>
      </w:r>
      <w:r w:rsidRPr="00AD7F84">
        <w:rPr>
          <w:lang w:val="en-GB"/>
        </w:rPr>
        <w:t xml:space="preserve"> (</w:t>
      </w:r>
      <w:r w:rsidRPr="00AD7F84">
        <w:rPr>
          <w:i/>
          <w:iCs/>
          <w:lang w:val="en-GB"/>
        </w:rPr>
        <w:t>L</w:t>
      </w:r>
      <w:proofErr w:type="gramStart"/>
      <w:r w:rsidRPr="00AD7F84">
        <w:rPr>
          <w:lang w:val="en-GB"/>
        </w:rPr>
        <w:t>,</w:t>
      </w:r>
      <w:r w:rsidRPr="00AD7F84">
        <w:rPr>
          <w:i/>
          <w:iCs/>
          <w:lang w:val="en-GB"/>
        </w:rPr>
        <w:t>C</w:t>
      </w:r>
      <w:proofErr w:type="gramEnd"/>
      <w:r w:rsidRPr="00AD7F84">
        <w:rPr>
          <w:lang w:val="en-GB"/>
        </w:rPr>
        <w:t xml:space="preserve">) where </w:t>
      </w:r>
      <w:r w:rsidRPr="00AD7F84">
        <w:rPr>
          <w:i/>
          <w:iCs/>
          <w:lang w:val="en-GB"/>
        </w:rPr>
        <w:t>L</w:t>
      </w:r>
      <w:r w:rsidRPr="00AD7F84">
        <w:rPr>
          <w:lang w:val="en-GB"/>
        </w:rPr>
        <w:t xml:space="preserve"> is a quantity of labour, </w:t>
      </w:r>
      <w:r w:rsidRPr="00AD7F84">
        <w:rPr>
          <w:i/>
          <w:iCs/>
          <w:lang w:val="en-GB"/>
        </w:rPr>
        <w:t>C</w:t>
      </w:r>
      <w:r w:rsidRPr="00AD7F84">
        <w:rPr>
          <w:lang w:val="en-GB"/>
        </w:rPr>
        <w:t xml:space="preserve"> a quantity of capital and </w:t>
      </w:r>
      <w:r w:rsidRPr="00AD7F84">
        <w:rPr>
          <w:i/>
          <w:iCs/>
          <w:lang w:val="en-GB"/>
        </w:rPr>
        <w:t>Q</w:t>
      </w:r>
      <w:r w:rsidRPr="00AD7F84">
        <w:rPr>
          <w:lang w:val="en-GB"/>
        </w:rPr>
        <w:t xml:space="preserve"> a rate of output of commodities. He is instructed to assume all workers </w:t>
      </w:r>
      <w:r w:rsidRPr="00AD7F84">
        <w:rPr>
          <w:b/>
          <w:bCs/>
          <w:lang w:val="en-GB"/>
        </w:rPr>
        <w:t>alike</w:t>
      </w:r>
      <w:r w:rsidRPr="00AD7F84">
        <w:rPr>
          <w:lang w:val="en-GB"/>
        </w:rPr>
        <w:t xml:space="preserve">, and to measure </w:t>
      </w:r>
      <w:r w:rsidRPr="00AD7F84">
        <w:rPr>
          <w:i/>
          <w:iCs/>
          <w:lang w:val="en-GB"/>
        </w:rPr>
        <w:t>L</w:t>
      </w:r>
      <w:r w:rsidRPr="00AD7F84">
        <w:rPr>
          <w:lang w:val="en-GB"/>
        </w:rPr>
        <w:t xml:space="preserve"> in man-hours of labour; he is told something about the </w:t>
      </w:r>
      <w:r w:rsidRPr="00AD7F84">
        <w:rPr>
          <w:b/>
          <w:bCs/>
          <w:lang w:val="en-GB"/>
        </w:rPr>
        <w:t>index-number</w:t>
      </w:r>
      <w:r w:rsidRPr="00AD7F84">
        <w:rPr>
          <w:lang w:val="en-GB"/>
        </w:rPr>
        <w:t xml:space="preserve"> problem involved in choosing a unit of output; and then he is hurried on to the next question, in the hope that he will forget to ask in what units </w:t>
      </w:r>
      <w:r w:rsidRPr="00AD7F84">
        <w:rPr>
          <w:i/>
          <w:iCs/>
          <w:lang w:val="en-GB"/>
        </w:rPr>
        <w:t>C</w:t>
      </w:r>
      <w:r w:rsidRPr="00AD7F84">
        <w:rPr>
          <w:lang w:val="en-GB"/>
        </w:rPr>
        <w:t xml:space="preserve"> is measured. Before ever he does ask, he has become a professor, and so sloppy habits of thought are handed on from one generation to the next.” (</w:t>
      </w:r>
      <w:r w:rsidRPr="00AD7F84">
        <w:rPr>
          <w:i/>
          <w:iCs/>
          <w:lang w:val="en-GB"/>
        </w:rPr>
        <w:t xml:space="preserve">Joan </w:t>
      </w:r>
      <w:r w:rsidRPr="00AD7F84">
        <w:rPr>
          <w:i/>
          <w:lang w:val="en-GB"/>
        </w:rPr>
        <w:t>Robinson, 1953, p 81, emphasis added</w:t>
      </w:r>
      <w:r w:rsidRPr="00AD7F84">
        <w:rPr>
          <w:lang w:val="en-GB"/>
        </w:rPr>
        <w:t>)</w:t>
      </w:r>
    </w:p>
    <w:p w:rsidR="00AD7F84" w:rsidRPr="00AD7F84" w:rsidRDefault="00AD7F84" w:rsidP="00AD7F84">
      <w:r w:rsidRPr="00AD7F84">
        <w:t xml:space="preserve">Moreover the </w:t>
      </w:r>
      <w:proofErr w:type="spellStart"/>
      <w:r w:rsidRPr="00AD7F84">
        <w:rPr>
          <w:lang w:val="en-GB"/>
        </w:rPr>
        <w:t>labor</w:t>
      </w:r>
      <w:proofErr w:type="spellEnd"/>
      <w:r w:rsidRPr="00AD7F84">
        <w:rPr>
          <w:lang w:val="en-GB"/>
        </w:rPr>
        <w:t xml:space="preserve"> quantities are measured in ‘efficiency’ units due to the implementation of the </w:t>
      </w:r>
      <w:proofErr w:type="spellStart"/>
      <w:r w:rsidRPr="00AD7F84">
        <w:t>Harberger</w:t>
      </w:r>
      <w:proofErr w:type="spellEnd"/>
      <w:r w:rsidRPr="00AD7F84">
        <w:t xml:space="preserve"> convention.  This is the convention of normalizing the wage of a factor in each of the sectors to 1 and defining the quantities as the value of demand for labor by the sector (VL</w:t>
      </w:r>
      <w:r w:rsidRPr="00AD7F84">
        <w:rPr>
          <w:vertAlign w:val="subscript"/>
        </w:rPr>
        <w:t>L</w:t>
      </w:r>
      <w:proofErr w:type="gramStart"/>
      <w:r w:rsidRPr="00AD7F84">
        <w:rPr>
          <w:vertAlign w:val="subscript"/>
        </w:rPr>
        <w:t>,c1</w:t>
      </w:r>
      <w:proofErr w:type="gramEnd"/>
      <w:r w:rsidRPr="00AD7F84">
        <w:t xml:space="preserve">).  </w:t>
      </w:r>
    </w:p>
    <w:p w:rsidR="00AD7F84" w:rsidRPr="00AD7F84" w:rsidRDefault="00AD7F84" w:rsidP="00AD7F84">
      <w:r w:rsidRPr="00AD7F84">
        <w:object w:dxaOrig="207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4pt;height:19.2pt" o:ole="">
            <v:imagedata r:id="rId7" o:title=""/>
          </v:shape>
          <o:OLEObject Type="Embed" ProgID="Equation.DSMT4" ShapeID="_x0000_i1025" DrawAspect="Content" ObjectID="_1522177924" r:id="rId8"/>
        </w:object>
      </w:r>
    </w:p>
    <w:p w:rsidR="00AD7F84" w:rsidRPr="00AD7F84" w:rsidRDefault="00AD7F84" w:rsidP="00AD7F84">
      <w:r w:rsidRPr="00AD7F84">
        <w:t xml:space="preserve">Hence: </w:t>
      </w:r>
      <w:r w:rsidRPr="00AD7F84">
        <w:object w:dxaOrig="980" w:dyaOrig="360">
          <v:shape id="_x0000_i1026" type="#_x0000_t75" style="width:48.6pt;height:18.6pt" o:ole="">
            <v:imagedata r:id="rId9" o:title=""/>
          </v:shape>
          <o:OLEObject Type="Embed" ProgID="Equation.DSMT4" ShapeID="_x0000_i1026" DrawAspect="Content" ObjectID="_1522177925" r:id="rId10"/>
        </w:object>
      </w:r>
    </w:p>
    <w:p w:rsidR="00AD7F84" w:rsidRPr="00AD7F84" w:rsidRDefault="00AD7F84" w:rsidP="00AD7F84">
      <w:pPr>
        <w:rPr>
          <w:lang w:val="en-GB"/>
        </w:rPr>
      </w:pPr>
      <w:r w:rsidRPr="00AD7F84">
        <w:rPr>
          <w:lang w:val="en-GB"/>
        </w:rPr>
        <w:t xml:space="preserve">Hence </w:t>
      </w:r>
      <w:proofErr w:type="spellStart"/>
      <w:r w:rsidRPr="00AD7F84">
        <w:rPr>
          <w:lang w:val="en-GB"/>
        </w:rPr>
        <w:t>labor</w:t>
      </w:r>
      <w:proofErr w:type="spellEnd"/>
      <w:r w:rsidRPr="00AD7F84">
        <w:rPr>
          <w:lang w:val="en-GB"/>
        </w:rPr>
        <w:t xml:space="preserve"> quantities are not measured in natural units – such as man-hours – but in efficiency units and the marginal productivity of </w:t>
      </w:r>
      <w:proofErr w:type="spellStart"/>
      <w:r w:rsidRPr="00AD7F84">
        <w:rPr>
          <w:lang w:val="en-GB"/>
        </w:rPr>
        <w:t>labor</w:t>
      </w:r>
      <w:proofErr w:type="spellEnd"/>
      <w:r w:rsidRPr="00AD7F84">
        <w:rPr>
          <w:lang w:val="en-GB"/>
        </w:rPr>
        <w:t xml:space="preserve"> is therefore completely independent of the quantities of capital and other factors.  </w:t>
      </w:r>
    </w:p>
    <w:p w:rsidR="00AD7F84" w:rsidRPr="00AD7F84" w:rsidRDefault="00AD7F84" w:rsidP="00AD7F84">
      <w:pPr>
        <w:rPr>
          <w:lang w:val="en-GB"/>
        </w:rPr>
      </w:pPr>
      <w:r w:rsidRPr="00AD7F84">
        <w:rPr>
          <w:lang w:val="en-GB"/>
        </w:rPr>
        <w:t xml:space="preserve">There is little evidence to suggest that, wages of a particular type of </w:t>
      </w:r>
      <w:proofErr w:type="spellStart"/>
      <w:r w:rsidRPr="00AD7F84">
        <w:rPr>
          <w:lang w:val="en-GB"/>
        </w:rPr>
        <w:t>labor</w:t>
      </w:r>
      <w:proofErr w:type="spellEnd"/>
      <w:r w:rsidRPr="00AD7F84">
        <w:rPr>
          <w:lang w:val="en-GB"/>
        </w:rPr>
        <w:t xml:space="preserve"> are equal across sectors or activities.  Data obtained from </w:t>
      </w:r>
      <w:r w:rsidRPr="00AD7F84">
        <w:rPr>
          <w:lang w:val="en-GB"/>
        </w:rPr>
        <w:fldChar w:fldCharType="begin"/>
      </w:r>
      <w:r w:rsidRPr="00AD7F84">
        <w:rPr>
          <w:lang w:val="en-GB"/>
        </w:rPr>
        <w:instrText xml:space="preserve"> ADDIN EN.CITE &lt;EndNote&gt;&lt;Cite AuthorYear="1"&gt;&lt;Author&gt;Weingarden&lt;/Author&gt;&lt;Year&gt;2010&lt;/Year&gt;&lt;RecNum&gt;75&lt;/RecNum&gt;&lt;DisplayText&gt;Weingarden and Tsigas (2010)&lt;/DisplayText&gt;&lt;record&gt;&lt;rec-number&gt;75&lt;/rec-number&gt;&lt;foreign-keys&gt;&lt;key app="EN" db-id="tfz9v5v04w9xeqetf025f5tv2e2xttaavpp2" timestamp="1408548112"&gt;75&lt;/key&gt;&lt;/foreign-keys&gt;&lt;ref-type name="Manuscript"&gt;36&lt;/ref-type&gt;&lt;contributors&gt;&lt;authors&gt;&lt;author&gt;Weingarden, Alison &lt;/author&gt;&lt;author&gt;Marinos Tsigas&lt;/author&gt;&lt;/authors&gt;&lt;secondary-authors&gt;&lt;author&gt;U.S. International Trade Commission&lt;/author&gt;&lt;/secondary-authors&gt;&lt;/contributors&gt;&lt;titles&gt;&lt;title&gt;Labor Statstics for the GTAP Database&lt;/title&gt;&lt;/titles&gt;&lt;dates&gt;&lt;year&gt;2010&lt;/year&gt;&lt;/dates&gt;&lt;pub-location&gt;Washington, DC&lt;/pub-location&gt;&lt;urls&gt;&lt;/urls&gt;&lt;/record&gt;&lt;/Cite&gt;&lt;/EndNote&gt;</w:instrText>
      </w:r>
      <w:r w:rsidRPr="00AD7F84">
        <w:rPr>
          <w:lang w:val="en-GB"/>
        </w:rPr>
        <w:fldChar w:fldCharType="separate"/>
      </w:r>
      <w:proofErr w:type="spellStart"/>
      <w:r w:rsidRPr="00AD7F84">
        <w:rPr>
          <w:lang w:val="en-GB"/>
        </w:rPr>
        <w:t>Weingarden</w:t>
      </w:r>
      <w:proofErr w:type="spellEnd"/>
      <w:r w:rsidRPr="00AD7F84">
        <w:rPr>
          <w:lang w:val="en-GB"/>
        </w:rPr>
        <w:t xml:space="preserve"> and </w:t>
      </w:r>
      <w:proofErr w:type="spellStart"/>
      <w:r w:rsidRPr="00AD7F84">
        <w:rPr>
          <w:lang w:val="en-GB"/>
        </w:rPr>
        <w:t>Tsigas</w:t>
      </w:r>
      <w:proofErr w:type="spellEnd"/>
      <w:r w:rsidRPr="00AD7F84">
        <w:rPr>
          <w:lang w:val="en-GB"/>
        </w:rPr>
        <w:t xml:space="preserve"> (2010)</w:t>
      </w:r>
      <w:r w:rsidRPr="00AD7F84">
        <w:fldChar w:fldCharType="end"/>
      </w:r>
      <w:r w:rsidRPr="00AD7F84">
        <w:rPr>
          <w:lang w:val="en-GB"/>
        </w:rPr>
        <w:t xml:space="preserve"> on wages for 5 different </w:t>
      </w:r>
      <w:proofErr w:type="spellStart"/>
      <w:r w:rsidRPr="00AD7F84">
        <w:rPr>
          <w:lang w:val="en-GB"/>
        </w:rPr>
        <w:t>labor</w:t>
      </w:r>
      <w:proofErr w:type="spellEnd"/>
      <w:r w:rsidRPr="00AD7F84">
        <w:rPr>
          <w:lang w:val="en-GB"/>
        </w:rPr>
        <w:t xml:space="preserve"> types across up to 21 aggregated sectors and 48 countries shows consistent and significant differences in wages across sectors in all countries. Figure 1a and 1b show hourly wages in Brazil and Malawi imputed by </w:t>
      </w:r>
      <w:r w:rsidRPr="00AD7F84">
        <w:rPr>
          <w:lang w:val="en-GB"/>
        </w:rPr>
        <w:fldChar w:fldCharType="begin"/>
      </w:r>
      <w:r w:rsidRPr="00AD7F84">
        <w:rPr>
          <w:lang w:val="en-GB"/>
        </w:rPr>
        <w:instrText xml:space="preserve"> ADDIN EN.CITE &lt;EndNote&gt;&lt;Cite AuthorYear="1"&gt;&lt;Author&gt;Weingarden&lt;/Author&gt;&lt;Year&gt;2010&lt;/Year&gt;&lt;RecNum&gt;75&lt;/RecNum&gt;&lt;DisplayText&gt;Weingarden and Tsigas (2010)&lt;/DisplayText&gt;&lt;record&gt;&lt;rec-number&gt;75&lt;/rec-number&gt;&lt;foreign-keys&gt;&lt;key app="EN" db-id="tfz9v5v04w9xeqetf025f5tv2e2xttaavpp2" timestamp="1408548112"&gt;75&lt;/key&gt;&lt;/foreign-keys&gt;&lt;ref-type name="Manuscript"&gt;36&lt;/ref-type&gt;&lt;contributors&gt;&lt;authors&gt;&lt;author&gt;Weingarden, Alison &lt;/author&gt;&lt;author&gt;Marinos Tsigas&lt;/author&gt;&lt;/authors&gt;&lt;secondary-authors&gt;&lt;author&gt;U.S. International Trade Commission&lt;/author&gt;&lt;/secondary-authors&gt;&lt;/contributors&gt;&lt;titles&gt;&lt;title&gt;Labor Statstics for the GTAP Database&lt;/title&gt;&lt;/titles&gt;&lt;dates&gt;&lt;year&gt;2010&lt;/year&gt;&lt;/dates&gt;&lt;pub-location&gt;Washington, DC&lt;/pub-location&gt;&lt;urls&gt;&lt;/urls&gt;&lt;/record&gt;&lt;/Cite&gt;&lt;/EndNote&gt;</w:instrText>
      </w:r>
      <w:r w:rsidRPr="00AD7F84">
        <w:rPr>
          <w:lang w:val="en-GB"/>
        </w:rPr>
        <w:fldChar w:fldCharType="separate"/>
      </w:r>
      <w:proofErr w:type="spellStart"/>
      <w:r w:rsidRPr="00AD7F84">
        <w:rPr>
          <w:lang w:val="en-GB"/>
        </w:rPr>
        <w:t>Weingarden</w:t>
      </w:r>
      <w:proofErr w:type="spellEnd"/>
      <w:r w:rsidRPr="00AD7F84">
        <w:rPr>
          <w:lang w:val="en-GB"/>
        </w:rPr>
        <w:t xml:space="preserve"> and </w:t>
      </w:r>
      <w:proofErr w:type="spellStart"/>
      <w:r w:rsidRPr="00AD7F84">
        <w:rPr>
          <w:lang w:val="en-GB"/>
        </w:rPr>
        <w:t>Tsigas</w:t>
      </w:r>
      <w:proofErr w:type="spellEnd"/>
      <w:r w:rsidRPr="00AD7F84">
        <w:rPr>
          <w:lang w:val="en-GB"/>
        </w:rPr>
        <w:t xml:space="preserve"> (2010)</w:t>
      </w:r>
      <w:r w:rsidRPr="00AD7F84">
        <w:fldChar w:fldCharType="end"/>
      </w:r>
      <w:r w:rsidRPr="00AD7F84">
        <w:rPr>
          <w:lang w:val="en-GB"/>
        </w:rPr>
        <w:t xml:space="preserve"> from the ILO data.  The wages show some considerable differences across sectors for the same </w:t>
      </w:r>
      <w:proofErr w:type="spellStart"/>
      <w:r w:rsidRPr="00AD7F84">
        <w:rPr>
          <w:lang w:val="en-GB"/>
        </w:rPr>
        <w:t>labor</w:t>
      </w:r>
      <w:proofErr w:type="spellEnd"/>
      <w:r w:rsidRPr="00AD7F84">
        <w:rPr>
          <w:lang w:val="en-GB"/>
        </w:rPr>
        <w:t xml:space="preserve"> type. Although </w:t>
      </w:r>
      <w:proofErr w:type="spellStart"/>
      <w:r w:rsidRPr="00AD7F84">
        <w:rPr>
          <w:lang w:val="en-GB"/>
        </w:rPr>
        <w:t>labor</w:t>
      </w:r>
      <w:proofErr w:type="spellEnd"/>
      <w:r w:rsidRPr="00AD7F84">
        <w:rPr>
          <w:lang w:val="en-GB"/>
        </w:rPr>
        <w:t xml:space="preserve"> is not perfectly mobile across sectors there is also very little evidence to support the proposition that </w:t>
      </w:r>
      <w:proofErr w:type="spellStart"/>
      <w:r w:rsidRPr="00AD7F84">
        <w:rPr>
          <w:lang w:val="en-GB"/>
        </w:rPr>
        <w:t>labor</w:t>
      </w:r>
      <w:proofErr w:type="spellEnd"/>
      <w:r w:rsidRPr="00AD7F84">
        <w:rPr>
          <w:lang w:val="en-GB"/>
        </w:rPr>
        <w:t xml:space="preserve"> is perfectly immobile between sectors either (REFERENCE ON MOVEMENT OF LABOUR – x% of US population move jobs). </w:t>
      </w:r>
    </w:p>
    <w:p w:rsidR="00AD7F84" w:rsidRPr="00AD7F84" w:rsidRDefault="00AD7F84" w:rsidP="00AD7F84">
      <w:pPr>
        <w:rPr>
          <w:lang w:val="en-GB"/>
        </w:rPr>
      </w:pPr>
      <w:r w:rsidRPr="00AD7F84">
        <w:rPr>
          <w:lang w:val="en-GB"/>
        </w:rPr>
        <w:t xml:space="preserve">Figure 1a: Differences in wages of the 5 </w:t>
      </w:r>
      <w:proofErr w:type="spellStart"/>
      <w:r w:rsidRPr="00AD7F84">
        <w:rPr>
          <w:lang w:val="en-GB"/>
        </w:rPr>
        <w:t>labor</w:t>
      </w:r>
      <w:proofErr w:type="spellEnd"/>
      <w:r w:rsidRPr="00AD7F84">
        <w:rPr>
          <w:lang w:val="en-GB"/>
        </w:rPr>
        <w:t xml:space="preserve"> types across sectors in Brazil </w:t>
      </w:r>
    </w:p>
    <w:p w:rsidR="00AD7F84" w:rsidRPr="00AD7F84" w:rsidRDefault="00AD7F84" w:rsidP="00AD7F84">
      <w:pPr>
        <w:rPr>
          <w:lang w:val="en-GB"/>
        </w:rPr>
      </w:pPr>
      <w:r w:rsidRPr="00AD7F84">
        <w:drawing>
          <wp:inline distT="0" distB="0" distL="0" distR="0">
            <wp:extent cx="5943600" cy="2827020"/>
            <wp:effectExtent l="0" t="0" r="0" b="11430"/>
            <wp:docPr id="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D7F84" w:rsidRPr="00AD7F84" w:rsidRDefault="00AD7F84" w:rsidP="00AD7F84">
      <w:pPr>
        <w:rPr>
          <w:lang w:val="en-GB"/>
        </w:rPr>
      </w:pPr>
      <w:r w:rsidRPr="00AD7F84">
        <w:rPr>
          <w:lang w:val="en-GB"/>
        </w:rPr>
        <w:t xml:space="preserve">Figure 1b: Differences in wages of the 5 </w:t>
      </w:r>
      <w:proofErr w:type="spellStart"/>
      <w:r w:rsidRPr="00AD7F84">
        <w:rPr>
          <w:lang w:val="en-GB"/>
        </w:rPr>
        <w:t>labor</w:t>
      </w:r>
      <w:proofErr w:type="spellEnd"/>
      <w:r w:rsidRPr="00AD7F84">
        <w:rPr>
          <w:lang w:val="en-GB"/>
        </w:rPr>
        <w:t xml:space="preserve"> types across sectors in Malawi</w:t>
      </w:r>
    </w:p>
    <w:p w:rsidR="00AD7F84" w:rsidRPr="00AD7F84" w:rsidRDefault="00AD7F84" w:rsidP="00AD7F84">
      <w:r w:rsidRPr="00AD7F84">
        <w:lastRenderedPageBreak/>
        <w:drawing>
          <wp:inline distT="0" distB="0" distL="0" distR="0">
            <wp:extent cx="5943600" cy="2933700"/>
            <wp:effectExtent l="0" t="0" r="0" b="0"/>
            <wp:docPr id="3"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D7F84" w:rsidRPr="00AD7F84" w:rsidRDefault="00AD7F84" w:rsidP="00AD7F84"/>
    <w:p w:rsidR="00AD7F84" w:rsidRPr="00AD7F84" w:rsidRDefault="00AD7F84" w:rsidP="00AD7F84">
      <w:r w:rsidRPr="00AD7F84">
        <w:t xml:space="preserve">Despite this many applied models with multiple factors (f) and multiple sectors or activities (a), treat labor as fully employed and fully mobile.  There is some recognition that wages may differ across activities because of an activity-specific productivity </w:t>
      </w:r>
      <w:r w:rsidRPr="00AD7F84">
        <w:fldChar w:fldCharType="begin"/>
      </w:r>
      <w:r w:rsidRPr="00AD7F84">
        <w:instrText xml:space="preserve"> ADDIN EN.CITE &lt;EndNote&gt;&lt;Cite&gt;&lt;Author&gt;Dervis&lt;/Author&gt;&lt;Year&gt;1982&lt;/Year&gt;&lt;RecNum&gt;128&lt;/RecNum&gt;&lt;DisplayText&gt;(Dervis, De Melo and Robinson, 1982)&lt;/DisplayText&gt;&lt;record&gt;&lt;rec-number&gt;128&lt;/rec-number&gt;&lt;foreign-keys&gt;&lt;key app="EN" db-id="tfz9v5v04w9xeqetf025f5tv2e2xttaavpp2" timestamp="1408727423"&gt;128&lt;/key&gt;&lt;/foreign-keys&gt;&lt;ref-type name="Book"&gt;6&lt;/ref-type&gt;&lt;contributors&gt;&lt;authors&gt;&lt;author&gt;Dervis, Kemal&lt;/author&gt;&lt;author&gt;De Melo, Jamie&lt;/author&gt;&lt;author&gt;Robinson, Sherman&lt;/author&gt;&lt;/authors&gt;&lt;/contributors&gt;&lt;titles&gt;&lt;title&gt;General Equilibrium Models for Development&lt;/title&gt;&lt;/titles&gt;&lt;dates&gt;&lt;year&gt;1982&lt;/year&gt;&lt;/dates&gt;&lt;pub-location&gt;Washington D.C.&lt;/pub-location&gt;&lt;publisher&gt;World Bank&lt;/publisher&gt;&lt;urls&gt;&lt;/urls&gt;&lt;/record&gt;&lt;/Cite&gt;&lt;/EndNote&gt;</w:instrText>
      </w:r>
      <w:r w:rsidRPr="00AD7F84">
        <w:fldChar w:fldCharType="separate"/>
      </w:r>
      <w:r w:rsidRPr="00AD7F84">
        <w:t>(</w:t>
      </w:r>
      <w:proofErr w:type="spellStart"/>
      <w:r w:rsidRPr="00AD7F84">
        <w:t>Dervis</w:t>
      </w:r>
      <w:proofErr w:type="spellEnd"/>
      <w:r w:rsidRPr="00AD7F84">
        <w:t xml:space="preserve">, De </w:t>
      </w:r>
      <w:proofErr w:type="spellStart"/>
      <w:r w:rsidRPr="00AD7F84">
        <w:t>Melo</w:t>
      </w:r>
      <w:proofErr w:type="spellEnd"/>
      <w:r w:rsidRPr="00AD7F84">
        <w:t xml:space="preserve"> and Robinson, 1982)</w:t>
      </w:r>
      <w:r w:rsidRPr="00AD7F84">
        <w:fldChar w:fldCharType="end"/>
      </w:r>
      <w:r w:rsidRPr="00AD7F84">
        <w:t xml:space="preserve">.  In these models, all differences in wages are assumed to be </w:t>
      </w:r>
      <w:r w:rsidRPr="00AD7F84">
        <w:rPr>
          <w:b/>
          <w:bCs/>
          <w:lang w:val="en-GB"/>
        </w:rPr>
        <w:t>solely</w:t>
      </w:r>
      <w:r w:rsidRPr="00AD7F84">
        <w:rPr>
          <w:lang w:val="en-GB"/>
        </w:rPr>
        <w:t xml:space="preserve"> attributable to the activity that employs the factor.</w:t>
      </w:r>
      <w:r w:rsidRPr="00AD7F84">
        <w:t xml:space="preserve"> Hence wages (</w:t>
      </w:r>
      <w:proofErr w:type="spellStart"/>
      <w:r w:rsidRPr="00AD7F84">
        <w:t>W</w:t>
      </w:r>
      <w:r w:rsidRPr="00AD7F84">
        <w:rPr>
          <w:vertAlign w:val="subscript"/>
        </w:rPr>
        <w:t>f</w:t>
      </w:r>
      <w:proofErr w:type="gramStart"/>
      <w:r w:rsidRPr="00AD7F84">
        <w:rPr>
          <w:vertAlign w:val="subscript"/>
        </w:rPr>
        <w:t>,a</w:t>
      </w:r>
      <w:proofErr w:type="spellEnd"/>
      <w:proofErr w:type="gramEnd"/>
      <w:r w:rsidRPr="00AD7F84">
        <w:t>) are assumed to be a combination of an activity-generic wage (</w:t>
      </w:r>
      <w:proofErr w:type="spellStart"/>
      <w:r w:rsidRPr="00AD7F84">
        <w:t>W</w:t>
      </w:r>
      <w:r w:rsidRPr="00AD7F84">
        <w:rPr>
          <w:vertAlign w:val="subscript"/>
        </w:rPr>
        <w:t>f</w:t>
      </w:r>
      <w:proofErr w:type="spellEnd"/>
      <w:r w:rsidRPr="00AD7F84">
        <w:t>) and the fixed activity-specific productivity (</w:t>
      </w:r>
      <w:proofErr w:type="spellStart"/>
      <w:r w:rsidRPr="00AD7F84">
        <w:t>A</w:t>
      </w:r>
      <w:r w:rsidRPr="00AD7F84">
        <w:rPr>
          <w:vertAlign w:val="subscript"/>
        </w:rPr>
        <w:t>f,a</w:t>
      </w:r>
      <w:proofErr w:type="spellEnd"/>
      <w:r w:rsidRPr="00AD7F84">
        <w:t>):</w:t>
      </w:r>
    </w:p>
    <w:p w:rsidR="00AD7F84" w:rsidRPr="00AD7F84" w:rsidRDefault="00AD7F84" w:rsidP="00AD7F84">
      <w:r w:rsidRPr="00AD7F84">
        <w:object w:dxaOrig="1520" w:dyaOrig="380">
          <v:shape id="_x0000_i1027" type="#_x0000_t75" style="width:75.6pt;height:19.2pt" o:ole="">
            <v:imagedata r:id="rId13" o:title=""/>
          </v:shape>
          <o:OLEObject Type="Embed" ProgID="Equation.DSMT4" ShapeID="_x0000_i1027" DrawAspect="Content" ObjectID="_1522177926" r:id="rId14"/>
        </w:object>
      </w:r>
    </w:p>
    <w:p w:rsidR="00AD7F84" w:rsidRPr="00AD7F84" w:rsidRDefault="00AD7F84" w:rsidP="00AD7F84">
      <w:r w:rsidRPr="00AD7F84">
        <w:t>Factors are assumed to be mobile across activities such that the activity-generic wage remains equal across activities and the activity-specific productivity is fixed.</w:t>
      </w:r>
      <w:r w:rsidRPr="00AD7F84">
        <w:rPr>
          <w:vertAlign w:val="superscript"/>
        </w:rPr>
        <w:footnoteReference w:id="1"/>
      </w:r>
      <w:r w:rsidRPr="00AD7F84">
        <w:t xml:space="preserve"> If measured using real data, the movement of labor is in natural units (i.e., person-hours) and once the labor moves to a new activity it takes on the productivity of that new activity. As shown above in Figures 1a and 1b, these productivity gains from moving to another activity can be significant. </w:t>
      </w:r>
    </w:p>
    <w:p w:rsidR="00AD7F84" w:rsidRPr="00AD7F84" w:rsidRDefault="00AD7F84" w:rsidP="00AD7F84">
      <w:r w:rsidRPr="00AD7F84">
        <w:t xml:space="preserve">Unfortunately, is very rare that a consistent source of data on the quantities of factor demand is obtained and hence these models continue to rely on the </w:t>
      </w:r>
      <w:proofErr w:type="spellStart"/>
      <w:r w:rsidRPr="00AD7F84">
        <w:t>Harberger</w:t>
      </w:r>
      <w:proofErr w:type="spellEnd"/>
      <w:r w:rsidRPr="00AD7F84">
        <w:t xml:space="preserve"> convention of setting wages to one.  Hence: </w:t>
      </w:r>
    </w:p>
    <w:p w:rsidR="00AD7F84" w:rsidRPr="00AD7F84" w:rsidRDefault="00AD7F84" w:rsidP="00AD7F84">
      <w:r w:rsidRPr="00AD7F84">
        <w:object w:dxaOrig="3420" w:dyaOrig="380">
          <v:shape id="_x0000_i1028" type="#_x0000_t75" style="width:171pt;height:19.2pt" o:ole="">
            <v:imagedata r:id="rId15" o:title=""/>
          </v:shape>
          <o:OLEObject Type="Embed" ProgID="Equation.DSMT4" ShapeID="_x0000_i1028" DrawAspect="Content" ObjectID="_1522177927" r:id="rId16"/>
        </w:object>
      </w:r>
    </w:p>
    <w:p w:rsidR="00AD7F84" w:rsidRPr="00AD7F84" w:rsidRDefault="00AD7F84" w:rsidP="00AD7F84">
      <w:r w:rsidRPr="00AD7F84">
        <w:t xml:space="preserve">This means that both the activity-generic wage and the activity-specific productivity are also equal to one, and the quantities are in efficiency units, rather than natural units. Any potential productivity gains resulting from the movement of factors to more productive sectors are therefore not captured in our calculations of welfare. PROVIDE project and </w:t>
      </w:r>
      <w:proofErr w:type="spellStart"/>
      <w:r w:rsidRPr="00AD7F84">
        <w:t>Delfin</w:t>
      </w:r>
      <w:proofErr w:type="spellEnd"/>
      <w:r w:rsidRPr="00AD7F84">
        <w:t xml:space="preserve">, Robinson, </w:t>
      </w:r>
      <w:proofErr w:type="spellStart"/>
      <w:r w:rsidRPr="00AD7F84">
        <w:t>Theirfelder</w:t>
      </w:r>
      <w:proofErr w:type="spellEnd"/>
      <w:r w:rsidRPr="00AD7F84">
        <w:t xml:space="preserve"> and Kearney find that these productivity gains (manna from Heaven) can be considerable.  </w:t>
      </w:r>
    </w:p>
    <w:p w:rsidR="00AD7F84" w:rsidRPr="00AD7F84" w:rsidRDefault="00AD7F84" w:rsidP="00AD7F84">
      <w:pPr>
        <w:rPr>
          <w:lang w:val="en-GB"/>
        </w:rPr>
      </w:pPr>
      <w:r w:rsidRPr="00AD7F84">
        <w:rPr>
          <w:lang w:val="en-GB"/>
        </w:rPr>
        <w:t xml:space="preserve">It might also be argued that these considerably differences in wages across sectors could be removed by further disaggregating </w:t>
      </w:r>
      <w:proofErr w:type="spellStart"/>
      <w:r w:rsidRPr="00AD7F84">
        <w:rPr>
          <w:lang w:val="en-GB"/>
        </w:rPr>
        <w:t>labor</w:t>
      </w:r>
      <w:proofErr w:type="spellEnd"/>
      <w:r w:rsidRPr="00AD7F84">
        <w:rPr>
          <w:lang w:val="en-GB"/>
        </w:rPr>
        <w:t xml:space="preserve">.  Unfortunately, the lack of quality data on wages and employment make this solution difficult to implement on the scale required to eliminate all productivity differences across activities. The recent disaggregation of the 2 unskilled and skilled </w:t>
      </w:r>
      <w:proofErr w:type="spellStart"/>
      <w:r w:rsidRPr="00AD7F84">
        <w:rPr>
          <w:lang w:val="en-GB"/>
        </w:rPr>
        <w:t>labor</w:t>
      </w:r>
      <w:proofErr w:type="spellEnd"/>
      <w:r w:rsidRPr="00AD7F84">
        <w:rPr>
          <w:lang w:val="en-GB"/>
        </w:rPr>
        <w:t xml:space="preserve"> categories in GTAP to five, for instance, did not remove the activity-specific productivity, as Figures 1a and 1b attest.  </w:t>
      </w:r>
      <w:r w:rsidRPr="00AD7F84">
        <w:rPr>
          <w:lang w:val="en-GB"/>
        </w:rPr>
        <w:fldChar w:fldCharType="begin"/>
      </w:r>
      <w:r w:rsidRPr="00AD7F84">
        <w:rPr>
          <w:lang w:val="en-GB"/>
        </w:rPr>
        <w:instrText xml:space="preserve"> ADDIN EN.CITE &lt;EndNote&gt;&lt;Cite AuthorYear="1"&gt;&lt;Author&gt;Mirza&lt;/Author&gt;&lt;Year&gt;2010&lt;/Year&gt;&lt;RecNum&gt;126&lt;/RecNum&gt;&lt;DisplayText&gt;Mirza, Narayanan and van Leewuen (2010)&lt;/DisplayText&gt;&lt;record&gt;&lt;rec-number&gt;126&lt;/rec-number&gt;&lt;foreign-keys&gt;&lt;key app="EN" db-id="tfz9v5v04w9xeqetf025f5tv2e2xttaavpp2" timestamp="1408720314"&gt;126&lt;/key&gt;&lt;/foreign-keys&gt;&lt;ref-type name="Conference Paper"&gt;47&lt;/ref-type&gt;&lt;contributors&gt;&lt;authors&gt;&lt;author&gt;Mirza, Tasneem&lt;/author&gt;&lt;author&gt;Narayanan, Badri&lt;/author&gt;&lt;author&gt;van Leewuen, Nico&lt;/author&gt;&lt;/authors&gt;&lt;/contributors&gt;&lt;titles&gt;&lt;title&gt;Trade with China and the Impact on Relative Wages in Industrial Economies&lt;/title&gt;&lt;secondary-title&gt;13th Annual Conference on Global Economic Analysis&lt;/secondary-title&gt;&lt;/titles&gt;&lt;dates&gt;&lt;year&gt;2010&lt;/year&gt;&lt;/dates&gt;&lt;pub-location&gt;Penang, Malaysia&lt;/pub-location&gt;&lt;urls&gt;&lt;/urls&gt;&lt;/record&gt;&lt;/Cite&gt;&lt;/EndNote&gt;</w:instrText>
      </w:r>
      <w:r w:rsidRPr="00AD7F84">
        <w:rPr>
          <w:lang w:val="en-GB"/>
        </w:rPr>
        <w:fldChar w:fldCharType="separate"/>
      </w:r>
      <w:proofErr w:type="spellStart"/>
      <w:r w:rsidRPr="00AD7F84">
        <w:rPr>
          <w:lang w:val="en-GB"/>
        </w:rPr>
        <w:t>Mirza</w:t>
      </w:r>
      <w:proofErr w:type="spellEnd"/>
      <w:r w:rsidRPr="00AD7F84">
        <w:rPr>
          <w:lang w:val="en-GB"/>
        </w:rPr>
        <w:t xml:space="preserve">, Narayanan and van </w:t>
      </w:r>
      <w:proofErr w:type="spellStart"/>
      <w:r w:rsidRPr="00AD7F84">
        <w:rPr>
          <w:lang w:val="en-GB"/>
        </w:rPr>
        <w:t>Leewuen</w:t>
      </w:r>
      <w:proofErr w:type="spellEnd"/>
      <w:r w:rsidRPr="00AD7F84">
        <w:rPr>
          <w:lang w:val="en-GB"/>
        </w:rPr>
        <w:t xml:space="preserve"> (2010)</w:t>
      </w:r>
      <w:r w:rsidRPr="00AD7F84">
        <w:fldChar w:fldCharType="end"/>
      </w:r>
      <w:r w:rsidRPr="00AD7F84">
        <w:rPr>
          <w:lang w:val="en-GB"/>
        </w:rPr>
        <w:t xml:space="preserve"> and </w:t>
      </w:r>
      <w:r w:rsidRPr="00AD7F84">
        <w:rPr>
          <w:lang w:val="en-GB"/>
        </w:rPr>
        <w:fldChar w:fldCharType="begin"/>
      </w:r>
      <w:r w:rsidRPr="00AD7F84">
        <w:rPr>
          <w:lang w:val="en-GB"/>
        </w:rPr>
        <w:instrText xml:space="preserve"> ADDIN EN.CITE &lt;EndNote&gt;&lt;Cite AuthorYear="1"&gt;&lt;Author&gt;Walmsley&lt;/Author&gt;&lt;Year&gt;forthcoming&lt;/Year&gt;&lt;RecNum&gt;68&lt;/RecNum&gt;&lt;DisplayText&gt;Walmsley and Carrico (forthcoming)&lt;/DisplayText&gt;&lt;record&gt;&lt;rec-number&gt;68&lt;/rec-number&gt;&lt;foreign-keys&gt;&lt;key app="EN" db-id="tfz9v5v04w9xeqetf025f5tv2e2xttaavpp2" timestamp="1408548112"&gt;68&lt;/key&gt;&lt;/foreign-keys&gt;&lt;ref-type name="Manuscript"&gt;36&lt;/ref-type&gt;&lt;contributors&gt;&lt;authors&gt;&lt;author&gt;Walmsley, Terrie L.&lt;/author&gt;&lt;author&gt;Caitlyn Carrico&lt;/author&gt;&lt;/authors&gt;&lt;secondary-authors&gt;&lt;author&gt;Center for Global Trade Analysis,&lt;/author&gt;&lt;/secondary-authors&gt;&lt;/contributors&gt;&lt;titles&gt;&lt;title&gt;Disaggregating Labor Payments in the GTAP 8 Data Base&lt;/title&gt;&lt;secondary-title&gt;GTAP Technical Paper Series&lt;/secondary-title&gt;&lt;/titles&gt;&lt;dates&gt;&lt;year&gt;forthcoming&lt;/year&gt;&lt;/dates&gt;&lt;pub-location&gt;West Lafayette, Indiana&lt;/pub-location&gt;&lt;urls&gt;&lt;/urls&gt;&lt;/record&gt;&lt;/Cite&gt;&lt;/EndNote&gt;</w:instrText>
      </w:r>
      <w:r w:rsidRPr="00AD7F84">
        <w:rPr>
          <w:lang w:val="en-GB"/>
        </w:rPr>
        <w:fldChar w:fldCharType="separate"/>
      </w:r>
      <w:proofErr w:type="spellStart"/>
      <w:r w:rsidRPr="00AD7F84">
        <w:rPr>
          <w:lang w:val="en-GB"/>
        </w:rPr>
        <w:t>Walmsley</w:t>
      </w:r>
      <w:proofErr w:type="spellEnd"/>
      <w:r w:rsidRPr="00AD7F84">
        <w:rPr>
          <w:lang w:val="en-GB"/>
        </w:rPr>
        <w:t xml:space="preserve"> and </w:t>
      </w:r>
      <w:proofErr w:type="spellStart"/>
      <w:r w:rsidRPr="00AD7F84">
        <w:rPr>
          <w:lang w:val="en-GB"/>
        </w:rPr>
        <w:t>Carrico</w:t>
      </w:r>
      <w:proofErr w:type="spellEnd"/>
      <w:r w:rsidRPr="00AD7F84">
        <w:rPr>
          <w:lang w:val="en-GB"/>
        </w:rPr>
        <w:t xml:space="preserve"> (forthcoming)</w:t>
      </w:r>
      <w:r w:rsidRPr="00AD7F84">
        <w:fldChar w:fldCharType="end"/>
      </w:r>
      <w:r w:rsidRPr="00AD7F84">
        <w:rPr>
          <w:lang w:val="en-GB"/>
        </w:rPr>
        <w:t xml:space="preserve"> both investigated the impact of disaggregating </w:t>
      </w:r>
      <w:proofErr w:type="spellStart"/>
      <w:r w:rsidRPr="00AD7F84">
        <w:rPr>
          <w:lang w:val="en-GB"/>
        </w:rPr>
        <w:t>labor</w:t>
      </w:r>
      <w:proofErr w:type="spellEnd"/>
      <w:r w:rsidRPr="00AD7F84">
        <w:rPr>
          <w:lang w:val="en-GB"/>
        </w:rPr>
        <w:t xml:space="preserve"> in GTAP.  Both of these papers found that the inclusion of more categories did not significantly impact the macro-economic results although provided a greater richness in the results at a more micro level. These papers did not utilize the wage and quantity data to estimate the productivity differences between activities, and therefore still suffer from the limitations of the </w:t>
      </w:r>
      <w:proofErr w:type="spellStart"/>
      <w:r w:rsidRPr="00AD7F84">
        <w:rPr>
          <w:lang w:val="en-GB"/>
        </w:rPr>
        <w:t>Harberger</w:t>
      </w:r>
      <w:proofErr w:type="spellEnd"/>
      <w:r w:rsidRPr="00AD7F84">
        <w:rPr>
          <w:lang w:val="en-GB"/>
        </w:rPr>
        <w:t xml:space="preserve"> convention.</w:t>
      </w:r>
    </w:p>
    <w:p w:rsidR="00AD7F84" w:rsidRPr="00AD7F84" w:rsidRDefault="00AD7F84" w:rsidP="00AD7F84">
      <w:r w:rsidRPr="00AD7F84">
        <w:t xml:space="preserve">An alternative specification of labor mobility permitted in the GTAP model </w:t>
      </w:r>
      <w:r w:rsidRPr="00AD7F84">
        <w:fldChar w:fldCharType="begin"/>
      </w:r>
      <w:r w:rsidRPr="00AD7F84">
        <w:instrText xml:space="preserve"> ADDIN EN.CITE &lt;EndNote&gt;&lt;Cite&gt;&lt;Author&gt;Hertel&lt;/Author&gt;&lt;Year&gt;1997&lt;/Year&gt;&lt;RecNum&gt;29&lt;/RecNum&gt;&lt;DisplayText&gt;(Hertel and Tsigas, 1997)&lt;/DisplayText&gt;&lt;record&gt;&lt;rec-number&gt;29&lt;/rec-number&gt;&lt;foreign-keys&gt;&lt;key app="EN" db-id="tfz9v5v04w9xeqetf025f5tv2e2xttaavpp2" timestamp="1408548112"&gt;29&lt;/key&gt;&lt;/foreign-keys&gt;&lt;ref-type name="Book Section"&gt;5&lt;/ref-type&gt;&lt;contributors&gt;&lt;authors&gt;&lt;author&gt;Hertel, Thomas&lt;/author&gt;&lt;author&gt;Marinos Tsigas&lt;/author&gt;&lt;/authors&gt;&lt;secondary-authors&gt;&lt;author&gt;Hertel, T&lt;/author&gt;&lt;/secondary-authors&gt;&lt;/contributors&gt;&lt;titles&gt;&lt;title&gt;Structure of GTAP&lt;/title&gt;&lt;secondary-title&gt;Global Trade Analysis Modeling and Applications&lt;/secondary-title&gt;&lt;/titles&gt;&lt;pages&gt;13-73 &lt;/pages&gt;&lt;section&gt;2&lt;/section&gt;&lt;dates&gt;&lt;year&gt;1997&lt;/year&gt;&lt;/dates&gt;&lt;publisher&gt;Cambridge University Press&lt;/publisher&gt;&lt;urls&gt;&lt;related-urls&gt;&lt;url&gt;https://www.gtap.agecon.purdue.edu/products/gtap_book.asp&lt;/url&gt;&lt;/related-urls&gt;&lt;/urls&gt;&lt;/record&gt;&lt;/Cite&gt;&lt;/EndNote&gt;</w:instrText>
      </w:r>
      <w:r w:rsidRPr="00AD7F84">
        <w:fldChar w:fldCharType="separate"/>
      </w:r>
      <w:r w:rsidRPr="00AD7F84">
        <w:t>(</w:t>
      </w:r>
      <w:proofErr w:type="spellStart"/>
      <w:r w:rsidRPr="00AD7F84">
        <w:t>Hertel</w:t>
      </w:r>
      <w:proofErr w:type="spellEnd"/>
      <w:r w:rsidRPr="00AD7F84">
        <w:t xml:space="preserve"> and </w:t>
      </w:r>
      <w:proofErr w:type="spellStart"/>
      <w:r w:rsidRPr="00AD7F84">
        <w:t>Tsigas</w:t>
      </w:r>
      <w:proofErr w:type="spellEnd"/>
      <w:r w:rsidRPr="00AD7F84">
        <w:t>, 1997)</w:t>
      </w:r>
      <w:r w:rsidRPr="00AD7F84">
        <w:fldChar w:fldCharType="end"/>
      </w:r>
      <w:r w:rsidRPr="00AD7F84">
        <w:t xml:space="preserve"> is to allow for sluggish mobility of factors through the introduction of a constant elasticity of transformation (CET) function. </w:t>
      </w:r>
      <w:r w:rsidRPr="00AD7F84">
        <w:rPr>
          <w:vertAlign w:val="superscript"/>
        </w:rPr>
        <w:footnoteReference w:id="2"/>
      </w:r>
      <w:r w:rsidRPr="00AD7F84">
        <w:t xml:space="preserve"> This specification assumes that each factor is heterogeneous across activities and hence productivities change as they move across activities.  Unfortunately the market clearing condition in the CET is defined in efficiency units, which can have unintended consequences for the total supply of factors in natural units as the factor moves across activities.  For instance, movement of a factor to a more productive activity, with market clearing imposed on efficiency units, has the effect of raising the supply of factors in natural units, i.e., increasing the number of man-hours worked. The CET is predominantly used for specifying land, but has also be used for labor </w:t>
      </w:r>
      <w:r w:rsidRPr="00AD7F84">
        <w:fldChar w:fldCharType="begin"/>
      </w:r>
      <w:r w:rsidRPr="00AD7F84">
        <w:instrText xml:space="preserve"> ADDIN EN.CITE &lt;EndNote&gt;&lt;Cite&gt;&lt;Author&gt;Acar&lt;/Author&gt;&lt;Year&gt;2001&lt;/Year&gt;&lt;RecNum&gt;127&lt;/RecNum&gt;&lt;DisplayText&gt;(Acar, 2001)&lt;/DisplayText&gt;&lt;record&gt;&lt;rec-number&gt;127&lt;/rec-number&gt;&lt;foreign-keys&gt;&lt;key app="EN" db-id="tfz9v5v04w9xeqetf025f5tv2e2xttaavpp2" timestamp="1408721898"&gt;127&lt;/key&gt;&lt;/foreign-keys&gt;&lt;ref-type name="Conference Paper"&gt;47&lt;/ref-type&gt;&lt;contributors&gt;&lt;authors&gt;&lt;author&gt;Acar, Mustafa&lt;/author&gt;&lt;/authors&gt;&lt;/contributors&gt;&lt;titles&gt;&lt;title&gt;Agricultural Unskilled Labor Mobility: Does it Matter?&lt;/title&gt;&lt;secondary-title&gt;4th Annual Conference on Global Economic Analysis&lt;/secondary-title&gt;&lt;/titles&gt;&lt;dates&gt;&lt;year&gt;2001&lt;/year&gt;&lt;/dates&gt;&lt;pub-location&gt;Purdue University, USA&lt;/pub-location&gt;&lt;urls&gt;&lt;/urls&gt;&lt;/record&gt;&lt;/Cite&gt;&lt;/EndNote&gt;</w:instrText>
      </w:r>
      <w:r w:rsidRPr="00AD7F84">
        <w:fldChar w:fldCharType="separate"/>
      </w:r>
      <w:r w:rsidRPr="00AD7F84">
        <w:t>(</w:t>
      </w:r>
      <w:proofErr w:type="spellStart"/>
      <w:r w:rsidRPr="00AD7F84">
        <w:t>Acar</w:t>
      </w:r>
      <w:proofErr w:type="spellEnd"/>
      <w:r w:rsidRPr="00AD7F84">
        <w:t>, 2001)</w:t>
      </w:r>
      <w:r w:rsidRPr="00AD7F84">
        <w:fldChar w:fldCharType="end"/>
      </w:r>
      <w:r w:rsidRPr="00AD7F84">
        <w:t xml:space="preserve">. </w:t>
      </w:r>
    </w:p>
    <w:p w:rsidR="00AD7F84" w:rsidRPr="00AD7F84" w:rsidRDefault="00AD7F84" w:rsidP="00AD7F84">
      <w:r w:rsidRPr="00AD7F84">
        <w:t xml:space="preserve">None of these standard mechanisms used in global CGE models has been entirely adequate at capturing the intricacies of labor mobility across activities. </w:t>
      </w:r>
    </w:p>
    <w:p w:rsidR="00AD7F84" w:rsidRPr="00AD7F84" w:rsidRDefault="00AD7F84" w:rsidP="00AD7F84">
      <w:pPr>
        <w:rPr>
          <w:lang w:val="en-GB"/>
        </w:rPr>
      </w:pPr>
      <w:r w:rsidRPr="00AD7F84">
        <w:t xml:space="preserve">While analysis of labor mobility across activities has received scant interest, migration between rural and urban centers and across countries has been effectively </w:t>
      </w:r>
      <w:proofErr w:type="spellStart"/>
      <w:r w:rsidRPr="00AD7F84">
        <w:t>modelled</w:t>
      </w:r>
      <w:proofErr w:type="spellEnd"/>
      <w:r w:rsidRPr="00AD7F84">
        <w:t xml:space="preserve"> in single and global CGE models. </w:t>
      </w:r>
      <w:r w:rsidRPr="00AD7F84">
        <w:rPr>
          <w:lang w:val="en-GB"/>
        </w:rPr>
        <w:t xml:space="preserve">Early work by </w:t>
      </w:r>
      <w:r w:rsidRPr="00AD7F84">
        <w:rPr>
          <w:lang w:val="en-GB"/>
        </w:rPr>
        <w:fldChar w:fldCharType="begin"/>
      </w:r>
      <w:r w:rsidRPr="00AD7F84">
        <w:rPr>
          <w:lang w:val="en-GB"/>
        </w:rPr>
        <w:instrText xml:space="preserve"> ADDIN EN.CITE &lt;EndNote&gt;&lt;Cite AuthorYear="1"&gt;&lt;Author&gt;Robinson&lt;/Author&gt;&lt;Year&gt;1993&lt;/Year&gt;&lt;RecNum&gt;114&lt;/RecNum&gt;&lt;DisplayText&gt;Robinson, Burfisher et al. (1993)&lt;/DisplayText&gt;&lt;record&gt;&lt;rec-number&gt;114&lt;/rec-number&gt;&lt;foreign-keys&gt;&lt;key app="EN" db-id="tfz9v5v04w9xeqetf025f5tv2e2xttaavpp2" timestamp="1408719231"&gt;114&lt;/key&gt;&lt;/foreign-keys&gt;&lt;ref-type name="Journal Article"&gt;17&lt;/ref-type&gt;&lt;contributors&gt;&lt;authors&gt;&lt;author&gt;Robinson, S.&lt;/author&gt;&lt;author&gt;Burfisher, M.E. &lt;/author&gt;&lt;author&gt;Hinojosa-Ojeda, R. &lt;/author&gt;&lt;author&gt;Thierfelder, Karen&lt;/author&gt;&lt;/authors&gt;&lt;/contributors&gt;&lt;titles&gt;&lt;title&gt;Agricultural Policies and Migration in a US-Mexico Free Trade Area: A Computable General Equilibrium Analysis &lt;/title&gt;&lt;secondary-title&gt;Journal of Policy Modeling&lt;/secondary-title&gt;&lt;/titles&gt;&lt;periodical&gt;&lt;full-title&gt;Journal of Policy Modeling&lt;/full-title&gt;&lt;/periodical&gt;&lt;pages&gt;673-701&lt;/pages&gt;&lt;volume&gt;15&lt;/volume&gt;&lt;dates&gt;&lt;year&gt;1993&lt;/year&gt;&lt;/dates&gt;&lt;urls&gt;&lt;/urls&gt;&lt;/record&gt;&lt;/Cite&gt;&lt;/EndNote&gt;</w:instrText>
      </w:r>
      <w:r w:rsidRPr="00AD7F84">
        <w:rPr>
          <w:lang w:val="en-GB"/>
        </w:rPr>
        <w:fldChar w:fldCharType="separate"/>
      </w:r>
      <w:r w:rsidRPr="00AD7F84">
        <w:rPr>
          <w:lang w:val="en-GB"/>
        </w:rPr>
        <w:t xml:space="preserve">Robinson, </w:t>
      </w:r>
      <w:proofErr w:type="spellStart"/>
      <w:r w:rsidRPr="00AD7F84">
        <w:rPr>
          <w:lang w:val="en-GB"/>
        </w:rPr>
        <w:t>Burfisher</w:t>
      </w:r>
      <w:proofErr w:type="spellEnd"/>
      <w:r w:rsidRPr="00AD7F84">
        <w:rPr>
          <w:lang w:val="en-GB"/>
        </w:rPr>
        <w:t xml:space="preserve"> et al. (1993)</w:t>
      </w:r>
      <w:r w:rsidRPr="00AD7F84">
        <w:fldChar w:fldCharType="end"/>
      </w:r>
      <w:r w:rsidRPr="00AD7F84">
        <w:rPr>
          <w:lang w:val="en-GB"/>
        </w:rPr>
        <w:t xml:space="preserve"> analysing the NAFTA agreement placed </w:t>
      </w:r>
      <w:proofErr w:type="spellStart"/>
      <w:r w:rsidRPr="00AD7F84">
        <w:rPr>
          <w:lang w:val="en-GB"/>
        </w:rPr>
        <w:t>labor</w:t>
      </w:r>
      <w:proofErr w:type="spellEnd"/>
      <w:r w:rsidRPr="00AD7F84">
        <w:rPr>
          <w:lang w:val="en-GB"/>
        </w:rPr>
        <w:t xml:space="preserve"> issues at the forefront.  These papers </w:t>
      </w:r>
      <w:proofErr w:type="gramStart"/>
      <w:r w:rsidRPr="00AD7F84">
        <w:rPr>
          <w:lang w:val="en-GB"/>
        </w:rPr>
        <w:t>included  …</w:t>
      </w:r>
      <w:proofErr w:type="gramEnd"/>
      <w:r w:rsidRPr="00AD7F84">
        <w:rPr>
          <w:lang w:val="en-GB"/>
        </w:rPr>
        <w:t xml:space="preserve">….. </w:t>
      </w:r>
      <w:proofErr w:type="gramStart"/>
      <w:r w:rsidRPr="00AD7F84">
        <w:rPr>
          <w:lang w:val="en-GB"/>
        </w:rPr>
        <w:t>to</w:t>
      </w:r>
      <w:proofErr w:type="gramEnd"/>
      <w:r w:rsidRPr="00AD7F84">
        <w:rPr>
          <w:lang w:val="en-GB"/>
        </w:rPr>
        <w:t xml:space="preserve"> capture more realistic migration/mobility of </w:t>
      </w:r>
      <w:proofErr w:type="spellStart"/>
      <w:r w:rsidRPr="00AD7F84">
        <w:rPr>
          <w:lang w:val="en-GB"/>
        </w:rPr>
        <w:t>labor</w:t>
      </w:r>
      <w:proofErr w:type="spellEnd"/>
      <w:r w:rsidRPr="00AD7F84">
        <w:rPr>
          <w:lang w:val="en-GB"/>
        </w:rPr>
        <w:t xml:space="preserve"> within NAFTA. </w:t>
      </w:r>
      <w:r w:rsidRPr="00AD7F84">
        <w:t xml:space="preserve">More recently </w:t>
      </w:r>
      <w:r w:rsidRPr="00AD7F84">
        <w:rPr>
          <w:lang w:val="en-GB"/>
        </w:rPr>
        <w:fldChar w:fldCharType="begin"/>
      </w:r>
      <w:r w:rsidRPr="00AD7F84">
        <w:rPr>
          <w:lang w:val="en-GB"/>
        </w:rPr>
        <w:instrText xml:space="preserve"> ADDIN EN.CITE &lt;EndNote&gt;&lt;Cite AuthorYear="1"&gt;&lt;Author&gt;Polaski&lt;/Author&gt;&lt;Year&gt;2009&lt;/Year&gt;&lt;RecNum&gt;117&lt;/RecNum&gt;&lt;DisplayText&gt;Polaski, Bento et al. (2009)&lt;/DisplayText&gt;&lt;record&gt;&lt;rec-number&gt;117&lt;/rec-number&gt;&lt;foreign-keys&gt;&lt;key app="EN" db-id="tfz9v5v04w9xeqetf025f5tv2e2xttaavpp2" timestamp="1408719512"&gt;117&lt;/key&gt;&lt;/foreign-keys&gt;&lt;ref-type name="Manuscript"&gt;36&lt;/ref-type&gt;&lt;contributors&gt;&lt;authors&gt;&lt;author&gt;Polaski, Sandra&lt;/author&gt;&lt;author&gt;Bento, Joaquim&lt;/author&gt;&lt;author&gt;Berg, Janine&lt;/author&gt;&lt;author&gt;McDonald, Scott&lt;/author&gt;&lt;author&gt;Thierfelder, Karen&lt;/author&gt;&lt;author&gt;Willenbockel, Dirk&lt;/author&gt;&lt;author&gt;Zepeda, Edwardo&lt;/author&gt;&lt;/authors&gt;&lt;secondary-authors&gt;&lt;author&gt;Carnegie Endowment for International Peace&lt;/author&gt;&lt;/secondary-authors&gt;&lt;/contributors&gt;&lt;titles&gt;&lt;title&gt;Brazil in the Global Economy, Measuring the Gains from Trade&lt;/title&gt;&lt;/titles&gt;&lt;dates&gt;&lt;year&gt;2009&lt;/year&gt;&lt;/dates&gt;&lt;pub-location&gt;Washington D.C.&lt;/pub-location&gt;&lt;urls&gt;&lt;/urls&gt;&lt;/record&gt;&lt;/Cite&gt;&lt;/EndNote&gt;</w:instrText>
      </w:r>
      <w:r w:rsidRPr="00AD7F84">
        <w:rPr>
          <w:lang w:val="en-GB"/>
        </w:rPr>
        <w:fldChar w:fldCharType="separate"/>
      </w:r>
      <w:proofErr w:type="spellStart"/>
      <w:r w:rsidRPr="00AD7F84">
        <w:rPr>
          <w:lang w:val="en-GB"/>
        </w:rPr>
        <w:t>Polaski</w:t>
      </w:r>
      <w:proofErr w:type="spellEnd"/>
      <w:r w:rsidRPr="00AD7F84">
        <w:rPr>
          <w:lang w:val="en-GB"/>
        </w:rPr>
        <w:t>, Bento et al. (2009)</w:t>
      </w:r>
      <w:r w:rsidRPr="00AD7F84">
        <w:fldChar w:fldCharType="end"/>
      </w:r>
      <w:r w:rsidRPr="00AD7F84">
        <w:rPr>
          <w:lang w:val="en-GB"/>
        </w:rPr>
        <w:t xml:space="preserve"> also </w:t>
      </w:r>
      <w:r w:rsidRPr="00AD7F84">
        <w:rPr>
          <w:lang w:val="en-GB"/>
        </w:rPr>
        <w:lastRenderedPageBreak/>
        <w:t xml:space="preserve">introduce migration of </w:t>
      </w:r>
      <w:proofErr w:type="spellStart"/>
      <w:r w:rsidRPr="00AD7F84">
        <w:rPr>
          <w:lang w:val="en-GB"/>
        </w:rPr>
        <w:t>labor</w:t>
      </w:r>
      <w:proofErr w:type="spellEnd"/>
      <w:r w:rsidRPr="00AD7F84">
        <w:rPr>
          <w:lang w:val="en-GB"/>
        </w:rPr>
        <w:t xml:space="preserve"> between rural and urban regions to investigate the impact of gains from trade to Brazil. </w:t>
      </w:r>
    </w:p>
    <w:p w:rsidR="00AD7F84" w:rsidRPr="00AD7F84" w:rsidRDefault="00AD7F84" w:rsidP="00AD7F84">
      <w:pPr>
        <w:rPr>
          <w:lang w:val="en-GB"/>
        </w:rPr>
      </w:pPr>
      <w:r w:rsidRPr="00AD7F84">
        <w:rPr>
          <w:lang w:val="en-GB"/>
        </w:rPr>
        <w:t xml:space="preserve">In the international migration literature, </w:t>
      </w:r>
      <w:r w:rsidRPr="00AD7F84">
        <w:fldChar w:fldCharType="begin"/>
      </w:r>
      <w:r w:rsidRPr="00AD7F84">
        <w:instrText xml:space="preserve"> ADDIN EN.CITE &lt;EndNote&gt;&lt;Cite AuthorYear="1"&gt;&lt;Author&gt;Walmsley&lt;/Author&gt;&lt;Year&gt;2007&lt;/Year&gt;&lt;RecNum&gt;72&lt;/RecNum&gt;&lt;DisplayText&gt;Walmsley, Winters and Ahmed (2007)&lt;/DisplayText&gt;&lt;record&gt;&lt;rec-number&gt;72&lt;/rec-number&gt;&lt;foreign-keys&gt;&lt;key app="EN" db-id="tfz9v5v04w9xeqetf025f5tv2e2xttaavpp2" timestamp="1408548112"&gt;72&lt;/key&gt;&lt;/foreign-keys&gt;&lt;ref-type name="Manuscript"&gt;36&lt;/ref-type&gt;&lt;contributors&gt;&lt;authors&gt;&lt;author&gt;Walmsley, Terrie L&lt;/author&gt;&lt;author&gt;Alan Winters&lt;/author&gt;&lt;author&gt;S. A. Ahmed&lt;/author&gt;&lt;/authors&gt;&lt;secondary-authors&gt;&lt;author&gt;Center for Global Trade Analysis&lt;/author&gt;&lt;/secondary-authors&gt;&lt;/contributors&gt;&lt;titles&gt;&lt;title&gt;Measuring the Impact of the Movement of Labour Using a Model of Bilateral Migration Flows&lt;/title&gt;&lt;secondary-title&gt;GTAP Technical Paper Series&lt;/secondary-title&gt;&lt;/titles&gt;&lt;num-vols&gt;28&lt;/num-vols&gt;&lt;dates&gt;&lt;year&gt;2007&lt;/year&gt;&lt;/dates&gt;&lt;pub-location&gt;West Lafette, IN&lt;/pub-location&gt;&lt;urls&gt;&lt;related-urls&gt;&lt;url&gt;https://www.gtap.agecon.purdue.edu/resources/res_display.asp?RecordID=2529&lt;/url&gt;&lt;/related-urls&gt;&lt;/urls&gt;&lt;/record&gt;&lt;/Cite&gt;&lt;/EndNote&gt;</w:instrText>
      </w:r>
      <w:r w:rsidRPr="00AD7F84">
        <w:fldChar w:fldCharType="separate"/>
      </w:r>
      <w:proofErr w:type="spellStart"/>
      <w:r w:rsidRPr="00AD7F84">
        <w:t>Walmsley</w:t>
      </w:r>
      <w:proofErr w:type="spellEnd"/>
      <w:r w:rsidRPr="00AD7F84">
        <w:t>, Winters and Ahmed (2007)</w:t>
      </w:r>
      <w:r w:rsidRPr="00AD7F84">
        <w:fldChar w:fldCharType="end"/>
      </w:r>
      <w:r w:rsidRPr="00AD7F84">
        <w:t xml:space="preserve"> and </w:t>
      </w:r>
      <w:r w:rsidRPr="00AD7F84">
        <w:fldChar w:fldCharType="begin"/>
      </w:r>
      <w:r w:rsidRPr="00AD7F84">
        <w:instrText xml:space="preserve"> ADDIN EN.CITE &lt;EndNote&gt;&lt;Cite AuthorYear="1"&gt;&lt;Author&gt;McDonald&lt;/Author&gt;&lt;Year&gt;2006&lt;/Year&gt;&lt;RecNum&gt;118&lt;/RecNum&gt;&lt;DisplayText&gt;McDonald and Sonmez (2006)&lt;/DisplayText&gt;&lt;record&gt;&lt;rec-number&gt;118&lt;/rec-number&gt;&lt;foreign-keys&gt;&lt;key app="EN" db-id="tfz9v5v04w9xeqetf025f5tv2e2xttaavpp2" timestamp="1408719599"&gt;118&lt;/key&gt;&lt;/foreign-keys&gt;&lt;ref-type name="Conference Paper"&gt;47&lt;/ref-type&gt;&lt;contributors&gt;&lt;authors&gt;&lt;author&gt;McDonald, Scott&lt;/author&gt;&lt;author&gt;Sonmez, Yontem&lt;/author&gt;&lt;/authors&gt;&lt;/contributors&gt;&lt;titles&gt;&lt;title&gt;Labour Migration and Remittances: Some Implications of Turkish “Guest Workers” in Germany&lt;/title&gt;&lt;secondary-title&gt;9th Annual Conference on Global Economic Analysis &lt;/secondary-title&gt;&lt;/titles&gt;&lt;dates&gt;&lt;year&gt;2006&lt;/year&gt;&lt;/dates&gt;&lt;pub-location&gt;UN Economic Commission for Africa, Addis Ababa, Ethiopia&lt;/pub-location&gt;&lt;urls&gt;&lt;/urls&gt;&lt;/record&gt;&lt;/Cite&gt;&lt;/EndNote&gt;</w:instrText>
      </w:r>
      <w:r w:rsidRPr="00AD7F84">
        <w:fldChar w:fldCharType="separate"/>
      </w:r>
      <w:r w:rsidRPr="00AD7F84">
        <w:t xml:space="preserve">McDonald and </w:t>
      </w:r>
      <w:proofErr w:type="spellStart"/>
      <w:r w:rsidRPr="00AD7F84">
        <w:t>Sonmez</w:t>
      </w:r>
      <w:proofErr w:type="spellEnd"/>
      <w:r w:rsidRPr="00AD7F84">
        <w:t xml:space="preserve"> (2006)</w:t>
      </w:r>
      <w:r w:rsidRPr="00AD7F84">
        <w:fldChar w:fldCharType="end"/>
      </w:r>
      <w:r w:rsidRPr="00AD7F84">
        <w:t xml:space="preserve"> incorporate endogenous migration functions to capture the restricted movement of labor between countries. </w:t>
      </w:r>
      <w:r w:rsidRPr="00AD7F84">
        <w:fldChar w:fldCharType="begin"/>
      </w:r>
      <w:r w:rsidRPr="00AD7F84">
        <w:instrText xml:space="preserve"> ADDIN EN.CITE &lt;EndNote&gt;&lt;Cite AuthorYear="1"&gt;&lt;Author&gt;Walmsley&lt;/Author&gt;&lt;Year&gt;2007&lt;/Year&gt;&lt;RecNum&gt;72&lt;/RecNum&gt;&lt;DisplayText&gt;Walmsley, Winters and Ahmed (2007)&lt;/DisplayText&gt;&lt;record&gt;&lt;rec-number&gt;72&lt;/rec-number&gt;&lt;foreign-keys&gt;&lt;key app="EN" db-id="tfz9v5v04w9xeqetf025f5tv2e2xttaavpp2" timestamp="1408548112"&gt;72&lt;/key&gt;&lt;/foreign-keys&gt;&lt;ref-type name="Manuscript"&gt;36&lt;/ref-type&gt;&lt;contributors&gt;&lt;authors&gt;&lt;author&gt;Walmsley, Terrie L&lt;/author&gt;&lt;author&gt;Alan Winters&lt;/author&gt;&lt;author&gt;S. A. Ahmed&lt;/author&gt;&lt;/authors&gt;&lt;secondary-authors&gt;&lt;author&gt;Center for Global Trade Analysis&lt;/author&gt;&lt;/secondary-authors&gt;&lt;/contributors&gt;&lt;titles&gt;&lt;title&gt;Measuring the Impact of the Movement of Labour Using a Model of Bilateral Migration Flows&lt;/title&gt;&lt;secondary-title&gt;GTAP Technical Paper Series&lt;/secondary-title&gt;&lt;/titles&gt;&lt;num-vols&gt;28&lt;/num-vols&gt;&lt;dates&gt;&lt;year&gt;2007&lt;/year&gt;&lt;/dates&gt;&lt;pub-location&gt;West Lafette, IN&lt;/pub-location&gt;&lt;urls&gt;&lt;related-urls&gt;&lt;url&gt;https://www.gtap.agecon.purdue.edu/resources/res_display.asp?RecordID=2529&lt;/url&gt;&lt;/related-urls&gt;&lt;/urls&gt;&lt;/record&gt;&lt;/Cite&gt;&lt;/EndNote&gt;</w:instrText>
      </w:r>
      <w:r w:rsidRPr="00AD7F84">
        <w:fldChar w:fldCharType="separate"/>
      </w:r>
      <w:proofErr w:type="spellStart"/>
      <w:r w:rsidRPr="00AD7F84">
        <w:t>Walmsley</w:t>
      </w:r>
      <w:proofErr w:type="spellEnd"/>
      <w:r w:rsidRPr="00AD7F84">
        <w:t xml:space="preserve">, </w:t>
      </w:r>
      <w:proofErr w:type="gramStart"/>
      <w:r w:rsidRPr="00AD7F84">
        <w:t>Winters</w:t>
      </w:r>
      <w:proofErr w:type="gramEnd"/>
      <w:r w:rsidRPr="00AD7F84">
        <w:t xml:space="preserve"> and Ahmed (2007)</w:t>
      </w:r>
      <w:r w:rsidRPr="00AD7F84">
        <w:fldChar w:fldCharType="end"/>
      </w:r>
      <w:r w:rsidRPr="00AD7F84">
        <w:t xml:space="preserve"> also include data and mechanisms to allow the user to specify what proportion of the productivity differential between the home and host economy that the new migrant would obtain once they have moved.  The productivity differentials are obtained from the collection of quantity data are utilized to capture the productivity differentials between activities and incorporate migration equations to allow some restricted movement of factors between activity segments and or between factors.   </w:t>
      </w:r>
    </w:p>
    <w:p w:rsidR="00AD7F84" w:rsidRPr="00AD7F84" w:rsidRDefault="00AD7F84" w:rsidP="00AD7F84">
      <w:pPr>
        <w:rPr>
          <w:lang w:val="en-GB"/>
        </w:rPr>
      </w:pPr>
      <w:r w:rsidRPr="00AD7F84">
        <w:rPr>
          <w:lang w:val="en-GB"/>
        </w:rPr>
        <w:fldChar w:fldCharType="begin"/>
      </w:r>
      <w:r w:rsidRPr="00AD7F84">
        <w:rPr>
          <w:lang w:val="en-GB"/>
        </w:rPr>
        <w:instrText xml:space="preserve"> ADDIN EN.CITE &lt;EndNote&gt;&lt;Cite AuthorYear="1"&gt;&lt;Author&gt;Dixon&lt;/Author&gt;&lt;Year&gt;2003&lt;/Year&gt;&lt;RecNum&gt;16&lt;/RecNum&gt;&lt;DisplayText&gt;Dixon and Rimmer (2003)&lt;/DisplayText&gt;&lt;record&gt;&lt;rec-number&gt;16&lt;/rec-number&gt;&lt;foreign-keys&gt;&lt;key app="EN" db-id="tfz9v5v04w9xeqetf025f5tv2e2xttaavpp2" timestamp="1408548112"&gt;16&lt;/key&gt;&lt;/foreign-keys&gt;&lt;ref-type name="Journal Article"&gt;17&lt;/ref-type&gt;&lt;contributors&gt;&lt;authors&gt;&lt;author&gt;Dixon, Peter&lt;/author&gt;&lt;author&gt;Maureen Rimmer&lt;/author&gt;&lt;/authors&gt;&lt;/contributors&gt;&lt;titles&gt;&lt;title&gt;A new specification of Labor Supply in the Monash Model with an Illustrative Application&lt;/title&gt;&lt;secondary-title&gt;The Australian Economic Review&lt;/secondary-title&gt;&lt;/titles&gt;&lt;periodical&gt;&lt;full-title&gt;The Australian Economic Review&lt;/full-title&gt;&lt;/periodical&gt;&lt;pages&gt;22-40&lt;/pages&gt;&lt;volume&gt;36&lt;/volume&gt;&lt;number&gt;1&lt;/number&gt;&lt;dates&gt;&lt;year&gt;2003&lt;/year&gt;&lt;/dates&gt;&lt;urls&gt;&lt;/urls&gt;&lt;/record&gt;&lt;/Cite&gt;&lt;/EndNote&gt;</w:instrText>
      </w:r>
      <w:r w:rsidRPr="00AD7F84">
        <w:rPr>
          <w:lang w:val="en-GB"/>
        </w:rPr>
        <w:fldChar w:fldCharType="separate"/>
      </w:r>
      <w:r w:rsidRPr="00AD7F84">
        <w:rPr>
          <w:lang w:val="en-GB"/>
        </w:rPr>
        <w:t xml:space="preserve">Dixon and </w:t>
      </w:r>
      <w:proofErr w:type="spellStart"/>
      <w:r w:rsidRPr="00AD7F84">
        <w:rPr>
          <w:lang w:val="en-GB"/>
        </w:rPr>
        <w:t>Rimmer</w:t>
      </w:r>
      <w:proofErr w:type="spellEnd"/>
      <w:r w:rsidRPr="00AD7F84">
        <w:rPr>
          <w:lang w:val="en-GB"/>
        </w:rPr>
        <w:t xml:space="preserve"> (2003)</w:t>
      </w:r>
      <w:r w:rsidRPr="00AD7F84">
        <w:fldChar w:fldCharType="end"/>
      </w:r>
      <w:r w:rsidRPr="00AD7F84">
        <w:rPr>
          <w:lang w:val="en-GB"/>
        </w:rPr>
        <w:t xml:space="preserve"> apply an alternate </w:t>
      </w:r>
      <w:proofErr w:type="spellStart"/>
      <w:r w:rsidRPr="00AD7F84">
        <w:rPr>
          <w:lang w:val="en-GB"/>
        </w:rPr>
        <w:t>labor</w:t>
      </w:r>
      <w:proofErr w:type="spellEnd"/>
      <w:r w:rsidRPr="00AD7F84">
        <w:rPr>
          <w:lang w:val="en-GB"/>
        </w:rPr>
        <w:t xml:space="preserve"> specification in the MONASH model to examine a proposal that there should be a three-year freeze on nominal award wage rates combined with tax credits (equivalent to tax cuts) for low-wage workers living in low-income families. In this specification </w:t>
      </w:r>
      <w:proofErr w:type="spellStart"/>
      <w:r w:rsidRPr="00AD7F84">
        <w:rPr>
          <w:lang w:val="en-GB"/>
        </w:rPr>
        <w:t>labor</w:t>
      </w:r>
      <w:proofErr w:type="spellEnd"/>
      <w:r w:rsidRPr="00AD7F84">
        <w:rPr>
          <w:lang w:val="en-GB"/>
        </w:rPr>
        <w:t xml:space="preserve"> is divided into a number of occupational categories, as well as unemployment categories and new entrant, q.  People in each </w:t>
      </w:r>
      <w:proofErr w:type="spellStart"/>
      <w:r w:rsidRPr="00AD7F84">
        <w:rPr>
          <w:lang w:val="en-GB"/>
        </w:rPr>
        <w:t>labor</w:t>
      </w:r>
      <w:proofErr w:type="spellEnd"/>
      <w:r w:rsidRPr="00AD7F84">
        <w:rPr>
          <w:lang w:val="en-GB"/>
        </w:rPr>
        <w:t xml:space="preserve"> category (q) then decide how much of their </w:t>
      </w:r>
      <w:proofErr w:type="spellStart"/>
      <w:r w:rsidRPr="00AD7F84">
        <w:rPr>
          <w:lang w:val="en-GB"/>
        </w:rPr>
        <w:t>labor</w:t>
      </w:r>
      <w:proofErr w:type="spellEnd"/>
      <w:r w:rsidRPr="00AD7F84">
        <w:rPr>
          <w:lang w:val="en-GB"/>
        </w:rPr>
        <w:t xml:space="preserve"> to supply to each activity (a) by maximizing utility (a function of benefits/wages) subject to a supply constraints that total supply of </w:t>
      </w:r>
      <w:proofErr w:type="spellStart"/>
      <w:r w:rsidRPr="00AD7F84">
        <w:rPr>
          <w:lang w:val="en-GB"/>
        </w:rPr>
        <w:t>labor</w:t>
      </w:r>
      <w:proofErr w:type="spellEnd"/>
      <w:r w:rsidRPr="00AD7F84">
        <w:rPr>
          <w:lang w:val="en-GB"/>
        </w:rPr>
        <w:t xml:space="preserve"> category q equals the sum of supplies of that </w:t>
      </w:r>
      <w:proofErr w:type="spellStart"/>
      <w:r w:rsidRPr="00AD7F84">
        <w:rPr>
          <w:lang w:val="en-GB"/>
        </w:rPr>
        <w:t>labor</w:t>
      </w:r>
      <w:proofErr w:type="spellEnd"/>
      <w:r w:rsidRPr="00AD7F84">
        <w:rPr>
          <w:lang w:val="en-GB"/>
        </w:rPr>
        <w:t xml:space="preserve"> category to all activities. Differences between </w:t>
      </w:r>
      <w:proofErr w:type="spellStart"/>
      <w:r w:rsidRPr="00AD7F84">
        <w:rPr>
          <w:lang w:val="en-GB"/>
        </w:rPr>
        <w:t>labor</w:t>
      </w:r>
      <w:proofErr w:type="spellEnd"/>
      <w:r w:rsidRPr="00AD7F84">
        <w:rPr>
          <w:lang w:val="en-GB"/>
        </w:rPr>
        <w:t xml:space="preserve"> supply and </w:t>
      </w:r>
      <w:proofErr w:type="spellStart"/>
      <w:r w:rsidRPr="00AD7F84">
        <w:rPr>
          <w:lang w:val="en-GB"/>
        </w:rPr>
        <w:t>labor</w:t>
      </w:r>
      <w:proofErr w:type="spellEnd"/>
      <w:r w:rsidRPr="00AD7F84">
        <w:rPr>
          <w:lang w:val="en-GB"/>
        </w:rPr>
        <w:t xml:space="preserve"> demanded (by firm’s maximization of profits subject to a production constraint) then determine the extent to which wages adjust. In this case </w:t>
      </w:r>
      <w:proofErr w:type="spellStart"/>
      <w:r w:rsidRPr="00AD7F84">
        <w:rPr>
          <w:lang w:val="en-GB"/>
        </w:rPr>
        <w:t>labor</w:t>
      </w:r>
      <w:proofErr w:type="spellEnd"/>
      <w:r w:rsidRPr="00AD7F84">
        <w:rPr>
          <w:lang w:val="en-GB"/>
        </w:rPr>
        <w:t xml:space="preserve"> is not fully mobile across activities and wages do not equalize.  The mobility of </w:t>
      </w:r>
      <w:proofErr w:type="spellStart"/>
      <w:r w:rsidRPr="00AD7F84">
        <w:rPr>
          <w:lang w:val="en-GB"/>
        </w:rPr>
        <w:t>labor</w:t>
      </w:r>
      <w:proofErr w:type="spellEnd"/>
      <w:r w:rsidRPr="00AD7F84">
        <w:rPr>
          <w:lang w:val="en-GB"/>
        </w:rPr>
        <w:t xml:space="preserve"> depends on the decisions of </w:t>
      </w:r>
      <w:proofErr w:type="spellStart"/>
      <w:r w:rsidRPr="00AD7F84">
        <w:rPr>
          <w:lang w:val="en-GB"/>
        </w:rPr>
        <w:t>labor</w:t>
      </w:r>
      <w:proofErr w:type="spellEnd"/>
      <w:r w:rsidRPr="00AD7F84">
        <w:rPr>
          <w:lang w:val="en-GB"/>
        </w:rPr>
        <w:t xml:space="preserve"> to supply to an activity and also incorporates unemployment. In this paper the term activity refers to whether the employment is award or non-award wage and entitled or not-entitled to tax credits, however the same methodology could be applied to reduce mobility between sectors/activities, as is done in this paper.  </w:t>
      </w:r>
      <w:r w:rsidRPr="00AD7F84">
        <w:rPr>
          <w:lang w:val="en-GB"/>
        </w:rPr>
        <w:fldChar w:fldCharType="begin"/>
      </w:r>
      <w:r w:rsidRPr="00AD7F84">
        <w:rPr>
          <w:lang w:val="en-GB"/>
        </w:rPr>
        <w:instrText xml:space="preserve"> ADDIN EN.CITE &lt;EndNote&gt;&lt;Cite AuthorYear="1"&gt;&lt;Author&gt;Dixon&lt;/Author&gt;&lt;Year&gt;2003&lt;/Year&gt;&lt;RecNum&gt;16&lt;/RecNum&gt;&lt;DisplayText&gt;Dixon and Rimmer (2003)&lt;/DisplayText&gt;&lt;record&gt;&lt;rec-number&gt;16&lt;/rec-number&gt;&lt;foreign-keys&gt;&lt;key app="EN" db-id="tfz9v5v04w9xeqetf025f5tv2e2xttaavpp2" timestamp="1408548112"&gt;16&lt;/key&gt;&lt;/foreign-keys&gt;&lt;ref-type name="Journal Article"&gt;17&lt;/ref-type&gt;&lt;contributors&gt;&lt;authors&gt;&lt;author&gt;Dixon, Peter&lt;/author&gt;&lt;author&gt;Maureen Rimmer&lt;/author&gt;&lt;/authors&gt;&lt;/contributors&gt;&lt;titles&gt;&lt;title&gt;A new specification of Labor Supply in the Monash Model with an Illustrative Application&lt;/title&gt;&lt;secondary-title&gt;The Australian Economic Review&lt;/secondary-title&gt;&lt;/titles&gt;&lt;periodical&gt;&lt;full-title&gt;The Australian Economic Review&lt;/full-title&gt;&lt;/periodical&gt;&lt;pages&gt;22-40&lt;/pages&gt;&lt;volume&gt;36&lt;/volume&gt;&lt;number&gt;1&lt;/number&gt;&lt;dates&gt;&lt;year&gt;2003&lt;/year&gt;&lt;/dates&gt;&lt;urls&gt;&lt;/urls&gt;&lt;/record&gt;&lt;/Cite&gt;&lt;/EndNote&gt;</w:instrText>
      </w:r>
      <w:r w:rsidRPr="00AD7F84">
        <w:rPr>
          <w:lang w:val="en-GB"/>
        </w:rPr>
        <w:fldChar w:fldCharType="separate"/>
      </w:r>
      <w:r w:rsidRPr="00AD7F84">
        <w:rPr>
          <w:lang w:val="en-GB"/>
        </w:rPr>
        <w:t xml:space="preserve">Dixon and </w:t>
      </w:r>
      <w:proofErr w:type="spellStart"/>
      <w:r w:rsidRPr="00AD7F84">
        <w:rPr>
          <w:lang w:val="en-GB"/>
        </w:rPr>
        <w:t>Rimmer</w:t>
      </w:r>
      <w:proofErr w:type="spellEnd"/>
      <w:r w:rsidRPr="00AD7F84">
        <w:rPr>
          <w:lang w:val="en-GB"/>
        </w:rPr>
        <w:t xml:space="preserve"> (2003)</w:t>
      </w:r>
      <w:r w:rsidRPr="00AD7F84">
        <w:fldChar w:fldCharType="end"/>
      </w:r>
      <w:r w:rsidRPr="00AD7F84">
        <w:rPr>
          <w:lang w:val="en-GB"/>
        </w:rPr>
        <w:t xml:space="preserve"> find that this alternative methodology for modelling </w:t>
      </w:r>
      <w:proofErr w:type="spellStart"/>
      <w:r w:rsidRPr="00AD7F84">
        <w:rPr>
          <w:lang w:val="en-GB"/>
        </w:rPr>
        <w:t>labor</w:t>
      </w:r>
      <w:proofErr w:type="spellEnd"/>
      <w:r w:rsidRPr="00AD7F84">
        <w:rPr>
          <w:lang w:val="en-GB"/>
        </w:rPr>
        <w:t xml:space="preserve"> does have an impact on the results, although their focus is on unemployment.</w:t>
      </w:r>
    </w:p>
    <w:p w:rsidR="00AD7F84" w:rsidRPr="00AD7F84" w:rsidRDefault="00AD7F84" w:rsidP="00AD7F84">
      <w:pPr>
        <w:rPr>
          <w:lang w:val="en-GB"/>
        </w:rPr>
      </w:pPr>
      <w:r w:rsidRPr="00AD7F84">
        <w:rPr>
          <w:lang w:val="en-GB"/>
        </w:rPr>
        <w:fldChar w:fldCharType="begin"/>
      </w:r>
      <w:r w:rsidRPr="00AD7F84">
        <w:rPr>
          <w:lang w:val="en-GB"/>
        </w:rPr>
        <w:instrText xml:space="preserve"> ADDIN EN.CITE &lt;EndNote&gt;&lt;Cite AuthorYear="1"&gt;&lt;Author&gt;Flaig&lt;/Author&gt;&lt;Year&gt;2013&lt;/Year&gt;&lt;RecNum&gt;109&lt;/RecNum&gt;&lt;DisplayText&gt;Flaig, Grethe and McDonald (2013)&lt;/DisplayText&gt;&lt;record&gt;&lt;rec-number&gt;109&lt;/rec-number&gt;&lt;foreign-keys&gt;&lt;key app="EN" db-id="tfz9v5v04w9xeqetf025f5tv2e2xttaavpp2" timestamp="1408718598"&gt;109&lt;/key&gt;&lt;/foreign-keys&gt;&lt;ref-type name="Conference Paper"&gt;47&lt;/ref-type&gt;&lt;contributors&gt;&lt;authors&gt;&lt;author&gt;Flaig, Dorothee &lt;/author&gt;&lt;author&gt;Grethe, Harald &lt;/author&gt;&lt;author&gt;McDonald, Scott&lt;/author&gt;&lt;/authors&gt;&lt;/contributors&gt;&lt;titles&gt;&lt;title&gt;Imperfect Labour Mobility in a CGE Model: Does Specific Factor Productivity Matter?&lt;/title&gt;&lt;secondary-title&gt;16th Annual Global Trade Analysis Conference&lt;/secondary-title&gt;&lt;/titles&gt;&lt;dates&gt;&lt;year&gt;2013&lt;/year&gt;&lt;/dates&gt;&lt;pub-location&gt;Shanghai, China&lt;/pub-location&gt;&lt;urls&gt;&lt;/urls&gt;&lt;/record&gt;&lt;/Cite&gt;&lt;/EndNote&gt;</w:instrText>
      </w:r>
      <w:r w:rsidRPr="00AD7F84">
        <w:rPr>
          <w:lang w:val="en-GB"/>
        </w:rPr>
        <w:fldChar w:fldCharType="separate"/>
      </w:r>
      <w:proofErr w:type="spellStart"/>
      <w:r w:rsidRPr="00AD7F84">
        <w:rPr>
          <w:lang w:val="en-GB"/>
        </w:rPr>
        <w:t>Flaig</w:t>
      </w:r>
      <w:proofErr w:type="spellEnd"/>
      <w:r w:rsidRPr="00AD7F84">
        <w:rPr>
          <w:lang w:val="en-GB"/>
        </w:rPr>
        <w:t xml:space="preserve">, </w:t>
      </w:r>
      <w:proofErr w:type="spellStart"/>
      <w:r w:rsidRPr="00AD7F84">
        <w:rPr>
          <w:lang w:val="en-GB"/>
        </w:rPr>
        <w:t>Grethe</w:t>
      </w:r>
      <w:proofErr w:type="spellEnd"/>
      <w:r w:rsidRPr="00AD7F84">
        <w:rPr>
          <w:lang w:val="en-GB"/>
        </w:rPr>
        <w:t xml:space="preserve"> and McDonald (2013)</w:t>
      </w:r>
      <w:r w:rsidRPr="00AD7F84">
        <w:fldChar w:fldCharType="end"/>
      </w:r>
      <w:r w:rsidRPr="00AD7F84">
        <w:rPr>
          <w:lang w:val="en-GB"/>
        </w:rPr>
        <w:t xml:space="preserve"> also implemented migration equations into a single country Computable General Equilibrium (CGE) model calibrated with a Social Accounting Matrix (SAM) of Israel.  They also allow for the possibility that migrating workers do not completely adopt the activity-specific productivity of the new sector, and hence the productivity/wages of the new workers may be lower, or possibly higher, than the other workers in that activity.  </w:t>
      </w:r>
    </w:p>
    <w:p w:rsidR="00AD7F84" w:rsidRPr="00AD7F84" w:rsidRDefault="00AD7F84" w:rsidP="00AD7F84">
      <w:pPr>
        <w:rPr>
          <w:lang w:val="en-GB"/>
        </w:rPr>
      </w:pPr>
      <w:proofErr w:type="gramStart"/>
      <w:r w:rsidRPr="00AD7F84">
        <w:rPr>
          <w:lang w:val="en-GB"/>
        </w:rPr>
        <w:t xml:space="preserve">Renewed interest in </w:t>
      </w:r>
      <w:proofErr w:type="spellStart"/>
      <w:r w:rsidRPr="00AD7F84">
        <w:rPr>
          <w:lang w:val="en-GB"/>
        </w:rPr>
        <w:t>labor</w:t>
      </w:r>
      <w:proofErr w:type="spellEnd"/>
      <w:r w:rsidRPr="00AD7F84">
        <w:rPr>
          <w:lang w:val="en-GB"/>
        </w:rPr>
        <w:t xml:space="preserve"> with the 2008 economic crisis and increasing interest in the employment impact of supply chains and migration.</w:t>
      </w:r>
      <w:proofErr w:type="gramEnd"/>
      <w:r w:rsidRPr="00AD7F84">
        <w:rPr>
          <w:lang w:val="en-GB"/>
        </w:rPr>
        <w:t xml:space="preserve">  </w:t>
      </w:r>
    </w:p>
    <w:p w:rsidR="00AD7F84" w:rsidRPr="00AD7F84" w:rsidRDefault="00AD7F84" w:rsidP="00AD7F84">
      <w:pPr>
        <w:numPr>
          <w:ilvl w:val="0"/>
          <w:numId w:val="10"/>
        </w:numPr>
      </w:pPr>
      <w:r w:rsidRPr="00AD7F84">
        <w:rPr>
          <w:lang w:val="en-GB"/>
        </w:rPr>
        <w:t>Distribution of labour productivities within a factor type across activities</w:t>
      </w:r>
    </w:p>
    <w:p w:rsidR="00AD7F84" w:rsidRPr="00AD7F84" w:rsidRDefault="00AD7F84" w:rsidP="00AD7F84">
      <w:pPr>
        <w:numPr>
          <w:ilvl w:val="1"/>
          <w:numId w:val="10"/>
        </w:numPr>
      </w:pPr>
      <w:r w:rsidRPr="00AD7F84">
        <w:rPr>
          <w:lang w:val="en-GB"/>
        </w:rPr>
        <w:t>Is the classification scheme adequate? (education/skills vv occupation)</w:t>
      </w:r>
    </w:p>
    <w:p w:rsidR="00AD7F84" w:rsidRPr="00AD7F84" w:rsidRDefault="00AD7F84" w:rsidP="00AD7F84">
      <w:pPr>
        <w:numPr>
          <w:ilvl w:val="1"/>
          <w:numId w:val="10"/>
        </w:numPr>
      </w:pPr>
      <w:r w:rsidRPr="00AD7F84">
        <w:rPr>
          <w:lang w:val="en-GB"/>
        </w:rPr>
        <w:lastRenderedPageBreak/>
        <w:t>Do we need to include information on the variation of ‘skills’ around the mean for each labour category?</w:t>
      </w:r>
    </w:p>
    <w:p w:rsidR="00AD7F84" w:rsidRPr="00AD7F84" w:rsidRDefault="00AD7F84" w:rsidP="00AD7F84">
      <w:pPr>
        <w:numPr>
          <w:ilvl w:val="0"/>
          <w:numId w:val="10"/>
        </w:numPr>
      </w:pPr>
      <w:r w:rsidRPr="00AD7F84">
        <w:rPr>
          <w:lang w:val="en-GB"/>
        </w:rPr>
        <w:t>Labour productivities associated with reallocated labour</w:t>
      </w:r>
    </w:p>
    <w:p w:rsidR="00AD7F84" w:rsidRPr="00AD7F84" w:rsidRDefault="00AD7F84" w:rsidP="00AD7F84">
      <w:pPr>
        <w:numPr>
          <w:ilvl w:val="1"/>
          <w:numId w:val="10"/>
        </w:numPr>
      </w:pPr>
      <w:r w:rsidRPr="00AD7F84">
        <w:rPr>
          <w:lang w:val="en-GB"/>
        </w:rPr>
        <w:t>What productivity does the reallocated labour type have in its new activity? (The one from the activity it leaves or activity to which it goes or some ‘mix’)</w:t>
      </w:r>
    </w:p>
    <w:p w:rsidR="00AD7F84" w:rsidRPr="00AD7F84" w:rsidRDefault="00AD7F84" w:rsidP="00AD7F84">
      <w:pPr>
        <w:numPr>
          <w:ilvl w:val="1"/>
          <w:numId w:val="10"/>
        </w:numPr>
      </w:pPr>
      <w:r w:rsidRPr="00AD7F84">
        <w:rPr>
          <w:lang w:val="en-GB"/>
        </w:rPr>
        <w:t>How should we model reallocation?</w:t>
      </w:r>
    </w:p>
    <w:p w:rsidR="00AD7F84" w:rsidRPr="00AD7F84" w:rsidRDefault="00AD7F84" w:rsidP="00AD7F84">
      <w:pPr>
        <w:rPr>
          <w:b/>
        </w:rPr>
      </w:pPr>
      <w:r w:rsidRPr="00AD7F84">
        <w:rPr>
          <w:b/>
        </w:rPr>
        <w:t>Methodology: Data and Model</w:t>
      </w:r>
    </w:p>
    <w:p w:rsidR="00AD7F84" w:rsidRPr="00AD7F84" w:rsidRDefault="00AD7F84" w:rsidP="00AD7F84">
      <w:pPr>
        <w:rPr>
          <w:b/>
        </w:rPr>
      </w:pPr>
      <w:r w:rsidRPr="00AD7F84">
        <w:rPr>
          <w:b/>
        </w:rPr>
        <w:t>Data</w:t>
      </w:r>
    </w:p>
    <w:p w:rsidR="00AD7F84" w:rsidRPr="00AD7F84" w:rsidRDefault="00AD7F84" w:rsidP="00AD7F84">
      <w:r w:rsidRPr="00AD7F84">
        <w:t xml:space="preserve">The data used in the GLOBE model were derived from the GTAP 8.1L database using a three dimensional Social Accounting Matrix (SAM) method for </w:t>
      </w:r>
      <w:proofErr w:type="spellStart"/>
      <w:r w:rsidRPr="00AD7F84">
        <w:t>organising</w:t>
      </w:r>
      <w:proofErr w:type="spellEnd"/>
      <w:r w:rsidRPr="00AD7F84">
        <w:t xml:space="preserve"> the data. Details of the method used to generate a SAM representation are reported in </w:t>
      </w:r>
      <w:r w:rsidRPr="00AD7F84">
        <w:fldChar w:fldCharType="begin"/>
      </w:r>
      <w:r w:rsidRPr="00AD7F84">
        <w:instrText xml:space="preserve"> ADDIN EN.CITE &lt;EndNote&gt;&lt;Cite AuthorYear="1"&gt;&lt;Author&gt;McDonald&lt;/Author&gt;&lt;Year&gt;2004&lt;/Year&gt;&lt;RecNum&gt;104&lt;/RecNum&gt;&lt;DisplayText&gt;McDonald and Thierfelder (2004a)&lt;/DisplayText&gt;&lt;record&gt;&lt;rec-number&gt;104&lt;/rec-number&gt;&lt;foreign-keys&gt;&lt;key app="EN" db-id="tfz9v5v04w9xeqetf025f5tv2e2xttaavpp2" timestamp="1408548726"&gt;104&lt;/key&gt;&lt;/foreign-keys&gt;&lt;ref-type name="Manuscript"&gt;36&lt;/ref-type&gt;&lt;contributors&gt;&lt;authors&gt;&lt;author&gt;McDonald, Scott&lt;/author&gt;&lt;author&gt;Thierfelder, Karen&lt;/author&gt;&lt;/authors&gt;&lt;secondary-authors&gt;&lt;author&gt;Center for Global Trade Analysis&lt;/author&gt;&lt;/secondary-authors&gt;&lt;/contributors&gt;&lt;titles&gt;&lt;title&gt;Deriving a Global Social Accounting Matrix from GTAP Versions 5 and 6 Data&lt;/title&gt;&lt;secondary-title&gt;GTAP Technical Paper eries&lt;/secondary-title&gt;&lt;/titles&gt;&lt;num-vols&gt;22&lt;/num-vols&gt;&lt;dates&gt;&lt;year&gt;2004&lt;/year&gt;&lt;/dates&gt;&lt;pub-location&gt;West Lafayette, IN&lt;/pub-location&gt;&lt;urls&gt;&lt;/urls&gt;&lt;/record&gt;&lt;/Cite&gt;&lt;/EndNote&gt;</w:instrText>
      </w:r>
      <w:r w:rsidRPr="00AD7F84">
        <w:fldChar w:fldCharType="separate"/>
      </w:r>
      <w:r w:rsidRPr="00AD7F84">
        <w:t xml:space="preserve">McDonald and </w:t>
      </w:r>
      <w:proofErr w:type="spellStart"/>
      <w:r w:rsidRPr="00AD7F84">
        <w:t>Thierfelder</w:t>
      </w:r>
      <w:proofErr w:type="spellEnd"/>
      <w:r w:rsidRPr="00AD7F84">
        <w:t xml:space="preserve"> (2004a)</w:t>
      </w:r>
      <w:r w:rsidRPr="00AD7F84">
        <w:fldChar w:fldCharType="end"/>
      </w:r>
      <w:r w:rsidRPr="00AD7F84">
        <w:t xml:space="preserve">. The data are aggregated into nine sectors, nine regions (see Appendix 1) and eight factors (five </w:t>
      </w:r>
      <w:proofErr w:type="gramStart"/>
      <w:r w:rsidRPr="00AD7F84">
        <w:t>labor</w:t>
      </w:r>
      <w:proofErr w:type="gramEnd"/>
      <w:r w:rsidRPr="00AD7F84">
        <w:t xml:space="preserve">, listed in Table 1, capital, land and Natural resources).  Of importance in this paper is that the SAM includes the use of these eight factors by all nine activities for each region and that the payments to those factors less depreciation and direct (income) taxes accrue to the households.  </w:t>
      </w:r>
    </w:p>
    <w:p w:rsidR="00AD7F84" w:rsidRPr="00AD7F84" w:rsidRDefault="00AD7F84" w:rsidP="00AD7F84">
      <w:r w:rsidRPr="00AD7F84">
        <w:t xml:space="preserve">Recent changes to the labor data in the GTAP database have increased the number of labor factors from 2 to 5 (Table 1).  These additional labor data in the GTAP 8.1L database come from </w:t>
      </w:r>
      <w:r w:rsidRPr="00AD7F84">
        <w:fldChar w:fldCharType="begin"/>
      </w:r>
      <w:r w:rsidRPr="00AD7F84">
        <w:instrText xml:space="preserve"> ADDIN EN.CITE &lt;EndNote&gt;&lt;Cite AuthorYear="1"&gt;&lt;Author&gt;Weingarden&lt;/Author&gt;&lt;Year&gt;2010&lt;/Year&gt;&lt;RecNum&gt;75&lt;/RecNum&gt;&lt;DisplayText&gt;Weingarden and Tsigas (2010)&lt;/DisplayText&gt;&lt;record&gt;&lt;rec-number&gt;75&lt;/rec-number&gt;&lt;foreign-keys&gt;&lt;key app="EN" db-id="tfz9v5v04w9xeqetf025f5tv2e2xttaavpp2" timestamp="1408548112"&gt;75&lt;/key&gt;&lt;/foreign-keys&gt;&lt;ref-type name="Manuscript"&gt;36&lt;/ref-type&gt;&lt;contributors&gt;&lt;authors&gt;&lt;author&gt;Weingarden, Alison &lt;/author&gt;&lt;author&gt;Marinos Tsigas&lt;/author&gt;&lt;/authors&gt;&lt;secondary-authors&gt;&lt;author&gt;U.S. International Trade Commission&lt;/author&gt;&lt;/secondary-authors&gt;&lt;/contributors&gt;&lt;titles&gt;&lt;title&gt;Labor Statstics for the GTAP Database&lt;/title&gt;&lt;/titles&gt;&lt;dates&gt;&lt;year&gt;2010&lt;/year&gt;&lt;/dates&gt;&lt;pub-location&gt;Washington, DC&lt;/pub-location&gt;&lt;urls&gt;&lt;/urls&gt;&lt;/record&gt;&lt;/Cite&gt;&lt;/EndNote&gt;</w:instrText>
      </w:r>
      <w:r w:rsidRPr="00AD7F84">
        <w:fldChar w:fldCharType="separate"/>
      </w:r>
      <w:proofErr w:type="spellStart"/>
      <w:r w:rsidRPr="00AD7F84">
        <w:t>Weingarden</w:t>
      </w:r>
      <w:proofErr w:type="spellEnd"/>
      <w:r w:rsidRPr="00AD7F84">
        <w:t xml:space="preserve"> and </w:t>
      </w:r>
      <w:proofErr w:type="spellStart"/>
      <w:r w:rsidRPr="00AD7F84">
        <w:t>Tsigas</w:t>
      </w:r>
      <w:proofErr w:type="spellEnd"/>
      <w:r w:rsidRPr="00AD7F84">
        <w:t xml:space="preserve"> (2010)</w:t>
      </w:r>
      <w:r w:rsidRPr="00AD7F84">
        <w:fldChar w:fldCharType="end"/>
      </w:r>
      <w:r w:rsidRPr="00AD7F84">
        <w:t xml:space="preserve"> and were further processed by </w:t>
      </w:r>
      <w:r w:rsidRPr="00AD7F84">
        <w:fldChar w:fldCharType="begin"/>
      </w:r>
      <w:r w:rsidRPr="00AD7F84">
        <w:instrText xml:space="preserve"> ADDIN EN.CITE &lt;EndNote&gt;&lt;Cite AuthorYear="1"&gt;&lt;Author&gt;Walmsley&lt;/Author&gt;&lt;Year&gt;forthcoming&lt;/Year&gt;&lt;RecNum&gt;68&lt;/RecNum&gt;&lt;DisplayText&gt;Walmsley and Carrico (forthcoming)&lt;/DisplayText&gt;&lt;record&gt;&lt;rec-number&gt;68&lt;/rec-number&gt;&lt;foreign-keys&gt;&lt;key app="EN" db-id="tfz9v5v04w9xeqetf025f5tv2e2xttaavpp2" timestamp="1408548112"&gt;68&lt;/key&gt;&lt;/foreign-keys&gt;&lt;ref-type name="Manuscript"&gt;36&lt;/ref-type&gt;&lt;contributors&gt;&lt;authors&gt;&lt;author&gt;Walmsley, Terrie L.&lt;/author&gt;&lt;author&gt;Caitlyn Carrico&lt;/author&gt;&lt;/authors&gt;&lt;secondary-authors&gt;&lt;author&gt;Center for Global Trade Analysis,&lt;/author&gt;&lt;/secondary-authors&gt;&lt;/contributors&gt;&lt;titles&gt;&lt;title&gt;Disaggregating Labor Payments in the GTAP 8 Data Base&lt;/title&gt;&lt;secondary-title&gt;GTAP Technical Paper Series&lt;/secondary-title&gt;&lt;/titles&gt;&lt;dates&gt;&lt;year&gt;forthcoming&lt;/year&gt;&lt;/dates&gt;&lt;pub-location&gt;West Lafayette, Indiana&lt;/pub-location&gt;&lt;urls&gt;&lt;/urls&gt;&lt;/record&gt;&lt;/Cite&gt;&lt;/EndNote&gt;</w:instrText>
      </w:r>
      <w:r w:rsidRPr="00AD7F84">
        <w:fldChar w:fldCharType="separate"/>
      </w:r>
      <w:proofErr w:type="spellStart"/>
      <w:r w:rsidRPr="00AD7F84">
        <w:t>Walmsley</w:t>
      </w:r>
      <w:proofErr w:type="spellEnd"/>
      <w:r w:rsidRPr="00AD7F84">
        <w:t xml:space="preserve"> and </w:t>
      </w:r>
      <w:proofErr w:type="spellStart"/>
      <w:r w:rsidRPr="00AD7F84">
        <w:t>Carrico</w:t>
      </w:r>
      <w:proofErr w:type="spellEnd"/>
      <w:r w:rsidRPr="00AD7F84">
        <w:t xml:space="preserve"> (forthcoming)</w:t>
      </w:r>
      <w:r w:rsidRPr="00AD7F84">
        <w:fldChar w:fldCharType="end"/>
      </w:r>
      <w:r w:rsidRPr="00AD7F84">
        <w:t xml:space="preserve">.  The data are based on wage and quantity data obtained from the ILO for up to 21 sectors. Wages multiplied by quantities form the basis of value shares that are then applied to the GTAP total labor value added data.  </w:t>
      </w:r>
    </w:p>
    <w:p w:rsidR="00AD7F84" w:rsidRPr="00AD7F84" w:rsidRDefault="00AD7F84" w:rsidP="00AD7F84">
      <w:r w:rsidRPr="00AD7F84">
        <w:t xml:space="preserve">In addition to disaggregating factor payments in the GTAP 8.1L database, the underlying quantity and wage data are also employed in this paper to demonstrate the extent to which wages differ across sectors and hence provide estimates of sector-specific productivity of the five labor types. The 21 ILO sectors can be mapped to a 12 sector aggregation of the GTAP database (figure 4 in </w:t>
      </w:r>
      <w:r w:rsidRPr="00AD7F84">
        <w:fldChar w:fldCharType="begin"/>
      </w:r>
      <w:r w:rsidRPr="00AD7F84">
        <w:instrText xml:space="preserve"> ADDIN EN.CITE &lt;EndNote&gt;&lt;Cite AuthorYear="1"&gt;&lt;Author&gt;Walmsley&lt;/Author&gt;&lt;Year&gt;forthcoming&lt;/Year&gt;&lt;RecNum&gt;68&lt;/RecNum&gt;&lt;DisplayText&gt;Walmsley and Carrico (forthcoming)&lt;/DisplayText&gt;&lt;record&gt;&lt;rec-number&gt;68&lt;/rec-number&gt;&lt;foreign-keys&gt;&lt;key app="EN" db-id="tfz9v5v04w9xeqetf025f5tv2e2xttaavpp2" timestamp="1408548112"&gt;68&lt;/key&gt;&lt;/foreign-keys&gt;&lt;ref-type name="Manuscript"&gt;36&lt;/ref-type&gt;&lt;contributors&gt;&lt;authors&gt;&lt;author&gt;Walmsley, Terrie L.&lt;/author&gt;&lt;author&gt;Caitlyn Carrico&lt;/author&gt;&lt;/authors&gt;&lt;secondary-authors&gt;&lt;author&gt;Center for Global Trade Analysis,&lt;/author&gt;&lt;/secondary-authors&gt;&lt;/contributors&gt;&lt;titles&gt;&lt;title&gt;Disaggregating Labor Payments in the GTAP 8 Data Base&lt;/title&gt;&lt;secondary-title&gt;GTAP Technical Paper Series&lt;/secondary-title&gt;&lt;/titles&gt;&lt;dates&gt;&lt;year&gt;forthcoming&lt;/year&gt;&lt;/dates&gt;&lt;pub-location&gt;West Lafayette, Indiana&lt;/pub-location&gt;&lt;urls&gt;&lt;/urls&gt;&lt;/record&gt;&lt;/Cite&gt;&lt;/EndNote&gt;</w:instrText>
      </w:r>
      <w:r w:rsidRPr="00AD7F84">
        <w:fldChar w:fldCharType="separate"/>
      </w:r>
      <w:proofErr w:type="spellStart"/>
      <w:r w:rsidRPr="00AD7F84">
        <w:t>Walmsley</w:t>
      </w:r>
      <w:proofErr w:type="spellEnd"/>
      <w:r w:rsidRPr="00AD7F84">
        <w:t xml:space="preserve"> and </w:t>
      </w:r>
      <w:proofErr w:type="spellStart"/>
      <w:r w:rsidRPr="00AD7F84">
        <w:t>Carrico</w:t>
      </w:r>
      <w:proofErr w:type="spellEnd"/>
      <w:r w:rsidRPr="00AD7F84">
        <w:t xml:space="preserve"> (forthcoming)</w:t>
      </w:r>
      <w:r w:rsidRPr="00AD7F84">
        <w:fldChar w:fldCharType="end"/>
      </w:r>
      <w:r w:rsidRPr="00AD7F84">
        <w:t xml:space="preserve">), hence average wages exist for all five labor categories across the 12 </w:t>
      </w:r>
      <w:proofErr w:type="spellStart"/>
      <w:r w:rsidRPr="00AD7F84">
        <w:t>sectoral</w:t>
      </w:r>
      <w:proofErr w:type="spellEnd"/>
      <w:r w:rsidRPr="00AD7F84">
        <w:t xml:space="preserve"> aggregates.  It is assumed that wages are the same across sectors within each of the 12 </w:t>
      </w:r>
      <w:proofErr w:type="spellStart"/>
      <w:r w:rsidRPr="00AD7F84">
        <w:t>sectoral</w:t>
      </w:r>
      <w:proofErr w:type="spellEnd"/>
      <w:r w:rsidRPr="00AD7F84">
        <w:t xml:space="preserve"> aggregates, for example one wage is provided for the sector aggregate – Agriculture – and hence it is assumed that workers of the same type working in the “wheat” sector earn the same average wage as those working in the “sugar” sector. Consideration was given to the 12 aggregates when selecting the nine sectors (see columns I and II in Table 2): in some cases, for instance crops and livestock are both in the same aggregate – Agriculture – while others match one of the 12 aggregates in its entirety (e.g., utilities); in the case of services </w:t>
      </w:r>
      <w:r w:rsidRPr="00AD7F84">
        <w:lastRenderedPageBreak/>
        <w:t xml:space="preserve">we have chosen to further aggregate some of the 12 sector aggregates since there is a lot more detail in the ILO data for the services sectors.  </w:t>
      </w:r>
    </w:p>
    <w:p w:rsidR="00AD7F84" w:rsidRPr="00AD7F84" w:rsidRDefault="00AD7F84" w:rsidP="00AD7F84">
      <w:r w:rsidRPr="00AD7F84">
        <w:t xml:space="preserve">Figure 1 shows the extent to which wages differ across regions and across sectors in this GTAP aggregation for Clerical workers. As expected there are considerable differences between developing and developed economies, but as discussed above there are also considerable differences between wages across sectors, with clerical workers working in agricultural sectors receiving the lowest wage across all regions.  The results are similar for other labor types, albeit the more skilled workers – ‘Technical and Assistant Professionals’ and ‘Office Managers and Professionals’ – earn higher wages than the lower skilled workers. These differences in wages will reflect the sector-specific productivity of these workers. </w:t>
      </w:r>
    </w:p>
    <w:p w:rsidR="00AD7F84" w:rsidRPr="00AD7F84" w:rsidRDefault="00AD7F84" w:rsidP="00AD7F84">
      <w:proofErr w:type="gramStart"/>
      <w:r w:rsidRPr="00AD7F84">
        <w:t>Table 1.</w:t>
      </w:r>
      <w:proofErr w:type="gramEnd"/>
      <w:r w:rsidRPr="00AD7F84">
        <w:t xml:space="preserve"> Five Individual and Aggregate Categories of ISCO-88</w:t>
      </w:r>
    </w:p>
    <w:tbl>
      <w:tblPr>
        <w:tblStyle w:val="LightShading"/>
        <w:tblW w:w="9450" w:type="dxa"/>
        <w:tblLook w:val="0420"/>
      </w:tblPr>
      <w:tblGrid>
        <w:gridCol w:w="1080"/>
        <w:gridCol w:w="1591"/>
        <w:gridCol w:w="1496"/>
        <w:gridCol w:w="5283"/>
      </w:tblGrid>
      <w:tr w:rsidR="00AD7F84" w:rsidRPr="00AD7F84" w:rsidTr="00F92896">
        <w:trPr>
          <w:cnfStyle w:val="100000000000"/>
          <w:trHeight w:val="300"/>
        </w:trPr>
        <w:tc>
          <w:tcPr>
            <w:tcW w:w="1080" w:type="dxa"/>
            <w:noWrap/>
            <w:vAlign w:val="center"/>
            <w:hideMark/>
          </w:tcPr>
          <w:p w:rsidR="00AD7F84" w:rsidRPr="00AD7F84" w:rsidRDefault="00AD7F84" w:rsidP="00AD7F84">
            <w:pPr>
              <w:spacing w:after="200" w:line="276" w:lineRule="auto"/>
            </w:pPr>
            <w:r w:rsidRPr="00AD7F84">
              <w:t>ISCO-88 Major Group</w:t>
            </w:r>
          </w:p>
        </w:tc>
        <w:tc>
          <w:tcPr>
            <w:tcW w:w="1591" w:type="dxa"/>
            <w:noWrap/>
            <w:vAlign w:val="center"/>
            <w:hideMark/>
          </w:tcPr>
          <w:p w:rsidR="00AD7F84" w:rsidRPr="00AD7F84" w:rsidRDefault="00AD7F84" w:rsidP="00AD7F84">
            <w:pPr>
              <w:spacing w:after="200" w:line="276" w:lineRule="auto"/>
            </w:pPr>
            <w:r w:rsidRPr="00AD7F84">
              <w:t>Abbreviated Name used in GTAP</w:t>
            </w:r>
          </w:p>
        </w:tc>
        <w:tc>
          <w:tcPr>
            <w:tcW w:w="1496" w:type="dxa"/>
            <w:vAlign w:val="center"/>
          </w:tcPr>
          <w:p w:rsidR="00AD7F84" w:rsidRPr="00AD7F84" w:rsidRDefault="00AD7F84" w:rsidP="00AD7F84">
            <w:pPr>
              <w:spacing w:after="200" w:line="276" w:lineRule="auto"/>
            </w:pPr>
            <w:r w:rsidRPr="00AD7F84">
              <w:t>Short name used in Paper</w:t>
            </w:r>
          </w:p>
        </w:tc>
        <w:tc>
          <w:tcPr>
            <w:tcW w:w="5283" w:type="dxa"/>
            <w:noWrap/>
            <w:vAlign w:val="center"/>
            <w:hideMark/>
          </w:tcPr>
          <w:p w:rsidR="00AD7F84" w:rsidRPr="00AD7F84" w:rsidRDefault="00AD7F84" w:rsidP="00AD7F84">
            <w:pPr>
              <w:spacing w:after="200" w:line="276" w:lineRule="auto"/>
            </w:pPr>
            <w:r w:rsidRPr="00AD7F84">
              <w:t>Description</w:t>
            </w:r>
          </w:p>
        </w:tc>
      </w:tr>
      <w:tr w:rsidR="00AD7F84" w:rsidRPr="00AD7F84" w:rsidTr="00F92896">
        <w:trPr>
          <w:cnfStyle w:val="000000100000"/>
          <w:trHeight w:val="315"/>
        </w:trPr>
        <w:tc>
          <w:tcPr>
            <w:tcW w:w="1080" w:type="dxa"/>
            <w:noWrap/>
            <w:hideMark/>
          </w:tcPr>
          <w:p w:rsidR="00AD7F84" w:rsidRPr="00AD7F84" w:rsidRDefault="00AD7F84" w:rsidP="00AD7F84">
            <w:pPr>
              <w:spacing w:after="200" w:line="276" w:lineRule="auto"/>
            </w:pPr>
            <w:r w:rsidRPr="00AD7F84">
              <w:t>1,2</w:t>
            </w:r>
          </w:p>
        </w:tc>
        <w:tc>
          <w:tcPr>
            <w:tcW w:w="1591" w:type="dxa"/>
            <w:noWrap/>
            <w:hideMark/>
          </w:tcPr>
          <w:p w:rsidR="00AD7F84" w:rsidRPr="00AD7F84" w:rsidRDefault="00AD7F84" w:rsidP="00AD7F84">
            <w:pPr>
              <w:spacing w:after="200" w:line="276" w:lineRule="auto"/>
            </w:pPr>
            <w:proofErr w:type="spellStart"/>
            <w:r w:rsidRPr="00AD7F84">
              <w:t>off_mgr_pros</w:t>
            </w:r>
            <w:proofErr w:type="spellEnd"/>
          </w:p>
        </w:tc>
        <w:tc>
          <w:tcPr>
            <w:tcW w:w="1496" w:type="dxa"/>
          </w:tcPr>
          <w:p w:rsidR="00AD7F84" w:rsidRPr="00AD7F84" w:rsidRDefault="00AD7F84" w:rsidP="00AD7F84">
            <w:pPr>
              <w:spacing w:after="200" w:line="276" w:lineRule="auto"/>
            </w:pPr>
            <w:r w:rsidRPr="00AD7F84">
              <w:t>Officials and Mangers</w:t>
            </w:r>
          </w:p>
        </w:tc>
        <w:tc>
          <w:tcPr>
            <w:tcW w:w="5283" w:type="dxa"/>
            <w:noWrap/>
            <w:hideMark/>
          </w:tcPr>
          <w:p w:rsidR="00AD7F84" w:rsidRPr="00AD7F84" w:rsidRDefault="00AD7F84" w:rsidP="00AD7F84">
            <w:pPr>
              <w:spacing w:after="200" w:line="276" w:lineRule="auto"/>
            </w:pPr>
            <w:r w:rsidRPr="00AD7F84">
              <w:t>Legislators, senior officials and managers (Major Groups 1), and  professionals (Major Group 2)</w:t>
            </w:r>
          </w:p>
        </w:tc>
      </w:tr>
      <w:tr w:rsidR="00AD7F84" w:rsidRPr="00AD7F84" w:rsidTr="00F92896">
        <w:trPr>
          <w:trHeight w:val="315"/>
        </w:trPr>
        <w:tc>
          <w:tcPr>
            <w:tcW w:w="1080" w:type="dxa"/>
            <w:noWrap/>
            <w:hideMark/>
          </w:tcPr>
          <w:p w:rsidR="00AD7F84" w:rsidRPr="00AD7F84" w:rsidRDefault="00AD7F84" w:rsidP="00AD7F84">
            <w:pPr>
              <w:spacing w:after="200" w:line="276" w:lineRule="auto"/>
            </w:pPr>
            <w:r w:rsidRPr="00AD7F84">
              <w:t>3</w:t>
            </w:r>
          </w:p>
        </w:tc>
        <w:tc>
          <w:tcPr>
            <w:tcW w:w="1591" w:type="dxa"/>
            <w:noWrap/>
            <w:hideMark/>
          </w:tcPr>
          <w:p w:rsidR="00AD7F84" w:rsidRPr="00AD7F84" w:rsidRDefault="00AD7F84" w:rsidP="00AD7F84">
            <w:pPr>
              <w:spacing w:after="200" w:line="276" w:lineRule="auto"/>
            </w:pPr>
            <w:proofErr w:type="spellStart"/>
            <w:r w:rsidRPr="00AD7F84">
              <w:t>tech_aspros</w:t>
            </w:r>
            <w:proofErr w:type="spellEnd"/>
          </w:p>
        </w:tc>
        <w:tc>
          <w:tcPr>
            <w:tcW w:w="1496" w:type="dxa"/>
          </w:tcPr>
          <w:p w:rsidR="00AD7F84" w:rsidRPr="00AD7F84" w:rsidRDefault="00AD7F84" w:rsidP="00AD7F84">
            <w:pPr>
              <w:spacing w:after="200" w:line="276" w:lineRule="auto"/>
            </w:pPr>
            <w:r w:rsidRPr="00AD7F84">
              <w:t>Technicians</w:t>
            </w:r>
          </w:p>
        </w:tc>
        <w:tc>
          <w:tcPr>
            <w:tcW w:w="5283" w:type="dxa"/>
            <w:noWrap/>
            <w:hideMark/>
          </w:tcPr>
          <w:p w:rsidR="00AD7F84" w:rsidRPr="00AD7F84" w:rsidRDefault="00AD7F84" w:rsidP="00AD7F84">
            <w:pPr>
              <w:spacing w:after="200" w:line="276" w:lineRule="auto"/>
            </w:pPr>
            <w:r w:rsidRPr="00AD7F84">
              <w:t>Technicians and associate professionals</w:t>
            </w:r>
          </w:p>
        </w:tc>
      </w:tr>
      <w:tr w:rsidR="00AD7F84" w:rsidRPr="00AD7F84" w:rsidTr="00F92896">
        <w:trPr>
          <w:cnfStyle w:val="000000100000"/>
          <w:trHeight w:val="300"/>
        </w:trPr>
        <w:tc>
          <w:tcPr>
            <w:tcW w:w="1080" w:type="dxa"/>
            <w:noWrap/>
            <w:hideMark/>
          </w:tcPr>
          <w:p w:rsidR="00AD7F84" w:rsidRPr="00AD7F84" w:rsidRDefault="00AD7F84" w:rsidP="00AD7F84">
            <w:pPr>
              <w:spacing w:after="200" w:line="276" w:lineRule="auto"/>
            </w:pPr>
            <w:r w:rsidRPr="00AD7F84">
              <w:t>4</w:t>
            </w:r>
          </w:p>
        </w:tc>
        <w:tc>
          <w:tcPr>
            <w:tcW w:w="1591" w:type="dxa"/>
            <w:noWrap/>
            <w:hideMark/>
          </w:tcPr>
          <w:p w:rsidR="00AD7F84" w:rsidRPr="00AD7F84" w:rsidRDefault="00AD7F84" w:rsidP="00AD7F84">
            <w:pPr>
              <w:spacing w:after="200" w:line="276" w:lineRule="auto"/>
            </w:pPr>
            <w:r w:rsidRPr="00AD7F84">
              <w:t>Clerks</w:t>
            </w:r>
          </w:p>
        </w:tc>
        <w:tc>
          <w:tcPr>
            <w:tcW w:w="1496" w:type="dxa"/>
          </w:tcPr>
          <w:p w:rsidR="00AD7F84" w:rsidRPr="00AD7F84" w:rsidRDefault="00AD7F84" w:rsidP="00AD7F84">
            <w:pPr>
              <w:spacing w:after="200" w:line="276" w:lineRule="auto"/>
            </w:pPr>
            <w:r w:rsidRPr="00AD7F84">
              <w:t>Clerks</w:t>
            </w:r>
          </w:p>
        </w:tc>
        <w:tc>
          <w:tcPr>
            <w:tcW w:w="5283" w:type="dxa"/>
            <w:noWrap/>
            <w:hideMark/>
          </w:tcPr>
          <w:p w:rsidR="00AD7F84" w:rsidRPr="00AD7F84" w:rsidRDefault="00AD7F84" w:rsidP="00AD7F84">
            <w:pPr>
              <w:spacing w:after="200" w:line="276" w:lineRule="auto"/>
            </w:pPr>
            <w:r w:rsidRPr="00AD7F84">
              <w:t>Clerks</w:t>
            </w:r>
          </w:p>
        </w:tc>
      </w:tr>
      <w:tr w:rsidR="00AD7F84" w:rsidRPr="00AD7F84" w:rsidTr="00F92896">
        <w:trPr>
          <w:trHeight w:val="315"/>
        </w:trPr>
        <w:tc>
          <w:tcPr>
            <w:tcW w:w="1080" w:type="dxa"/>
            <w:noWrap/>
            <w:hideMark/>
          </w:tcPr>
          <w:p w:rsidR="00AD7F84" w:rsidRPr="00AD7F84" w:rsidRDefault="00AD7F84" w:rsidP="00AD7F84">
            <w:pPr>
              <w:spacing w:after="200" w:line="276" w:lineRule="auto"/>
            </w:pPr>
            <w:r w:rsidRPr="00AD7F84">
              <w:t>5</w:t>
            </w:r>
          </w:p>
        </w:tc>
        <w:tc>
          <w:tcPr>
            <w:tcW w:w="1591" w:type="dxa"/>
            <w:noWrap/>
            <w:hideMark/>
          </w:tcPr>
          <w:p w:rsidR="00AD7F84" w:rsidRPr="00AD7F84" w:rsidRDefault="00AD7F84" w:rsidP="00AD7F84">
            <w:pPr>
              <w:spacing w:after="200" w:line="276" w:lineRule="auto"/>
            </w:pPr>
            <w:proofErr w:type="spellStart"/>
            <w:r w:rsidRPr="00AD7F84">
              <w:t>service_shop</w:t>
            </w:r>
            <w:proofErr w:type="spellEnd"/>
          </w:p>
        </w:tc>
        <w:tc>
          <w:tcPr>
            <w:tcW w:w="1496" w:type="dxa"/>
          </w:tcPr>
          <w:p w:rsidR="00AD7F84" w:rsidRPr="00AD7F84" w:rsidRDefault="00AD7F84" w:rsidP="00AD7F84">
            <w:pPr>
              <w:spacing w:after="200" w:line="276" w:lineRule="auto"/>
            </w:pPr>
            <w:r w:rsidRPr="00AD7F84">
              <w:t>Service/Shop workers</w:t>
            </w:r>
          </w:p>
        </w:tc>
        <w:tc>
          <w:tcPr>
            <w:tcW w:w="5283" w:type="dxa"/>
            <w:noWrap/>
            <w:hideMark/>
          </w:tcPr>
          <w:p w:rsidR="00AD7F84" w:rsidRPr="00AD7F84" w:rsidRDefault="00AD7F84" w:rsidP="00AD7F84">
            <w:pPr>
              <w:spacing w:after="200" w:line="276" w:lineRule="auto"/>
            </w:pPr>
            <w:r w:rsidRPr="00AD7F84">
              <w:t>Service workers and shop and market sales workers</w:t>
            </w:r>
          </w:p>
        </w:tc>
      </w:tr>
      <w:tr w:rsidR="00AD7F84" w:rsidRPr="00AD7F84" w:rsidTr="00F92896">
        <w:trPr>
          <w:cnfStyle w:val="000000100000"/>
          <w:trHeight w:val="315"/>
        </w:trPr>
        <w:tc>
          <w:tcPr>
            <w:tcW w:w="1080" w:type="dxa"/>
            <w:noWrap/>
            <w:hideMark/>
          </w:tcPr>
          <w:p w:rsidR="00AD7F84" w:rsidRPr="00AD7F84" w:rsidRDefault="00AD7F84" w:rsidP="00AD7F84">
            <w:pPr>
              <w:spacing w:after="200" w:line="276" w:lineRule="auto"/>
            </w:pPr>
            <w:r w:rsidRPr="00AD7F84">
              <w:t>6,7,8,9</w:t>
            </w:r>
          </w:p>
        </w:tc>
        <w:tc>
          <w:tcPr>
            <w:tcW w:w="1591" w:type="dxa"/>
            <w:noWrap/>
            <w:hideMark/>
          </w:tcPr>
          <w:p w:rsidR="00AD7F84" w:rsidRPr="00AD7F84" w:rsidRDefault="00AD7F84" w:rsidP="00AD7F84">
            <w:pPr>
              <w:spacing w:after="200" w:line="276" w:lineRule="auto"/>
            </w:pPr>
            <w:proofErr w:type="spellStart"/>
            <w:r w:rsidRPr="00AD7F84">
              <w:t>ag_othlowsk</w:t>
            </w:r>
            <w:proofErr w:type="spellEnd"/>
          </w:p>
        </w:tc>
        <w:tc>
          <w:tcPr>
            <w:tcW w:w="1496" w:type="dxa"/>
          </w:tcPr>
          <w:p w:rsidR="00AD7F84" w:rsidRPr="00AD7F84" w:rsidRDefault="00AD7F84" w:rsidP="00AD7F84">
            <w:pPr>
              <w:spacing w:after="200" w:line="276" w:lineRule="auto"/>
            </w:pPr>
            <w:r w:rsidRPr="00AD7F84">
              <w:t>Agricultural and Unskilled</w:t>
            </w:r>
          </w:p>
        </w:tc>
        <w:tc>
          <w:tcPr>
            <w:tcW w:w="5283" w:type="dxa"/>
            <w:noWrap/>
            <w:hideMark/>
          </w:tcPr>
          <w:p w:rsidR="00AD7F84" w:rsidRPr="00AD7F84" w:rsidRDefault="00AD7F84" w:rsidP="00AD7F84">
            <w:pPr>
              <w:spacing w:after="200" w:line="276" w:lineRule="auto"/>
            </w:pPr>
            <w:r w:rsidRPr="00AD7F84">
              <w:t>skilled agricultural and fishery workers (Major  Group 6), craft and related trade workers (Major Group 7), plant and machine operators and assemblers (Major Group 8), and elementary occupations (Major Group 9)</w:t>
            </w:r>
          </w:p>
        </w:tc>
      </w:tr>
    </w:tbl>
    <w:p w:rsidR="00AD7F84" w:rsidRPr="00AD7F84" w:rsidRDefault="00AD7F84" w:rsidP="00AD7F84">
      <w:r w:rsidRPr="00AD7F84">
        <w:t xml:space="preserve">Source: </w:t>
      </w:r>
      <w:r w:rsidRPr="00AD7F84">
        <w:fldChar w:fldCharType="begin"/>
      </w:r>
      <w:r w:rsidRPr="00AD7F84">
        <w:instrText xml:space="preserve"> ADDIN EN.CITE &lt;EndNote&gt;&lt;Cite AuthorYear="1"&gt;&lt;Author&gt;Walmsley&lt;/Author&gt;&lt;Year&gt;forthcoming&lt;/Year&gt;&lt;RecNum&gt;68&lt;/RecNum&gt;&lt;DisplayText&gt;Walmsley and Carrico (forthcoming)&lt;/DisplayText&gt;&lt;record&gt;&lt;rec-number&gt;68&lt;/rec-number&gt;&lt;foreign-keys&gt;&lt;key app="EN" db-id="tfz9v5v04w9xeqetf025f5tv2e2xttaavpp2" timestamp="1408548112"&gt;68&lt;/key&gt;&lt;/foreign-keys&gt;&lt;ref-type name="Manuscript"&gt;36&lt;/ref-type&gt;&lt;contributors&gt;&lt;authors&gt;&lt;author&gt;Walmsley, Terrie L.&lt;/author&gt;&lt;author&gt;Caitlyn Carrico&lt;/author&gt;&lt;/authors&gt;&lt;secondary-authors&gt;&lt;author&gt;Center for Global Trade Analysis,&lt;/author&gt;&lt;/secondary-authors&gt;&lt;/contributors&gt;&lt;titles&gt;&lt;title&gt;Disaggregating Labor Payments in the GTAP 8 Data Base&lt;/title&gt;&lt;secondary-title&gt;GTAP Technical Paper Series&lt;/secondary-title&gt;&lt;/titles&gt;&lt;dates&gt;&lt;year&gt;forthcoming&lt;/year&gt;&lt;/dates&gt;&lt;pub-location&gt;West Lafayette, Indiana&lt;/pub-location&gt;&lt;urls&gt;&lt;/urls&gt;&lt;/record&gt;&lt;/Cite&gt;&lt;/EndNote&gt;</w:instrText>
      </w:r>
      <w:r w:rsidRPr="00AD7F84">
        <w:fldChar w:fldCharType="separate"/>
      </w:r>
      <w:proofErr w:type="spellStart"/>
      <w:r w:rsidRPr="00AD7F84">
        <w:t>Walmsley</w:t>
      </w:r>
      <w:proofErr w:type="spellEnd"/>
      <w:r w:rsidRPr="00AD7F84">
        <w:t xml:space="preserve"> and </w:t>
      </w:r>
      <w:proofErr w:type="spellStart"/>
      <w:r w:rsidRPr="00AD7F84">
        <w:t>Carrico</w:t>
      </w:r>
      <w:proofErr w:type="spellEnd"/>
      <w:r w:rsidRPr="00AD7F84">
        <w:t xml:space="preserve"> (forthcoming)</w:t>
      </w:r>
      <w:r w:rsidRPr="00AD7F84">
        <w:fldChar w:fldCharType="end"/>
      </w:r>
      <w:r w:rsidRPr="00AD7F84">
        <w:t>, Table 2.</w:t>
      </w:r>
    </w:p>
    <w:p w:rsidR="00AD7F84" w:rsidRPr="00AD7F84" w:rsidRDefault="00AD7F84" w:rsidP="00AD7F84">
      <w:r w:rsidRPr="00AD7F84">
        <w:t>Figure 1: Annual Wages in US dollars for Clerical workers</w:t>
      </w:r>
    </w:p>
    <w:p w:rsidR="00AD7F84" w:rsidRPr="00AD7F84" w:rsidRDefault="00AD7F84" w:rsidP="00AD7F84">
      <w:r w:rsidRPr="00AD7F84">
        <w:lastRenderedPageBreak/>
        <w:drawing>
          <wp:inline distT="0" distB="0" distL="0" distR="0">
            <wp:extent cx="5943600" cy="3665220"/>
            <wp:effectExtent l="0" t="0" r="0" b="1143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D7F84" w:rsidRPr="00AD7F84" w:rsidRDefault="00AD7F84" w:rsidP="00AD7F84">
      <w:r w:rsidRPr="00AD7F84">
        <w:t xml:space="preserve">Source: Based on values obtained from the GTAP 8.1L Database </w:t>
      </w:r>
      <w:r w:rsidRPr="00AD7F84">
        <w:fldChar w:fldCharType="begin"/>
      </w:r>
      <w:r w:rsidRPr="00AD7F84">
        <w:instrText xml:space="preserve"> ADDIN EN.CITE &lt;EndNote&gt;&lt;Cite&gt;&lt;Author&gt;Narayanan&lt;/Author&gt;&lt;Year&gt;2012&lt;/Year&gt;&lt;RecNum&gt;51&lt;/RecNum&gt;&lt;DisplayText&gt;(Narayanan, Aguiar and McDougall, 2012)&lt;/DisplayText&gt;&lt;record&gt;&lt;rec-number&gt;51&lt;/rec-number&gt;&lt;foreign-keys&gt;&lt;key app="EN" db-id="tfz9v5v04w9xeqetf025f5tv2e2xttaavpp2" timestamp="1408548112"&gt;51&lt;/key&gt;&lt;/foreign-keys&gt;&lt;ref-type name="Book"&gt;6&lt;/ref-type&gt;&lt;contributors&gt;&lt;authors&gt;&lt;author&gt;Narayanan, G. Badri&lt;/author&gt;&lt;author&gt;Angel Aguiar &lt;/author&gt;&lt;author&gt;Robert McDougall&lt;/author&gt;&lt;/authors&gt;&lt;/contributors&gt;&lt;titles&gt;&lt;title&gt;Global Trade, Assistance, and Production: The GTAP 8 Data Base&lt;/title&gt;&lt;/titles&gt;&lt;dates&gt;&lt;year&gt;2012&lt;/year&gt;&lt;/dates&gt;&lt;pub-location&gt;West Lafayette, Indiana&lt;/pub-location&gt;&lt;publisher&gt;Center for Global Trade Analysis, Purdue University&lt;/publisher&gt;&lt;urls&gt;&lt;related-urls&gt;&lt;url&gt;https://www.gtap.agecon.purdue.edu/databases/v8/v8_doco.asp&lt;/url&gt;&lt;/related-urls&gt;&lt;/urls&gt;&lt;/record&gt;&lt;/Cite&gt;&lt;/EndNote&gt;</w:instrText>
      </w:r>
      <w:r w:rsidRPr="00AD7F84">
        <w:fldChar w:fldCharType="separate"/>
      </w:r>
      <w:r w:rsidRPr="00AD7F84">
        <w:t xml:space="preserve">(Narayanan, </w:t>
      </w:r>
      <w:proofErr w:type="spellStart"/>
      <w:r w:rsidRPr="00AD7F84">
        <w:t>Aguiar</w:t>
      </w:r>
      <w:proofErr w:type="spellEnd"/>
      <w:r w:rsidRPr="00AD7F84">
        <w:t xml:space="preserve"> and McDougall, 2012)</w:t>
      </w:r>
      <w:r w:rsidRPr="00AD7F84">
        <w:fldChar w:fldCharType="end"/>
      </w:r>
      <w:r w:rsidRPr="00AD7F84">
        <w:t xml:space="preserve"> and quantity data from </w:t>
      </w:r>
      <w:r w:rsidRPr="00AD7F84">
        <w:fldChar w:fldCharType="begin"/>
      </w:r>
      <w:r w:rsidRPr="00AD7F84">
        <w:instrText xml:space="preserve"> ADDIN EN.CITE &lt;EndNote&gt;&lt;Cite AuthorYear="1"&gt;&lt;Author&gt;Walmsley&lt;/Author&gt;&lt;Year&gt;forthcoming&lt;/Year&gt;&lt;RecNum&gt;68&lt;/RecNum&gt;&lt;DisplayText&gt;Walmsley and Carrico (forthcoming)&lt;/DisplayText&gt;&lt;record&gt;&lt;rec-number&gt;68&lt;/rec-number&gt;&lt;foreign-keys&gt;&lt;key app="EN" db-id="tfz9v5v04w9xeqetf025f5tv2e2xttaavpp2" timestamp="1408548112"&gt;68&lt;/key&gt;&lt;/foreign-keys&gt;&lt;ref-type name="Manuscript"&gt;36&lt;/ref-type&gt;&lt;contributors&gt;&lt;authors&gt;&lt;author&gt;Walmsley, Terrie L.&lt;/author&gt;&lt;author&gt;Caitlyn Carrico&lt;/author&gt;&lt;/authors&gt;&lt;secondary-authors&gt;&lt;author&gt;Center for Global Trade Analysis,&lt;/author&gt;&lt;/secondary-authors&gt;&lt;/contributors&gt;&lt;titles&gt;&lt;title&gt;Disaggregating Labor Payments in the GTAP 8 Data Base&lt;/title&gt;&lt;secondary-title&gt;GTAP Technical Paper Series&lt;/secondary-title&gt;&lt;/titles&gt;&lt;dates&gt;&lt;year&gt;forthcoming&lt;/year&gt;&lt;/dates&gt;&lt;pub-location&gt;West Lafayette, Indiana&lt;/pub-location&gt;&lt;urls&gt;&lt;/urls&gt;&lt;/record&gt;&lt;/Cite&gt;&lt;/EndNote&gt;</w:instrText>
      </w:r>
      <w:r w:rsidRPr="00AD7F84">
        <w:fldChar w:fldCharType="separate"/>
      </w:r>
      <w:proofErr w:type="spellStart"/>
      <w:r w:rsidRPr="00AD7F84">
        <w:t>Walmsley</w:t>
      </w:r>
      <w:proofErr w:type="spellEnd"/>
      <w:r w:rsidRPr="00AD7F84">
        <w:t xml:space="preserve"> and </w:t>
      </w:r>
      <w:proofErr w:type="spellStart"/>
      <w:r w:rsidRPr="00AD7F84">
        <w:t>Carrico</w:t>
      </w:r>
      <w:proofErr w:type="spellEnd"/>
      <w:r w:rsidRPr="00AD7F84">
        <w:t xml:space="preserve"> (forthcoming)</w:t>
      </w:r>
      <w:r w:rsidRPr="00AD7F84">
        <w:fldChar w:fldCharType="end"/>
      </w:r>
      <w:r w:rsidRPr="00AD7F84">
        <w:t>.</w:t>
      </w:r>
    </w:p>
    <w:p w:rsidR="00AD7F84" w:rsidRPr="00AD7F84" w:rsidRDefault="00AD7F84" w:rsidP="00AD7F84">
      <w:pPr>
        <w:rPr>
          <w:b/>
        </w:rPr>
      </w:pPr>
      <w:r w:rsidRPr="00AD7F84">
        <w:rPr>
          <w:b/>
        </w:rPr>
        <w:t>Model</w:t>
      </w:r>
    </w:p>
    <w:p w:rsidR="00AD7F84" w:rsidRPr="00AD7F84" w:rsidRDefault="00AD7F84" w:rsidP="00AD7F84">
      <w:r w:rsidRPr="00AD7F84">
        <w:t xml:space="preserve">The model used in the paper is the GLOBE version 2 model </w:t>
      </w:r>
      <w:r w:rsidRPr="00AD7F84">
        <w:fldChar w:fldCharType="begin"/>
      </w:r>
      <w:r w:rsidRPr="00AD7F84">
        <w:instrText xml:space="preserve"> ADDIN EN.CITE &lt;EndNote&gt;&lt;Cite&gt;&lt;Author&gt;McDonald&lt;/Author&gt;&lt;Year&gt;2014&lt;/Year&gt;&lt;RecNum&gt;105&lt;/RecNum&gt;&lt;DisplayText&gt;(McDonald, Thierfelder and Walmsley, 2014)&lt;/DisplayText&gt;&lt;record&gt;&lt;rec-number&gt;105&lt;/rec-number&gt;&lt;foreign-keys&gt;&lt;key app="EN" db-id="tfz9v5v04w9xeqetf025f5tv2e2xttaavpp2" timestamp="1408558338"&gt;105&lt;/key&gt;&lt;/foreign-keys&gt;&lt;ref-type name="Manuscript"&gt;36&lt;/ref-type&gt;&lt;contributors&gt;&lt;authors&gt;&lt;author&gt;McDonald, Scott&lt;/author&gt;&lt;author&gt;Thierfelder, Karen&lt;/author&gt;&lt;author&gt;Walmsley, Terrie L&lt;/author&gt;&lt;/authors&gt;&lt;/contributors&gt;&lt;titles&gt;&lt;title&gt;Globe v2: A SAM Based Global CGE Model using GTAP Data&lt;/title&gt;&lt;secondary-title&gt;GLOBE Short Course&lt;/secondary-title&gt;&lt;/titles&gt;&lt;dates&gt;&lt;year&gt;2014&lt;/year&gt;&lt;/dates&gt;&lt;pub-location&gt;Annapolis, USA&lt;/pub-location&gt;&lt;urls&gt;&lt;/urls&gt;&lt;/record&gt;&lt;/Cite&gt;&lt;/EndNote&gt;</w:instrText>
      </w:r>
      <w:r w:rsidRPr="00AD7F84">
        <w:fldChar w:fldCharType="separate"/>
      </w:r>
      <w:r w:rsidRPr="00AD7F84">
        <w:t xml:space="preserve">(McDonald, </w:t>
      </w:r>
      <w:proofErr w:type="spellStart"/>
      <w:r w:rsidRPr="00AD7F84">
        <w:t>Thierfelder</w:t>
      </w:r>
      <w:proofErr w:type="spellEnd"/>
      <w:r w:rsidRPr="00AD7F84">
        <w:t xml:space="preserve"> and </w:t>
      </w:r>
      <w:proofErr w:type="spellStart"/>
      <w:r w:rsidRPr="00AD7F84">
        <w:t>Walmsley</w:t>
      </w:r>
      <w:proofErr w:type="spellEnd"/>
      <w:r w:rsidRPr="00AD7F84">
        <w:t>, 2014)</w:t>
      </w:r>
      <w:r w:rsidRPr="00AD7F84">
        <w:fldChar w:fldCharType="end"/>
      </w:r>
      <w:r w:rsidRPr="00AD7F84">
        <w:t xml:space="preserve">.  The GLOBE model is a fairly standard global CGE model based on a global SAM derived from the standard GTAP database </w:t>
      </w:r>
      <w:r w:rsidRPr="00AD7F84">
        <w:fldChar w:fldCharType="begin"/>
      </w:r>
      <w:r w:rsidRPr="00AD7F84">
        <w:instrText xml:space="preserve"> ADDIN EN.CITE &lt;EndNote&gt;&lt;Cite&gt;&lt;Author&gt;Narayanan&lt;/Author&gt;&lt;Year&gt;2012&lt;/Year&gt;&lt;RecNum&gt;51&lt;/RecNum&gt;&lt;DisplayText&gt;(Narayanan, Aguiar and McDougall, 2012)&lt;/DisplayText&gt;&lt;record&gt;&lt;rec-number&gt;51&lt;/rec-number&gt;&lt;foreign-keys&gt;&lt;key app="EN" db-id="tfz9v5v04w9xeqetf025f5tv2e2xttaavpp2" timestamp="1408548112"&gt;51&lt;/key&gt;&lt;/foreign-keys&gt;&lt;ref-type name="Book"&gt;6&lt;/ref-type&gt;&lt;contributors&gt;&lt;authors&gt;&lt;author&gt;Narayanan, G. Badri&lt;/author&gt;&lt;author&gt;Angel Aguiar &lt;/author&gt;&lt;author&gt;Robert McDougall&lt;/author&gt;&lt;/authors&gt;&lt;/contributors&gt;&lt;titles&gt;&lt;title&gt;Global Trade, Assistance, and Production: The GTAP 8 Data Base&lt;/title&gt;&lt;/titles&gt;&lt;dates&gt;&lt;year&gt;2012&lt;/year&gt;&lt;/dates&gt;&lt;pub-location&gt;West Lafayette, Indiana&lt;/pub-location&gt;&lt;publisher&gt;Center for Global Trade Analysis, Purdue University&lt;/publisher&gt;&lt;urls&gt;&lt;related-urls&gt;&lt;url&gt;https://www.gtap.agecon.purdue.edu/databases/v8/v8_doco.asp&lt;/url&gt;&lt;/related-urls&gt;&lt;/urls&gt;&lt;/record&gt;&lt;/Cite&gt;&lt;/EndNote&gt;</w:instrText>
      </w:r>
      <w:r w:rsidRPr="00AD7F84">
        <w:fldChar w:fldCharType="separate"/>
      </w:r>
      <w:r w:rsidRPr="00AD7F84">
        <w:t xml:space="preserve">(Narayanan, </w:t>
      </w:r>
      <w:proofErr w:type="spellStart"/>
      <w:r w:rsidRPr="00AD7F84">
        <w:t>Aguiar</w:t>
      </w:r>
      <w:proofErr w:type="spellEnd"/>
      <w:r w:rsidRPr="00AD7F84">
        <w:t xml:space="preserve"> and McDougall, 2012)</w:t>
      </w:r>
      <w:r w:rsidRPr="00AD7F84">
        <w:fldChar w:fldCharType="end"/>
      </w:r>
      <w:r w:rsidRPr="00AD7F84">
        <w:t xml:space="preserve">.  Agents in the model include a private households and a government that independently collect income accruing to them from factor use and taxes, respectively. The household the </w:t>
      </w:r>
      <w:proofErr w:type="spellStart"/>
      <w:r w:rsidRPr="00AD7F84">
        <w:t>maximises</w:t>
      </w:r>
      <w:proofErr w:type="spellEnd"/>
      <w:r w:rsidRPr="00AD7F84">
        <w:t xml:space="preserve"> utility subject to preferences represented by a Stone-Geary utility function, i.e., a linear expenditure system, having first paid income taxes and having saved a fixed proportion of after tax income. The government receives incomes from commodity taxes, production taxes and direct taxes on factor and household incomes, and uses that income to pay for consumption and for savings. This separation of the government and private household agents in the model requires certain modifications to the GTAP database, which are outlined in </w:t>
      </w:r>
      <w:r w:rsidRPr="00AD7F84">
        <w:fldChar w:fldCharType="begin"/>
      </w:r>
      <w:r w:rsidRPr="00AD7F84">
        <w:instrText xml:space="preserve"> ADDIN EN.CITE &lt;EndNote&gt;&lt;Cite AuthorYear="1"&gt;&lt;Author&gt;McDonald&lt;/Author&gt;&lt;Year&gt;2004&lt;/Year&gt;&lt;RecNum&gt;106&lt;/RecNum&gt;&lt;DisplayText&gt;McDonald and Thierfelder (2004b)&lt;/DisplayText&gt;&lt;record&gt;&lt;rec-number&gt;106&lt;/rec-number&gt;&lt;foreign-keys&gt;&lt;key app="EN" db-id="tfz9v5v04w9xeqetf025f5tv2e2xttaavpp2" timestamp="1408559698"&gt;106&lt;/key&gt;&lt;/foreign-keys&gt;&lt;ref-type name="Manuscript"&gt;36&lt;/ref-type&gt;&lt;contributors&gt;&lt;authors&gt;&lt;author&gt;McDonald, Scott&lt;/author&gt;&lt;author&gt;Thierfelder, Karen&lt;/author&gt;&lt;/authors&gt;&lt;/contributors&gt;&lt;titles&gt;&lt;title&gt;Deriving Reduced Form Global Social Accounting Matrices from GTAP Data&lt;/title&gt;&lt;/titles&gt;&lt;dates&gt;&lt;year&gt;2004&lt;/year&gt;&lt;/dates&gt;&lt;urls&gt;&lt;/urls&gt;&lt;/record&gt;&lt;/Cite&gt;&lt;/EndNote&gt;</w:instrText>
      </w:r>
      <w:r w:rsidRPr="00AD7F84">
        <w:fldChar w:fldCharType="separate"/>
      </w:r>
      <w:r w:rsidRPr="00AD7F84">
        <w:t xml:space="preserve">McDonald and </w:t>
      </w:r>
      <w:proofErr w:type="spellStart"/>
      <w:r w:rsidRPr="00AD7F84">
        <w:t>Thierfelder</w:t>
      </w:r>
      <w:proofErr w:type="spellEnd"/>
      <w:r w:rsidRPr="00AD7F84">
        <w:t xml:space="preserve"> (2004b)</w:t>
      </w:r>
      <w:r w:rsidRPr="00AD7F84">
        <w:fldChar w:fldCharType="end"/>
      </w:r>
      <w:r w:rsidRPr="00AD7F84">
        <w:t xml:space="preserve">.  </w:t>
      </w:r>
    </w:p>
    <w:p w:rsidR="00AD7F84" w:rsidRPr="00AD7F84" w:rsidRDefault="00AD7F84" w:rsidP="00AD7F84">
      <w:r w:rsidRPr="00AD7F84">
        <w:t xml:space="preserve">Some of the other non-standard features of the GLOBE model include a CET on the supply of domestic production to the export and domestic markets and the inclusion of a nominal exchange rate.  Further information can be obtained from </w:t>
      </w:r>
      <w:r w:rsidRPr="00AD7F84">
        <w:fldChar w:fldCharType="begin"/>
      </w:r>
      <w:r w:rsidRPr="00AD7F84">
        <w:instrText xml:space="preserve"> ADDIN EN.CITE &lt;EndNote&gt;&lt;Cite AuthorYear="1"&gt;&lt;Author&gt;McDonald&lt;/Author&gt;&lt;Year&gt;2014&lt;/Year&gt;&lt;RecNum&gt;105&lt;/RecNum&gt;&lt;DisplayText&gt;McDonald, Thierfelder and Walmsley (2014)&lt;/DisplayText&gt;&lt;record&gt;&lt;rec-number&gt;105&lt;/rec-number&gt;&lt;foreign-keys&gt;&lt;key app="EN" db-id="tfz9v5v04w9xeqetf025f5tv2e2xttaavpp2" timestamp="1408558338"&gt;105&lt;/key&gt;&lt;/foreign-keys&gt;&lt;ref-type name="Manuscript"&gt;36&lt;/ref-type&gt;&lt;contributors&gt;&lt;authors&gt;&lt;author&gt;McDonald, Scott&lt;/author&gt;&lt;author&gt;Thierfelder, Karen&lt;/author&gt;&lt;author&gt;Walmsley, Terrie L&lt;/author&gt;&lt;/authors&gt;&lt;/contributors&gt;&lt;titles&gt;&lt;title&gt;Globe v2: A SAM Based Global CGE Model using GTAP Data&lt;/title&gt;&lt;secondary-title&gt;GLOBE Short Course&lt;/secondary-title&gt;&lt;/titles&gt;&lt;dates&gt;&lt;year&gt;2014&lt;/year&gt;&lt;/dates&gt;&lt;pub-location&gt;Annapolis, USA&lt;/pub-location&gt;&lt;urls&gt;&lt;/urls&gt;&lt;/record&gt;&lt;/Cite&gt;&lt;/EndNote&gt;</w:instrText>
      </w:r>
      <w:r w:rsidRPr="00AD7F84">
        <w:fldChar w:fldCharType="separate"/>
      </w:r>
      <w:r w:rsidRPr="00AD7F84">
        <w:t xml:space="preserve">McDonald, </w:t>
      </w:r>
      <w:proofErr w:type="spellStart"/>
      <w:r w:rsidRPr="00AD7F84">
        <w:t>Thierfelder</w:t>
      </w:r>
      <w:proofErr w:type="spellEnd"/>
      <w:r w:rsidRPr="00AD7F84">
        <w:t xml:space="preserve"> and </w:t>
      </w:r>
      <w:proofErr w:type="spellStart"/>
      <w:r w:rsidRPr="00AD7F84">
        <w:t>Walmsley</w:t>
      </w:r>
      <w:proofErr w:type="spellEnd"/>
      <w:r w:rsidRPr="00AD7F84">
        <w:t xml:space="preserve"> (2014)</w:t>
      </w:r>
      <w:r w:rsidRPr="00AD7F84">
        <w:fldChar w:fldCharType="end"/>
      </w:r>
      <w:r w:rsidRPr="00AD7F84">
        <w:t xml:space="preserve">.  </w:t>
      </w:r>
    </w:p>
    <w:p w:rsidR="00AD7F84" w:rsidRPr="00AD7F84" w:rsidRDefault="00AD7F84" w:rsidP="00AD7F84">
      <w:r w:rsidRPr="00AD7F84">
        <w:t>Table 2: Clustering of Activities for Restricting Labor Mobility</w:t>
      </w:r>
    </w:p>
    <w:tbl>
      <w:tblPr>
        <w:tblStyle w:val="TableGrid"/>
        <w:tblW w:w="5089" w:type="pct"/>
        <w:tblLook w:val="04A0"/>
      </w:tblPr>
      <w:tblGrid>
        <w:gridCol w:w="1606"/>
        <w:gridCol w:w="2076"/>
        <w:gridCol w:w="3033"/>
        <w:gridCol w:w="3031"/>
      </w:tblGrid>
      <w:tr w:rsidR="00AD7F84" w:rsidRPr="00AD7F84" w:rsidTr="00F92896">
        <w:tc>
          <w:tcPr>
            <w:tcW w:w="824" w:type="pct"/>
            <w:vAlign w:val="center"/>
          </w:tcPr>
          <w:p w:rsidR="00AD7F84" w:rsidRPr="00AD7F84" w:rsidRDefault="00AD7F84" w:rsidP="00AD7F84">
            <w:pPr>
              <w:spacing w:after="200" w:line="276" w:lineRule="auto"/>
              <w:rPr>
                <w:b/>
              </w:rPr>
            </w:pPr>
            <w:r w:rsidRPr="00AD7F84">
              <w:rPr>
                <w:b/>
              </w:rPr>
              <w:lastRenderedPageBreak/>
              <w:t>I</w:t>
            </w:r>
          </w:p>
        </w:tc>
        <w:tc>
          <w:tcPr>
            <w:tcW w:w="1065" w:type="pct"/>
            <w:vAlign w:val="center"/>
          </w:tcPr>
          <w:p w:rsidR="00AD7F84" w:rsidRPr="00AD7F84" w:rsidRDefault="00AD7F84" w:rsidP="00AD7F84">
            <w:pPr>
              <w:spacing w:after="200" w:line="276" w:lineRule="auto"/>
              <w:rPr>
                <w:b/>
              </w:rPr>
            </w:pPr>
            <w:r w:rsidRPr="00AD7F84">
              <w:rPr>
                <w:b/>
              </w:rPr>
              <w:t>II</w:t>
            </w:r>
          </w:p>
        </w:tc>
        <w:tc>
          <w:tcPr>
            <w:tcW w:w="1556" w:type="pct"/>
            <w:vAlign w:val="center"/>
          </w:tcPr>
          <w:p w:rsidR="00AD7F84" w:rsidRPr="00AD7F84" w:rsidRDefault="00AD7F84" w:rsidP="00AD7F84">
            <w:pPr>
              <w:spacing w:after="200" w:line="276" w:lineRule="auto"/>
              <w:rPr>
                <w:b/>
              </w:rPr>
            </w:pPr>
            <w:r w:rsidRPr="00AD7F84">
              <w:rPr>
                <w:b/>
              </w:rPr>
              <w:t>III</w:t>
            </w:r>
          </w:p>
        </w:tc>
        <w:tc>
          <w:tcPr>
            <w:tcW w:w="1555" w:type="pct"/>
            <w:vAlign w:val="center"/>
          </w:tcPr>
          <w:p w:rsidR="00AD7F84" w:rsidRPr="00AD7F84" w:rsidRDefault="00AD7F84" w:rsidP="00AD7F84">
            <w:pPr>
              <w:spacing w:after="200" w:line="276" w:lineRule="auto"/>
              <w:rPr>
                <w:b/>
              </w:rPr>
            </w:pPr>
            <w:r w:rsidRPr="00AD7F84">
              <w:rPr>
                <w:b/>
              </w:rPr>
              <w:t>IV</w:t>
            </w:r>
          </w:p>
        </w:tc>
      </w:tr>
      <w:tr w:rsidR="00AD7F84" w:rsidRPr="00AD7F84" w:rsidTr="00F92896">
        <w:tc>
          <w:tcPr>
            <w:tcW w:w="824" w:type="pct"/>
            <w:vAlign w:val="center"/>
          </w:tcPr>
          <w:p w:rsidR="00AD7F84" w:rsidRPr="00AD7F84" w:rsidRDefault="00AD7F84" w:rsidP="00AD7F84">
            <w:pPr>
              <w:spacing w:after="200" w:line="276" w:lineRule="auto"/>
              <w:rPr>
                <w:b/>
              </w:rPr>
            </w:pPr>
            <w:r w:rsidRPr="00AD7F84">
              <w:rPr>
                <w:b/>
              </w:rPr>
              <w:t>9 Activities</w:t>
            </w:r>
          </w:p>
        </w:tc>
        <w:tc>
          <w:tcPr>
            <w:tcW w:w="1065" w:type="pct"/>
            <w:vAlign w:val="center"/>
          </w:tcPr>
          <w:p w:rsidR="00AD7F84" w:rsidRPr="00AD7F84" w:rsidRDefault="00AD7F84" w:rsidP="00AD7F84">
            <w:pPr>
              <w:spacing w:after="200" w:line="276" w:lineRule="auto"/>
              <w:rPr>
                <w:b/>
              </w:rPr>
            </w:pPr>
            <w:r w:rsidRPr="00AD7F84">
              <w:rPr>
                <w:b/>
              </w:rPr>
              <w:t>Mapping of 9 activities to original 12 sector aggregation based on ILO data</w:t>
            </w:r>
          </w:p>
        </w:tc>
        <w:tc>
          <w:tcPr>
            <w:tcW w:w="1556" w:type="pct"/>
            <w:vAlign w:val="center"/>
          </w:tcPr>
          <w:p w:rsidR="00AD7F84" w:rsidRPr="00AD7F84" w:rsidRDefault="00AD7F84" w:rsidP="00AD7F84">
            <w:pPr>
              <w:spacing w:after="200" w:line="276" w:lineRule="auto"/>
              <w:rPr>
                <w:b/>
              </w:rPr>
            </w:pPr>
            <w:r w:rsidRPr="00AD7F84">
              <w:rPr>
                <w:b/>
              </w:rPr>
              <w:t>Mapping to 3 segments</w:t>
            </w:r>
          </w:p>
        </w:tc>
        <w:tc>
          <w:tcPr>
            <w:tcW w:w="1555" w:type="pct"/>
            <w:vAlign w:val="center"/>
          </w:tcPr>
          <w:p w:rsidR="00AD7F84" w:rsidRPr="00AD7F84" w:rsidRDefault="00AD7F84" w:rsidP="00AD7F84">
            <w:pPr>
              <w:spacing w:after="200" w:line="276" w:lineRule="auto"/>
              <w:rPr>
                <w:b/>
              </w:rPr>
            </w:pPr>
            <w:r w:rsidRPr="00AD7F84">
              <w:rPr>
                <w:b/>
              </w:rPr>
              <w:t>Mapping to 6 segments</w:t>
            </w:r>
          </w:p>
        </w:tc>
      </w:tr>
      <w:tr w:rsidR="00AD7F84" w:rsidRPr="00AD7F84" w:rsidTr="00F92896">
        <w:tc>
          <w:tcPr>
            <w:tcW w:w="824" w:type="pct"/>
            <w:vAlign w:val="center"/>
          </w:tcPr>
          <w:p w:rsidR="00AD7F84" w:rsidRPr="00AD7F84" w:rsidRDefault="00AD7F84" w:rsidP="00AD7F84">
            <w:pPr>
              <w:spacing w:after="200" w:line="276" w:lineRule="auto"/>
            </w:pPr>
            <w:r w:rsidRPr="00AD7F84">
              <w:t>crops</w:t>
            </w:r>
          </w:p>
        </w:tc>
        <w:tc>
          <w:tcPr>
            <w:tcW w:w="1065" w:type="pct"/>
            <w:vAlign w:val="center"/>
          </w:tcPr>
          <w:p w:rsidR="00AD7F84" w:rsidRPr="00AD7F84" w:rsidRDefault="00AD7F84" w:rsidP="00AD7F84">
            <w:pPr>
              <w:spacing w:after="200" w:line="276" w:lineRule="auto"/>
            </w:pPr>
            <w:r w:rsidRPr="00AD7F84">
              <w:t>Agriculture</w:t>
            </w:r>
          </w:p>
          <w:p w:rsidR="00AD7F84" w:rsidRPr="00AD7F84" w:rsidRDefault="00AD7F84" w:rsidP="00AD7F84">
            <w:pPr>
              <w:spacing w:after="200" w:line="276" w:lineRule="auto"/>
            </w:pPr>
            <w:r w:rsidRPr="00AD7F84">
              <w:t>Forestry</w:t>
            </w:r>
          </w:p>
        </w:tc>
        <w:tc>
          <w:tcPr>
            <w:tcW w:w="1556" w:type="pct"/>
            <w:vAlign w:val="center"/>
          </w:tcPr>
          <w:p w:rsidR="00AD7F84" w:rsidRPr="00AD7F84" w:rsidRDefault="00AD7F84" w:rsidP="00AD7F84">
            <w:pPr>
              <w:spacing w:after="200" w:line="276" w:lineRule="auto"/>
            </w:pPr>
            <w:r w:rsidRPr="00AD7F84">
              <w:t>Agriculture</w:t>
            </w:r>
          </w:p>
        </w:tc>
        <w:tc>
          <w:tcPr>
            <w:tcW w:w="1555" w:type="pct"/>
            <w:vAlign w:val="center"/>
          </w:tcPr>
          <w:p w:rsidR="00AD7F84" w:rsidRPr="00AD7F84" w:rsidRDefault="00AD7F84" w:rsidP="00AD7F84">
            <w:pPr>
              <w:spacing w:after="200" w:line="276" w:lineRule="auto"/>
            </w:pPr>
            <w:r w:rsidRPr="00AD7F84">
              <w:t>Agriculture</w:t>
            </w:r>
          </w:p>
        </w:tc>
      </w:tr>
      <w:tr w:rsidR="00AD7F84" w:rsidRPr="00AD7F84" w:rsidTr="00F92896">
        <w:tc>
          <w:tcPr>
            <w:tcW w:w="824" w:type="pct"/>
            <w:vAlign w:val="center"/>
          </w:tcPr>
          <w:p w:rsidR="00AD7F84" w:rsidRPr="00AD7F84" w:rsidRDefault="00AD7F84" w:rsidP="00AD7F84">
            <w:pPr>
              <w:spacing w:after="200" w:line="276" w:lineRule="auto"/>
            </w:pPr>
            <w:r w:rsidRPr="00AD7F84">
              <w:t>Livestock</w:t>
            </w:r>
          </w:p>
        </w:tc>
        <w:tc>
          <w:tcPr>
            <w:tcW w:w="1065" w:type="pct"/>
            <w:vAlign w:val="center"/>
          </w:tcPr>
          <w:p w:rsidR="00AD7F84" w:rsidRPr="00AD7F84" w:rsidRDefault="00AD7F84" w:rsidP="00AD7F84">
            <w:pPr>
              <w:spacing w:after="200" w:line="276" w:lineRule="auto"/>
            </w:pPr>
            <w:r w:rsidRPr="00AD7F84">
              <w:t>Agriculture</w:t>
            </w:r>
          </w:p>
        </w:tc>
        <w:tc>
          <w:tcPr>
            <w:tcW w:w="1556" w:type="pct"/>
            <w:vAlign w:val="center"/>
          </w:tcPr>
          <w:p w:rsidR="00AD7F84" w:rsidRPr="00AD7F84" w:rsidRDefault="00AD7F84" w:rsidP="00AD7F84">
            <w:pPr>
              <w:spacing w:after="200" w:line="276" w:lineRule="auto"/>
            </w:pPr>
            <w:r w:rsidRPr="00AD7F84">
              <w:t>Agriculture</w:t>
            </w:r>
          </w:p>
        </w:tc>
        <w:tc>
          <w:tcPr>
            <w:tcW w:w="1555" w:type="pct"/>
            <w:vAlign w:val="center"/>
          </w:tcPr>
          <w:p w:rsidR="00AD7F84" w:rsidRPr="00AD7F84" w:rsidRDefault="00AD7F84" w:rsidP="00AD7F84">
            <w:pPr>
              <w:spacing w:after="200" w:line="276" w:lineRule="auto"/>
            </w:pPr>
            <w:r w:rsidRPr="00AD7F84">
              <w:t>Agriculture</w:t>
            </w:r>
          </w:p>
        </w:tc>
      </w:tr>
      <w:tr w:rsidR="00AD7F84" w:rsidRPr="00AD7F84" w:rsidTr="00F92896">
        <w:tc>
          <w:tcPr>
            <w:tcW w:w="824" w:type="pct"/>
            <w:vAlign w:val="center"/>
          </w:tcPr>
          <w:p w:rsidR="00AD7F84" w:rsidRPr="00AD7F84" w:rsidRDefault="00AD7F84" w:rsidP="00AD7F84">
            <w:pPr>
              <w:spacing w:after="200" w:line="276" w:lineRule="auto"/>
            </w:pPr>
            <w:r w:rsidRPr="00AD7F84">
              <w:t>Extraction</w:t>
            </w:r>
          </w:p>
        </w:tc>
        <w:tc>
          <w:tcPr>
            <w:tcW w:w="1065" w:type="pct"/>
            <w:vAlign w:val="center"/>
          </w:tcPr>
          <w:p w:rsidR="00AD7F84" w:rsidRPr="00AD7F84" w:rsidRDefault="00AD7F84" w:rsidP="00AD7F84">
            <w:pPr>
              <w:spacing w:after="200" w:line="276" w:lineRule="auto"/>
            </w:pPr>
            <w:r w:rsidRPr="00AD7F84">
              <w:t>Extraction</w:t>
            </w:r>
          </w:p>
        </w:tc>
        <w:tc>
          <w:tcPr>
            <w:tcW w:w="1556" w:type="pct"/>
            <w:vAlign w:val="center"/>
          </w:tcPr>
          <w:p w:rsidR="00AD7F84" w:rsidRPr="00AD7F84" w:rsidRDefault="00AD7F84" w:rsidP="00AD7F84">
            <w:pPr>
              <w:spacing w:after="200" w:line="276" w:lineRule="auto"/>
            </w:pPr>
            <w:r w:rsidRPr="00AD7F84">
              <w:t>Manufactures</w:t>
            </w:r>
          </w:p>
        </w:tc>
        <w:tc>
          <w:tcPr>
            <w:tcW w:w="1555" w:type="pct"/>
            <w:vAlign w:val="center"/>
          </w:tcPr>
          <w:p w:rsidR="00AD7F84" w:rsidRPr="00AD7F84" w:rsidRDefault="00AD7F84" w:rsidP="00AD7F84">
            <w:pPr>
              <w:spacing w:after="200" w:line="276" w:lineRule="auto"/>
            </w:pPr>
            <w:r w:rsidRPr="00AD7F84">
              <w:t>Extraction</w:t>
            </w:r>
          </w:p>
        </w:tc>
      </w:tr>
      <w:tr w:rsidR="00AD7F84" w:rsidRPr="00AD7F84" w:rsidTr="00F92896">
        <w:tc>
          <w:tcPr>
            <w:tcW w:w="824" w:type="pct"/>
            <w:vAlign w:val="center"/>
          </w:tcPr>
          <w:p w:rsidR="00AD7F84" w:rsidRPr="00AD7F84" w:rsidRDefault="00AD7F84" w:rsidP="00AD7F84">
            <w:pPr>
              <w:spacing w:after="200" w:line="276" w:lineRule="auto"/>
            </w:pPr>
            <w:r w:rsidRPr="00AD7F84">
              <w:t>Food Processing</w:t>
            </w:r>
          </w:p>
        </w:tc>
        <w:tc>
          <w:tcPr>
            <w:tcW w:w="1065" w:type="pct"/>
            <w:vAlign w:val="center"/>
          </w:tcPr>
          <w:p w:rsidR="00AD7F84" w:rsidRPr="00AD7F84" w:rsidRDefault="00AD7F84" w:rsidP="00AD7F84">
            <w:pPr>
              <w:spacing w:after="200" w:line="276" w:lineRule="auto"/>
            </w:pPr>
            <w:r w:rsidRPr="00AD7F84">
              <w:t>Manufactures</w:t>
            </w:r>
          </w:p>
        </w:tc>
        <w:tc>
          <w:tcPr>
            <w:tcW w:w="1556" w:type="pct"/>
            <w:vAlign w:val="center"/>
          </w:tcPr>
          <w:p w:rsidR="00AD7F84" w:rsidRPr="00AD7F84" w:rsidRDefault="00AD7F84" w:rsidP="00AD7F84">
            <w:pPr>
              <w:spacing w:after="200" w:line="276" w:lineRule="auto"/>
            </w:pPr>
            <w:r w:rsidRPr="00AD7F84">
              <w:t>Manufactures</w:t>
            </w:r>
          </w:p>
        </w:tc>
        <w:tc>
          <w:tcPr>
            <w:tcW w:w="1555" w:type="pct"/>
            <w:vAlign w:val="center"/>
          </w:tcPr>
          <w:p w:rsidR="00AD7F84" w:rsidRPr="00AD7F84" w:rsidRDefault="00AD7F84" w:rsidP="00AD7F84">
            <w:pPr>
              <w:spacing w:after="200" w:line="276" w:lineRule="auto"/>
            </w:pPr>
            <w:r w:rsidRPr="00AD7F84">
              <w:t>Manufactures</w:t>
            </w:r>
          </w:p>
        </w:tc>
      </w:tr>
      <w:tr w:rsidR="00AD7F84" w:rsidRPr="00AD7F84" w:rsidTr="00F92896">
        <w:tc>
          <w:tcPr>
            <w:tcW w:w="824" w:type="pct"/>
            <w:vAlign w:val="center"/>
          </w:tcPr>
          <w:p w:rsidR="00AD7F84" w:rsidRPr="00AD7F84" w:rsidRDefault="00AD7F84" w:rsidP="00AD7F84">
            <w:pPr>
              <w:spacing w:after="200" w:line="276" w:lineRule="auto"/>
            </w:pPr>
            <w:r w:rsidRPr="00AD7F84">
              <w:t>Light manufactures</w:t>
            </w:r>
          </w:p>
        </w:tc>
        <w:tc>
          <w:tcPr>
            <w:tcW w:w="1065" w:type="pct"/>
            <w:vAlign w:val="center"/>
          </w:tcPr>
          <w:p w:rsidR="00AD7F84" w:rsidRPr="00AD7F84" w:rsidRDefault="00AD7F84" w:rsidP="00AD7F84">
            <w:pPr>
              <w:spacing w:after="200" w:line="276" w:lineRule="auto"/>
            </w:pPr>
            <w:r w:rsidRPr="00AD7F84">
              <w:t>Manufactures</w:t>
            </w:r>
          </w:p>
        </w:tc>
        <w:tc>
          <w:tcPr>
            <w:tcW w:w="1556" w:type="pct"/>
            <w:vAlign w:val="center"/>
          </w:tcPr>
          <w:p w:rsidR="00AD7F84" w:rsidRPr="00AD7F84" w:rsidRDefault="00AD7F84" w:rsidP="00AD7F84">
            <w:pPr>
              <w:spacing w:after="200" w:line="276" w:lineRule="auto"/>
            </w:pPr>
            <w:r w:rsidRPr="00AD7F84">
              <w:t>Manufactures</w:t>
            </w:r>
          </w:p>
        </w:tc>
        <w:tc>
          <w:tcPr>
            <w:tcW w:w="1555" w:type="pct"/>
            <w:vAlign w:val="center"/>
          </w:tcPr>
          <w:p w:rsidR="00AD7F84" w:rsidRPr="00AD7F84" w:rsidRDefault="00AD7F84" w:rsidP="00AD7F84">
            <w:pPr>
              <w:spacing w:after="200" w:line="276" w:lineRule="auto"/>
            </w:pPr>
            <w:r w:rsidRPr="00AD7F84">
              <w:t>Manufactures</w:t>
            </w:r>
          </w:p>
        </w:tc>
      </w:tr>
      <w:tr w:rsidR="00AD7F84" w:rsidRPr="00AD7F84" w:rsidTr="00F92896">
        <w:tc>
          <w:tcPr>
            <w:tcW w:w="824" w:type="pct"/>
            <w:vAlign w:val="center"/>
          </w:tcPr>
          <w:p w:rsidR="00AD7F84" w:rsidRPr="00AD7F84" w:rsidRDefault="00AD7F84" w:rsidP="00AD7F84">
            <w:pPr>
              <w:spacing w:after="200" w:line="276" w:lineRule="auto"/>
            </w:pPr>
            <w:r w:rsidRPr="00AD7F84">
              <w:t>Heavy manufactures</w:t>
            </w:r>
          </w:p>
        </w:tc>
        <w:tc>
          <w:tcPr>
            <w:tcW w:w="1065" w:type="pct"/>
            <w:vAlign w:val="center"/>
          </w:tcPr>
          <w:p w:rsidR="00AD7F84" w:rsidRPr="00AD7F84" w:rsidRDefault="00AD7F84" w:rsidP="00AD7F84">
            <w:pPr>
              <w:spacing w:after="200" w:line="276" w:lineRule="auto"/>
            </w:pPr>
            <w:r w:rsidRPr="00AD7F84">
              <w:t>Manufactures</w:t>
            </w:r>
          </w:p>
        </w:tc>
        <w:tc>
          <w:tcPr>
            <w:tcW w:w="1556" w:type="pct"/>
            <w:vAlign w:val="center"/>
          </w:tcPr>
          <w:p w:rsidR="00AD7F84" w:rsidRPr="00AD7F84" w:rsidRDefault="00AD7F84" w:rsidP="00AD7F84">
            <w:pPr>
              <w:spacing w:after="200" w:line="276" w:lineRule="auto"/>
            </w:pPr>
            <w:r w:rsidRPr="00AD7F84">
              <w:t>Manufactures</w:t>
            </w:r>
          </w:p>
        </w:tc>
        <w:tc>
          <w:tcPr>
            <w:tcW w:w="1555" w:type="pct"/>
            <w:vAlign w:val="center"/>
          </w:tcPr>
          <w:p w:rsidR="00AD7F84" w:rsidRPr="00AD7F84" w:rsidRDefault="00AD7F84" w:rsidP="00AD7F84">
            <w:pPr>
              <w:spacing w:after="200" w:line="276" w:lineRule="auto"/>
            </w:pPr>
            <w:r w:rsidRPr="00AD7F84">
              <w:t>Manufactures</w:t>
            </w:r>
          </w:p>
        </w:tc>
      </w:tr>
      <w:tr w:rsidR="00AD7F84" w:rsidRPr="00AD7F84" w:rsidTr="00F92896">
        <w:tc>
          <w:tcPr>
            <w:tcW w:w="824" w:type="pct"/>
            <w:vAlign w:val="center"/>
          </w:tcPr>
          <w:p w:rsidR="00AD7F84" w:rsidRPr="00AD7F84" w:rsidRDefault="00AD7F84" w:rsidP="00AD7F84">
            <w:pPr>
              <w:spacing w:after="200" w:line="276" w:lineRule="auto"/>
            </w:pPr>
            <w:r w:rsidRPr="00AD7F84">
              <w:t>Utilities &amp; construction</w:t>
            </w:r>
          </w:p>
        </w:tc>
        <w:tc>
          <w:tcPr>
            <w:tcW w:w="1065" w:type="pct"/>
            <w:vAlign w:val="center"/>
          </w:tcPr>
          <w:p w:rsidR="00AD7F84" w:rsidRPr="00AD7F84" w:rsidRDefault="00AD7F84" w:rsidP="00AD7F84">
            <w:pPr>
              <w:spacing w:after="200" w:line="276" w:lineRule="auto"/>
            </w:pPr>
            <w:r w:rsidRPr="00AD7F84">
              <w:t>Utilities</w:t>
            </w:r>
          </w:p>
          <w:p w:rsidR="00AD7F84" w:rsidRPr="00AD7F84" w:rsidRDefault="00AD7F84" w:rsidP="00AD7F84">
            <w:pPr>
              <w:spacing w:after="200" w:line="276" w:lineRule="auto"/>
            </w:pPr>
            <w:r w:rsidRPr="00AD7F84">
              <w:t>Construction</w:t>
            </w:r>
          </w:p>
        </w:tc>
        <w:tc>
          <w:tcPr>
            <w:tcW w:w="1556" w:type="pct"/>
            <w:vAlign w:val="center"/>
          </w:tcPr>
          <w:p w:rsidR="00AD7F84" w:rsidRPr="00AD7F84" w:rsidRDefault="00AD7F84" w:rsidP="00AD7F84">
            <w:pPr>
              <w:spacing w:after="200" w:line="276" w:lineRule="auto"/>
            </w:pPr>
            <w:r w:rsidRPr="00AD7F84">
              <w:t>Services</w:t>
            </w:r>
          </w:p>
        </w:tc>
        <w:tc>
          <w:tcPr>
            <w:tcW w:w="1555" w:type="pct"/>
            <w:vAlign w:val="center"/>
          </w:tcPr>
          <w:p w:rsidR="00AD7F84" w:rsidRPr="00AD7F84" w:rsidRDefault="00AD7F84" w:rsidP="00AD7F84">
            <w:pPr>
              <w:spacing w:after="200" w:line="276" w:lineRule="auto"/>
            </w:pPr>
            <w:r w:rsidRPr="00AD7F84">
              <w:t>Utilities</w:t>
            </w:r>
          </w:p>
        </w:tc>
      </w:tr>
      <w:tr w:rsidR="00AD7F84" w:rsidRPr="00AD7F84" w:rsidTr="00F92896">
        <w:tc>
          <w:tcPr>
            <w:tcW w:w="824" w:type="pct"/>
            <w:vAlign w:val="center"/>
          </w:tcPr>
          <w:p w:rsidR="00AD7F84" w:rsidRPr="00AD7F84" w:rsidRDefault="00AD7F84" w:rsidP="00AD7F84">
            <w:pPr>
              <w:spacing w:after="200" w:line="276" w:lineRule="auto"/>
            </w:pPr>
            <w:r w:rsidRPr="00AD7F84">
              <w:t>Trade &amp; Transport</w:t>
            </w:r>
          </w:p>
        </w:tc>
        <w:tc>
          <w:tcPr>
            <w:tcW w:w="1065" w:type="pct"/>
            <w:vAlign w:val="center"/>
          </w:tcPr>
          <w:p w:rsidR="00AD7F84" w:rsidRPr="00AD7F84" w:rsidRDefault="00AD7F84" w:rsidP="00AD7F84">
            <w:pPr>
              <w:spacing w:after="200" w:line="276" w:lineRule="auto"/>
            </w:pPr>
            <w:r w:rsidRPr="00AD7F84">
              <w:t>Trade</w:t>
            </w:r>
          </w:p>
          <w:p w:rsidR="00AD7F84" w:rsidRPr="00AD7F84" w:rsidRDefault="00AD7F84" w:rsidP="00AD7F84">
            <w:pPr>
              <w:spacing w:after="200" w:line="276" w:lineRule="auto"/>
            </w:pPr>
            <w:r w:rsidRPr="00AD7F84">
              <w:t>Transportation &amp; Communications</w:t>
            </w:r>
          </w:p>
        </w:tc>
        <w:tc>
          <w:tcPr>
            <w:tcW w:w="1556" w:type="pct"/>
            <w:vAlign w:val="center"/>
          </w:tcPr>
          <w:p w:rsidR="00AD7F84" w:rsidRPr="00AD7F84" w:rsidRDefault="00AD7F84" w:rsidP="00AD7F84">
            <w:pPr>
              <w:spacing w:after="200" w:line="276" w:lineRule="auto"/>
            </w:pPr>
            <w:r w:rsidRPr="00AD7F84">
              <w:t>Services</w:t>
            </w:r>
          </w:p>
        </w:tc>
        <w:tc>
          <w:tcPr>
            <w:tcW w:w="1555" w:type="pct"/>
            <w:vAlign w:val="center"/>
          </w:tcPr>
          <w:p w:rsidR="00AD7F84" w:rsidRPr="00AD7F84" w:rsidRDefault="00AD7F84" w:rsidP="00AD7F84">
            <w:pPr>
              <w:spacing w:after="200" w:line="276" w:lineRule="auto"/>
            </w:pPr>
            <w:r w:rsidRPr="00AD7F84">
              <w:t>Trade &amp; Transport</w:t>
            </w:r>
          </w:p>
        </w:tc>
      </w:tr>
      <w:tr w:rsidR="00AD7F84" w:rsidRPr="00AD7F84" w:rsidTr="00F92896">
        <w:tc>
          <w:tcPr>
            <w:tcW w:w="824" w:type="pct"/>
            <w:vAlign w:val="center"/>
          </w:tcPr>
          <w:p w:rsidR="00AD7F84" w:rsidRPr="00AD7F84" w:rsidRDefault="00AD7F84" w:rsidP="00AD7F84">
            <w:pPr>
              <w:spacing w:after="200" w:line="276" w:lineRule="auto"/>
            </w:pPr>
            <w:r w:rsidRPr="00AD7F84">
              <w:t>Other services</w:t>
            </w:r>
          </w:p>
        </w:tc>
        <w:tc>
          <w:tcPr>
            <w:tcW w:w="1065" w:type="pct"/>
            <w:vAlign w:val="center"/>
          </w:tcPr>
          <w:p w:rsidR="00AD7F84" w:rsidRPr="00AD7F84" w:rsidRDefault="00AD7F84" w:rsidP="00AD7F84">
            <w:pPr>
              <w:spacing w:after="200" w:line="276" w:lineRule="auto"/>
            </w:pPr>
            <w:r w:rsidRPr="00AD7F84">
              <w:t>Finance &amp; Insurance</w:t>
            </w:r>
          </w:p>
          <w:p w:rsidR="00AD7F84" w:rsidRPr="00AD7F84" w:rsidRDefault="00AD7F84" w:rsidP="00AD7F84">
            <w:pPr>
              <w:spacing w:after="200" w:line="276" w:lineRule="auto"/>
            </w:pPr>
            <w:r w:rsidRPr="00AD7F84">
              <w:t>Other business services</w:t>
            </w:r>
          </w:p>
          <w:p w:rsidR="00AD7F84" w:rsidRPr="00AD7F84" w:rsidRDefault="00AD7F84" w:rsidP="00AD7F84">
            <w:pPr>
              <w:spacing w:after="200" w:line="276" w:lineRule="auto"/>
            </w:pPr>
            <w:r w:rsidRPr="00AD7F84">
              <w:t>Government</w:t>
            </w:r>
          </w:p>
          <w:p w:rsidR="00AD7F84" w:rsidRPr="00AD7F84" w:rsidRDefault="00AD7F84" w:rsidP="00AD7F84">
            <w:pPr>
              <w:spacing w:after="200" w:line="276" w:lineRule="auto"/>
            </w:pPr>
            <w:r w:rsidRPr="00AD7F84">
              <w:t>Recreational</w:t>
            </w:r>
          </w:p>
        </w:tc>
        <w:tc>
          <w:tcPr>
            <w:tcW w:w="1556" w:type="pct"/>
            <w:vAlign w:val="center"/>
          </w:tcPr>
          <w:p w:rsidR="00AD7F84" w:rsidRPr="00AD7F84" w:rsidRDefault="00AD7F84" w:rsidP="00AD7F84">
            <w:pPr>
              <w:spacing w:after="200" w:line="276" w:lineRule="auto"/>
            </w:pPr>
            <w:r w:rsidRPr="00AD7F84">
              <w:t>Services</w:t>
            </w:r>
          </w:p>
        </w:tc>
        <w:tc>
          <w:tcPr>
            <w:tcW w:w="1555" w:type="pct"/>
            <w:vAlign w:val="center"/>
          </w:tcPr>
          <w:p w:rsidR="00AD7F84" w:rsidRPr="00AD7F84" w:rsidRDefault="00AD7F84" w:rsidP="00AD7F84">
            <w:pPr>
              <w:spacing w:after="200" w:line="276" w:lineRule="auto"/>
            </w:pPr>
            <w:r w:rsidRPr="00AD7F84">
              <w:t>Other Services</w:t>
            </w:r>
          </w:p>
        </w:tc>
      </w:tr>
    </w:tbl>
    <w:p w:rsidR="00AD7F84" w:rsidRPr="00AD7F84" w:rsidRDefault="00AD7F84" w:rsidP="00AD7F84">
      <w:r w:rsidRPr="00AD7F84">
        <w:t xml:space="preserve">Source: Based on our chosen aggregation and mappings from </w:t>
      </w:r>
      <w:r w:rsidRPr="00AD7F84">
        <w:fldChar w:fldCharType="begin"/>
      </w:r>
      <w:r w:rsidRPr="00AD7F84">
        <w:instrText xml:space="preserve"> ADDIN EN.CITE &lt;EndNote&gt;&lt;Cite AuthorYear="1"&gt;&lt;Author&gt;Walmsley&lt;/Author&gt;&lt;Year&gt;forthcoming&lt;/Year&gt;&lt;RecNum&gt;68&lt;/RecNum&gt;&lt;DisplayText&gt;Walmsley and Carrico (forthcoming)&lt;/DisplayText&gt;&lt;record&gt;&lt;rec-number&gt;68&lt;/rec-number&gt;&lt;foreign-keys&gt;&lt;key app="EN" db-id="tfz9v5v04w9xeqetf025f5tv2e2xttaavpp2" timestamp="1408548112"&gt;68&lt;/key&gt;&lt;/foreign-keys&gt;&lt;ref-type name="Manuscript"&gt;36&lt;/ref-type&gt;&lt;contributors&gt;&lt;authors&gt;&lt;author&gt;Walmsley, Terrie L.&lt;/author&gt;&lt;author&gt;Caitlyn Carrico&lt;/author&gt;&lt;/authors&gt;&lt;secondary-authors&gt;&lt;author&gt;Center for Global Trade Analysis,&lt;/author&gt;&lt;/secondary-authors&gt;&lt;/contributors&gt;&lt;titles&gt;&lt;title&gt;Disaggregating Labor Payments in the GTAP 8 Data Base&lt;/title&gt;&lt;secondary-title&gt;GTAP Technical Paper Series&lt;/secondary-title&gt;&lt;/titles&gt;&lt;dates&gt;&lt;year&gt;forthcoming&lt;/year&gt;&lt;/dates&gt;&lt;pub-location&gt;West Lafayette, Indiana&lt;/pub-location&gt;&lt;urls&gt;&lt;/urls&gt;&lt;/record&gt;&lt;/Cite&gt;&lt;/EndNote&gt;</w:instrText>
      </w:r>
      <w:r w:rsidRPr="00AD7F84">
        <w:fldChar w:fldCharType="separate"/>
      </w:r>
      <w:proofErr w:type="spellStart"/>
      <w:r w:rsidRPr="00AD7F84">
        <w:t>Walmsley</w:t>
      </w:r>
      <w:proofErr w:type="spellEnd"/>
      <w:r w:rsidRPr="00AD7F84">
        <w:t xml:space="preserve"> and </w:t>
      </w:r>
      <w:proofErr w:type="spellStart"/>
      <w:r w:rsidRPr="00AD7F84">
        <w:t>Carrico</w:t>
      </w:r>
      <w:proofErr w:type="spellEnd"/>
      <w:r w:rsidRPr="00AD7F84">
        <w:t xml:space="preserve"> (forthcoming)</w:t>
      </w:r>
      <w:r w:rsidRPr="00AD7F84">
        <w:fldChar w:fldCharType="end"/>
      </w:r>
      <w:r w:rsidRPr="00AD7F84">
        <w:t>.</w:t>
      </w:r>
    </w:p>
    <w:p w:rsidR="00AD7F84" w:rsidRPr="00AD7F84" w:rsidRDefault="00AD7F84" w:rsidP="00AD7F84">
      <w:r w:rsidRPr="00AD7F84">
        <w:t xml:space="preserve">Given our interest in demand and supply of labor, the remainder of this section will focus on the behavior of activities and the changes made to the model to limit the mobility of labor between sectors.  </w:t>
      </w:r>
    </w:p>
    <w:p w:rsidR="00AD7F84" w:rsidRPr="00AD7F84" w:rsidRDefault="00AD7F84" w:rsidP="00AD7F84">
      <w:r w:rsidRPr="00AD7F84">
        <w:lastRenderedPageBreak/>
        <w:t xml:space="preserve">In terms of demand, activities are assumed to </w:t>
      </w:r>
      <w:proofErr w:type="spellStart"/>
      <w:r w:rsidRPr="00AD7F84">
        <w:t>maximise</w:t>
      </w:r>
      <w:proofErr w:type="spellEnd"/>
      <w:r w:rsidRPr="00AD7F84">
        <w:t xml:space="preserve"> profits using technology </w:t>
      </w:r>
      <w:proofErr w:type="spellStart"/>
      <w:r w:rsidRPr="00AD7F84">
        <w:t>characterised</w:t>
      </w:r>
      <w:proofErr w:type="spellEnd"/>
      <w:r w:rsidRPr="00AD7F84">
        <w:t xml:space="preserve"> by Constant Elasticity of Substitution (CES) and/or Leontief production functions between aggregate primary inputs and aggregate intermediate inputs, with CES production functions over primary inputs and Leontief technology across intermediate inputs (Figure 2).  The production system is therefore set up as a two-stage nest of CES production functions.  At the top level</w:t>
      </w:r>
      <w:r w:rsidRPr="00AD7F84">
        <w:rPr>
          <w:vertAlign w:val="superscript"/>
        </w:rPr>
        <w:footnoteReference w:id="3"/>
      </w:r>
      <w:r w:rsidRPr="00AD7F84">
        <w:t xml:space="preserve"> aggregate intermediate inputs (</w:t>
      </w:r>
      <w:proofErr w:type="spellStart"/>
      <w:r w:rsidRPr="00AD7F84">
        <w:t>QINT</w:t>
      </w:r>
      <w:r w:rsidRPr="00AD7F84">
        <w:rPr>
          <w:vertAlign w:val="subscript"/>
        </w:rPr>
        <w:t>a</w:t>
      </w:r>
      <w:proofErr w:type="gramStart"/>
      <w:r w:rsidRPr="00AD7F84">
        <w:rPr>
          <w:vertAlign w:val="subscript"/>
        </w:rPr>
        <w:t>,r</w:t>
      </w:r>
      <w:proofErr w:type="spellEnd"/>
      <w:proofErr w:type="gramEnd"/>
      <w:r w:rsidRPr="00AD7F84">
        <w:t>) are combined with aggregate primary inputs (</w:t>
      </w:r>
      <w:proofErr w:type="spellStart"/>
      <w:r w:rsidRPr="00AD7F84">
        <w:rPr>
          <w:i/>
          <w:iCs/>
        </w:rPr>
        <w:t>QVA</w:t>
      </w:r>
      <w:r w:rsidRPr="00AD7F84">
        <w:rPr>
          <w:vertAlign w:val="subscript"/>
        </w:rPr>
        <w:t>a,r</w:t>
      </w:r>
      <w:proofErr w:type="spellEnd"/>
      <w:r w:rsidRPr="00AD7F84">
        <w:t>) to produce the output of an activity (</w:t>
      </w:r>
      <w:proofErr w:type="spellStart"/>
      <w:r w:rsidRPr="00AD7F84">
        <w:rPr>
          <w:i/>
          <w:iCs/>
        </w:rPr>
        <w:t>QX</w:t>
      </w:r>
      <w:r w:rsidRPr="00AD7F84">
        <w:rPr>
          <w:vertAlign w:val="subscript"/>
        </w:rPr>
        <w:t>a,r</w:t>
      </w:r>
      <w:proofErr w:type="spellEnd"/>
      <w:r w:rsidRPr="00AD7F84">
        <w:t>). This top level production function can take either CES (</w:t>
      </w:r>
      <w:r w:rsidRPr="00AD7F84">
        <w:sym w:font="Symbol" w:char="F073"/>
      </w:r>
      <w:proofErr w:type="spellStart"/>
      <w:r w:rsidRPr="00AD7F84">
        <w:t>X</w:t>
      </w:r>
      <w:r w:rsidRPr="00AD7F84">
        <w:rPr>
          <w:vertAlign w:val="subscript"/>
        </w:rPr>
        <w:t>a</w:t>
      </w:r>
      <w:proofErr w:type="gramStart"/>
      <w:r w:rsidRPr="00AD7F84">
        <w:rPr>
          <w:vertAlign w:val="subscript"/>
        </w:rPr>
        <w:t>,r</w:t>
      </w:r>
      <w:proofErr w:type="spellEnd"/>
      <w:proofErr w:type="gramEnd"/>
      <w:r w:rsidRPr="00AD7F84">
        <w:t>) or Leontief form (</w:t>
      </w:r>
      <w:r w:rsidRPr="00AD7F84">
        <w:sym w:font="Symbol" w:char="F073"/>
      </w:r>
      <w:proofErr w:type="spellStart"/>
      <w:r w:rsidRPr="00AD7F84">
        <w:t>X</w:t>
      </w:r>
      <w:r w:rsidRPr="00AD7F84">
        <w:rPr>
          <w:vertAlign w:val="subscript"/>
        </w:rPr>
        <w:t>a,r</w:t>
      </w:r>
      <w:proofErr w:type="spellEnd"/>
      <w:r w:rsidRPr="00AD7F84">
        <w:t xml:space="preserve"> = 0), with CES being the default and the </w:t>
      </w:r>
      <w:proofErr w:type="spellStart"/>
      <w:r w:rsidRPr="00AD7F84">
        <w:t>elasticities</w:t>
      </w:r>
      <w:proofErr w:type="spellEnd"/>
      <w:r w:rsidRPr="00AD7F84">
        <w:t xml:space="preserve"> being activity </w:t>
      </w:r>
      <w:r w:rsidRPr="00AD7F84">
        <w:rPr>
          <w:bCs/>
        </w:rPr>
        <w:t xml:space="preserve">and </w:t>
      </w:r>
      <w:r w:rsidRPr="00AD7F84">
        <w:t>region specific (</w:t>
      </w:r>
      <w:r w:rsidRPr="00AD7F84">
        <w:sym w:font="Symbol" w:char="F073"/>
      </w:r>
      <w:proofErr w:type="spellStart"/>
      <w:r w:rsidRPr="00AD7F84">
        <w:t>X</w:t>
      </w:r>
      <w:r w:rsidRPr="00AD7F84">
        <w:rPr>
          <w:vertAlign w:val="subscript"/>
        </w:rPr>
        <w:t>a,r</w:t>
      </w:r>
      <w:proofErr w:type="spellEnd"/>
      <w:r w:rsidRPr="00AD7F84">
        <w:t>).</w:t>
      </w:r>
    </w:p>
    <w:p w:rsidR="00AD7F84" w:rsidRPr="00AD7F84" w:rsidRDefault="00AD7F84" w:rsidP="00AD7F84">
      <w:pPr>
        <w:rPr>
          <w:b/>
        </w:rPr>
      </w:pPr>
      <w:r w:rsidRPr="00AD7F84">
        <w:rPr>
          <w:b/>
        </w:rPr>
        <w:t>Figure 2: Production Structure of GLOBE Model</w:t>
      </w:r>
    </w:p>
    <w:p w:rsidR="00AD7F84" w:rsidRPr="00AD7F84" w:rsidRDefault="00AD7F84" w:rsidP="00AD7F84">
      <w:r w:rsidRPr="00AD7F84">
        <w:drawing>
          <wp:inline distT="0" distB="0" distL="0" distR="0">
            <wp:extent cx="2924175" cy="2343150"/>
            <wp:effectExtent l="19050" t="0" r="9525" b="0"/>
            <wp:docPr id="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srcRect/>
                    <a:stretch>
                      <a:fillRect/>
                    </a:stretch>
                  </pic:blipFill>
                  <pic:spPr bwMode="auto">
                    <a:xfrm>
                      <a:off x="0" y="0"/>
                      <a:ext cx="2924175" cy="2343150"/>
                    </a:xfrm>
                    <a:prstGeom prst="rect">
                      <a:avLst/>
                    </a:prstGeom>
                    <a:noFill/>
                    <a:ln w="9525">
                      <a:noFill/>
                      <a:miter lim="800000"/>
                      <a:headEnd/>
                      <a:tailEnd/>
                    </a:ln>
                  </pic:spPr>
                </pic:pic>
              </a:graphicData>
            </a:graphic>
          </wp:inline>
        </w:drawing>
      </w:r>
    </w:p>
    <w:p w:rsidR="00AD7F84" w:rsidRPr="00AD7F84" w:rsidRDefault="00AD7F84" w:rsidP="00AD7F84">
      <w:r w:rsidRPr="00AD7F84">
        <w:t>At the second level aggregate intermediate inputs are a Leontief aggregation of the individual intermediate inputs where the input-output coefficients (</w:t>
      </w:r>
      <w:r w:rsidRPr="00AD7F84">
        <w:rPr>
          <w:i/>
          <w:iCs/>
        </w:rPr>
        <w:t>ioqint</w:t>
      </w:r>
      <w:r w:rsidRPr="00AD7F84">
        <w:rPr>
          <w:i/>
          <w:iCs/>
          <w:vertAlign w:val="subscript"/>
        </w:rPr>
        <w:t>c1</w:t>
      </w:r>
      <w:proofErr w:type="gramStart"/>
      <w:r w:rsidRPr="00AD7F84">
        <w:rPr>
          <w:i/>
          <w:iCs/>
          <w:vertAlign w:val="subscript"/>
        </w:rPr>
        <w:t>,a,r</w:t>
      </w:r>
      <w:proofErr w:type="gramEnd"/>
      <w:r w:rsidRPr="00AD7F84">
        <w:t>) are defined in terms of input quantities relative to the aggregate intermediate input. The value added production function is a standard CES function over all primary inputs (</w:t>
      </w:r>
      <w:proofErr w:type="spellStart"/>
      <w:r w:rsidRPr="00AD7F84">
        <w:rPr>
          <w:i/>
        </w:rPr>
        <w:t>FD</w:t>
      </w:r>
      <w:r w:rsidRPr="00AD7F84">
        <w:rPr>
          <w:i/>
          <w:vertAlign w:val="subscript"/>
        </w:rPr>
        <w:t>f</w:t>
      </w:r>
      <w:proofErr w:type="gramStart"/>
      <w:r w:rsidRPr="00AD7F84">
        <w:rPr>
          <w:i/>
          <w:vertAlign w:val="subscript"/>
        </w:rPr>
        <w:t>,a,r</w:t>
      </w:r>
      <w:proofErr w:type="spellEnd"/>
      <w:proofErr w:type="gramEnd"/>
      <w:r w:rsidRPr="00AD7F84">
        <w:t xml:space="preserve">), with the </w:t>
      </w:r>
      <w:proofErr w:type="spellStart"/>
      <w:r w:rsidRPr="00AD7F84">
        <w:t>elasticities</w:t>
      </w:r>
      <w:proofErr w:type="spellEnd"/>
      <w:r w:rsidRPr="00AD7F84">
        <w:t xml:space="preserve"> being activity </w:t>
      </w:r>
      <w:r w:rsidRPr="00AD7F84">
        <w:rPr>
          <w:bCs/>
        </w:rPr>
        <w:t xml:space="preserve">and </w:t>
      </w:r>
      <w:r w:rsidRPr="00AD7F84">
        <w:t>region specific (</w:t>
      </w:r>
      <w:r w:rsidRPr="00AD7F84">
        <w:sym w:font="Symbol" w:char="F073"/>
      </w:r>
      <w:proofErr w:type="spellStart"/>
      <w:r w:rsidRPr="00AD7F84">
        <w:t>VA</w:t>
      </w:r>
      <w:r w:rsidRPr="00AD7F84">
        <w:rPr>
          <w:vertAlign w:val="subscript"/>
        </w:rPr>
        <w:t>a,r</w:t>
      </w:r>
      <w:proofErr w:type="spellEnd"/>
      <w:r w:rsidRPr="00AD7F84">
        <w:t xml:space="preserve">). </w:t>
      </w:r>
    </w:p>
    <w:p w:rsidR="00AD7F84" w:rsidRPr="00AD7F84" w:rsidRDefault="00AD7F84" w:rsidP="00AD7F84">
      <w:r w:rsidRPr="00AD7F84">
        <w:t>On the supply side, the GLOBE model is similar to most CGE models and utilizes the activity-specific productivities discussed in section 2. Total factor supply (</w:t>
      </w:r>
      <w:proofErr w:type="spellStart"/>
      <w:r w:rsidRPr="00AD7F84">
        <w:t>FS</w:t>
      </w:r>
      <w:r w:rsidRPr="00AD7F84">
        <w:rPr>
          <w:vertAlign w:val="subscript"/>
        </w:rPr>
        <w:t>f</w:t>
      </w:r>
      <w:proofErr w:type="gramStart"/>
      <w:r w:rsidRPr="00AD7F84">
        <w:rPr>
          <w:vertAlign w:val="subscript"/>
        </w:rPr>
        <w:t>,r</w:t>
      </w:r>
      <w:proofErr w:type="spellEnd"/>
      <w:proofErr w:type="gramEnd"/>
      <w:r w:rsidRPr="00AD7F84">
        <w:t xml:space="preserve">), across all activities, is fixed.  Hence the market clearing condition: </w:t>
      </w:r>
    </w:p>
    <w:p w:rsidR="00AD7F84" w:rsidRPr="00AD7F84" w:rsidRDefault="00AD7F84" w:rsidP="00AD7F84">
      <w:r w:rsidRPr="00AD7F84">
        <w:object w:dxaOrig="1780" w:dyaOrig="540">
          <v:shape id="_x0000_i1029" type="#_x0000_t75" style="width:88.2pt;height:27pt" o:ole="">
            <v:imagedata r:id="rId19" o:title=""/>
          </v:shape>
          <o:OLEObject Type="Embed" ProgID="Equation.DSMT4" ShapeID="_x0000_i1029" DrawAspect="Content" ObjectID="_1522177928" r:id="rId20"/>
        </w:object>
      </w:r>
      <w:r w:rsidRPr="00AD7F84">
        <w:t>,</w:t>
      </w:r>
    </w:p>
    <w:p w:rsidR="00AD7F84" w:rsidRPr="00AD7F84" w:rsidRDefault="00AD7F84" w:rsidP="00AD7F84">
      <w:proofErr w:type="gramStart"/>
      <w:r w:rsidRPr="00AD7F84">
        <w:t>ensures</w:t>
      </w:r>
      <w:proofErr w:type="gramEnd"/>
      <w:r w:rsidRPr="00AD7F84">
        <w:t xml:space="preserve"> that factors are perfectly mobile across sectors so as to equate the factor specific wage across sectors </w:t>
      </w:r>
      <w:proofErr w:type="spellStart"/>
      <w:r w:rsidRPr="00AD7F84">
        <w:t>WF</w:t>
      </w:r>
      <w:r w:rsidRPr="00AD7F84">
        <w:rPr>
          <w:vertAlign w:val="subscript"/>
        </w:rPr>
        <w:t>f,r</w:t>
      </w:r>
      <w:proofErr w:type="spellEnd"/>
      <w:r w:rsidRPr="00AD7F84">
        <w:t xml:space="preserve">; any activity specific wage </w:t>
      </w:r>
      <w:proofErr w:type="spellStart"/>
      <w:r w:rsidRPr="00AD7F84">
        <w:t>wfdist</w:t>
      </w:r>
      <w:r w:rsidRPr="00AD7F84">
        <w:rPr>
          <w:vertAlign w:val="subscript"/>
        </w:rPr>
        <w:t>f,a,r</w:t>
      </w:r>
      <w:proofErr w:type="spellEnd"/>
      <w:r w:rsidRPr="00AD7F84">
        <w:t xml:space="preserve"> remains constant. Since the quantities </w:t>
      </w:r>
      <w:r w:rsidRPr="00AD7F84">
        <w:lastRenderedPageBreak/>
        <w:t xml:space="preserve">of factor demands are unknown the </w:t>
      </w:r>
      <w:proofErr w:type="spellStart"/>
      <w:r w:rsidRPr="00AD7F84">
        <w:t>Harberger</w:t>
      </w:r>
      <w:proofErr w:type="spellEnd"/>
      <w:r w:rsidRPr="00AD7F84">
        <w:t xml:space="preserve"> convention is used and both </w:t>
      </w:r>
      <w:proofErr w:type="spellStart"/>
      <w:r w:rsidRPr="00AD7F84">
        <w:t>WF</w:t>
      </w:r>
      <w:r w:rsidRPr="00AD7F84">
        <w:rPr>
          <w:vertAlign w:val="subscript"/>
        </w:rPr>
        <w:t>f</w:t>
      </w:r>
      <w:proofErr w:type="gramStart"/>
      <w:r w:rsidRPr="00AD7F84">
        <w:rPr>
          <w:vertAlign w:val="subscript"/>
        </w:rPr>
        <w:t>,r</w:t>
      </w:r>
      <w:proofErr w:type="spellEnd"/>
      <w:proofErr w:type="gramEnd"/>
      <w:r w:rsidRPr="00AD7F84">
        <w:t xml:space="preserve"> and </w:t>
      </w:r>
      <w:proofErr w:type="spellStart"/>
      <w:r w:rsidRPr="00AD7F84">
        <w:t>wfdist</w:t>
      </w:r>
      <w:r w:rsidRPr="00AD7F84">
        <w:rPr>
          <w:vertAlign w:val="subscript"/>
        </w:rPr>
        <w:t>f,r</w:t>
      </w:r>
      <w:proofErr w:type="spellEnd"/>
      <w:r w:rsidRPr="00AD7F84">
        <w:t xml:space="preserve"> are set equal to one.  </w:t>
      </w:r>
    </w:p>
    <w:p w:rsidR="00AD7F84" w:rsidRPr="00AD7F84" w:rsidRDefault="00AD7F84" w:rsidP="00AD7F84">
      <w:r w:rsidRPr="00AD7F84">
        <w:object w:dxaOrig="3100" w:dyaOrig="760">
          <v:shape id="_x0000_i1030" type="#_x0000_t75" style="width:154.2pt;height:37.2pt" o:ole="">
            <v:imagedata r:id="rId21" o:title=""/>
          </v:shape>
          <o:OLEObject Type="Embed" ProgID="Equation.DSMT4" ShapeID="_x0000_i1030" DrawAspect="Content" ObjectID="_1522177929" r:id="rId22"/>
        </w:object>
      </w:r>
    </w:p>
    <w:p w:rsidR="00AD7F84" w:rsidRPr="00AD7F84" w:rsidRDefault="00AD7F84" w:rsidP="00AD7F84">
      <w:r w:rsidRPr="00AD7F84">
        <w:t xml:space="preserve">Hence: </w:t>
      </w:r>
      <w:r w:rsidRPr="00AD7F84">
        <w:tab/>
      </w:r>
      <w:r w:rsidRPr="00AD7F84">
        <w:tab/>
      </w:r>
      <w:r w:rsidRPr="00AD7F84">
        <w:tab/>
      </w:r>
      <w:r w:rsidRPr="00AD7F84">
        <w:tab/>
      </w:r>
      <w:r w:rsidRPr="00AD7F84">
        <w:object w:dxaOrig="940" w:dyaOrig="380">
          <v:shape id="_x0000_i1031" type="#_x0000_t75" style="width:46.8pt;height:19.2pt" o:ole="">
            <v:imagedata r:id="rId23" o:title=""/>
          </v:shape>
          <o:OLEObject Type="Embed" ProgID="Equation.DSMT4" ShapeID="_x0000_i1031" DrawAspect="Content" ObjectID="_1522177930" r:id="rId24"/>
        </w:object>
      </w:r>
      <w:r w:rsidRPr="00AD7F84">
        <w:t xml:space="preserve"> </w:t>
      </w:r>
    </w:p>
    <w:p w:rsidR="00AD7F84" w:rsidRPr="00AD7F84" w:rsidRDefault="00AD7F84" w:rsidP="00AD7F84">
      <w:proofErr w:type="gramStart"/>
      <w:r w:rsidRPr="00AD7F84">
        <w:t>and</w:t>
      </w:r>
      <w:proofErr w:type="gramEnd"/>
      <w:r w:rsidRPr="00AD7F84">
        <w:t xml:space="preserve"> </w:t>
      </w:r>
      <w:r w:rsidRPr="00AD7F84">
        <w:tab/>
      </w:r>
      <w:r w:rsidRPr="00AD7F84">
        <w:tab/>
      </w:r>
      <w:r w:rsidRPr="00AD7F84">
        <w:tab/>
      </w:r>
      <w:r w:rsidRPr="00AD7F84">
        <w:tab/>
      </w:r>
      <w:r w:rsidRPr="00AD7F84">
        <w:tab/>
      </w:r>
      <w:r w:rsidRPr="00AD7F84">
        <w:object w:dxaOrig="1320" w:dyaOrig="380">
          <v:shape id="_x0000_i1032" type="#_x0000_t75" style="width:66pt;height:19.2pt" o:ole="">
            <v:imagedata r:id="rId25" o:title=""/>
          </v:shape>
          <o:OLEObject Type="Embed" ProgID="Equation.DSMT4" ShapeID="_x0000_i1032" DrawAspect="Content" ObjectID="_1522177931" r:id="rId26"/>
        </w:object>
      </w:r>
    </w:p>
    <w:p w:rsidR="00AD7F84" w:rsidRPr="00AD7F84" w:rsidRDefault="00AD7F84" w:rsidP="00AD7F84">
      <w:r w:rsidRPr="00AD7F84">
        <w:t xml:space="preserve">In this paper we investigate the impact of these assumptions on the mobility of labor.  First, we incorporate real data from </w:t>
      </w:r>
      <w:r w:rsidRPr="00AD7F84">
        <w:fldChar w:fldCharType="begin"/>
      </w:r>
      <w:r w:rsidRPr="00AD7F84">
        <w:instrText xml:space="preserve"> ADDIN EN.CITE &lt;EndNote&gt;&lt;Cite AuthorYear="1"&gt;&lt;Author&gt;Walmsley&lt;/Author&gt;&lt;Year&gt;forthcoming&lt;/Year&gt;&lt;RecNum&gt;68&lt;/RecNum&gt;&lt;DisplayText&gt;Walmsley and Carrico (forthcoming)&lt;/DisplayText&gt;&lt;record&gt;&lt;rec-number&gt;68&lt;/rec-number&gt;&lt;foreign-keys&gt;&lt;key app="EN" db-id="tfz9v5v04w9xeqetf025f5tv2e2xttaavpp2" timestamp="1408548112"&gt;68&lt;/key&gt;&lt;/foreign-keys&gt;&lt;ref-type name="Manuscript"&gt;36&lt;/ref-type&gt;&lt;contributors&gt;&lt;authors&gt;&lt;author&gt;Walmsley, Terrie L.&lt;/author&gt;&lt;author&gt;Caitlyn Carrico&lt;/author&gt;&lt;/authors&gt;&lt;secondary-authors&gt;&lt;author&gt;Center for Global Trade Analysis,&lt;/author&gt;&lt;/secondary-authors&gt;&lt;/contributors&gt;&lt;titles&gt;&lt;title&gt;Disaggregating Labor Payments in the GTAP 8 Data Base&lt;/title&gt;&lt;secondary-title&gt;GTAP Technical Paper Series&lt;/secondary-title&gt;&lt;/titles&gt;&lt;dates&gt;&lt;year&gt;forthcoming&lt;/year&gt;&lt;/dates&gt;&lt;pub-location&gt;West Lafayette, Indiana&lt;/pub-location&gt;&lt;urls&gt;&lt;/urls&gt;&lt;/record&gt;&lt;/Cite&gt;&lt;/EndNote&gt;</w:instrText>
      </w:r>
      <w:r w:rsidRPr="00AD7F84">
        <w:fldChar w:fldCharType="separate"/>
      </w:r>
      <w:proofErr w:type="spellStart"/>
      <w:r w:rsidRPr="00AD7F84">
        <w:t>Walmsley</w:t>
      </w:r>
      <w:proofErr w:type="spellEnd"/>
      <w:r w:rsidRPr="00AD7F84">
        <w:t xml:space="preserve"> and </w:t>
      </w:r>
      <w:proofErr w:type="spellStart"/>
      <w:r w:rsidRPr="00AD7F84">
        <w:t>Carrico</w:t>
      </w:r>
      <w:proofErr w:type="spellEnd"/>
      <w:r w:rsidRPr="00AD7F84">
        <w:t xml:space="preserve"> (forthcoming)</w:t>
      </w:r>
      <w:r w:rsidRPr="00AD7F84">
        <w:fldChar w:fldCharType="end"/>
      </w:r>
      <w:r w:rsidRPr="00AD7F84">
        <w:t xml:space="preserve"> on the quantities of factor demands to estimate differences in activity specific wages, </w:t>
      </w:r>
      <w:proofErr w:type="spellStart"/>
      <w:r w:rsidRPr="00AD7F84">
        <w:t>wfdist</w:t>
      </w:r>
      <w:r w:rsidRPr="00AD7F84">
        <w:rPr>
          <w:vertAlign w:val="subscript"/>
        </w:rPr>
        <w:t>f,r</w:t>
      </w:r>
      <w:proofErr w:type="spellEnd"/>
      <w:r w:rsidRPr="00AD7F84">
        <w:t xml:space="preserve">.  These differences in wages across activities and our knowledge of the underlying data and the 12 aggregated activities consistent with the ILO data, are then used to impose restrictions on the mobility of labor between groups of activities – </w:t>
      </w:r>
      <w:proofErr w:type="spellStart"/>
      <w:r w:rsidRPr="00AD7F84">
        <w:t>labelled</w:t>
      </w:r>
      <w:proofErr w:type="spellEnd"/>
      <w:r w:rsidRPr="00AD7F84">
        <w:t xml:space="preserve"> segments. </w:t>
      </w:r>
    </w:p>
    <w:p w:rsidR="00AD7F84" w:rsidRPr="00AD7F84" w:rsidRDefault="00AD7F84" w:rsidP="00AD7F84">
      <w:r w:rsidRPr="00AD7F84">
        <w:t>Next we incorporate a migration function into the GLOBE model to allow restricted movement of labor between labor types or segments (f)</w:t>
      </w:r>
      <w:r w:rsidRPr="00AD7F84">
        <w:rPr>
          <w:vertAlign w:val="superscript"/>
        </w:rPr>
        <w:footnoteReference w:id="4"/>
      </w:r>
      <w:r w:rsidRPr="00AD7F84">
        <w:t>:</w:t>
      </w:r>
    </w:p>
    <w:p w:rsidR="00AD7F84" w:rsidRPr="00AD7F84" w:rsidRDefault="00AD7F84" w:rsidP="00AD7F84">
      <w:r w:rsidRPr="00AD7F84">
        <w:object w:dxaOrig="5440" w:dyaOrig="960">
          <v:shape id="_x0000_i1033" type="#_x0000_t75" style="width:271.8pt;height:48pt" o:ole="">
            <v:imagedata r:id="rId27" o:title=""/>
          </v:shape>
          <o:OLEObject Type="Embed" ProgID="Equation.DSMT4" ShapeID="_x0000_i1033" DrawAspect="Content" ObjectID="_1522177932" r:id="rId28"/>
        </w:object>
      </w:r>
    </w:p>
    <w:p w:rsidR="00AD7F84" w:rsidRPr="00AD7F84" w:rsidRDefault="00AD7F84" w:rsidP="00AD7F84">
      <w:pPr>
        <w:rPr>
          <w:lang w:val="pt-BR"/>
        </w:rPr>
      </w:pPr>
      <w:r w:rsidRPr="00AD7F84">
        <w:rPr>
          <w:lang w:val="pt-BR"/>
        </w:rPr>
        <w:t xml:space="preserve">Where: </w:t>
      </w:r>
    </w:p>
    <w:p w:rsidR="00AD7F84" w:rsidRPr="00AD7F84" w:rsidRDefault="00AD7F84" w:rsidP="00AD7F84">
      <w:r w:rsidRPr="00AD7F84">
        <w:object w:dxaOrig="4040" w:dyaOrig="380">
          <v:shape id="_x0000_i1034" type="#_x0000_t75" style="width:202.2pt;height:19.2pt" o:ole="">
            <v:imagedata r:id="rId29" o:title=""/>
          </v:shape>
          <o:OLEObject Type="Embed" ProgID="Equation.DSMT4" ShapeID="_x0000_i1034" DrawAspect="Content" ObjectID="_1522177933" r:id="rId30"/>
        </w:object>
      </w:r>
    </w:p>
    <w:p w:rsidR="00AD7F84" w:rsidRPr="00AD7F84" w:rsidRDefault="00AD7F84" w:rsidP="00AD7F84">
      <w:r w:rsidRPr="00AD7F84">
        <w:object w:dxaOrig="999" w:dyaOrig="380">
          <v:shape id="_x0000_i1035" type="#_x0000_t75" style="width:50.4pt;height:19.2pt" o:ole="">
            <v:imagedata r:id="rId31" o:title=""/>
          </v:shape>
          <o:OLEObject Type="Embed" ProgID="Equation.DSMT4" ShapeID="_x0000_i1035" DrawAspect="Content" ObjectID="_1522177934" r:id="rId32"/>
        </w:object>
      </w:r>
      <w:proofErr w:type="gramStart"/>
      <w:r w:rsidRPr="00AD7F84">
        <w:t>is</w:t>
      </w:r>
      <w:proofErr w:type="gramEnd"/>
      <w:r w:rsidRPr="00AD7F84">
        <w:t xml:space="preserve"> the s</w:t>
      </w:r>
      <w:r w:rsidRPr="00AD7F84">
        <w:rPr>
          <w:lang w:val="pt-BR"/>
        </w:rPr>
        <w:t>upply of migrants from factor type f to factor type fp</w:t>
      </w:r>
    </w:p>
    <w:p w:rsidR="00AD7F84" w:rsidRPr="00AD7F84" w:rsidRDefault="00AD7F84" w:rsidP="00AD7F84">
      <w:r w:rsidRPr="00AD7F84">
        <w:rPr>
          <w:i/>
          <w:lang w:val="pt-BR"/>
        </w:rPr>
        <w:t>WMIGRATIO</w:t>
      </w:r>
      <w:r w:rsidRPr="00AD7F84">
        <w:rPr>
          <w:i/>
          <w:vertAlign w:val="subscript"/>
          <w:lang w:val="pt-BR"/>
        </w:rPr>
        <w:t>f,fp,r</w:t>
      </w:r>
      <w:r w:rsidRPr="00AD7F84">
        <w:rPr>
          <w:lang w:val="pt-BR"/>
        </w:rPr>
        <w:t xml:space="preserve"> is the ratio of the wage of factor fp relative to the wage in factor f.  Factor f will migrate to fp if the relative wage of factor fp to f rises.</w:t>
      </w:r>
      <w:r w:rsidRPr="00AD7F84">
        <w:t xml:space="preserve">  </w:t>
      </w:r>
    </w:p>
    <w:p w:rsidR="00AD7F84" w:rsidRPr="00AD7F84" w:rsidRDefault="00AD7F84" w:rsidP="00AD7F84">
      <w:r w:rsidRPr="00AD7F84">
        <w:rPr>
          <w:lang w:val="pt-BR"/>
        </w:rPr>
        <w:t>T</w:t>
      </w:r>
      <w:r w:rsidRPr="00AD7F84">
        <w:t xml:space="preserve">he extent to which movement occurs depends on the migration </w:t>
      </w:r>
      <w:proofErr w:type="spellStart"/>
      <w:r w:rsidRPr="00AD7F84">
        <w:t>elasticities</w:t>
      </w:r>
      <w:proofErr w:type="spellEnd"/>
      <w:r w:rsidRPr="00AD7F84">
        <w:t xml:space="preserve">, </w:t>
      </w:r>
      <w:r w:rsidRPr="00AD7F84">
        <w:object w:dxaOrig="1160" w:dyaOrig="380">
          <v:shape id="_x0000_i1036" type="#_x0000_t75" style="width:58.8pt;height:19.2pt" o:ole="">
            <v:imagedata r:id="rId33" o:title=""/>
          </v:shape>
          <o:OLEObject Type="Embed" ProgID="Equation.DSMT4" ShapeID="_x0000_i1036" DrawAspect="Content" ObjectID="_1522177935" r:id="rId34"/>
        </w:object>
      </w:r>
      <w:r w:rsidRPr="00AD7F84">
        <w:t>and our definition of f (factor type). If we re-define factor (f) to include both factors (Table 1) and segments (Table 2) then clerks working in agricultural sectors (</w:t>
      </w:r>
      <w:proofErr w:type="spellStart"/>
      <w:r w:rsidRPr="00AD7F84">
        <w:t>clerks_agr</w:t>
      </w:r>
      <w:proofErr w:type="spellEnd"/>
      <w:r w:rsidRPr="00AD7F84">
        <w:t>) and clerks working in manufacturing sectors (</w:t>
      </w:r>
      <w:proofErr w:type="spellStart"/>
      <w:r w:rsidRPr="00AD7F84">
        <w:t>clerks_manuf</w:t>
      </w:r>
      <w:proofErr w:type="spellEnd"/>
      <w:r w:rsidRPr="00AD7F84">
        <w:t xml:space="preserve">) are two distinct factors and movement between then is </w:t>
      </w:r>
      <w:r w:rsidRPr="00AD7F84">
        <w:lastRenderedPageBreak/>
        <w:t xml:space="preserve">determined by the value of the migration </w:t>
      </w:r>
      <w:proofErr w:type="spellStart"/>
      <w:r w:rsidRPr="00AD7F84">
        <w:t>elasticities</w:t>
      </w:r>
      <w:proofErr w:type="spellEnd"/>
      <w:r w:rsidRPr="00AD7F84">
        <w:t xml:space="preserve">, </w:t>
      </w:r>
      <w:r w:rsidRPr="00AD7F84">
        <w:object w:dxaOrig="1160" w:dyaOrig="380">
          <v:shape id="_x0000_i1037" type="#_x0000_t75" style="width:58.8pt;height:19.2pt" o:ole="">
            <v:imagedata r:id="rId33" o:title=""/>
          </v:shape>
          <o:OLEObject Type="Embed" ProgID="Equation.DSMT4" ShapeID="_x0000_i1037" DrawAspect="Content" ObjectID="_1522177936" r:id="rId35"/>
        </w:object>
      </w:r>
      <w:r w:rsidRPr="00AD7F84">
        <w:t>.  Likewise shop workers in manufacturing (</w:t>
      </w:r>
      <w:proofErr w:type="spellStart"/>
      <w:r w:rsidRPr="00AD7F84">
        <w:t>shop_manuf</w:t>
      </w:r>
      <w:proofErr w:type="spellEnd"/>
      <w:r w:rsidRPr="00AD7F84">
        <w:t xml:space="preserve">) are also a distinct factor and hence, depending on the migration </w:t>
      </w:r>
      <w:proofErr w:type="spellStart"/>
      <w:r w:rsidRPr="00AD7F84">
        <w:t>elasticities</w:t>
      </w:r>
      <w:proofErr w:type="spellEnd"/>
      <w:proofErr w:type="gramStart"/>
      <w:r w:rsidRPr="00AD7F84">
        <w:t xml:space="preserve">, </w:t>
      </w:r>
      <w:proofErr w:type="gramEnd"/>
      <w:r w:rsidRPr="00AD7F84">
        <w:object w:dxaOrig="1160" w:dyaOrig="380">
          <v:shape id="_x0000_i1038" type="#_x0000_t75" style="width:58.8pt;height:19.2pt" o:ole="">
            <v:imagedata r:id="rId33" o:title=""/>
          </v:shape>
          <o:OLEObject Type="Embed" ProgID="Equation.DSMT4" ShapeID="_x0000_i1038" DrawAspect="Content" ObjectID="_1522177937" r:id="rId36"/>
        </w:object>
      </w:r>
      <w:r w:rsidRPr="00AD7F84">
        <w:t xml:space="preserve">, we can also allow migration between </w:t>
      </w:r>
      <w:proofErr w:type="spellStart"/>
      <w:r w:rsidRPr="00AD7F84">
        <w:t>clerks_manuf</w:t>
      </w:r>
      <w:proofErr w:type="spellEnd"/>
      <w:r w:rsidRPr="00AD7F84">
        <w:t xml:space="preserve"> and </w:t>
      </w:r>
      <w:proofErr w:type="spellStart"/>
      <w:r w:rsidRPr="00AD7F84">
        <w:t>shop_manuf</w:t>
      </w:r>
      <w:proofErr w:type="spellEnd"/>
      <w:r w:rsidRPr="00AD7F84">
        <w:t xml:space="preserve"> or </w:t>
      </w:r>
      <w:proofErr w:type="spellStart"/>
      <w:r w:rsidRPr="00AD7F84">
        <w:t>clerks_agr</w:t>
      </w:r>
      <w:proofErr w:type="spellEnd"/>
      <w:r w:rsidRPr="00AD7F84">
        <w:t xml:space="preserve"> and </w:t>
      </w:r>
      <w:proofErr w:type="spellStart"/>
      <w:r w:rsidRPr="00AD7F84">
        <w:t>shop_manuf</w:t>
      </w:r>
      <w:proofErr w:type="spellEnd"/>
      <w:r w:rsidRPr="00AD7F84">
        <w:t xml:space="preserve">.  If migration is unlikely (e.g., </w:t>
      </w:r>
      <w:proofErr w:type="spellStart"/>
      <w:r w:rsidRPr="00AD7F84">
        <w:t>lowsk_agr</w:t>
      </w:r>
      <w:proofErr w:type="spellEnd"/>
      <w:r w:rsidRPr="00AD7F84">
        <w:t xml:space="preserve"> to </w:t>
      </w:r>
      <w:proofErr w:type="spellStart"/>
      <w:r w:rsidRPr="00AD7F84">
        <w:t>prof_services</w:t>
      </w:r>
      <w:proofErr w:type="spellEnd"/>
      <w:r w:rsidRPr="00AD7F84">
        <w:t xml:space="preserve">) then </w:t>
      </w:r>
      <w:proofErr w:type="spellStart"/>
      <w:r w:rsidRPr="00AD7F84">
        <w:t>etamig</w:t>
      </w:r>
      <w:proofErr w:type="spellEnd"/>
      <w:r w:rsidRPr="00AD7F84">
        <w:t xml:space="preserve">=0.   </w:t>
      </w:r>
    </w:p>
    <w:p w:rsidR="00AD7F84" w:rsidRPr="00AD7F84" w:rsidRDefault="00AD7F84" w:rsidP="00AD7F84">
      <w:r w:rsidRPr="00AD7F84">
        <w:t xml:space="preserve">The new factor supply of factor </w:t>
      </w:r>
      <w:proofErr w:type="spellStart"/>
      <w:r w:rsidRPr="00AD7F84">
        <w:t>fp</w:t>
      </w:r>
      <w:proofErr w:type="spellEnd"/>
      <w:r w:rsidRPr="00AD7F84">
        <w:t xml:space="preserve"> (</w:t>
      </w:r>
      <w:r w:rsidRPr="00AD7F84">
        <w:object w:dxaOrig="600" w:dyaOrig="380">
          <v:shape id="_x0000_i1039" type="#_x0000_t75" style="width:29.4pt;height:19.2pt" o:ole="">
            <v:imagedata r:id="rId37" o:title=""/>
          </v:shape>
          <o:OLEObject Type="Embed" ProgID="Equation.DSMT4" ShapeID="_x0000_i1039" DrawAspect="Content" ObjectID="_1522177938" r:id="rId38"/>
        </w:object>
      </w:r>
      <w:r w:rsidRPr="00AD7F84">
        <w:t xml:space="preserve">) will then depend on migration in and out of other factors.  </w:t>
      </w:r>
    </w:p>
    <w:p w:rsidR="00AD7F84" w:rsidRPr="00AD7F84" w:rsidRDefault="00AD7F84" w:rsidP="00AD7F84">
      <w:pPr>
        <w:rPr>
          <w:b/>
        </w:rPr>
      </w:pPr>
      <w:r w:rsidRPr="00AD7F84">
        <w:rPr>
          <w:b/>
        </w:rPr>
        <w:t>Experiments</w:t>
      </w:r>
    </w:p>
    <w:p w:rsidR="00AD7F84" w:rsidRPr="00AD7F84" w:rsidRDefault="00AD7F84" w:rsidP="00AD7F84">
      <w:r w:rsidRPr="00AD7F84">
        <w:t xml:space="preserve">The policy experiment used to illustrate the impact of alternative assumptions about the movement of labor is a </w:t>
      </w:r>
      <w:proofErr w:type="spellStart"/>
      <w:r w:rsidRPr="00AD7F84">
        <w:t>stylised</w:t>
      </w:r>
      <w:proofErr w:type="spellEnd"/>
      <w:r w:rsidRPr="00AD7F84">
        <w:t xml:space="preserve"> representation of the DDA trade reforms with respect to market access, export subsidies and domestic support program. In line with the basic principles of the DDA, the guiding presumption for market access is that the greater the degree of protection the greater the degree of reduction in the distortion, while export subsidies are removed in their entirety and domestic support programs are reduced substantially.</w:t>
      </w:r>
    </w:p>
    <w:p w:rsidR="00AD7F84" w:rsidRPr="00AD7F84" w:rsidRDefault="00AD7F84" w:rsidP="00AD7F84">
      <w:r w:rsidRPr="00AD7F84">
        <w:t>The ‘full’ DDA simulation involves the following policy changes:</w:t>
      </w:r>
    </w:p>
    <w:p w:rsidR="00AD7F84" w:rsidRPr="00AD7F84" w:rsidRDefault="00AD7F84" w:rsidP="00AD7F84">
      <w:pPr>
        <w:numPr>
          <w:ilvl w:val="0"/>
          <w:numId w:val="13"/>
        </w:numPr>
      </w:pPr>
      <w:r w:rsidRPr="00AD7F84">
        <w:t>Export subsidies - elimination of all export subsidies where export subsidies are defined as negative export tax rates.</w:t>
      </w:r>
    </w:p>
    <w:p w:rsidR="00AD7F84" w:rsidRPr="00AD7F84" w:rsidRDefault="00AD7F84" w:rsidP="00AD7F84">
      <w:pPr>
        <w:numPr>
          <w:ilvl w:val="0"/>
          <w:numId w:val="13"/>
        </w:numPr>
      </w:pPr>
      <w:r w:rsidRPr="00AD7F84">
        <w:t>Market access – reduce export taxes and tariffs.</w:t>
      </w:r>
    </w:p>
    <w:p w:rsidR="00AD7F84" w:rsidRPr="00AD7F84" w:rsidRDefault="00AD7F84" w:rsidP="00AD7F84">
      <w:pPr>
        <w:numPr>
          <w:ilvl w:val="1"/>
          <w:numId w:val="13"/>
        </w:numPr>
      </w:pPr>
      <w:r w:rsidRPr="00AD7F84">
        <w:t>Export taxes – elimination of all export taxes by all regions.</w:t>
      </w:r>
    </w:p>
    <w:p w:rsidR="00AD7F84" w:rsidRPr="00AD7F84" w:rsidRDefault="00AD7F84" w:rsidP="00AD7F84">
      <w:pPr>
        <w:numPr>
          <w:ilvl w:val="1"/>
          <w:numId w:val="13"/>
        </w:numPr>
      </w:pPr>
      <w:r w:rsidRPr="00AD7F84">
        <w:t>Import duties – 40 percent reduction in import duties by the non-developed regions (India, Brazil, China &amp; HK, South Africa, Least Developed and Developing) and by 60 percent for other (developed) regions (EU, North America and other developed).</w:t>
      </w:r>
    </w:p>
    <w:p w:rsidR="00AD7F84" w:rsidRPr="00AD7F84" w:rsidRDefault="00AD7F84" w:rsidP="00AD7F84">
      <w:pPr>
        <w:numPr>
          <w:ilvl w:val="0"/>
          <w:numId w:val="13"/>
        </w:numPr>
      </w:pPr>
      <w:r w:rsidRPr="00AD7F84">
        <w:t>Domestic support programs – 30 percent reduction in rates of domestic support by the non-developed regions and by 70 percent for other the developed regions.</w:t>
      </w:r>
    </w:p>
    <w:p w:rsidR="00AD7F84" w:rsidRPr="00AD7F84" w:rsidRDefault="00AD7F84" w:rsidP="00AD7F84">
      <w:r w:rsidRPr="00AD7F84">
        <w:t xml:space="preserve">To illustrate the impact of various assumptions regarding the mobility of labor across activities the DDA policy, five separate simulations are undertaken under the following assumptions.  </w:t>
      </w:r>
    </w:p>
    <w:p w:rsidR="00AD7F84" w:rsidRPr="00AD7F84" w:rsidRDefault="00AD7F84" w:rsidP="00AD7F84"/>
    <w:p w:rsidR="00AD7F84" w:rsidRPr="00AD7F84" w:rsidRDefault="00AD7F84" w:rsidP="00AD7F84">
      <w:pPr>
        <w:numPr>
          <w:ilvl w:val="0"/>
          <w:numId w:val="18"/>
        </w:numPr>
      </w:pPr>
      <w:proofErr w:type="spellStart"/>
      <w:r w:rsidRPr="00AD7F84">
        <w:rPr>
          <w:b/>
          <w:i/>
        </w:rPr>
        <w:t>Harberger</w:t>
      </w:r>
      <w:proofErr w:type="spellEnd"/>
      <w:r w:rsidRPr="00AD7F84">
        <w:rPr>
          <w:b/>
          <w:i/>
        </w:rPr>
        <w:t xml:space="preserve"> and Full Mobility</w:t>
      </w:r>
      <w:r w:rsidRPr="00AD7F84">
        <w:t xml:space="preserve">: Fully mobile factors across all activities with no differential wages across activities </w:t>
      </w:r>
    </w:p>
    <w:p w:rsidR="00AD7F84" w:rsidRPr="00AD7F84" w:rsidRDefault="00AD7F84" w:rsidP="00AD7F84">
      <w:pPr>
        <w:numPr>
          <w:ilvl w:val="0"/>
          <w:numId w:val="18"/>
        </w:numPr>
      </w:pPr>
      <w:r w:rsidRPr="00AD7F84">
        <w:rPr>
          <w:b/>
          <w:i/>
        </w:rPr>
        <w:lastRenderedPageBreak/>
        <w:t>Wage Differentials</w:t>
      </w:r>
      <w:r w:rsidRPr="00AD7F84">
        <w:t xml:space="preserve">: Fully mobile factors across all activities with factor use data included to show differences in wages across activities.  </w:t>
      </w:r>
    </w:p>
    <w:p w:rsidR="00AD7F84" w:rsidRPr="00AD7F84" w:rsidRDefault="00AD7F84" w:rsidP="00AD7F84">
      <w:pPr>
        <w:numPr>
          <w:ilvl w:val="0"/>
          <w:numId w:val="18"/>
        </w:numPr>
      </w:pPr>
      <w:r w:rsidRPr="00AD7F84">
        <w:rPr>
          <w:b/>
          <w:i/>
        </w:rPr>
        <w:t>Three Segmented Factor Markets</w:t>
      </w:r>
      <w:r w:rsidRPr="00AD7F84">
        <w:t xml:space="preserve">: Fully mobile factors within 3 activity groupings (Table 2, column III) with differential wages and no migration functions. </w:t>
      </w:r>
    </w:p>
    <w:p w:rsidR="00AD7F84" w:rsidRPr="00AD7F84" w:rsidRDefault="00AD7F84" w:rsidP="00AD7F84">
      <w:pPr>
        <w:numPr>
          <w:ilvl w:val="0"/>
          <w:numId w:val="18"/>
        </w:numPr>
      </w:pPr>
      <w:r w:rsidRPr="00AD7F84">
        <w:rPr>
          <w:b/>
          <w:i/>
        </w:rPr>
        <w:t>Six Segmented Factor Markets</w:t>
      </w:r>
      <w:r w:rsidRPr="00AD7F84">
        <w:t xml:space="preserve">: Fully mobile factors within 6 activity groupings (Table 2, column IV) with differential wages and no migration functions. </w:t>
      </w:r>
    </w:p>
    <w:p w:rsidR="00AD7F84" w:rsidRPr="00AD7F84" w:rsidRDefault="00AD7F84" w:rsidP="00AD7F84">
      <w:pPr>
        <w:numPr>
          <w:ilvl w:val="0"/>
          <w:numId w:val="18"/>
        </w:numPr>
      </w:pPr>
      <w:r w:rsidRPr="00AD7F84">
        <w:rPr>
          <w:b/>
          <w:i/>
        </w:rPr>
        <w:t>Three Segments and Migration</w:t>
      </w:r>
      <w:r w:rsidRPr="00AD7F84">
        <w:t>: Three segmented factor markets (Table 2, column III) with migration functions</w:t>
      </w:r>
    </w:p>
    <w:p w:rsidR="00AD7F84" w:rsidRPr="00AD7F84" w:rsidRDefault="00AD7F84" w:rsidP="00AD7F84">
      <w:r w:rsidRPr="00AD7F84">
        <w:t>In the final simulation, we also investigate the sensitivity of the results to the choice of the migration elasticity (</w:t>
      </w:r>
      <w:proofErr w:type="spellStart"/>
      <w:r w:rsidRPr="00AD7F84">
        <w:t>etamig</w:t>
      </w:r>
      <w:r w:rsidRPr="00AD7F84">
        <w:rPr>
          <w:vertAlign w:val="subscript"/>
        </w:rPr>
        <w:t>f</w:t>
      </w:r>
      <w:proofErr w:type="gramStart"/>
      <w:r w:rsidRPr="00AD7F84">
        <w:rPr>
          <w:vertAlign w:val="subscript"/>
        </w:rPr>
        <w:t>,fp,r</w:t>
      </w:r>
      <w:proofErr w:type="spellEnd"/>
      <w:proofErr w:type="gramEnd"/>
      <w:r w:rsidRPr="00AD7F84">
        <w:t xml:space="preserve">).  </w:t>
      </w:r>
    </w:p>
    <w:p w:rsidR="00AD7F84" w:rsidRPr="00AD7F84" w:rsidRDefault="00AD7F84" w:rsidP="00AD7F84">
      <w:r w:rsidRPr="00AD7F84">
        <w:t xml:space="preserve">Two closures are investigated: </w:t>
      </w:r>
    </w:p>
    <w:p w:rsidR="00AD7F84" w:rsidRPr="00AD7F84" w:rsidRDefault="00AD7F84" w:rsidP="00AD7F84">
      <w:r w:rsidRPr="00AD7F84">
        <w:t xml:space="preserve">First, the basic full employment balanced macroeconomic closure, where exchanges rates are fixed and the shares of (the value of domestic) absorption by government and investment are also fixed.  The basic closure is chosen because of its similarity to the standard closures used in global models, which eases our analysis of the impact of the movement of factors on the analysis.  </w:t>
      </w:r>
    </w:p>
    <w:p w:rsidR="00AD7F84" w:rsidRPr="00AD7F84" w:rsidRDefault="00AD7F84" w:rsidP="00AD7F84">
      <w:r w:rsidRPr="00AD7F84">
        <w:t xml:space="preserve">The second closure imposes three variants on the basic closure that make the closure more realistic for the purposes of analyzing the DDA.  First, we assume unemployed unskilled </w:t>
      </w:r>
      <w:proofErr w:type="spellStart"/>
      <w:r w:rsidRPr="00AD7F84">
        <w:t>labour</w:t>
      </w:r>
      <w:proofErr w:type="spellEnd"/>
      <w:r w:rsidRPr="00AD7F84">
        <w:t xml:space="preserve"> (Clerks, </w:t>
      </w:r>
      <w:proofErr w:type="spellStart"/>
      <w:r w:rsidRPr="00AD7F84">
        <w:t>service_shop</w:t>
      </w:r>
      <w:proofErr w:type="spellEnd"/>
      <w:r w:rsidRPr="00AD7F84">
        <w:t xml:space="preserve">, </w:t>
      </w:r>
      <w:proofErr w:type="spellStart"/>
      <w:r w:rsidRPr="00AD7F84">
        <w:t>ag_othlowsk</w:t>
      </w:r>
      <w:proofErr w:type="spellEnd"/>
      <w:r w:rsidRPr="00AD7F84">
        <w:t>) in developing economies (India, Brazil, China &amp; HK, South Africa, Least Developed and Developing); second, the government budget is fixed and assumed to clear by varying the household income tax rates; and finally, the nominal exchange rate is made flexible and the balances on the trade accounts fixed for each all regions.</w:t>
      </w:r>
    </w:p>
    <w:p w:rsidR="00AD7F84" w:rsidRPr="00AD7F84" w:rsidRDefault="00AD7F84" w:rsidP="00AD7F84">
      <w:pPr>
        <w:rPr>
          <w:b/>
        </w:rPr>
      </w:pPr>
      <w:r w:rsidRPr="00AD7F84">
        <w:rPr>
          <w:b/>
        </w:rPr>
        <w:t>Results</w:t>
      </w:r>
    </w:p>
    <w:p w:rsidR="00AD7F84" w:rsidRPr="00AD7F84" w:rsidRDefault="00AD7F84" w:rsidP="00AD7F84">
      <w:pPr>
        <w:rPr>
          <w:b/>
        </w:rPr>
      </w:pPr>
      <w:r w:rsidRPr="00AD7F84">
        <w:rPr>
          <w:b/>
        </w:rPr>
        <w:t>Concluding Comments</w:t>
      </w:r>
    </w:p>
    <w:p w:rsidR="00AD7F84" w:rsidRPr="00AD7F84" w:rsidRDefault="00AD7F84" w:rsidP="00AD7F84">
      <w:r w:rsidRPr="00AD7F84">
        <w:t xml:space="preserve">The preliminary results indicate that the potential gains from a </w:t>
      </w:r>
      <w:proofErr w:type="spellStart"/>
      <w:r w:rsidRPr="00AD7F84">
        <w:t>stylised</w:t>
      </w:r>
      <w:proofErr w:type="spellEnd"/>
      <w:r w:rsidRPr="00AD7F84">
        <w:t xml:space="preserve"> DDA decline for all regions when compared to results achieved when the ‘standard’ assumption of full factor mobility is imposed. This is an expected conclusion: any impediment to structural changes in response to changed incentives will, by definition, have negative implications. However the implications for developing and developed regions differ substantially. Developed countries continue to experience positive gains even with very low migration </w:t>
      </w:r>
      <w:proofErr w:type="spellStart"/>
      <w:r w:rsidRPr="00AD7F84">
        <w:t>elasticities</w:t>
      </w:r>
      <w:proofErr w:type="spellEnd"/>
      <w:r w:rsidRPr="00AD7F84">
        <w:t xml:space="preserve"> whereas developing countries, even when full employment is assumed, often lose all gains even at relatively high </w:t>
      </w:r>
      <w:proofErr w:type="spellStart"/>
      <w:r w:rsidRPr="00AD7F84">
        <w:t>elasticities</w:t>
      </w:r>
      <w:proofErr w:type="spellEnd"/>
      <w:r w:rsidRPr="00AD7F84">
        <w:t xml:space="preserve">. Additional simulations to explore the relative importance to the results of the extent of segmentation versus the migration </w:t>
      </w:r>
      <w:proofErr w:type="spellStart"/>
      <w:r w:rsidRPr="00AD7F84">
        <w:t>elasticities</w:t>
      </w:r>
      <w:proofErr w:type="spellEnd"/>
      <w:r w:rsidRPr="00AD7F84">
        <w:t xml:space="preserve"> are required to understand more fully the </w:t>
      </w:r>
      <w:proofErr w:type="spellStart"/>
      <w:r w:rsidRPr="00AD7F84">
        <w:t>behaviour</w:t>
      </w:r>
      <w:proofErr w:type="spellEnd"/>
      <w:r w:rsidRPr="00AD7F84">
        <w:t xml:space="preserve"> of the modified model.</w:t>
      </w:r>
    </w:p>
    <w:p w:rsidR="00AD7F84" w:rsidRPr="00AD7F84" w:rsidRDefault="00AD7F84" w:rsidP="00AD7F84">
      <w:pPr>
        <w:rPr>
          <w:b/>
        </w:rPr>
      </w:pPr>
      <w:r w:rsidRPr="00AD7F84">
        <w:rPr>
          <w:b/>
        </w:rPr>
        <w:lastRenderedPageBreak/>
        <w:t>Appendix 1</w:t>
      </w:r>
    </w:p>
    <w:tbl>
      <w:tblPr>
        <w:tblStyle w:val="TableGrid"/>
        <w:tblW w:w="9355" w:type="dxa"/>
        <w:tblLook w:val="04A0"/>
      </w:tblPr>
      <w:tblGrid>
        <w:gridCol w:w="1705"/>
        <w:gridCol w:w="2054"/>
        <w:gridCol w:w="1906"/>
        <w:gridCol w:w="3690"/>
      </w:tblGrid>
      <w:tr w:rsidR="00AD7F84" w:rsidRPr="00AD7F84" w:rsidTr="00F92896">
        <w:tc>
          <w:tcPr>
            <w:tcW w:w="3759" w:type="dxa"/>
            <w:gridSpan w:val="2"/>
            <w:vAlign w:val="center"/>
          </w:tcPr>
          <w:p w:rsidR="00AD7F84" w:rsidRPr="00AD7F84" w:rsidRDefault="00AD7F84" w:rsidP="00AD7F84">
            <w:pPr>
              <w:spacing w:after="200" w:line="276" w:lineRule="auto"/>
              <w:rPr>
                <w:b/>
              </w:rPr>
            </w:pPr>
            <w:r w:rsidRPr="00AD7F84">
              <w:rPr>
                <w:b/>
              </w:rPr>
              <w:t>Regions</w:t>
            </w:r>
          </w:p>
        </w:tc>
        <w:tc>
          <w:tcPr>
            <w:tcW w:w="5596" w:type="dxa"/>
            <w:gridSpan w:val="2"/>
            <w:vAlign w:val="center"/>
          </w:tcPr>
          <w:p w:rsidR="00AD7F84" w:rsidRPr="00AD7F84" w:rsidRDefault="00AD7F84" w:rsidP="00AD7F84">
            <w:pPr>
              <w:spacing w:after="200" w:line="276" w:lineRule="auto"/>
              <w:rPr>
                <w:b/>
              </w:rPr>
            </w:pPr>
            <w:r w:rsidRPr="00AD7F84">
              <w:rPr>
                <w:b/>
              </w:rPr>
              <w:t>Sectors</w:t>
            </w:r>
          </w:p>
        </w:tc>
      </w:tr>
      <w:tr w:rsidR="00AD7F84" w:rsidRPr="00AD7F84" w:rsidTr="00F92896">
        <w:tc>
          <w:tcPr>
            <w:tcW w:w="1705" w:type="dxa"/>
            <w:vAlign w:val="center"/>
          </w:tcPr>
          <w:p w:rsidR="00AD7F84" w:rsidRPr="00AD7F84" w:rsidRDefault="00AD7F84" w:rsidP="00AD7F84">
            <w:pPr>
              <w:spacing w:after="200" w:line="276" w:lineRule="auto"/>
              <w:rPr>
                <w:b/>
              </w:rPr>
            </w:pPr>
            <w:r w:rsidRPr="00AD7F84">
              <w:rPr>
                <w:b/>
              </w:rPr>
              <w:t>Short Name</w:t>
            </w:r>
          </w:p>
        </w:tc>
        <w:tc>
          <w:tcPr>
            <w:tcW w:w="2054" w:type="dxa"/>
            <w:vAlign w:val="center"/>
          </w:tcPr>
          <w:p w:rsidR="00AD7F84" w:rsidRPr="00AD7F84" w:rsidRDefault="00AD7F84" w:rsidP="00AD7F84">
            <w:pPr>
              <w:spacing w:after="200" w:line="276" w:lineRule="auto"/>
              <w:rPr>
                <w:b/>
              </w:rPr>
            </w:pPr>
            <w:r w:rsidRPr="00AD7F84">
              <w:rPr>
                <w:b/>
              </w:rPr>
              <w:t>Long Name</w:t>
            </w:r>
          </w:p>
        </w:tc>
        <w:tc>
          <w:tcPr>
            <w:tcW w:w="1906" w:type="dxa"/>
            <w:vAlign w:val="center"/>
          </w:tcPr>
          <w:p w:rsidR="00AD7F84" w:rsidRPr="00AD7F84" w:rsidRDefault="00AD7F84" w:rsidP="00AD7F84">
            <w:pPr>
              <w:spacing w:after="200" w:line="276" w:lineRule="auto"/>
              <w:rPr>
                <w:b/>
              </w:rPr>
            </w:pPr>
            <w:r w:rsidRPr="00AD7F84">
              <w:rPr>
                <w:b/>
              </w:rPr>
              <w:t>Short Name</w:t>
            </w:r>
          </w:p>
        </w:tc>
        <w:tc>
          <w:tcPr>
            <w:tcW w:w="3690" w:type="dxa"/>
            <w:vAlign w:val="center"/>
          </w:tcPr>
          <w:p w:rsidR="00AD7F84" w:rsidRPr="00AD7F84" w:rsidRDefault="00AD7F84" w:rsidP="00AD7F84">
            <w:pPr>
              <w:spacing w:after="200" w:line="276" w:lineRule="auto"/>
              <w:rPr>
                <w:b/>
              </w:rPr>
            </w:pPr>
            <w:r w:rsidRPr="00AD7F84">
              <w:rPr>
                <w:b/>
              </w:rPr>
              <w:t>Long Name</w:t>
            </w:r>
          </w:p>
        </w:tc>
      </w:tr>
      <w:tr w:rsidR="00AD7F84" w:rsidRPr="00AD7F84" w:rsidTr="00F92896">
        <w:tc>
          <w:tcPr>
            <w:tcW w:w="1705" w:type="dxa"/>
            <w:vAlign w:val="center"/>
          </w:tcPr>
          <w:p w:rsidR="00AD7F84" w:rsidRPr="00AD7F84" w:rsidRDefault="00AD7F84" w:rsidP="00AD7F84">
            <w:pPr>
              <w:spacing w:after="200" w:line="276" w:lineRule="auto"/>
            </w:pPr>
            <w:r w:rsidRPr="00AD7F84">
              <w:t xml:space="preserve">India </w:t>
            </w:r>
          </w:p>
        </w:tc>
        <w:tc>
          <w:tcPr>
            <w:tcW w:w="2054" w:type="dxa"/>
            <w:vAlign w:val="center"/>
          </w:tcPr>
          <w:p w:rsidR="00AD7F84" w:rsidRPr="00AD7F84" w:rsidRDefault="00AD7F84" w:rsidP="00AD7F84">
            <w:pPr>
              <w:spacing w:after="200" w:line="276" w:lineRule="auto"/>
            </w:pPr>
            <w:r w:rsidRPr="00AD7F84">
              <w:t>India</w:t>
            </w:r>
          </w:p>
        </w:tc>
        <w:tc>
          <w:tcPr>
            <w:tcW w:w="1906" w:type="dxa"/>
            <w:vAlign w:val="center"/>
          </w:tcPr>
          <w:p w:rsidR="00AD7F84" w:rsidRPr="00AD7F84" w:rsidRDefault="00AD7F84" w:rsidP="00AD7F84">
            <w:pPr>
              <w:spacing w:after="200" w:line="276" w:lineRule="auto"/>
            </w:pPr>
            <w:r w:rsidRPr="00AD7F84">
              <w:t>crops</w:t>
            </w:r>
          </w:p>
        </w:tc>
        <w:tc>
          <w:tcPr>
            <w:tcW w:w="3690" w:type="dxa"/>
            <w:vAlign w:val="center"/>
          </w:tcPr>
          <w:p w:rsidR="00AD7F84" w:rsidRPr="00AD7F84" w:rsidRDefault="00AD7F84" w:rsidP="00AD7F84">
            <w:pPr>
              <w:spacing w:after="200" w:line="276" w:lineRule="auto"/>
            </w:pPr>
            <w:r w:rsidRPr="00AD7F84">
              <w:t>Crops and forestry</w:t>
            </w:r>
          </w:p>
        </w:tc>
      </w:tr>
      <w:tr w:rsidR="00AD7F84" w:rsidRPr="00AD7F84" w:rsidTr="00F92896">
        <w:tc>
          <w:tcPr>
            <w:tcW w:w="1705" w:type="dxa"/>
            <w:vAlign w:val="center"/>
          </w:tcPr>
          <w:p w:rsidR="00AD7F84" w:rsidRPr="00AD7F84" w:rsidRDefault="00AD7F84" w:rsidP="00AD7F84">
            <w:pPr>
              <w:spacing w:after="200" w:line="276" w:lineRule="auto"/>
            </w:pPr>
            <w:r w:rsidRPr="00AD7F84">
              <w:t>Brazil</w:t>
            </w:r>
          </w:p>
        </w:tc>
        <w:tc>
          <w:tcPr>
            <w:tcW w:w="2054" w:type="dxa"/>
            <w:vAlign w:val="center"/>
          </w:tcPr>
          <w:p w:rsidR="00AD7F84" w:rsidRPr="00AD7F84" w:rsidRDefault="00AD7F84" w:rsidP="00AD7F84">
            <w:pPr>
              <w:spacing w:after="200" w:line="276" w:lineRule="auto"/>
            </w:pPr>
            <w:r w:rsidRPr="00AD7F84">
              <w:t>Brazil</w:t>
            </w:r>
          </w:p>
        </w:tc>
        <w:tc>
          <w:tcPr>
            <w:tcW w:w="1906" w:type="dxa"/>
            <w:vAlign w:val="center"/>
          </w:tcPr>
          <w:p w:rsidR="00AD7F84" w:rsidRPr="00AD7F84" w:rsidRDefault="00AD7F84" w:rsidP="00AD7F84">
            <w:pPr>
              <w:spacing w:after="200" w:line="276" w:lineRule="auto"/>
            </w:pPr>
            <w:r w:rsidRPr="00AD7F84">
              <w:t>Livestock</w:t>
            </w:r>
          </w:p>
        </w:tc>
        <w:tc>
          <w:tcPr>
            <w:tcW w:w="3690" w:type="dxa"/>
            <w:vAlign w:val="center"/>
          </w:tcPr>
          <w:p w:rsidR="00AD7F84" w:rsidRPr="00AD7F84" w:rsidRDefault="00AD7F84" w:rsidP="00AD7F84">
            <w:pPr>
              <w:spacing w:after="200" w:line="276" w:lineRule="auto"/>
            </w:pPr>
            <w:proofErr w:type="spellStart"/>
            <w:r w:rsidRPr="00AD7F84">
              <w:t>Catttle</w:t>
            </w:r>
            <w:proofErr w:type="spellEnd"/>
            <w:r w:rsidRPr="00AD7F84">
              <w:t xml:space="preserve"> and other animals, raw milk, wool and fishing</w:t>
            </w:r>
          </w:p>
        </w:tc>
      </w:tr>
      <w:tr w:rsidR="00AD7F84" w:rsidRPr="00AD7F84" w:rsidTr="00F92896">
        <w:tc>
          <w:tcPr>
            <w:tcW w:w="1705" w:type="dxa"/>
            <w:vAlign w:val="center"/>
          </w:tcPr>
          <w:p w:rsidR="00AD7F84" w:rsidRPr="00AD7F84" w:rsidRDefault="00AD7F84" w:rsidP="00AD7F84">
            <w:pPr>
              <w:spacing w:after="200" w:line="276" w:lineRule="auto"/>
            </w:pPr>
            <w:r w:rsidRPr="00AD7F84">
              <w:t>China &amp; HK</w:t>
            </w:r>
          </w:p>
        </w:tc>
        <w:tc>
          <w:tcPr>
            <w:tcW w:w="2054" w:type="dxa"/>
            <w:vAlign w:val="center"/>
          </w:tcPr>
          <w:p w:rsidR="00AD7F84" w:rsidRPr="00AD7F84" w:rsidRDefault="00AD7F84" w:rsidP="00AD7F84">
            <w:pPr>
              <w:spacing w:after="200" w:line="276" w:lineRule="auto"/>
            </w:pPr>
            <w:r w:rsidRPr="00AD7F84">
              <w:t>China and Hong Kong</w:t>
            </w:r>
          </w:p>
        </w:tc>
        <w:tc>
          <w:tcPr>
            <w:tcW w:w="1906" w:type="dxa"/>
            <w:vAlign w:val="center"/>
          </w:tcPr>
          <w:p w:rsidR="00AD7F84" w:rsidRPr="00AD7F84" w:rsidRDefault="00AD7F84" w:rsidP="00AD7F84">
            <w:pPr>
              <w:spacing w:after="200" w:line="276" w:lineRule="auto"/>
            </w:pPr>
            <w:r w:rsidRPr="00AD7F84">
              <w:t>Extraction</w:t>
            </w:r>
          </w:p>
        </w:tc>
        <w:tc>
          <w:tcPr>
            <w:tcW w:w="3690" w:type="dxa"/>
            <w:vAlign w:val="center"/>
          </w:tcPr>
          <w:p w:rsidR="00AD7F84" w:rsidRPr="00AD7F84" w:rsidRDefault="00AD7F84" w:rsidP="00AD7F84">
            <w:pPr>
              <w:spacing w:after="200" w:line="276" w:lineRule="auto"/>
            </w:pPr>
            <w:r w:rsidRPr="00AD7F84">
              <w:t>Coal, Oil, gas and other minerals</w:t>
            </w:r>
          </w:p>
        </w:tc>
      </w:tr>
      <w:tr w:rsidR="00AD7F84" w:rsidRPr="00AD7F84" w:rsidTr="00F92896">
        <w:tc>
          <w:tcPr>
            <w:tcW w:w="1705" w:type="dxa"/>
            <w:vAlign w:val="center"/>
          </w:tcPr>
          <w:p w:rsidR="00AD7F84" w:rsidRPr="00AD7F84" w:rsidRDefault="00AD7F84" w:rsidP="00AD7F84">
            <w:pPr>
              <w:spacing w:after="200" w:line="276" w:lineRule="auto"/>
            </w:pPr>
            <w:r w:rsidRPr="00AD7F84">
              <w:t>South Africa</w:t>
            </w:r>
          </w:p>
        </w:tc>
        <w:tc>
          <w:tcPr>
            <w:tcW w:w="2054" w:type="dxa"/>
            <w:vAlign w:val="center"/>
          </w:tcPr>
          <w:p w:rsidR="00AD7F84" w:rsidRPr="00AD7F84" w:rsidRDefault="00AD7F84" w:rsidP="00AD7F84">
            <w:pPr>
              <w:spacing w:after="200" w:line="276" w:lineRule="auto"/>
            </w:pPr>
            <w:r w:rsidRPr="00AD7F84">
              <w:t>South Africa</w:t>
            </w:r>
          </w:p>
        </w:tc>
        <w:tc>
          <w:tcPr>
            <w:tcW w:w="1906" w:type="dxa"/>
            <w:vAlign w:val="center"/>
          </w:tcPr>
          <w:p w:rsidR="00AD7F84" w:rsidRPr="00AD7F84" w:rsidRDefault="00AD7F84" w:rsidP="00AD7F84">
            <w:pPr>
              <w:spacing w:after="200" w:line="276" w:lineRule="auto"/>
            </w:pPr>
            <w:r w:rsidRPr="00AD7F84">
              <w:t>Food Processing</w:t>
            </w:r>
          </w:p>
        </w:tc>
        <w:tc>
          <w:tcPr>
            <w:tcW w:w="3690" w:type="dxa"/>
            <w:vAlign w:val="center"/>
          </w:tcPr>
          <w:p w:rsidR="00AD7F84" w:rsidRPr="00AD7F84" w:rsidRDefault="00AD7F84" w:rsidP="00AD7F84">
            <w:pPr>
              <w:spacing w:after="200" w:line="276" w:lineRule="auto"/>
            </w:pPr>
            <w:r w:rsidRPr="00AD7F84">
              <w:t>Meat, vegetable oil, rice, sugar, other food and beverages and tobacco</w:t>
            </w:r>
          </w:p>
        </w:tc>
      </w:tr>
      <w:tr w:rsidR="00AD7F84" w:rsidRPr="00AD7F84" w:rsidTr="00F92896">
        <w:tc>
          <w:tcPr>
            <w:tcW w:w="1705" w:type="dxa"/>
            <w:vAlign w:val="center"/>
          </w:tcPr>
          <w:p w:rsidR="00AD7F84" w:rsidRPr="00AD7F84" w:rsidRDefault="00AD7F84" w:rsidP="00AD7F84">
            <w:pPr>
              <w:spacing w:after="200" w:line="276" w:lineRule="auto"/>
            </w:pPr>
            <w:r w:rsidRPr="00AD7F84">
              <w:t>Least Developed</w:t>
            </w:r>
          </w:p>
        </w:tc>
        <w:tc>
          <w:tcPr>
            <w:tcW w:w="2054" w:type="dxa"/>
            <w:vAlign w:val="center"/>
          </w:tcPr>
          <w:p w:rsidR="00AD7F84" w:rsidRPr="00AD7F84" w:rsidRDefault="00AD7F84" w:rsidP="00AD7F84">
            <w:pPr>
              <w:spacing w:after="200" w:line="276" w:lineRule="auto"/>
            </w:pPr>
            <w:r w:rsidRPr="00AD7F84">
              <w:t xml:space="preserve">Least Developed </w:t>
            </w:r>
            <w:proofErr w:type="spellStart"/>
            <w:r w:rsidRPr="00AD7F84">
              <w:t>Countries</w:t>
            </w:r>
            <w:r w:rsidRPr="00AD7F84">
              <w:rPr>
                <w:vertAlign w:val="superscript"/>
              </w:rPr>
              <w:t>a</w:t>
            </w:r>
            <w:proofErr w:type="spellEnd"/>
          </w:p>
        </w:tc>
        <w:tc>
          <w:tcPr>
            <w:tcW w:w="1906" w:type="dxa"/>
            <w:vAlign w:val="center"/>
          </w:tcPr>
          <w:p w:rsidR="00AD7F84" w:rsidRPr="00AD7F84" w:rsidRDefault="00AD7F84" w:rsidP="00AD7F84">
            <w:pPr>
              <w:spacing w:after="200" w:line="276" w:lineRule="auto"/>
            </w:pPr>
            <w:r w:rsidRPr="00AD7F84">
              <w:t>Light manufactures</w:t>
            </w:r>
          </w:p>
        </w:tc>
        <w:tc>
          <w:tcPr>
            <w:tcW w:w="3690" w:type="dxa"/>
            <w:vAlign w:val="center"/>
          </w:tcPr>
          <w:p w:rsidR="00AD7F84" w:rsidRPr="00AD7F84" w:rsidRDefault="00AD7F84" w:rsidP="00AD7F84">
            <w:pPr>
              <w:spacing w:after="200" w:line="276" w:lineRule="auto"/>
            </w:pPr>
            <w:r w:rsidRPr="00AD7F84">
              <w:t>Textiles, wearing apparel, paper products, motor vehicles, transport equip and other manufacturing</w:t>
            </w:r>
          </w:p>
        </w:tc>
      </w:tr>
      <w:tr w:rsidR="00AD7F84" w:rsidRPr="00AD7F84" w:rsidTr="00F92896">
        <w:tc>
          <w:tcPr>
            <w:tcW w:w="1705" w:type="dxa"/>
            <w:vAlign w:val="center"/>
          </w:tcPr>
          <w:p w:rsidR="00AD7F84" w:rsidRPr="00AD7F84" w:rsidRDefault="00AD7F84" w:rsidP="00AD7F84">
            <w:pPr>
              <w:spacing w:after="200" w:line="276" w:lineRule="auto"/>
            </w:pPr>
            <w:r w:rsidRPr="00AD7F84">
              <w:t>Developing</w:t>
            </w:r>
          </w:p>
        </w:tc>
        <w:tc>
          <w:tcPr>
            <w:tcW w:w="2054" w:type="dxa"/>
            <w:vAlign w:val="center"/>
          </w:tcPr>
          <w:p w:rsidR="00AD7F84" w:rsidRPr="00AD7F84" w:rsidRDefault="00AD7F84" w:rsidP="00AD7F84">
            <w:pPr>
              <w:spacing w:after="200" w:line="276" w:lineRule="auto"/>
            </w:pPr>
            <w:r w:rsidRPr="00AD7F84">
              <w:t>Developing Countries</w:t>
            </w:r>
          </w:p>
        </w:tc>
        <w:tc>
          <w:tcPr>
            <w:tcW w:w="1906" w:type="dxa"/>
            <w:vAlign w:val="center"/>
          </w:tcPr>
          <w:p w:rsidR="00AD7F84" w:rsidRPr="00AD7F84" w:rsidRDefault="00AD7F84" w:rsidP="00AD7F84">
            <w:pPr>
              <w:spacing w:after="200" w:line="276" w:lineRule="auto"/>
            </w:pPr>
            <w:r w:rsidRPr="00AD7F84">
              <w:t>Heavy manufactures</w:t>
            </w:r>
          </w:p>
        </w:tc>
        <w:tc>
          <w:tcPr>
            <w:tcW w:w="3690" w:type="dxa"/>
            <w:vAlign w:val="center"/>
          </w:tcPr>
          <w:p w:rsidR="00AD7F84" w:rsidRPr="00AD7F84" w:rsidRDefault="00AD7F84" w:rsidP="00AD7F84">
            <w:pPr>
              <w:spacing w:after="200" w:line="276" w:lineRule="auto"/>
            </w:pPr>
            <w:r w:rsidRPr="00AD7F84">
              <w:t xml:space="preserve">Petroleum, chemicals, iron and steel, other machinery and equip, electronics  </w:t>
            </w:r>
          </w:p>
        </w:tc>
      </w:tr>
      <w:tr w:rsidR="00AD7F84" w:rsidRPr="00AD7F84" w:rsidTr="00F92896">
        <w:tc>
          <w:tcPr>
            <w:tcW w:w="1705" w:type="dxa"/>
            <w:vAlign w:val="center"/>
          </w:tcPr>
          <w:p w:rsidR="00AD7F84" w:rsidRPr="00AD7F84" w:rsidRDefault="00AD7F84" w:rsidP="00AD7F84">
            <w:pPr>
              <w:spacing w:after="200" w:line="276" w:lineRule="auto"/>
            </w:pPr>
            <w:r w:rsidRPr="00AD7F84">
              <w:t>EU</w:t>
            </w:r>
          </w:p>
        </w:tc>
        <w:tc>
          <w:tcPr>
            <w:tcW w:w="2054" w:type="dxa"/>
            <w:vAlign w:val="center"/>
          </w:tcPr>
          <w:p w:rsidR="00AD7F84" w:rsidRPr="00AD7F84" w:rsidRDefault="00AD7F84" w:rsidP="00AD7F84">
            <w:pPr>
              <w:spacing w:after="200" w:line="276" w:lineRule="auto"/>
            </w:pPr>
            <w:r w:rsidRPr="00AD7F84">
              <w:t>EU countries</w:t>
            </w:r>
          </w:p>
        </w:tc>
        <w:tc>
          <w:tcPr>
            <w:tcW w:w="1906" w:type="dxa"/>
            <w:vAlign w:val="center"/>
          </w:tcPr>
          <w:p w:rsidR="00AD7F84" w:rsidRPr="00AD7F84" w:rsidRDefault="00AD7F84" w:rsidP="00AD7F84">
            <w:pPr>
              <w:spacing w:after="200" w:line="276" w:lineRule="auto"/>
            </w:pPr>
            <w:r w:rsidRPr="00AD7F84">
              <w:t>Utilities &amp; construction</w:t>
            </w:r>
          </w:p>
        </w:tc>
        <w:tc>
          <w:tcPr>
            <w:tcW w:w="3690" w:type="dxa"/>
            <w:vAlign w:val="center"/>
          </w:tcPr>
          <w:p w:rsidR="00AD7F84" w:rsidRPr="00AD7F84" w:rsidRDefault="00AD7F84" w:rsidP="00AD7F84">
            <w:pPr>
              <w:spacing w:after="200" w:line="276" w:lineRule="auto"/>
            </w:pPr>
            <w:r w:rsidRPr="00AD7F84">
              <w:t>Electricity, water and gas</w:t>
            </w:r>
          </w:p>
        </w:tc>
      </w:tr>
      <w:tr w:rsidR="00AD7F84" w:rsidRPr="00AD7F84" w:rsidTr="00F92896">
        <w:tc>
          <w:tcPr>
            <w:tcW w:w="1705" w:type="dxa"/>
            <w:vAlign w:val="center"/>
          </w:tcPr>
          <w:p w:rsidR="00AD7F84" w:rsidRPr="00AD7F84" w:rsidRDefault="00AD7F84" w:rsidP="00AD7F84">
            <w:pPr>
              <w:spacing w:after="200" w:line="276" w:lineRule="auto"/>
            </w:pPr>
            <w:r w:rsidRPr="00AD7F84">
              <w:t>North America</w:t>
            </w:r>
          </w:p>
        </w:tc>
        <w:tc>
          <w:tcPr>
            <w:tcW w:w="2054" w:type="dxa"/>
            <w:vAlign w:val="center"/>
          </w:tcPr>
          <w:p w:rsidR="00AD7F84" w:rsidRPr="00AD7F84" w:rsidRDefault="00AD7F84" w:rsidP="00AD7F84">
            <w:pPr>
              <w:spacing w:after="200" w:line="276" w:lineRule="auto"/>
            </w:pPr>
            <w:r w:rsidRPr="00AD7F84">
              <w:t>Canada, Mexico and USA</w:t>
            </w:r>
          </w:p>
        </w:tc>
        <w:tc>
          <w:tcPr>
            <w:tcW w:w="1906" w:type="dxa"/>
            <w:vAlign w:val="center"/>
          </w:tcPr>
          <w:p w:rsidR="00AD7F84" w:rsidRPr="00AD7F84" w:rsidRDefault="00AD7F84" w:rsidP="00AD7F84">
            <w:pPr>
              <w:spacing w:after="200" w:line="276" w:lineRule="auto"/>
            </w:pPr>
            <w:r w:rsidRPr="00AD7F84">
              <w:t>Trade &amp; Transport</w:t>
            </w:r>
          </w:p>
        </w:tc>
        <w:tc>
          <w:tcPr>
            <w:tcW w:w="3690" w:type="dxa"/>
            <w:vAlign w:val="center"/>
          </w:tcPr>
          <w:p w:rsidR="00AD7F84" w:rsidRPr="00AD7F84" w:rsidRDefault="00AD7F84" w:rsidP="00AD7F84">
            <w:pPr>
              <w:spacing w:after="200" w:line="276" w:lineRule="auto"/>
            </w:pPr>
            <w:r w:rsidRPr="00AD7F84">
              <w:t>Trade and air, water and other transport</w:t>
            </w:r>
          </w:p>
        </w:tc>
      </w:tr>
      <w:tr w:rsidR="00AD7F84" w:rsidRPr="00AD7F84" w:rsidTr="00F92896">
        <w:tc>
          <w:tcPr>
            <w:tcW w:w="1705" w:type="dxa"/>
            <w:vAlign w:val="center"/>
          </w:tcPr>
          <w:p w:rsidR="00AD7F84" w:rsidRPr="00AD7F84" w:rsidRDefault="00AD7F84" w:rsidP="00AD7F84">
            <w:pPr>
              <w:spacing w:after="200" w:line="276" w:lineRule="auto"/>
            </w:pPr>
            <w:r w:rsidRPr="00AD7F84">
              <w:t>Other Developed</w:t>
            </w:r>
          </w:p>
        </w:tc>
        <w:tc>
          <w:tcPr>
            <w:tcW w:w="2054" w:type="dxa"/>
            <w:vAlign w:val="center"/>
          </w:tcPr>
          <w:p w:rsidR="00AD7F84" w:rsidRPr="00AD7F84" w:rsidRDefault="00AD7F84" w:rsidP="00AD7F84">
            <w:pPr>
              <w:spacing w:after="200" w:line="276" w:lineRule="auto"/>
            </w:pPr>
            <w:r w:rsidRPr="00AD7F84">
              <w:t>Other Developed Countries</w:t>
            </w:r>
          </w:p>
        </w:tc>
        <w:tc>
          <w:tcPr>
            <w:tcW w:w="1906" w:type="dxa"/>
            <w:vAlign w:val="center"/>
          </w:tcPr>
          <w:p w:rsidR="00AD7F84" w:rsidRPr="00AD7F84" w:rsidRDefault="00AD7F84" w:rsidP="00AD7F84">
            <w:pPr>
              <w:spacing w:after="200" w:line="276" w:lineRule="auto"/>
            </w:pPr>
            <w:r w:rsidRPr="00AD7F84">
              <w:t>Other services</w:t>
            </w:r>
          </w:p>
        </w:tc>
        <w:tc>
          <w:tcPr>
            <w:tcW w:w="3690" w:type="dxa"/>
            <w:vAlign w:val="center"/>
          </w:tcPr>
          <w:p w:rsidR="00AD7F84" w:rsidRPr="00AD7F84" w:rsidRDefault="00AD7F84" w:rsidP="00AD7F84">
            <w:pPr>
              <w:spacing w:after="200" w:line="276" w:lineRule="auto"/>
            </w:pPr>
            <w:r w:rsidRPr="00AD7F84">
              <w:t>Other business and government services</w:t>
            </w:r>
          </w:p>
        </w:tc>
      </w:tr>
    </w:tbl>
    <w:p w:rsidR="00AD7F84" w:rsidRPr="00AD7F84" w:rsidRDefault="00AD7F84" w:rsidP="00AD7F84">
      <w:r w:rsidRPr="00AD7F84">
        <w:t xml:space="preserve">The UN list of least developed countries was used to construct this region, see: </w:t>
      </w:r>
      <w:hyperlink r:id="rId39" w:history="1">
        <w:r w:rsidRPr="00AD7F84">
          <w:rPr>
            <w:rStyle w:val="Hyperlink"/>
          </w:rPr>
          <w:t>http://www.un.org/en/development/desa/policy/cdp/ldc/ldc_list.pdf</w:t>
        </w:r>
      </w:hyperlink>
    </w:p>
    <w:p w:rsidR="00AD7F84" w:rsidRPr="00AD7F84" w:rsidRDefault="00AD7F84" w:rsidP="00AD7F84">
      <w:pPr>
        <w:rPr>
          <w:b/>
        </w:rPr>
      </w:pPr>
      <w:r w:rsidRPr="00AD7F84">
        <w:rPr>
          <w:b/>
        </w:rPr>
        <w:t>References</w:t>
      </w:r>
    </w:p>
    <w:p w:rsidR="00AD7F84" w:rsidRPr="00AD7F84" w:rsidRDefault="00AD7F84" w:rsidP="00AD7F84">
      <w:r w:rsidRPr="00AD7F84">
        <w:rPr>
          <w:i/>
          <w:iCs/>
        </w:rPr>
        <w:fldChar w:fldCharType="begin"/>
      </w:r>
      <w:r w:rsidRPr="00AD7F84">
        <w:rPr>
          <w:i/>
          <w:iCs/>
        </w:rPr>
        <w:instrText xml:space="preserve"> ADDIN EN.REFLIST </w:instrText>
      </w:r>
      <w:r w:rsidRPr="00AD7F84">
        <w:rPr>
          <w:i/>
          <w:iCs/>
        </w:rPr>
        <w:fldChar w:fldCharType="separate"/>
      </w:r>
      <w:proofErr w:type="spellStart"/>
      <w:proofErr w:type="gramStart"/>
      <w:r w:rsidRPr="00AD7F84">
        <w:t>Acar</w:t>
      </w:r>
      <w:proofErr w:type="spellEnd"/>
      <w:r w:rsidRPr="00AD7F84">
        <w:t>, M. (2001).</w:t>
      </w:r>
      <w:proofErr w:type="gramEnd"/>
      <w:r w:rsidRPr="00AD7F84">
        <w:t xml:space="preserve"> Agricultural Unskilled Labor Mobility: Does it Matter? </w:t>
      </w:r>
      <w:proofErr w:type="gramStart"/>
      <w:r w:rsidRPr="00AD7F84">
        <w:rPr>
          <w:u w:val="single"/>
        </w:rPr>
        <w:t>4th Annual Conference on Global Economic Analysis</w:t>
      </w:r>
      <w:r w:rsidRPr="00AD7F84">
        <w:t>.</w:t>
      </w:r>
      <w:proofErr w:type="gramEnd"/>
      <w:r w:rsidRPr="00AD7F84">
        <w:t xml:space="preserve"> Purdue University, USA.</w:t>
      </w:r>
    </w:p>
    <w:p w:rsidR="00AD7F84" w:rsidRPr="00AD7F84" w:rsidRDefault="00AD7F84" w:rsidP="00AD7F84">
      <w:proofErr w:type="spellStart"/>
      <w:proofErr w:type="gramStart"/>
      <w:r w:rsidRPr="00AD7F84">
        <w:t>Dervis</w:t>
      </w:r>
      <w:proofErr w:type="spellEnd"/>
      <w:r w:rsidRPr="00AD7F84">
        <w:t xml:space="preserve">, K., J. De </w:t>
      </w:r>
      <w:proofErr w:type="spellStart"/>
      <w:r w:rsidRPr="00AD7F84">
        <w:t>Melo</w:t>
      </w:r>
      <w:proofErr w:type="spellEnd"/>
      <w:r w:rsidRPr="00AD7F84">
        <w:t xml:space="preserve"> and S. Robinson (1982).</w:t>
      </w:r>
      <w:proofErr w:type="gramEnd"/>
      <w:r w:rsidRPr="00AD7F84">
        <w:t xml:space="preserve"> </w:t>
      </w:r>
      <w:proofErr w:type="gramStart"/>
      <w:r w:rsidRPr="00AD7F84">
        <w:rPr>
          <w:u w:val="single"/>
        </w:rPr>
        <w:t>General Equilibrium Models for Development</w:t>
      </w:r>
      <w:r w:rsidRPr="00AD7F84">
        <w:t>.</w:t>
      </w:r>
      <w:proofErr w:type="gramEnd"/>
      <w:r w:rsidRPr="00AD7F84">
        <w:t xml:space="preserve"> </w:t>
      </w:r>
      <w:proofErr w:type="gramStart"/>
      <w:r w:rsidRPr="00AD7F84">
        <w:t>Washington D.C., World Bank.</w:t>
      </w:r>
      <w:proofErr w:type="gramEnd"/>
    </w:p>
    <w:p w:rsidR="00AD7F84" w:rsidRPr="00AD7F84" w:rsidRDefault="00AD7F84" w:rsidP="00AD7F84">
      <w:proofErr w:type="gramStart"/>
      <w:r w:rsidRPr="00AD7F84">
        <w:t xml:space="preserve">Dixon, P. and M. </w:t>
      </w:r>
      <w:proofErr w:type="spellStart"/>
      <w:r w:rsidRPr="00AD7F84">
        <w:t>Rimmer</w:t>
      </w:r>
      <w:proofErr w:type="spellEnd"/>
      <w:r w:rsidRPr="00AD7F84">
        <w:t xml:space="preserve"> (2003).</w:t>
      </w:r>
      <w:proofErr w:type="gramEnd"/>
      <w:r w:rsidRPr="00AD7F84">
        <w:t xml:space="preserve"> </w:t>
      </w:r>
      <w:proofErr w:type="gramStart"/>
      <w:r w:rsidRPr="00AD7F84">
        <w:t xml:space="preserve">"A new specification of Labor Supply in the </w:t>
      </w:r>
      <w:proofErr w:type="spellStart"/>
      <w:r w:rsidRPr="00AD7F84">
        <w:t>Monash</w:t>
      </w:r>
      <w:proofErr w:type="spellEnd"/>
      <w:r w:rsidRPr="00AD7F84">
        <w:t xml:space="preserve"> Model with an Illustrative Application."</w:t>
      </w:r>
      <w:proofErr w:type="gramEnd"/>
      <w:r w:rsidRPr="00AD7F84">
        <w:t xml:space="preserve"> </w:t>
      </w:r>
      <w:r w:rsidRPr="00AD7F84">
        <w:rPr>
          <w:u w:val="single"/>
        </w:rPr>
        <w:t>The Australian Economic Review</w:t>
      </w:r>
      <w:r w:rsidRPr="00AD7F84">
        <w:t xml:space="preserve"> </w:t>
      </w:r>
      <w:r w:rsidRPr="00AD7F84">
        <w:rPr>
          <w:b/>
        </w:rPr>
        <w:t>36</w:t>
      </w:r>
      <w:r w:rsidRPr="00AD7F84">
        <w:t>(1): 22-40.</w:t>
      </w:r>
    </w:p>
    <w:p w:rsidR="00AD7F84" w:rsidRPr="00AD7F84" w:rsidRDefault="00AD7F84" w:rsidP="00AD7F84">
      <w:proofErr w:type="spellStart"/>
      <w:proofErr w:type="gramStart"/>
      <w:r w:rsidRPr="00AD7F84">
        <w:lastRenderedPageBreak/>
        <w:t>Flaig</w:t>
      </w:r>
      <w:proofErr w:type="spellEnd"/>
      <w:r w:rsidRPr="00AD7F84">
        <w:t xml:space="preserve">, D., H. </w:t>
      </w:r>
      <w:proofErr w:type="spellStart"/>
      <w:r w:rsidRPr="00AD7F84">
        <w:t>Grethe</w:t>
      </w:r>
      <w:proofErr w:type="spellEnd"/>
      <w:r w:rsidRPr="00AD7F84">
        <w:t xml:space="preserve"> and S. McDonald (2013).</w:t>
      </w:r>
      <w:proofErr w:type="gramEnd"/>
      <w:r w:rsidRPr="00AD7F84">
        <w:t xml:space="preserve"> Imperfect </w:t>
      </w:r>
      <w:proofErr w:type="spellStart"/>
      <w:r w:rsidRPr="00AD7F84">
        <w:t>Labour</w:t>
      </w:r>
      <w:proofErr w:type="spellEnd"/>
      <w:r w:rsidRPr="00AD7F84">
        <w:t xml:space="preserve"> Mobility in a CGE Model: Does Specific Factor Productivity Matter? </w:t>
      </w:r>
      <w:proofErr w:type="gramStart"/>
      <w:r w:rsidRPr="00AD7F84">
        <w:rPr>
          <w:u w:val="single"/>
        </w:rPr>
        <w:t>16th Annual Global Trade Analysis Conference</w:t>
      </w:r>
      <w:r w:rsidRPr="00AD7F84">
        <w:t>.</w:t>
      </w:r>
      <w:proofErr w:type="gramEnd"/>
      <w:r w:rsidRPr="00AD7F84">
        <w:t xml:space="preserve"> Shanghai, China.</w:t>
      </w:r>
    </w:p>
    <w:p w:rsidR="00AD7F84" w:rsidRPr="00AD7F84" w:rsidRDefault="00AD7F84" w:rsidP="00AD7F84">
      <w:proofErr w:type="spellStart"/>
      <w:r w:rsidRPr="00AD7F84">
        <w:t>Harberger</w:t>
      </w:r>
      <w:proofErr w:type="spellEnd"/>
      <w:r w:rsidRPr="00AD7F84">
        <w:t xml:space="preserve">, A. C. (1962). </w:t>
      </w:r>
      <w:proofErr w:type="gramStart"/>
      <w:r w:rsidRPr="00AD7F84">
        <w:t>"The Incidence of the Corporation Income Tax."</w:t>
      </w:r>
      <w:proofErr w:type="gramEnd"/>
      <w:r w:rsidRPr="00AD7F84">
        <w:t xml:space="preserve"> </w:t>
      </w:r>
      <w:r w:rsidRPr="00AD7F84">
        <w:rPr>
          <w:u w:val="single"/>
        </w:rPr>
        <w:t>Journal of Political Economy</w:t>
      </w:r>
      <w:r w:rsidRPr="00AD7F84">
        <w:t xml:space="preserve"> </w:t>
      </w:r>
      <w:r w:rsidRPr="00AD7F84">
        <w:rPr>
          <w:b/>
        </w:rPr>
        <w:t>70</w:t>
      </w:r>
      <w:r w:rsidRPr="00AD7F84">
        <w:t>(3): 215-240.</w:t>
      </w:r>
    </w:p>
    <w:p w:rsidR="00AD7F84" w:rsidRPr="00AD7F84" w:rsidRDefault="00AD7F84" w:rsidP="00AD7F84">
      <w:proofErr w:type="spellStart"/>
      <w:proofErr w:type="gramStart"/>
      <w:r w:rsidRPr="00AD7F84">
        <w:t>Hertel</w:t>
      </w:r>
      <w:proofErr w:type="spellEnd"/>
      <w:r w:rsidRPr="00AD7F84">
        <w:t xml:space="preserve">, T. and M. </w:t>
      </w:r>
      <w:proofErr w:type="spellStart"/>
      <w:r w:rsidRPr="00AD7F84">
        <w:t>Tsigas</w:t>
      </w:r>
      <w:proofErr w:type="spellEnd"/>
      <w:r w:rsidRPr="00AD7F84">
        <w:t xml:space="preserve"> (1997).</w:t>
      </w:r>
      <w:proofErr w:type="gramEnd"/>
      <w:r w:rsidRPr="00AD7F84">
        <w:t xml:space="preserve"> </w:t>
      </w:r>
      <w:proofErr w:type="gramStart"/>
      <w:r w:rsidRPr="00AD7F84">
        <w:t>Structure of GTAP.</w:t>
      </w:r>
      <w:proofErr w:type="gramEnd"/>
      <w:r w:rsidRPr="00AD7F84">
        <w:t xml:space="preserve"> </w:t>
      </w:r>
      <w:proofErr w:type="gramStart"/>
      <w:r w:rsidRPr="00AD7F84">
        <w:rPr>
          <w:u w:val="single"/>
        </w:rPr>
        <w:t>Global Trade Analysis Modeling and Applications</w:t>
      </w:r>
      <w:r w:rsidRPr="00AD7F84">
        <w:t>.</w:t>
      </w:r>
      <w:proofErr w:type="gramEnd"/>
      <w:r w:rsidRPr="00AD7F84">
        <w:t xml:space="preserve"> T. </w:t>
      </w:r>
      <w:proofErr w:type="spellStart"/>
      <w:r w:rsidRPr="00AD7F84">
        <w:t>Hertel</w:t>
      </w:r>
      <w:proofErr w:type="spellEnd"/>
      <w:r w:rsidRPr="00AD7F84">
        <w:t>, Cambridge University Press</w:t>
      </w:r>
      <w:r w:rsidRPr="00AD7F84">
        <w:rPr>
          <w:b/>
        </w:rPr>
        <w:t xml:space="preserve">: </w:t>
      </w:r>
      <w:r w:rsidRPr="00AD7F84">
        <w:t xml:space="preserve">13-73 </w:t>
      </w:r>
    </w:p>
    <w:p w:rsidR="00AD7F84" w:rsidRPr="00AD7F84" w:rsidRDefault="00AD7F84" w:rsidP="00AD7F84">
      <w:proofErr w:type="gramStart"/>
      <w:r w:rsidRPr="00AD7F84">
        <w:t xml:space="preserve">McDonald, S. and Y. </w:t>
      </w:r>
      <w:proofErr w:type="spellStart"/>
      <w:r w:rsidRPr="00AD7F84">
        <w:t>Sonmez</w:t>
      </w:r>
      <w:proofErr w:type="spellEnd"/>
      <w:r w:rsidRPr="00AD7F84">
        <w:t xml:space="preserve"> (2006).</w:t>
      </w:r>
      <w:proofErr w:type="gramEnd"/>
      <w:r w:rsidRPr="00AD7F84">
        <w:t xml:space="preserve"> </w:t>
      </w:r>
      <w:proofErr w:type="spellStart"/>
      <w:r w:rsidRPr="00AD7F84">
        <w:t>Labour</w:t>
      </w:r>
      <w:proofErr w:type="spellEnd"/>
      <w:r w:rsidRPr="00AD7F84">
        <w:t xml:space="preserve"> Migration and Remittances: Some Implications of Turkish “Guest Workers” in Germany. </w:t>
      </w:r>
      <w:proofErr w:type="gramStart"/>
      <w:r w:rsidRPr="00AD7F84">
        <w:rPr>
          <w:u w:val="single"/>
        </w:rPr>
        <w:t xml:space="preserve">9th Annual Conference on Global Economic Analysis </w:t>
      </w:r>
      <w:r w:rsidRPr="00AD7F84">
        <w:t>UN Economic Commission for Africa, Addis Ababa, Ethiopia.</w:t>
      </w:r>
      <w:proofErr w:type="gramEnd"/>
    </w:p>
    <w:p w:rsidR="00AD7F84" w:rsidRPr="00AD7F84" w:rsidRDefault="00AD7F84" w:rsidP="00AD7F84">
      <w:proofErr w:type="gramStart"/>
      <w:r w:rsidRPr="00AD7F84">
        <w:t xml:space="preserve">McDonald, S. and K. </w:t>
      </w:r>
      <w:proofErr w:type="spellStart"/>
      <w:r w:rsidRPr="00AD7F84">
        <w:t>Thierfelder</w:t>
      </w:r>
      <w:proofErr w:type="spellEnd"/>
      <w:r w:rsidRPr="00AD7F84">
        <w:t xml:space="preserve"> (2004a).</w:t>
      </w:r>
      <w:proofErr w:type="gramEnd"/>
      <w:r w:rsidRPr="00AD7F84">
        <w:t xml:space="preserve"> </w:t>
      </w:r>
      <w:proofErr w:type="gramStart"/>
      <w:r w:rsidRPr="00AD7F84">
        <w:t>Deriving a Global Social Accounting Matrix from GTAP Versions 5 and 6 Data.</w:t>
      </w:r>
      <w:proofErr w:type="gramEnd"/>
      <w:r w:rsidRPr="00AD7F84">
        <w:t xml:space="preserve"> </w:t>
      </w:r>
      <w:r w:rsidRPr="00AD7F84">
        <w:rPr>
          <w:u w:val="single"/>
        </w:rPr>
        <w:t xml:space="preserve">GTAP Technical Paper </w:t>
      </w:r>
      <w:proofErr w:type="spellStart"/>
      <w:proofErr w:type="gramStart"/>
      <w:r w:rsidRPr="00AD7F84">
        <w:rPr>
          <w:u w:val="single"/>
        </w:rPr>
        <w:t>eries</w:t>
      </w:r>
      <w:proofErr w:type="spellEnd"/>
      <w:proofErr w:type="gramEnd"/>
      <w:r w:rsidRPr="00AD7F84">
        <w:t xml:space="preserve">. </w:t>
      </w:r>
      <w:proofErr w:type="gramStart"/>
      <w:r w:rsidRPr="00AD7F84">
        <w:t>C. f. G. T. Analysis.</w:t>
      </w:r>
      <w:proofErr w:type="gramEnd"/>
      <w:r w:rsidRPr="00AD7F84">
        <w:t xml:space="preserve"> West Lafayette, IN.</w:t>
      </w:r>
    </w:p>
    <w:p w:rsidR="00AD7F84" w:rsidRPr="00AD7F84" w:rsidRDefault="00AD7F84" w:rsidP="00AD7F84">
      <w:proofErr w:type="gramStart"/>
      <w:r w:rsidRPr="00AD7F84">
        <w:t xml:space="preserve">McDonald, S. and K. </w:t>
      </w:r>
      <w:proofErr w:type="spellStart"/>
      <w:r w:rsidRPr="00AD7F84">
        <w:t>Thierfelder</w:t>
      </w:r>
      <w:proofErr w:type="spellEnd"/>
      <w:r w:rsidRPr="00AD7F84">
        <w:t xml:space="preserve"> (2004b).</w:t>
      </w:r>
      <w:proofErr w:type="gramEnd"/>
      <w:r w:rsidRPr="00AD7F84">
        <w:t xml:space="preserve"> Deriving Reduced Form Global Social Accounting Matrices from GTAP Data.</w:t>
      </w:r>
    </w:p>
    <w:p w:rsidR="00AD7F84" w:rsidRPr="00AD7F84" w:rsidRDefault="00AD7F84" w:rsidP="00AD7F84">
      <w:proofErr w:type="gramStart"/>
      <w:r w:rsidRPr="00AD7F84">
        <w:t xml:space="preserve">McDonald, S., K. </w:t>
      </w:r>
      <w:proofErr w:type="spellStart"/>
      <w:r w:rsidRPr="00AD7F84">
        <w:t>Thierfelder</w:t>
      </w:r>
      <w:proofErr w:type="spellEnd"/>
      <w:r w:rsidRPr="00AD7F84">
        <w:t xml:space="preserve"> and T. L. </w:t>
      </w:r>
      <w:proofErr w:type="spellStart"/>
      <w:r w:rsidRPr="00AD7F84">
        <w:t>Walmsley</w:t>
      </w:r>
      <w:proofErr w:type="spellEnd"/>
      <w:r w:rsidRPr="00AD7F84">
        <w:t xml:space="preserve"> (2014).</w:t>
      </w:r>
      <w:proofErr w:type="gramEnd"/>
      <w:r w:rsidRPr="00AD7F84">
        <w:t xml:space="preserve"> Globe v2: A SAM Based Global CGE Model using GTAP Data. </w:t>
      </w:r>
      <w:proofErr w:type="gramStart"/>
      <w:r w:rsidRPr="00AD7F84">
        <w:rPr>
          <w:u w:val="single"/>
        </w:rPr>
        <w:t>GLOBE Short Course</w:t>
      </w:r>
      <w:r w:rsidRPr="00AD7F84">
        <w:t>.</w:t>
      </w:r>
      <w:proofErr w:type="gramEnd"/>
      <w:r w:rsidRPr="00AD7F84">
        <w:t xml:space="preserve"> Annapolis, USA.</w:t>
      </w:r>
    </w:p>
    <w:p w:rsidR="00AD7F84" w:rsidRPr="00AD7F84" w:rsidRDefault="00AD7F84" w:rsidP="00AD7F84">
      <w:proofErr w:type="spellStart"/>
      <w:r w:rsidRPr="00AD7F84">
        <w:t>Mirza</w:t>
      </w:r>
      <w:proofErr w:type="spellEnd"/>
      <w:r w:rsidRPr="00AD7F84">
        <w:t xml:space="preserve">, T., B. Narayanan and N. van </w:t>
      </w:r>
      <w:proofErr w:type="spellStart"/>
      <w:r w:rsidRPr="00AD7F84">
        <w:t>Leewuen</w:t>
      </w:r>
      <w:proofErr w:type="spellEnd"/>
      <w:r w:rsidRPr="00AD7F84">
        <w:t xml:space="preserve"> (2010). </w:t>
      </w:r>
      <w:proofErr w:type="gramStart"/>
      <w:r w:rsidRPr="00AD7F84">
        <w:t>Trade with China and the Impact on Relative Wages in Industrial Economies.</w:t>
      </w:r>
      <w:proofErr w:type="gramEnd"/>
      <w:r w:rsidRPr="00AD7F84">
        <w:t xml:space="preserve"> </w:t>
      </w:r>
      <w:proofErr w:type="gramStart"/>
      <w:r w:rsidRPr="00AD7F84">
        <w:rPr>
          <w:u w:val="single"/>
        </w:rPr>
        <w:t>13th Annual Conference on Global Economic Analysis</w:t>
      </w:r>
      <w:r w:rsidRPr="00AD7F84">
        <w:t>.</w:t>
      </w:r>
      <w:proofErr w:type="gramEnd"/>
      <w:r w:rsidRPr="00AD7F84">
        <w:t xml:space="preserve"> Penang, Malaysia.</w:t>
      </w:r>
    </w:p>
    <w:p w:rsidR="00AD7F84" w:rsidRPr="00AD7F84" w:rsidRDefault="00AD7F84" w:rsidP="00AD7F84">
      <w:proofErr w:type="gramStart"/>
      <w:r w:rsidRPr="00AD7F84">
        <w:t xml:space="preserve">Narayanan, G. B., A. </w:t>
      </w:r>
      <w:proofErr w:type="spellStart"/>
      <w:r w:rsidRPr="00AD7F84">
        <w:t>Aguiar</w:t>
      </w:r>
      <w:proofErr w:type="spellEnd"/>
      <w:r w:rsidRPr="00AD7F84">
        <w:t xml:space="preserve"> and R. McDougall (2012).</w:t>
      </w:r>
      <w:proofErr w:type="gramEnd"/>
      <w:r w:rsidRPr="00AD7F84">
        <w:t xml:space="preserve"> </w:t>
      </w:r>
      <w:r w:rsidRPr="00AD7F84">
        <w:rPr>
          <w:u w:val="single"/>
        </w:rPr>
        <w:t>Global Trade, Assistance, and Production: The GTAP 8 Data Base</w:t>
      </w:r>
      <w:r w:rsidRPr="00AD7F84">
        <w:t xml:space="preserve">. </w:t>
      </w:r>
      <w:proofErr w:type="gramStart"/>
      <w:r w:rsidRPr="00AD7F84">
        <w:t>West Lafayette, Indiana, Center for Global Trade Analysis, Purdue University.</w:t>
      </w:r>
      <w:proofErr w:type="gramEnd"/>
    </w:p>
    <w:p w:rsidR="00AD7F84" w:rsidRPr="00AD7F84" w:rsidRDefault="00AD7F84" w:rsidP="00AD7F84">
      <w:proofErr w:type="spellStart"/>
      <w:proofErr w:type="gramStart"/>
      <w:r w:rsidRPr="00AD7F84">
        <w:t>Polaski</w:t>
      </w:r>
      <w:proofErr w:type="spellEnd"/>
      <w:r w:rsidRPr="00AD7F84">
        <w:t xml:space="preserve">, S., J. Bento, J. Berg, S. McDonald, K. </w:t>
      </w:r>
      <w:proofErr w:type="spellStart"/>
      <w:r w:rsidRPr="00AD7F84">
        <w:t>Thierfelder</w:t>
      </w:r>
      <w:proofErr w:type="spellEnd"/>
      <w:r w:rsidRPr="00AD7F84">
        <w:t xml:space="preserve">, D. </w:t>
      </w:r>
      <w:proofErr w:type="spellStart"/>
      <w:r w:rsidRPr="00AD7F84">
        <w:t>Willenbockel</w:t>
      </w:r>
      <w:proofErr w:type="spellEnd"/>
      <w:r w:rsidRPr="00AD7F84">
        <w:t xml:space="preserve"> and E. Zepeda (2009).</w:t>
      </w:r>
      <w:proofErr w:type="gramEnd"/>
      <w:r w:rsidRPr="00AD7F84">
        <w:t xml:space="preserve"> </w:t>
      </w:r>
      <w:proofErr w:type="gramStart"/>
      <w:r w:rsidRPr="00AD7F84">
        <w:t>Brazil in the Global Economy, Measuring the Gains from Trade.</w:t>
      </w:r>
      <w:proofErr w:type="gramEnd"/>
      <w:r w:rsidRPr="00AD7F84">
        <w:t xml:space="preserve"> C. E. f. I. Peace. Washington D.C.</w:t>
      </w:r>
    </w:p>
    <w:p w:rsidR="00AD7F84" w:rsidRPr="00AD7F84" w:rsidRDefault="00AD7F84" w:rsidP="00AD7F84">
      <w:proofErr w:type="gramStart"/>
      <w:r w:rsidRPr="00AD7F84">
        <w:t xml:space="preserve">Robinson, S., M. E. </w:t>
      </w:r>
      <w:proofErr w:type="spellStart"/>
      <w:r w:rsidRPr="00AD7F84">
        <w:t>Burfisher</w:t>
      </w:r>
      <w:proofErr w:type="spellEnd"/>
      <w:r w:rsidRPr="00AD7F84">
        <w:t xml:space="preserve">, R. Hinojosa-Ojeda and K. </w:t>
      </w:r>
      <w:proofErr w:type="spellStart"/>
      <w:r w:rsidRPr="00AD7F84">
        <w:t>Thierfelder</w:t>
      </w:r>
      <w:proofErr w:type="spellEnd"/>
      <w:r w:rsidRPr="00AD7F84">
        <w:t xml:space="preserve"> (1993).</w:t>
      </w:r>
      <w:proofErr w:type="gramEnd"/>
      <w:r w:rsidRPr="00AD7F84">
        <w:t xml:space="preserve"> "Agricultural Policies and Migration in a US-Mexico Free Trade Area: A Computable General Equilibrium Analysis " </w:t>
      </w:r>
      <w:r w:rsidRPr="00AD7F84">
        <w:rPr>
          <w:u w:val="single"/>
        </w:rPr>
        <w:t>Journal of Policy Modeling</w:t>
      </w:r>
      <w:r w:rsidRPr="00AD7F84">
        <w:t xml:space="preserve"> </w:t>
      </w:r>
      <w:r w:rsidRPr="00AD7F84">
        <w:rPr>
          <w:b/>
        </w:rPr>
        <w:t>15</w:t>
      </w:r>
      <w:r w:rsidRPr="00AD7F84">
        <w:t>: 673-701.</w:t>
      </w:r>
    </w:p>
    <w:p w:rsidR="00AD7F84" w:rsidRPr="00AD7F84" w:rsidRDefault="00AD7F84" w:rsidP="00AD7F84">
      <w:proofErr w:type="spellStart"/>
      <w:proofErr w:type="gramStart"/>
      <w:r w:rsidRPr="00AD7F84">
        <w:t>Walmsley</w:t>
      </w:r>
      <w:proofErr w:type="spellEnd"/>
      <w:r w:rsidRPr="00AD7F84">
        <w:t xml:space="preserve">, T. L. and C. </w:t>
      </w:r>
      <w:proofErr w:type="spellStart"/>
      <w:r w:rsidRPr="00AD7F84">
        <w:t>Carrico</w:t>
      </w:r>
      <w:proofErr w:type="spellEnd"/>
      <w:r w:rsidRPr="00AD7F84">
        <w:t xml:space="preserve"> (forthcoming).</w:t>
      </w:r>
      <w:proofErr w:type="gramEnd"/>
      <w:r w:rsidRPr="00AD7F84">
        <w:t xml:space="preserve"> Disaggregating Labor Payments in the GTAP 8 Data Base. </w:t>
      </w:r>
      <w:proofErr w:type="gramStart"/>
      <w:r w:rsidRPr="00AD7F84">
        <w:rPr>
          <w:u w:val="single"/>
        </w:rPr>
        <w:t>GTAP Technical Paper Series</w:t>
      </w:r>
      <w:r w:rsidRPr="00AD7F84">
        <w:t>.</w:t>
      </w:r>
      <w:proofErr w:type="gramEnd"/>
      <w:r w:rsidRPr="00AD7F84">
        <w:t xml:space="preserve"> </w:t>
      </w:r>
      <w:proofErr w:type="gramStart"/>
      <w:r w:rsidRPr="00AD7F84">
        <w:t>Center for Global Trade Analysis.</w:t>
      </w:r>
      <w:proofErr w:type="gramEnd"/>
      <w:r w:rsidRPr="00AD7F84">
        <w:t xml:space="preserve"> West Lafayette, Indiana.</w:t>
      </w:r>
    </w:p>
    <w:p w:rsidR="00AD7F84" w:rsidRPr="00AD7F84" w:rsidRDefault="00AD7F84" w:rsidP="00AD7F84">
      <w:proofErr w:type="spellStart"/>
      <w:r w:rsidRPr="00AD7F84">
        <w:lastRenderedPageBreak/>
        <w:t>Walmsley</w:t>
      </w:r>
      <w:proofErr w:type="spellEnd"/>
      <w:r w:rsidRPr="00AD7F84">
        <w:t xml:space="preserve">, T. L., A. Winters and S. A. Ahmed (2007). </w:t>
      </w:r>
      <w:proofErr w:type="gramStart"/>
      <w:r w:rsidRPr="00AD7F84">
        <w:t xml:space="preserve">Measuring the Impact of the Movement of </w:t>
      </w:r>
      <w:proofErr w:type="spellStart"/>
      <w:r w:rsidRPr="00AD7F84">
        <w:t>Labour</w:t>
      </w:r>
      <w:proofErr w:type="spellEnd"/>
      <w:r w:rsidRPr="00AD7F84">
        <w:t xml:space="preserve"> Using a Model of Bilateral Migration Flows.</w:t>
      </w:r>
      <w:proofErr w:type="gramEnd"/>
      <w:r w:rsidRPr="00AD7F84">
        <w:t xml:space="preserve"> </w:t>
      </w:r>
      <w:proofErr w:type="gramStart"/>
      <w:r w:rsidRPr="00AD7F84">
        <w:rPr>
          <w:u w:val="single"/>
        </w:rPr>
        <w:t>GTAP Technical Paper Series</w:t>
      </w:r>
      <w:r w:rsidRPr="00AD7F84">
        <w:t>.</w:t>
      </w:r>
      <w:proofErr w:type="gramEnd"/>
      <w:r w:rsidRPr="00AD7F84">
        <w:t xml:space="preserve"> </w:t>
      </w:r>
      <w:proofErr w:type="gramStart"/>
      <w:r w:rsidRPr="00AD7F84">
        <w:t>C. f. G. T. Analysis.</w:t>
      </w:r>
      <w:proofErr w:type="gramEnd"/>
      <w:r w:rsidRPr="00AD7F84">
        <w:t xml:space="preserve"> </w:t>
      </w:r>
      <w:proofErr w:type="gramStart"/>
      <w:r w:rsidRPr="00AD7F84">
        <w:t xml:space="preserve">West </w:t>
      </w:r>
      <w:proofErr w:type="spellStart"/>
      <w:r w:rsidRPr="00AD7F84">
        <w:t>Lafette</w:t>
      </w:r>
      <w:proofErr w:type="spellEnd"/>
      <w:r w:rsidRPr="00AD7F84">
        <w:t>, IN.</w:t>
      </w:r>
      <w:proofErr w:type="gramEnd"/>
    </w:p>
    <w:p w:rsidR="00AD7F84" w:rsidRPr="00AD7F84" w:rsidRDefault="00AD7F84" w:rsidP="00AD7F84">
      <w:proofErr w:type="spellStart"/>
      <w:proofErr w:type="gramStart"/>
      <w:r w:rsidRPr="00AD7F84">
        <w:t>Weingarden</w:t>
      </w:r>
      <w:proofErr w:type="spellEnd"/>
      <w:r w:rsidRPr="00AD7F84">
        <w:t xml:space="preserve">, A. and M. </w:t>
      </w:r>
      <w:proofErr w:type="spellStart"/>
      <w:r w:rsidRPr="00AD7F84">
        <w:t>Tsigas</w:t>
      </w:r>
      <w:proofErr w:type="spellEnd"/>
      <w:r w:rsidRPr="00AD7F84">
        <w:t xml:space="preserve"> (2010).</w:t>
      </w:r>
      <w:proofErr w:type="gramEnd"/>
      <w:r w:rsidRPr="00AD7F84">
        <w:t xml:space="preserve"> </w:t>
      </w:r>
      <w:proofErr w:type="gramStart"/>
      <w:r w:rsidRPr="00AD7F84">
        <w:t xml:space="preserve">Labor </w:t>
      </w:r>
      <w:proofErr w:type="spellStart"/>
      <w:r w:rsidRPr="00AD7F84">
        <w:t>Statstics</w:t>
      </w:r>
      <w:proofErr w:type="spellEnd"/>
      <w:r w:rsidRPr="00AD7F84">
        <w:t xml:space="preserve"> for the GTAP Database.</w:t>
      </w:r>
      <w:proofErr w:type="gramEnd"/>
      <w:r w:rsidRPr="00AD7F84">
        <w:t xml:space="preserve"> U. S. I. T. Commission. Washington, DC.</w:t>
      </w:r>
    </w:p>
    <w:p w:rsidR="00AD7F84" w:rsidRPr="00AD7F84" w:rsidRDefault="00AD7F84" w:rsidP="00AD7F84">
      <w:r w:rsidRPr="00AD7F84">
        <w:fldChar w:fldCharType="end"/>
      </w:r>
    </w:p>
    <w:p w:rsidR="00635128" w:rsidRDefault="00635128" w:rsidP="003B75EC"/>
    <w:p w:rsidR="00A54E41" w:rsidRDefault="00A54E41" w:rsidP="003B75EC"/>
    <w:p w:rsidR="006B1A3E" w:rsidRDefault="008B0863" w:rsidP="008B0863">
      <w:pPr>
        <w:pStyle w:val="NoSpacing"/>
        <w:ind w:left="720" w:hanging="720"/>
      </w:pPr>
      <w:proofErr w:type="gramStart"/>
      <w:r>
        <w:t xml:space="preserve">McDonald, S. and K. </w:t>
      </w:r>
      <w:proofErr w:type="spellStart"/>
      <w:r>
        <w:t>Thierfelder</w:t>
      </w:r>
      <w:proofErr w:type="spellEnd"/>
      <w:r>
        <w:t xml:space="preserve"> (2004).</w:t>
      </w:r>
      <w:proofErr w:type="gramEnd"/>
      <w:r>
        <w:t xml:space="preserve"> “Deriving a Global Social Accounting Matrix from GTAP versions 5 and 6 Data.” </w:t>
      </w:r>
      <w:proofErr w:type="gramStart"/>
      <w:r>
        <w:t>GTAP Technical Paper Series.</w:t>
      </w:r>
      <w:proofErr w:type="gramEnd"/>
      <w:r>
        <w:t xml:space="preserve"> </w:t>
      </w:r>
      <w:proofErr w:type="gramStart"/>
      <w:r w:rsidRPr="008B0863">
        <w:t>Center for Global Trade Analysis, West Lafayette, Indiana.</w:t>
      </w:r>
      <w:proofErr w:type="gramEnd"/>
    </w:p>
    <w:p w:rsidR="002A38F2" w:rsidRDefault="002A38F2" w:rsidP="002A38F2">
      <w:pPr>
        <w:pStyle w:val="MainPara"/>
        <w:ind w:left="720" w:hanging="720"/>
      </w:pPr>
      <w:proofErr w:type="gramStart"/>
      <w:r>
        <w:t xml:space="preserve">McDonald, S., </w:t>
      </w:r>
      <w:proofErr w:type="spellStart"/>
      <w:r>
        <w:t>Thierfelder</w:t>
      </w:r>
      <w:proofErr w:type="spellEnd"/>
      <w:r>
        <w:t xml:space="preserve">, K. and </w:t>
      </w:r>
      <w:proofErr w:type="spellStart"/>
      <w:r>
        <w:t>Walmsley</w:t>
      </w:r>
      <w:proofErr w:type="spellEnd"/>
      <w:r>
        <w:t>, T., (2013).</w:t>
      </w:r>
      <w:proofErr w:type="gramEnd"/>
      <w:r>
        <w:t xml:space="preserve"> ‘</w:t>
      </w:r>
      <w:r w:rsidRPr="00A974EB">
        <w:t>Globe v2: A SAM Based Global CGE Model using GTAP Data</w:t>
      </w:r>
      <w:r>
        <w:t xml:space="preserve">’, </w:t>
      </w:r>
      <w:r w:rsidRPr="00647114">
        <w:rPr>
          <w:i/>
        </w:rPr>
        <w:t>mimeo</w:t>
      </w:r>
      <w:r>
        <w:t xml:space="preserve"> (</w:t>
      </w:r>
      <w:hyperlink r:id="rId40" w:history="1">
        <w:r w:rsidRPr="004719A2">
          <w:rPr>
            <w:rStyle w:val="Hyperlink"/>
          </w:rPr>
          <w:t>http://cgemod.org.uk/globev2_2012.pdf</w:t>
        </w:r>
      </w:hyperlink>
      <w:r>
        <w:t>)</w:t>
      </w:r>
    </w:p>
    <w:p w:rsidR="001A0AB5" w:rsidRDefault="008B0863" w:rsidP="008B0863">
      <w:pPr>
        <w:ind w:left="720" w:hanging="720"/>
      </w:pPr>
      <w:proofErr w:type="gramStart"/>
      <w:r>
        <w:t xml:space="preserve">Narayanan, G.B., A. </w:t>
      </w:r>
      <w:proofErr w:type="spellStart"/>
      <w:r>
        <w:t>Aguiar</w:t>
      </w:r>
      <w:proofErr w:type="spellEnd"/>
      <w:r>
        <w:t>, and R. McDougall (2012).</w:t>
      </w:r>
      <w:proofErr w:type="gramEnd"/>
      <w:r>
        <w:t xml:space="preserve"> Global Trade, Assistance, and Production: The GTAP 8 Data Base. </w:t>
      </w:r>
      <w:proofErr w:type="gramStart"/>
      <w:r>
        <w:t>West Lafayette, Indiana, Center for Global Trade Analysis, Purdue University.</w:t>
      </w:r>
      <w:proofErr w:type="gramEnd"/>
      <w:r>
        <w:t xml:space="preserve"> </w:t>
      </w:r>
    </w:p>
    <w:p w:rsidR="001A0AB5" w:rsidRDefault="001A0AB5" w:rsidP="008B0863">
      <w:pPr>
        <w:ind w:left="720" w:hanging="720"/>
      </w:pPr>
      <w:proofErr w:type="spellStart"/>
      <w:r w:rsidRPr="001D6EB6">
        <w:t>Walmsley</w:t>
      </w:r>
      <w:proofErr w:type="spellEnd"/>
      <w:r>
        <w:t xml:space="preserve">, T.L. </w:t>
      </w:r>
      <w:r w:rsidRPr="001D6EB6">
        <w:t xml:space="preserve"> </w:t>
      </w:r>
      <w:proofErr w:type="gramStart"/>
      <w:r w:rsidRPr="001D6EB6">
        <w:t>and</w:t>
      </w:r>
      <w:proofErr w:type="gramEnd"/>
      <w:r w:rsidRPr="001D6EB6">
        <w:t xml:space="preserve"> </w:t>
      </w:r>
      <w:r>
        <w:t xml:space="preserve">C. </w:t>
      </w:r>
      <w:proofErr w:type="spellStart"/>
      <w:r w:rsidRPr="001D6EB6">
        <w:t>Carrico</w:t>
      </w:r>
      <w:proofErr w:type="spellEnd"/>
      <w:r>
        <w:t xml:space="preserve"> (2013). “Disaggregating Labor Payments in the GTAP 8 Data Base.”  </w:t>
      </w:r>
      <w:proofErr w:type="gramStart"/>
      <w:r w:rsidRPr="008B0863">
        <w:rPr>
          <w:u w:val="single"/>
        </w:rPr>
        <w:t>GTAP Technical Paper Series</w:t>
      </w:r>
      <w:r>
        <w:t>.</w:t>
      </w:r>
      <w:proofErr w:type="gramEnd"/>
      <w:r>
        <w:t xml:space="preserve"> </w:t>
      </w:r>
      <w:proofErr w:type="gramStart"/>
      <w:r>
        <w:t>Center for Global Trade Analysis, West Lafayette, Indiana.</w:t>
      </w:r>
      <w:proofErr w:type="gramEnd"/>
    </w:p>
    <w:p w:rsidR="002A38F2" w:rsidRDefault="002A38F2" w:rsidP="008B0863">
      <w:pPr>
        <w:ind w:left="720" w:hanging="720"/>
      </w:pPr>
    </w:p>
    <w:p w:rsidR="002A38F2" w:rsidRPr="00FD5B31" w:rsidRDefault="002A38F2" w:rsidP="002A38F2">
      <w:pPr>
        <w:pStyle w:val="Heading3"/>
        <w:rPr>
          <w:sz w:val="24"/>
          <w:szCs w:val="24"/>
        </w:rPr>
      </w:pPr>
      <w:r w:rsidRPr="00FD5B31">
        <w:rPr>
          <w:sz w:val="24"/>
          <w:szCs w:val="24"/>
        </w:rPr>
        <w:t>Status</w:t>
      </w:r>
    </w:p>
    <w:p w:rsidR="002A38F2" w:rsidRDefault="002A38F2" w:rsidP="002A38F2">
      <w:pPr>
        <w:pStyle w:val="FirstParaChar"/>
        <w:rPr>
          <w:szCs w:val="24"/>
        </w:rPr>
      </w:pPr>
      <w:r w:rsidRPr="00093FBF">
        <w:rPr>
          <w:szCs w:val="24"/>
        </w:rPr>
        <w:t>Ba</w:t>
      </w:r>
      <w:r>
        <w:rPr>
          <w:szCs w:val="24"/>
        </w:rPr>
        <w:t>ckground research work complete;</w:t>
      </w:r>
      <w:r w:rsidRPr="00093FBF">
        <w:rPr>
          <w:szCs w:val="24"/>
        </w:rPr>
        <w:t xml:space="preserve"> </w:t>
      </w:r>
      <w:r>
        <w:rPr>
          <w:szCs w:val="24"/>
        </w:rPr>
        <w:t>theory section completed; model codes written and simulations completed; results interpreted, completing final write-up.</w:t>
      </w:r>
    </w:p>
    <w:p w:rsidR="002A38F2" w:rsidRDefault="002A38F2" w:rsidP="008B0863">
      <w:pPr>
        <w:ind w:left="720" w:hanging="720"/>
        <w:rPr>
          <w:lang w:val="en-GB"/>
        </w:rPr>
      </w:pPr>
    </w:p>
    <w:p w:rsidR="002A38F2" w:rsidRPr="002A38F2" w:rsidRDefault="002A38F2" w:rsidP="008B0863">
      <w:pPr>
        <w:ind w:left="720" w:hanging="720"/>
        <w:rPr>
          <w:b/>
          <w:lang w:val="en-GB"/>
        </w:rPr>
      </w:pPr>
      <w:r w:rsidRPr="002A38F2">
        <w:rPr>
          <w:b/>
          <w:lang w:val="en-GB"/>
        </w:rPr>
        <w:t>Author Affiliation</w:t>
      </w:r>
    </w:p>
    <w:p w:rsidR="002A38F2" w:rsidRPr="00FD5B31" w:rsidRDefault="002A38F2" w:rsidP="002A38F2">
      <w:pPr>
        <w:pStyle w:val="FirstParaChar"/>
        <w:rPr>
          <w:szCs w:val="24"/>
        </w:rPr>
      </w:pPr>
      <w:r w:rsidRPr="00FD5B31">
        <w:rPr>
          <w:szCs w:val="24"/>
        </w:rPr>
        <w:t xml:space="preserve">Scott </w:t>
      </w:r>
      <w:proofErr w:type="spellStart"/>
      <w:r w:rsidRPr="00FD5B31">
        <w:rPr>
          <w:szCs w:val="24"/>
        </w:rPr>
        <w:t>McDonald</w:t>
      </w:r>
      <w:proofErr w:type="gramStart"/>
      <w:r w:rsidRPr="00FD5B31">
        <w:rPr>
          <w:szCs w:val="24"/>
        </w:rPr>
        <w:t>,</w:t>
      </w:r>
      <w:r>
        <w:rPr>
          <w:szCs w:val="24"/>
        </w:rPr>
        <w:t>Visiting</w:t>
      </w:r>
      <w:proofErr w:type="spellEnd"/>
      <w:proofErr w:type="gramEnd"/>
      <w:r>
        <w:rPr>
          <w:szCs w:val="24"/>
        </w:rPr>
        <w:t xml:space="preserve"> Professor,</w:t>
      </w:r>
      <w:r w:rsidRPr="002C6D4B">
        <w:t xml:space="preserve"> </w:t>
      </w:r>
      <w:r>
        <w:rPr>
          <w:szCs w:val="24"/>
        </w:rPr>
        <w:t xml:space="preserve">Agricultural and Food Policy, </w:t>
      </w:r>
      <w:proofErr w:type="spellStart"/>
      <w:r>
        <w:rPr>
          <w:szCs w:val="24"/>
        </w:rPr>
        <w:t>Universitat</w:t>
      </w:r>
      <w:proofErr w:type="spellEnd"/>
      <w:r>
        <w:rPr>
          <w:szCs w:val="24"/>
        </w:rPr>
        <w:t xml:space="preserve"> </w:t>
      </w:r>
      <w:proofErr w:type="spellStart"/>
      <w:r>
        <w:rPr>
          <w:szCs w:val="24"/>
        </w:rPr>
        <w:t>Hohenheim</w:t>
      </w:r>
      <w:proofErr w:type="spellEnd"/>
      <w:r>
        <w:rPr>
          <w:szCs w:val="24"/>
        </w:rPr>
        <w:t xml:space="preserve">, </w:t>
      </w:r>
      <w:r w:rsidRPr="002C6D4B">
        <w:rPr>
          <w:szCs w:val="24"/>
        </w:rPr>
        <w:t>Stuttgart, Germany</w:t>
      </w:r>
    </w:p>
    <w:p w:rsidR="002A38F2" w:rsidRDefault="002A38F2" w:rsidP="002A38F2">
      <w:pPr>
        <w:pStyle w:val="FirstPara"/>
        <w:rPr>
          <w:szCs w:val="24"/>
        </w:rPr>
      </w:pPr>
      <w:r>
        <w:rPr>
          <w:szCs w:val="24"/>
        </w:rPr>
        <w:t xml:space="preserve">Karen </w:t>
      </w:r>
      <w:proofErr w:type="spellStart"/>
      <w:r>
        <w:rPr>
          <w:szCs w:val="24"/>
        </w:rPr>
        <w:t>Thierfelder</w:t>
      </w:r>
      <w:proofErr w:type="spellEnd"/>
      <w:r>
        <w:rPr>
          <w:szCs w:val="24"/>
        </w:rPr>
        <w:t>, Professor of Economics, Department of Economics, US Naval Academy, Annapolis, USA.</w:t>
      </w:r>
    </w:p>
    <w:p w:rsidR="002A38F2" w:rsidRDefault="002A38F2" w:rsidP="002A38F2">
      <w:pPr>
        <w:pStyle w:val="MainPara"/>
        <w:ind w:firstLine="0"/>
        <w:rPr>
          <w:szCs w:val="24"/>
        </w:rPr>
      </w:pPr>
      <w:r>
        <w:rPr>
          <w:szCs w:val="24"/>
        </w:rPr>
        <w:lastRenderedPageBreak/>
        <w:t xml:space="preserve">Terrie </w:t>
      </w:r>
      <w:proofErr w:type="spellStart"/>
      <w:r>
        <w:rPr>
          <w:szCs w:val="24"/>
        </w:rPr>
        <w:t>Walmsley</w:t>
      </w:r>
      <w:proofErr w:type="spellEnd"/>
      <w:r>
        <w:rPr>
          <w:szCs w:val="24"/>
        </w:rPr>
        <w:t xml:space="preserve">, Senior Economist, </w:t>
      </w:r>
      <w:proofErr w:type="spellStart"/>
      <w:r>
        <w:rPr>
          <w:szCs w:val="24"/>
        </w:rPr>
        <w:t>ImpactEcon</w:t>
      </w:r>
      <w:proofErr w:type="spellEnd"/>
      <w:r>
        <w:rPr>
          <w:szCs w:val="24"/>
        </w:rPr>
        <w:t>, Boulder, CO, USA</w:t>
      </w:r>
    </w:p>
    <w:p w:rsidR="002A38F2" w:rsidRPr="00AB02DE" w:rsidRDefault="002A38F2" w:rsidP="008B0863">
      <w:pPr>
        <w:ind w:left="720" w:hanging="720"/>
        <w:rPr>
          <w:lang w:val="en-GB"/>
        </w:rPr>
      </w:pPr>
      <w:bookmarkStart w:id="3" w:name="_GoBack"/>
      <w:bookmarkEnd w:id="3"/>
    </w:p>
    <w:sectPr w:rsidR="002A38F2" w:rsidRPr="00AB02DE" w:rsidSect="00F83BB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1E17" w:rsidRDefault="00E91E17" w:rsidP="00AD7F84">
      <w:pPr>
        <w:spacing w:after="0" w:line="240" w:lineRule="auto"/>
      </w:pPr>
      <w:r>
        <w:separator/>
      </w:r>
    </w:p>
  </w:endnote>
  <w:endnote w:type="continuationSeparator" w:id="0">
    <w:p w:rsidR="00E91E17" w:rsidRDefault="00E91E17" w:rsidP="00AD7F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1E17" w:rsidRDefault="00E91E17" w:rsidP="00AD7F84">
      <w:pPr>
        <w:spacing w:after="0" w:line="240" w:lineRule="auto"/>
      </w:pPr>
      <w:r>
        <w:separator/>
      </w:r>
    </w:p>
  </w:footnote>
  <w:footnote w:type="continuationSeparator" w:id="0">
    <w:p w:rsidR="00E91E17" w:rsidRDefault="00E91E17" w:rsidP="00AD7F84">
      <w:pPr>
        <w:spacing w:after="0" w:line="240" w:lineRule="auto"/>
      </w:pPr>
      <w:r>
        <w:continuationSeparator/>
      </w:r>
    </w:p>
  </w:footnote>
  <w:footnote w:id="1">
    <w:p w:rsidR="00AD7F84" w:rsidRPr="00E315B9" w:rsidRDefault="00AD7F84" w:rsidP="00AD7F84">
      <w:pPr>
        <w:pStyle w:val="FootnoteText1"/>
      </w:pPr>
      <w:r w:rsidRPr="00E315B9">
        <w:rPr>
          <w:rStyle w:val="FootnoteReference"/>
        </w:rPr>
        <w:footnoteRef/>
      </w:r>
      <w:r w:rsidRPr="00E315B9">
        <w:t xml:space="preserve"> This method is also used in the GTAP model, albeit explicit calibration of the model</w:t>
      </w:r>
      <w:r>
        <w:t xml:space="preserve"> (</w:t>
      </w:r>
      <w:r w:rsidRPr="00E315B9">
        <w:t>i.e. setting initial values of wages to one</w:t>
      </w:r>
      <w:r>
        <w:t>)</w:t>
      </w:r>
      <w:r w:rsidRPr="00E315B9">
        <w:t xml:space="preserve"> is not required. In the GTAP model labor moves across sectors to equalize the percent changes in the wages across sectors, i.e., the sector generic wage.  The sector specific wage is fixed and hence is zero in percent changes:</w:t>
      </w:r>
    </w:p>
    <w:p w:rsidR="00AD7F84" w:rsidRDefault="00AD7F84" w:rsidP="00AD7F84">
      <w:pPr>
        <w:pStyle w:val="FootnoteText1"/>
        <w:jc w:val="center"/>
      </w:pPr>
      <w:r w:rsidRPr="00E315B9">
        <w:rPr>
          <w:rFonts w:eastAsiaTheme="majorEastAsia" w:cstheme="majorBidi"/>
          <w:bCs/>
          <w:spacing w:val="-7"/>
          <w:sz w:val="22"/>
          <w:vertAlign w:val="superscript"/>
        </w:rPr>
        <w:object w:dxaOrig="1600" w:dyaOrig="760">
          <v:shape id="_x0000_i1040" type="#_x0000_t75" style="width:79.8pt;height:37.2pt" o:ole="">
            <v:imagedata r:id="rId1" o:title=""/>
          </v:shape>
          <o:OLEObject Type="Embed" ProgID="Equation.DSMT4" ShapeID="_x0000_i1040" DrawAspect="Content" ObjectID="_1522177939" r:id="rId2"/>
        </w:object>
      </w:r>
    </w:p>
  </w:footnote>
  <w:footnote w:id="2">
    <w:p w:rsidR="00AD7F84" w:rsidRDefault="00AD7F84" w:rsidP="00AD7F84">
      <w:pPr>
        <w:pStyle w:val="FootnoteText1"/>
      </w:pPr>
      <w:r>
        <w:rPr>
          <w:rStyle w:val="FootnoteReference"/>
        </w:rPr>
        <w:footnoteRef/>
      </w:r>
      <w:r>
        <w:t xml:space="preserve"> Note that the CET is commonly used in single country models (and in the GLOBE model) to model the producers decision to sell their good to the domestic or export market.  </w:t>
      </w:r>
    </w:p>
  </w:footnote>
  <w:footnote w:id="3">
    <w:p w:rsidR="00AD7F84" w:rsidRDefault="00AD7F84" w:rsidP="00AD7F84">
      <w:pPr>
        <w:pStyle w:val="FootnoteText"/>
      </w:pPr>
      <w:r>
        <w:rPr>
          <w:rStyle w:val="FootnoteReference"/>
        </w:rPr>
        <w:footnoteRef/>
      </w:r>
      <w:r>
        <w:t xml:space="preserve"> GLOBE model notation is used from this point forward.</w:t>
      </w:r>
    </w:p>
  </w:footnote>
  <w:footnote w:id="4">
    <w:p w:rsidR="00AD7F84" w:rsidRDefault="00AD7F84" w:rsidP="00AD7F84">
      <w:pPr>
        <w:pStyle w:val="FootnoteText"/>
      </w:pPr>
      <w:r>
        <w:rPr>
          <w:rStyle w:val="FootnoteReference"/>
        </w:rPr>
        <w:footnoteRef/>
      </w:r>
      <w:r>
        <w:t xml:space="preserve"> Note f is the factor </w:t>
      </w:r>
      <w:proofErr w:type="gramStart"/>
      <w:r>
        <w:t>type,</w:t>
      </w:r>
      <w:proofErr w:type="gramEnd"/>
      <w:r>
        <w:t xml:space="preserve"> in this case factor types include both factors (Table 1) and segments (Table 2).  Factor types relate to both the factor and the segments.  For example, factors include both clerks working in agricultural sectors (</w:t>
      </w:r>
      <w:proofErr w:type="spellStart"/>
      <w:r>
        <w:t>clerks_agr</w:t>
      </w:r>
      <w:proofErr w:type="spellEnd"/>
      <w:r>
        <w:t>) and clerks working in manufacturing sectors (</w:t>
      </w:r>
      <w:proofErr w:type="spellStart"/>
      <w:r>
        <w:t>clerks_manuf</w:t>
      </w:r>
      <w:proofErr w:type="spellEnd"/>
      <w:r>
        <w:t>), as well as shop workers in manufacturing (</w:t>
      </w:r>
      <w:proofErr w:type="spellStart"/>
      <w:r>
        <w:t>shop_manuf</w:t>
      </w:r>
      <w:proofErr w:type="spellEnd"/>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0182"/>
    <w:multiLevelType w:val="hybridMultilevel"/>
    <w:tmpl w:val="FDD213D2"/>
    <w:lvl w:ilvl="0" w:tplc="9D82FE28">
      <w:start w:val="1"/>
      <w:numFmt w:val="bullet"/>
      <w:lvlText w:val="•"/>
      <w:lvlJc w:val="left"/>
      <w:pPr>
        <w:tabs>
          <w:tab w:val="num" w:pos="720"/>
        </w:tabs>
        <w:ind w:left="720" w:hanging="360"/>
      </w:pPr>
      <w:rPr>
        <w:rFonts w:ascii="Arial" w:hAnsi="Arial" w:hint="default"/>
      </w:rPr>
    </w:lvl>
    <w:lvl w:ilvl="1" w:tplc="EFD67B80">
      <w:start w:val="57"/>
      <w:numFmt w:val="bullet"/>
      <w:lvlText w:val="–"/>
      <w:lvlJc w:val="left"/>
      <w:pPr>
        <w:tabs>
          <w:tab w:val="num" w:pos="1440"/>
        </w:tabs>
        <w:ind w:left="1440" w:hanging="360"/>
      </w:pPr>
      <w:rPr>
        <w:rFonts w:ascii="Arial" w:hAnsi="Arial" w:hint="default"/>
      </w:rPr>
    </w:lvl>
    <w:lvl w:ilvl="2" w:tplc="3E56D044" w:tentative="1">
      <w:start w:val="1"/>
      <w:numFmt w:val="bullet"/>
      <w:lvlText w:val="•"/>
      <w:lvlJc w:val="left"/>
      <w:pPr>
        <w:tabs>
          <w:tab w:val="num" w:pos="2160"/>
        </w:tabs>
        <w:ind w:left="2160" w:hanging="360"/>
      </w:pPr>
      <w:rPr>
        <w:rFonts w:ascii="Arial" w:hAnsi="Arial" w:hint="default"/>
      </w:rPr>
    </w:lvl>
    <w:lvl w:ilvl="3" w:tplc="358CC9B2" w:tentative="1">
      <w:start w:val="1"/>
      <w:numFmt w:val="bullet"/>
      <w:lvlText w:val="•"/>
      <w:lvlJc w:val="left"/>
      <w:pPr>
        <w:tabs>
          <w:tab w:val="num" w:pos="2880"/>
        </w:tabs>
        <w:ind w:left="2880" w:hanging="360"/>
      </w:pPr>
      <w:rPr>
        <w:rFonts w:ascii="Arial" w:hAnsi="Arial" w:hint="default"/>
      </w:rPr>
    </w:lvl>
    <w:lvl w:ilvl="4" w:tplc="54C221A0" w:tentative="1">
      <w:start w:val="1"/>
      <w:numFmt w:val="bullet"/>
      <w:lvlText w:val="•"/>
      <w:lvlJc w:val="left"/>
      <w:pPr>
        <w:tabs>
          <w:tab w:val="num" w:pos="3600"/>
        </w:tabs>
        <w:ind w:left="3600" w:hanging="360"/>
      </w:pPr>
      <w:rPr>
        <w:rFonts w:ascii="Arial" w:hAnsi="Arial" w:hint="default"/>
      </w:rPr>
    </w:lvl>
    <w:lvl w:ilvl="5" w:tplc="473C22C8" w:tentative="1">
      <w:start w:val="1"/>
      <w:numFmt w:val="bullet"/>
      <w:lvlText w:val="•"/>
      <w:lvlJc w:val="left"/>
      <w:pPr>
        <w:tabs>
          <w:tab w:val="num" w:pos="4320"/>
        </w:tabs>
        <w:ind w:left="4320" w:hanging="360"/>
      </w:pPr>
      <w:rPr>
        <w:rFonts w:ascii="Arial" w:hAnsi="Arial" w:hint="default"/>
      </w:rPr>
    </w:lvl>
    <w:lvl w:ilvl="6" w:tplc="BFC6A534" w:tentative="1">
      <w:start w:val="1"/>
      <w:numFmt w:val="bullet"/>
      <w:lvlText w:val="•"/>
      <w:lvlJc w:val="left"/>
      <w:pPr>
        <w:tabs>
          <w:tab w:val="num" w:pos="5040"/>
        </w:tabs>
        <w:ind w:left="5040" w:hanging="360"/>
      </w:pPr>
      <w:rPr>
        <w:rFonts w:ascii="Arial" w:hAnsi="Arial" w:hint="default"/>
      </w:rPr>
    </w:lvl>
    <w:lvl w:ilvl="7" w:tplc="64522D28" w:tentative="1">
      <w:start w:val="1"/>
      <w:numFmt w:val="bullet"/>
      <w:lvlText w:val="•"/>
      <w:lvlJc w:val="left"/>
      <w:pPr>
        <w:tabs>
          <w:tab w:val="num" w:pos="5760"/>
        </w:tabs>
        <w:ind w:left="5760" w:hanging="360"/>
      </w:pPr>
      <w:rPr>
        <w:rFonts w:ascii="Arial" w:hAnsi="Arial" w:hint="default"/>
      </w:rPr>
    </w:lvl>
    <w:lvl w:ilvl="8" w:tplc="BEAC5BBE" w:tentative="1">
      <w:start w:val="1"/>
      <w:numFmt w:val="bullet"/>
      <w:lvlText w:val="•"/>
      <w:lvlJc w:val="left"/>
      <w:pPr>
        <w:tabs>
          <w:tab w:val="num" w:pos="6480"/>
        </w:tabs>
        <w:ind w:left="6480" w:hanging="360"/>
      </w:pPr>
      <w:rPr>
        <w:rFonts w:ascii="Arial" w:hAnsi="Arial" w:hint="default"/>
      </w:rPr>
    </w:lvl>
  </w:abstractNum>
  <w:abstractNum w:abstractNumId="1">
    <w:nsid w:val="02C917B5"/>
    <w:multiLevelType w:val="multilevel"/>
    <w:tmpl w:val="8668B7B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066B6335"/>
    <w:multiLevelType w:val="hybridMultilevel"/>
    <w:tmpl w:val="5B02C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30C69"/>
    <w:multiLevelType w:val="hybridMultilevel"/>
    <w:tmpl w:val="7F0082A6"/>
    <w:lvl w:ilvl="0" w:tplc="BD2E161E">
      <w:start w:val="1"/>
      <w:numFmt w:val="bullet"/>
      <w:lvlText w:val="•"/>
      <w:lvlJc w:val="left"/>
      <w:pPr>
        <w:tabs>
          <w:tab w:val="num" w:pos="720"/>
        </w:tabs>
        <w:ind w:left="720" w:hanging="360"/>
      </w:pPr>
      <w:rPr>
        <w:rFonts w:ascii="Arial" w:hAnsi="Arial" w:hint="default"/>
      </w:rPr>
    </w:lvl>
    <w:lvl w:ilvl="1" w:tplc="BAF03802">
      <w:start w:val="57"/>
      <w:numFmt w:val="bullet"/>
      <w:lvlText w:val="–"/>
      <w:lvlJc w:val="left"/>
      <w:pPr>
        <w:tabs>
          <w:tab w:val="num" w:pos="1440"/>
        </w:tabs>
        <w:ind w:left="1440" w:hanging="360"/>
      </w:pPr>
      <w:rPr>
        <w:rFonts w:ascii="Arial" w:hAnsi="Arial" w:hint="default"/>
      </w:rPr>
    </w:lvl>
    <w:lvl w:ilvl="2" w:tplc="FA5AD730" w:tentative="1">
      <w:start w:val="1"/>
      <w:numFmt w:val="bullet"/>
      <w:lvlText w:val="•"/>
      <w:lvlJc w:val="left"/>
      <w:pPr>
        <w:tabs>
          <w:tab w:val="num" w:pos="2160"/>
        </w:tabs>
        <w:ind w:left="2160" w:hanging="360"/>
      </w:pPr>
      <w:rPr>
        <w:rFonts w:ascii="Arial" w:hAnsi="Arial" w:hint="default"/>
      </w:rPr>
    </w:lvl>
    <w:lvl w:ilvl="3" w:tplc="E1EA5A1A" w:tentative="1">
      <w:start w:val="1"/>
      <w:numFmt w:val="bullet"/>
      <w:lvlText w:val="•"/>
      <w:lvlJc w:val="left"/>
      <w:pPr>
        <w:tabs>
          <w:tab w:val="num" w:pos="2880"/>
        </w:tabs>
        <w:ind w:left="2880" w:hanging="360"/>
      </w:pPr>
      <w:rPr>
        <w:rFonts w:ascii="Arial" w:hAnsi="Arial" w:hint="default"/>
      </w:rPr>
    </w:lvl>
    <w:lvl w:ilvl="4" w:tplc="2BBE71B2" w:tentative="1">
      <w:start w:val="1"/>
      <w:numFmt w:val="bullet"/>
      <w:lvlText w:val="•"/>
      <w:lvlJc w:val="left"/>
      <w:pPr>
        <w:tabs>
          <w:tab w:val="num" w:pos="3600"/>
        </w:tabs>
        <w:ind w:left="3600" w:hanging="360"/>
      </w:pPr>
      <w:rPr>
        <w:rFonts w:ascii="Arial" w:hAnsi="Arial" w:hint="default"/>
      </w:rPr>
    </w:lvl>
    <w:lvl w:ilvl="5" w:tplc="3B7EB330" w:tentative="1">
      <w:start w:val="1"/>
      <w:numFmt w:val="bullet"/>
      <w:lvlText w:val="•"/>
      <w:lvlJc w:val="left"/>
      <w:pPr>
        <w:tabs>
          <w:tab w:val="num" w:pos="4320"/>
        </w:tabs>
        <w:ind w:left="4320" w:hanging="360"/>
      </w:pPr>
      <w:rPr>
        <w:rFonts w:ascii="Arial" w:hAnsi="Arial" w:hint="default"/>
      </w:rPr>
    </w:lvl>
    <w:lvl w:ilvl="6" w:tplc="AB66FFD4" w:tentative="1">
      <w:start w:val="1"/>
      <w:numFmt w:val="bullet"/>
      <w:lvlText w:val="•"/>
      <w:lvlJc w:val="left"/>
      <w:pPr>
        <w:tabs>
          <w:tab w:val="num" w:pos="5040"/>
        </w:tabs>
        <w:ind w:left="5040" w:hanging="360"/>
      </w:pPr>
      <w:rPr>
        <w:rFonts w:ascii="Arial" w:hAnsi="Arial" w:hint="default"/>
      </w:rPr>
    </w:lvl>
    <w:lvl w:ilvl="7" w:tplc="30CEAEB6" w:tentative="1">
      <w:start w:val="1"/>
      <w:numFmt w:val="bullet"/>
      <w:lvlText w:val="•"/>
      <w:lvlJc w:val="left"/>
      <w:pPr>
        <w:tabs>
          <w:tab w:val="num" w:pos="5760"/>
        </w:tabs>
        <w:ind w:left="5760" w:hanging="360"/>
      </w:pPr>
      <w:rPr>
        <w:rFonts w:ascii="Arial" w:hAnsi="Arial" w:hint="default"/>
      </w:rPr>
    </w:lvl>
    <w:lvl w:ilvl="8" w:tplc="0950C562" w:tentative="1">
      <w:start w:val="1"/>
      <w:numFmt w:val="bullet"/>
      <w:lvlText w:val="•"/>
      <w:lvlJc w:val="left"/>
      <w:pPr>
        <w:tabs>
          <w:tab w:val="num" w:pos="6480"/>
        </w:tabs>
        <w:ind w:left="6480" w:hanging="360"/>
      </w:pPr>
      <w:rPr>
        <w:rFonts w:ascii="Arial" w:hAnsi="Arial" w:hint="default"/>
      </w:rPr>
    </w:lvl>
  </w:abstractNum>
  <w:abstractNum w:abstractNumId="4">
    <w:nsid w:val="1AE45FF1"/>
    <w:multiLevelType w:val="hybridMultilevel"/>
    <w:tmpl w:val="3C5ADB3E"/>
    <w:lvl w:ilvl="0" w:tplc="C918347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B528B8"/>
    <w:multiLevelType w:val="hybridMultilevel"/>
    <w:tmpl w:val="DB82C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1D4F2B"/>
    <w:multiLevelType w:val="hybridMultilevel"/>
    <w:tmpl w:val="50F414AA"/>
    <w:lvl w:ilvl="0" w:tplc="A1DCE5EC">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104D1C"/>
    <w:multiLevelType w:val="hybridMultilevel"/>
    <w:tmpl w:val="E780B892"/>
    <w:lvl w:ilvl="0" w:tplc="EA5A0B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3A4626"/>
    <w:multiLevelType w:val="hybridMultilevel"/>
    <w:tmpl w:val="E0E8E3F8"/>
    <w:lvl w:ilvl="0" w:tplc="67E090CE">
      <w:start w:val="1"/>
      <w:numFmt w:val="bullet"/>
      <w:lvlText w:val="•"/>
      <w:lvlJc w:val="left"/>
      <w:pPr>
        <w:tabs>
          <w:tab w:val="num" w:pos="720"/>
        </w:tabs>
        <w:ind w:left="720" w:hanging="360"/>
      </w:pPr>
      <w:rPr>
        <w:rFonts w:ascii="Arial" w:hAnsi="Arial" w:hint="default"/>
      </w:rPr>
    </w:lvl>
    <w:lvl w:ilvl="1" w:tplc="C76C350C">
      <w:start w:val="43"/>
      <w:numFmt w:val="bullet"/>
      <w:lvlText w:val="–"/>
      <w:lvlJc w:val="left"/>
      <w:pPr>
        <w:tabs>
          <w:tab w:val="num" w:pos="1440"/>
        </w:tabs>
        <w:ind w:left="1440" w:hanging="360"/>
      </w:pPr>
      <w:rPr>
        <w:rFonts w:ascii="Arial" w:hAnsi="Arial" w:hint="default"/>
      </w:rPr>
    </w:lvl>
    <w:lvl w:ilvl="2" w:tplc="5EBA9CDE" w:tentative="1">
      <w:start w:val="1"/>
      <w:numFmt w:val="bullet"/>
      <w:lvlText w:val="•"/>
      <w:lvlJc w:val="left"/>
      <w:pPr>
        <w:tabs>
          <w:tab w:val="num" w:pos="2160"/>
        </w:tabs>
        <w:ind w:left="2160" w:hanging="360"/>
      </w:pPr>
      <w:rPr>
        <w:rFonts w:ascii="Arial" w:hAnsi="Arial" w:hint="default"/>
      </w:rPr>
    </w:lvl>
    <w:lvl w:ilvl="3" w:tplc="796CB232" w:tentative="1">
      <w:start w:val="1"/>
      <w:numFmt w:val="bullet"/>
      <w:lvlText w:val="•"/>
      <w:lvlJc w:val="left"/>
      <w:pPr>
        <w:tabs>
          <w:tab w:val="num" w:pos="2880"/>
        </w:tabs>
        <w:ind w:left="2880" w:hanging="360"/>
      </w:pPr>
      <w:rPr>
        <w:rFonts w:ascii="Arial" w:hAnsi="Arial" w:hint="default"/>
      </w:rPr>
    </w:lvl>
    <w:lvl w:ilvl="4" w:tplc="C060AE50" w:tentative="1">
      <w:start w:val="1"/>
      <w:numFmt w:val="bullet"/>
      <w:lvlText w:val="•"/>
      <w:lvlJc w:val="left"/>
      <w:pPr>
        <w:tabs>
          <w:tab w:val="num" w:pos="3600"/>
        </w:tabs>
        <w:ind w:left="3600" w:hanging="360"/>
      </w:pPr>
      <w:rPr>
        <w:rFonts w:ascii="Arial" w:hAnsi="Arial" w:hint="default"/>
      </w:rPr>
    </w:lvl>
    <w:lvl w:ilvl="5" w:tplc="DDB02784" w:tentative="1">
      <w:start w:val="1"/>
      <w:numFmt w:val="bullet"/>
      <w:lvlText w:val="•"/>
      <w:lvlJc w:val="left"/>
      <w:pPr>
        <w:tabs>
          <w:tab w:val="num" w:pos="4320"/>
        </w:tabs>
        <w:ind w:left="4320" w:hanging="360"/>
      </w:pPr>
      <w:rPr>
        <w:rFonts w:ascii="Arial" w:hAnsi="Arial" w:hint="default"/>
      </w:rPr>
    </w:lvl>
    <w:lvl w:ilvl="6" w:tplc="46C4341C" w:tentative="1">
      <w:start w:val="1"/>
      <w:numFmt w:val="bullet"/>
      <w:lvlText w:val="•"/>
      <w:lvlJc w:val="left"/>
      <w:pPr>
        <w:tabs>
          <w:tab w:val="num" w:pos="5040"/>
        </w:tabs>
        <w:ind w:left="5040" w:hanging="360"/>
      </w:pPr>
      <w:rPr>
        <w:rFonts w:ascii="Arial" w:hAnsi="Arial" w:hint="default"/>
      </w:rPr>
    </w:lvl>
    <w:lvl w:ilvl="7" w:tplc="8A02E2AE" w:tentative="1">
      <w:start w:val="1"/>
      <w:numFmt w:val="bullet"/>
      <w:lvlText w:val="•"/>
      <w:lvlJc w:val="left"/>
      <w:pPr>
        <w:tabs>
          <w:tab w:val="num" w:pos="5760"/>
        </w:tabs>
        <w:ind w:left="5760" w:hanging="360"/>
      </w:pPr>
      <w:rPr>
        <w:rFonts w:ascii="Arial" w:hAnsi="Arial" w:hint="default"/>
      </w:rPr>
    </w:lvl>
    <w:lvl w:ilvl="8" w:tplc="CF3488D2" w:tentative="1">
      <w:start w:val="1"/>
      <w:numFmt w:val="bullet"/>
      <w:lvlText w:val="•"/>
      <w:lvlJc w:val="left"/>
      <w:pPr>
        <w:tabs>
          <w:tab w:val="num" w:pos="6480"/>
        </w:tabs>
        <w:ind w:left="6480" w:hanging="360"/>
      </w:pPr>
      <w:rPr>
        <w:rFonts w:ascii="Arial" w:hAnsi="Arial" w:hint="default"/>
      </w:rPr>
    </w:lvl>
  </w:abstractNum>
  <w:abstractNum w:abstractNumId="9">
    <w:nsid w:val="2AD432AF"/>
    <w:multiLevelType w:val="hybridMultilevel"/>
    <w:tmpl w:val="612C4CC0"/>
    <w:lvl w:ilvl="0" w:tplc="C918347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B249B5"/>
    <w:multiLevelType w:val="hybridMultilevel"/>
    <w:tmpl w:val="C5BC3382"/>
    <w:lvl w:ilvl="0" w:tplc="EA5A0B3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7346E9"/>
    <w:multiLevelType w:val="hybridMultilevel"/>
    <w:tmpl w:val="25707E6A"/>
    <w:lvl w:ilvl="0" w:tplc="42A6275C">
      <w:start w:val="1"/>
      <w:numFmt w:val="bullet"/>
      <w:lvlText w:val="•"/>
      <w:lvlJc w:val="left"/>
      <w:pPr>
        <w:tabs>
          <w:tab w:val="num" w:pos="720"/>
        </w:tabs>
        <w:ind w:left="720" w:hanging="360"/>
      </w:pPr>
      <w:rPr>
        <w:rFonts w:ascii="Arial" w:hAnsi="Arial" w:hint="default"/>
      </w:rPr>
    </w:lvl>
    <w:lvl w:ilvl="1" w:tplc="457C1826">
      <w:start w:val="57"/>
      <w:numFmt w:val="bullet"/>
      <w:lvlText w:val="–"/>
      <w:lvlJc w:val="left"/>
      <w:pPr>
        <w:tabs>
          <w:tab w:val="num" w:pos="1440"/>
        </w:tabs>
        <w:ind w:left="1440" w:hanging="360"/>
      </w:pPr>
      <w:rPr>
        <w:rFonts w:ascii="Arial" w:hAnsi="Arial" w:hint="default"/>
      </w:rPr>
    </w:lvl>
    <w:lvl w:ilvl="2" w:tplc="B16AB812" w:tentative="1">
      <w:start w:val="1"/>
      <w:numFmt w:val="bullet"/>
      <w:lvlText w:val="•"/>
      <w:lvlJc w:val="left"/>
      <w:pPr>
        <w:tabs>
          <w:tab w:val="num" w:pos="2160"/>
        </w:tabs>
        <w:ind w:left="2160" w:hanging="360"/>
      </w:pPr>
      <w:rPr>
        <w:rFonts w:ascii="Arial" w:hAnsi="Arial" w:hint="default"/>
      </w:rPr>
    </w:lvl>
    <w:lvl w:ilvl="3" w:tplc="07C8D70E" w:tentative="1">
      <w:start w:val="1"/>
      <w:numFmt w:val="bullet"/>
      <w:lvlText w:val="•"/>
      <w:lvlJc w:val="left"/>
      <w:pPr>
        <w:tabs>
          <w:tab w:val="num" w:pos="2880"/>
        </w:tabs>
        <w:ind w:left="2880" w:hanging="360"/>
      </w:pPr>
      <w:rPr>
        <w:rFonts w:ascii="Arial" w:hAnsi="Arial" w:hint="default"/>
      </w:rPr>
    </w:lvl>
    <w:lvl w:ilvl="4" w:tplc="B06832DA" w:tentative="1">
      <w:start w:val="1"/>
      <w:numFmt w:val="bullet"/>
      <w:lvlText w:val="•"/>
      <w:lvlJc w:val="left"/>
      <w:pPr>
        <w:tabs>
          <w:tab w:val="num" w:pos="3600"/>
        </w:tabs>
        <w:ind w:left="3600" w:hanging="360"/>
      </w:pPr>
      <w:rPr>
        <w:rFonts w:ascii="Arial" w:hAnsi="Arial" w:hint="default"/>
      </w:rPr>
    </w:lvl>
    <w:lvl w:ilvl="5" w:tplc="238E89E0" w:tentative="1">
      <w:start w:val="1"/>
      <w:numFmt w:val="bullet"/>
      <w:lvlText w:val="•"/>
      <w:lvlJc w:val="left"/>
      <w:pPr>
        <w:tabs>
          <w:tab w:val="num" w:pos="4320"/>
        </w:tabs>
        <w:ind w:left="4320" w:hanging="360"/>
      </w:pPr>
      <w:rPr>
        <w:rFonts w:ascii="Arial" w:hAnsi="Arial" w:hint="default"/>
      </w:rPr>
    </w:lvl>
    <w:lvl w:ilvl="6" w:tplc="BAF61D78" w:tentative="1">
      <w:start w:val="1"/>
      <w:numFmt w:val="bullet"/>
      <w:lvlText w:val="•"/>
      <w:lvlJc w:val="left"/>
      <w:pPr>
        <w:tabs>
          <w:tab w:val="num" w:pos="5040"/>
        </w:tabs>
        <w:ind w:left="5040" w:hanging="360"/>
      </w:pPr>
      <w:rPr>
        <w:rFonts w:ascii="Arial" w:hAnsi="Arial" w:hint="default"/>
      </w:rPr>
    </w:lvl>
    <w:lvl w:ilvl="7" w:tplc="C39CC404" w:tentative="1">
      <w:start w:val="1"/>
      <w:numFmt w:val="bullet"/>
      <w:lvlText w:val="•"/>
      <w:lvlJc w:val="left"/>
      <w:pPr>
        <w:tabs>
          <w:tab w:val="num" w:pos="5760"/>
        </w:tabs>
        <w:ind w:left="5760" w:hanging="360"/>
      </w:pPr>
      <w:rPr>
        <w:rFonts w:ascii="Arial" w:hAnsi="Arial" w:hint="default"/>
      </w:rPr>
    </w:lvl>
    <w:lvl w:ilvl="8" w:tplc="4B72AF96" w:tentative="1">
      <w:start w:val="1"/>
      <w:numFmt w:val="bullet"/>
      <w:lvlText w:val="•"/>
      <w:lvlJc w:val="left"/>
      <w:pPr>
        <w:tabs>
          <w:tab w:val="num" w:pos="6480"/>
        </w:tabs>
        <w:ind w:left="6480" w:hanging="360"/>
      </w:pPr>
      <w:rPr>
        <w:rFonts w:ascii="Arial" w:hAnsi="Arial" w:hint="default"/>
      </w:rPr>
    </w:lvl>
  </w:abstractNum>
  <w:abstractNum w:abstractNumId="12">
    <w:nsid w:val="40A36F0C"/>
    <w:multiLevelType w:val="hybridMultilevel"/>
    <w:tmpl w:val="3D16E6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D754E1"/>
    <w:multiLevelType w:val="hybridMultilevel"/>
    <w:tmpl w:val="03AA0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2D278F"/>
    <w:multiLevelType w:val="hybridMultilevel"/>
    <w:tmpl w:val="B3BE062A"/>
    <w:lvl w:ilvl="0" w:tplc="EA5A0B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4F47B4"/>
    <w:multiLevelType w:val="hybridMultilevel"/>
    <w:tmpl w:val="F3943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A3461D"/>
    <w:multiLevelType w:val="hybridMultilevel"/>
    <w:tmpl w:val="13DA0622"/>
    <w:lvl w:ilvl="0" w:tplc="C8A4B66A">
      <w:start w:val="1"/>
      <w:numFmt w:val="bullet"/>
      <w:lvlText w:val="•"/>
      <w:lvlJc w:val="left"/>
      <w:pPr>
        <w:tabs>
          <w:tab w:val="num" w:pos="720"/>
        </w:tabs>
        <w:ind w:left="720" w:hanging="360"/>
      </w:pPr>
      <w:rPr>
        <w:rFonts w:ascii="Arial" w:hAnsi="Arial" w:hint="default"/>
      </w:rPr>
    </w:lvl>
    <w:lvl w:ilvl="1" w:tplc="860845C0">
      <w:start w:val="57"/>
      <w:numFmt w:val="bullet"/>
      <w:lvlText w:val="–"/>
      <w:lvlJc w:val="left"/>
      <w:pPr>
        <w:tabs>
          <w:tab w:val="num" w:pos="1440"/>
        </w:tabs>
        <w:ind w:left="1440" w:hanging="360"/>
      </w:pPr>
      <w:rPr>
        <w:rFonts w:ascii="Arial" w:hAnsi="Arial" w:hint="default"/>
      </w:rPr>
    </w:lvl>
    <w:lvl w:ilvl="2" w:tplc="272AC0C2" w:tentative="1">
      <w:start w:val="1"/>
      <w:numFmt w:val="bullet"/>
      <w:lvlText w:val="•"/>
      <w:lvlJc w:val="left"/>
      <w:pPr>
        <w:tabs>
          <w:tab w:val="num" w:pos="2160"/>
        </w:tabs>
        <w:ind w:left="2160" w:hanging="360"/>
      </w:pPr>
      <w:rPr>
        <w:rFonts w:ascii="Arial" w:hAnsi="Arial" w:hint="default"/>
      </w:rPr>
    </w:lvl>
    <w:lvl w:ilvl="3" w:tplc="556C8E18" w:tentative="1">
      <w:start w:val="1"/>
      <w:numFmt w:val="bullet"/>
      <w:lvlText w:val="•"/>
      <w:lvlJc w:val="left"/>
      <w:pPr>
        <w:tabs>
          <w:tab w:val="num" w:pos="2880"/>
        </w:tabs>
        <w:ind w:left="2880" w:hanging="360"/>
      </w:pPr>
      <w:rPr>
        <w:rFonts w:ascii="Arial" w:hAnsi="Arial" w:hint="default"/>
      </w:rPr>
    </w:lvl>
    <w:lvl w:ilvl="4" w:tplc="A6B04318" w:tentative="1">
      <w:start w:val="1"/>
      <w:numFmt w:val="bullet"/>
      <w:lvlText w:val="•"/>
      <w:lvlJc w:val="left"/>
      <w:pPr>
        <w:tabs>
          <w:tab w:val="num" w:pos="3600"/>
        </w:tabs>
        <w:ind w:left="3600" w:hanging="360"/>
      </w:pPr>
      <w:rPr>
        <w:rFonts w:ascii="Arial" w:hAnsi="Arial" w:hint="default"/>
      </w:rPr>
    </w:lvl>
    <w:lvl w:ilvl="5" w:tplc="7AD2318A" w:tentative="1">
      <w:start w:val="1"/>
      <w:numFmt w:val="bullet"/>
      <w:lvlText w:val="•"/>
      <w:lvlJc w:val="left"/>
      <w:pPr>
        <w:tabs>
          <w:tab w:val="num" w:pos="4320"/>
        </w:tabs>
        <w:ind w:left="4320" w:hanging="360"/>
      </w:pPr>
      <w:rPr>
        <w:rFonts w:ascii="Arial" w:hAnsi="Arial" w:hint="default"/>
      </w:rPr>
    </w:lvl>
    <w:lvl w:ilvl="6" w:tplc="F86E489E" w:tentative="1">
      <w:start w:val="1"/>
      <w:numFmt w:val="bullet"/>
      <w:lvlText w:val="•"/>
      <w:lvlJc w:val="left"/>
      <w:pPr>
        <w:tabs>
          <w:tab w:val="num" w:pos="5040"/>
        </w:tabs>
        <w:ind w:left="5040" w:hanging="360"/>
      </w:pPr>
      <w:rPr>
        <w:rFonts w:ascii="Arial" w:hAnsi="Arial" w:hint="default"/>
      </w:rPr>
    </w:lvl>
    <w:lvl w:ilvl="7" w:tplc="469E78A8" w:tentative="1">
      <w:start w:val="1"/>
      <w:numFmt w:val="bullet"/>
      <w:lvlText w:val="•"/>
      <w:lvlJc w:val="left"/>
      <w:pPr>
        <w:tabs>
          <w:tab w:val="num" w:pos="5760"/>
        </w:tabs>
        <w:ind w:left="5760" w:hanging="360"/>
      </w:pPr>
      <w:rPr>
        <w:rFonts w:ascii="Arial" w:hAnsi="Arial" w:hint="default"/>
      </w:rPr>
    </w:lvl>
    <w:lvl w:ilvl="8" w:tplc="2B1C51B0" w:tentative="1">
      <w:start w:val="1"/>
      <w:numFmt w:val="bullet"/>
      <w:lvlText w:val="•"/>
      <w:lvlJc w:val="left"/>
      <w:pPr>
        <w:tabs>
          <w:tab w:val="num" w:pos="6480"/>
        </w:tabs>
        <w:ind w:left="6480" w:hanging="360"/>
      </w:pPr>
      <w:rPr>
        <w:rFonts w:ascii="Arial" w:hAnsi="Arial" w:hint="default"/>
      </w:rPr>
    </w:lvl>
  </w:abstractNum>
  <w:abstractNum w:abstractNumId="17">
    <w:nsid w:val="53ED6D4E"/>
    <w:multiLevelType w:val="hybridMultilevel"/>
    <w:tmpl w:val="4CA61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3F4FA3"/>
    <w:multiLevelType w:val="hybridMultilevel"/>
    <w:tmpl w:val="9E686D5C"/>
    <w:lvl w:ilvl="0" w:tplc="DC6E111C">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FE01F5"/>
    <w:multiLevelType w:val="hybridMultilevel"/>
    <w:tmpl w:val="4E301BC0"/>
    <w:lvl w:ilvl="0" w:tplc="0409000F">
      <w:start w:val="1"/>
      <w:numFmt w:val="decimal"/>
      <w:lvlText w:val="%1."/>
      <w:lvlJc w:val="left"/>
      <w:pPr>
        <w:ind w:left="720" w:hanging="360"/>
      </w:pPr>
      <w:rPr>
        <w:rFonts w:hint="default"/>
      </w:rPr>
    </w:lvl>
    <w:lvl w:ilvl="1" w:tplc="EA5A0B3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6B7A08"/>
    <w:multiLevelType w:val="hybridMultilevel"/>
    <w:tmpl w:val="A6081756"/>
    <w:lvl w:ilvl="0" w:tplc="EA5A0B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8707A9"/>
    <w:multiLevelType w:val="hybridMultilevel"/>
    <w:tmpl w:val="F56028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94436E"/>
    <w:multiLevelType w:val="hybridMultilevel"/>
    <w:tmpl w:val="EAEAB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E02BA7"/>
    <w:multiLevelType w:val="hybridMultilevel"/>
    <w:tmpl w:val="CC741256"/>
    <w:lvl w:ilvl="0" w:tplc="C8DC4994">
      <w:start w:val="1"/>
      <w:numFmt w:val="bullet"/>
      <w:lvlText w:val="•"/>
      <w:lvlJc w:val="left"/>
      <w:pPr>
        <w:tabs>
          <w:tab w:val="num" w:pos="720"/>
        </w:tabs>
        <w:ind w:left="720" w:hanging="360"/>
      </w:pPr>
      <w:rPr>
        <w:rFonts w:ascii="Arial" w:hAnsi="Arial" w:hint="default"/>
      </w:rPr>
    </w:lvl>
    <w:lvl w:ilvl="1" w:tplc="11D21E1E">
      <w:start w:val="57"/>
      <w:numFmt w:val="bullet"/>
      <w:lvlText w:val="–"/>
      <w:lvlJc w:val="left"/>
      <w:pPr>
        <w:tabs>
          <w:tab w:val="num" w:pos="1440"/>
        </w:tabs>
        <w:ind w:left="1440" w:hanging="360"/>
      </w:pPr>
      <w:rPr>
        <w:rFonts w:ascii="Arial" w:hAnsi="Arial" w:hint="default"/>
      </w:rPr>
    </w:lvl>
    <w:lvl w:ilvl="2" w:tplc="E370DFD4" w:tentative="1">
      <w:start w:val="1"/>
      <w:numFmt w:val="bullet"/>
      <w:lvlText w:val="•"/>
      <w:lvlJc w:val="left"/>
      <w:pPr>
        <w:tabs>
          <w:tab w:val="num" w:pos="2160"/>
        </w:tabs>
        <w:ind w:left="2160" w:hanging="360"/>
      </w:pPr>
      <w:rPr>
        <w:rFonts w:ascii="Arial" w:hAnsi="Arial" w:hint="default"/>
      </w:rPr>
    </w:lvl>
    <w:lvl w:ilvl="3" w:tplc="4E94F2E4" w:tentative="1">
      <w:start w:val="1"/>
      <w:numFmt w:val="bullet"/>
      <w:lvlText w:val="•"/>
      <w:lvlJc w:val="left"/>
      <w:pPr>
        <w:tabs>
          <w:tab w:val="num" w:pos="2880"/>
        </w:tabs>
        <w:ind w:left="2880" w:hanging="360"/>
      </w:pPr>
      <w:rPr>
        <w:rFonts w:ascii="Arial" w:hAnsi="Arial" w:hint="default"/>
      </w:rPr>
    </w:lvl>
    <w:lvl w:ilvl="4" w:tplc="AF0254DC" w:tentative="1">
      <w:start w:val="1"/>
      <w:numFmt w:val="bullet"/>
      <w:lvlText w:val="•"/>
      <w:lvlJc w:val="left"/>
      <w:pPr>
        <w:tabs>
          <w:tab w:val="num" w:pos="3600"/>
        </w:tabs>
        <w:ind w:left="3600" w:hanging="360"/>
      </w:pPr>
      <w:rPr>
        <w:rFonts w:ascii="Arial" w:hAnsi="Arial" w:hint="default"/>
      </w:rPr>
    </w:lvl>
    <w:lvl w:ilvl="5" w:tplc="175227E8" w:tentative="1">
      <w:start w:val="1"/>
      <w:numFmt w:val="bullet"/>
      <w:lvlText w:val="•"/>
      <w:lvlJc w:val="left"/>
      <w:pPr>
        <w:tabs>
          <w:tab w:val="num" w:pos="4320"/>
        </w:tabs>
        <w:ind w:left="4320" w:hanging="360"/>
      </w:pPr>
      <w:rPr>
        <w:rFonts w:ascii="Arial" w:hAnsi="Arial" w:hint="default"/>
      </w:rPr>
    </w:lvl>
    <w:lvl w:ilvl="6" w:tplc="38907476" w:tentative="1">
      <w:start w:val="1"/>
      <w:numFmt w:val="bullet"/>
      <w:lvlText w:val="•"/>
      <w:lvlJc w:val="left"/>
      <w:pPr>
        <w:tabs>
          <w:tab w:val="num" w:pos="5040"/>
        </w:tabs>
        <w:ind w:left="5040" w:hanging="360"/>
      </w:pPr>
      <w:rPr>
        <w:rFonts w:ascii="Arial" w:hAnsi="Arial" w:hint="default"/>
      </w:rPr>
    </w:lvl>
    <w:lvl w:ilvl="7" w:tplc="482872C4" w:tentative="1">
      <w:start w:val="1"/>
      <w:numFmt w:val="bullet"/>
      <w:lvlText w:val="•"/>
      <w:lvlJc w:val="left"/>
      <w:pPr>
        <w:tabs>
          <w:tab w:val="num" w:pos="5760"/>
        </w:tabs>
        <w:ind w:left="5760" w:hanging="360"/>
      </w:pPr>
      <w:rPr>
        <w:rFonts w:ascii="Arial" w:hAnsi="Arial" w:hint="default"/>
      </w:rPr>
    </w:lvl>
    <w:lvl w:ilvl="8" w:tplc="69ECF00A" w:tentative="1">
      <w:start w:val="1"/>
      <w:numFmt w:val="bullet"/>
      <w:lvlText w:val="•"/>
      <w:lvlJc w:val="left"/>
      <w:pPr>
        <w:tabs>
          <w:tab w:val="num" w:pos="6480"/>
        </w:tabs>
        <w:ind w:left="6480" w:hanging="360"/>
      </w:pPr>
      <w:rPr>
        <w:rFonts w:ascii="Arial" w:hAnsi="Arial" w:hint="default"/>
      </w:rPr>
    </w:lvl>
  </w:abstractNum>
  <w:abstractNum w:abstractNumId="24">
    <w:nsid w:val="7FC57618"/>
    <w:multiLevelType w:val="hybridMultilevel"/>
    <w:tmpl w:val="A078AC1C"/>
    <w:lvl w:ilvl="0" w:tplc="EA5A0B3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1"/>
  </w:num>
  <w:num w:numId="3">
    <w:abstractNumId w:val="22"/>
  </w:num>
  <w:num w:numId="4">
    <w:abstractNumId w:val="2"/>
  </w:num>
  <w:num w:numId="5">
    <w:abstractNumId w:val="15"/>
  </w:num>
  <w:num w:numId="6">
    <w:abstractNumId w:val="3"/>
  </w:num>
  <w:num w:numId="7">
    <w:abstractNumId w:val="23"/>
  </w:num>
  <w:num w:numId="8">
    <w:abstractNumId w:val="11"/>
  </w:num>
  <w:num w:numId="9">
    <w:abstractNumId w:val="0"/>
  </w:num>
  <w:num w:numId="10">
    <w:abstractNumId w:val="16"/>
  </w:num>
  <w:num w:numId="11">
    <w:abstractNumId w:val="12"/>
  </w:num>
  <w:num w:numId="12">
    <w:abstractNumId w:val="17"/>
  </w:num>
  <w:num w:numId="13">
    <w:abstractNumId w:val="19"/>
  </w:num>
  <w:num w:numId="14">
    <w:abstractNumId w:val="10"/>
  </w:num>
  <w:num w:numId="15">
    <w:abstractNumId w:val="24"/>
  </w:num>
  <w:num w:numId="16">
    <w:abstractNumId w:val="5"/>
  </w:num>
  <w:num w:numId="17">
    <w:abstractNumId w:val="7"/>
  </w:num>
  <w:num w:numId="18">
    <w:abstractNumId w:val="14"/>
  </w:num>
  <w:num w:numId="19">
    <w:abstractNumId w:val="20"/>
  </w:num>
  <w:num w:numId="20">
    <w:abstractNumId w:val="13"/>
  </w:num>
  <w:num w:numId="21">
    <w:abstractNumId w:val="18"/>
  </w:num>
  <w:num w:numId="22">
    <w:abstractNumId w:val="4"/>
  </w:num>
  <w:num w:numId="23">
    <w:abstractNumId w:val="9"/>
  </w:num>
  <w:num w:numId="24">
    <w:abstractNumId w:val="8"/>
  </w:num>
  <w:num w:numId="2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McDonald">
    <w15:presenceInfo w15:providerId="Windows Live" w15:userId="2cf09a28f6a7e8d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02DE"/>
    <w:rsid w:val="00073F20"/>
    <w:rsid w:val="001A0AB5"/>
    <w:rsid w:val="00206DA1"/>
    <w:rsid w:val="00233396"/>
    <w:rsid w:val="00241A33"/>
    <w:rsid w:val="00286BEF"/>
    <w:rsid w:val="002A38F2"/>
    <w:rsid w:val="002A3F51"/>
    <w:rsid w:val="00303B81"/>
    <w:rsid w:val="00320DEA"/>
    <w:rsid w:val="0034081A"/>
    <w:rsid w:val="003554B9"/>
    <w:rsid w:val="003B75EC"/>
    <w:rsid w:val="003F31F3"/>
    <w:rsid w:val="004C013C"/>
    <w:rsid w:val="004C0C46"/>
    <w:rsid w:val="0051614D"/>
    <w:rsid w:val="00523B60"/>
    <w:rsid w:val="00544116"/>
    <w:rsid w:val="0058183C"/>
    <w:rsid w:val="005A284C"/>
    <w:rsid w:val="005A6671"/>
    <w:rsid w:val="005D53B7"/>
    <w:rsid w:val="005F5A13"/>
    <w:rsid w:val="00624669"/>
    <w:rsid w:val="00635128"/>
    <w:rsid w:val="006B1A3E"/>
    <w:rsid w:val="007477FF"/>
    <w:rsid w:val="00764A76"/>
    <w:rsid w:val="007D25BC"/>
    <w:rsid w:val="00805296"/>
    <w:rsid w:val="00845C19"/>
    <w:rsid w:val="008723E2"/>
    <w:rsid w:val="00873C89"/>
    <w:rsid w:val="008B0863"/>
    <w:rsid w:val="009323C3"/>
    <w:rsid w:val="009D548E"/>
    <w:rsid w:val="00A54E41"/>
    <w:rsid w:val="00AA7FC4"/>
    <w:rsid w:val="00AB02DE"/>
    <w:rsid w:val="00AD7F84"/>
    <w:rsid w:val="00AE26E9"/>
    <w:rsid w:val="00B612E3"/>
    <w:rsid w:val="00BA21F6"/>
    <w:rsid w:val="00BD5ABE"/>
    <w:rsid w:val="00C33C65"/>
    <w:rsid w:val="00C909E6"/>
    <w:rsid w:val="00D3412A"/>
    <w:rsid w:val="00D4788F"/>
    <w:rsid w:val="00DA744F"/>
    <w:rsid w:val="00DD2E17"/>
    <w:rsid w:val="00DF773A"/>
    <w:rsid w:val="00E558A0"/>
    <w:rsid w:val="00E7532B"/>
    <w:rsid w:val="00E84731"/>
    <w:rsid w:val="00E91E17"/>
    <w:rsid w:val="00ED529B"/>
    <w:rsid w:val="00ED6498"/>
    <w:rsid w:val="00F6145A"/>
    <w:rsid w:val="00F83BBC"/>
    <w:rsid w:val="00FB0CF3"/>
    <w:rsid w:val="00FC1D2D"/>
    <w:rsid w:val="00FD3040"/>
    <w:rsid w:val="00FD5646"/>
    <w:rsid w:val="00FE23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8A0"/>
    <w:rPr>
      <w:rFonts w:ascii="Times New Roman" w:hAnsi="Times New Roman"/>
      <w:sz w:val="24"/>
    </w:rPr>
  </w:style>
  <w:style w:type="paragraph" w:styleId="Heading1">
    <w:name w:val="heading 1"/>
    <w:basedOn w:val="Normal"/>
    <w:next w:val="Normal"/>
    <w:link w:val="Heading1Char"/>
    <w:uiPriority w:val="9"/>
    <w:qFormat/>
    <w:rsid w:val="00AD7F84"/>
    <w:pPr>
      <w:keepNext/>
      <w:spacing w:before="240" w:after="160" w:line="252" w:lineRule="auto"/>
      <w:ind w:left="432" w:hanging="432"/>
      <w:jc w:val="both"/>
      <w:outlineLvl w:val="0"/>
    </w:pPr>
    <w:rPr>
      <w:rFonts w:asciiTheme="minorHAnsi" w:eastAsiaTheme="majorEastAsia" w:hAnsiTheme="minorHAnsi" w:cstheme="majorBidi"/>
      <w:b/>
      <w:sz w:val="28"/>
      <w:szCs w:val="32"/>
    </w:rPr>
  </w:style>
  <w:style w:type="paragraph" w:styleId="Heading2">
    <w:name w:val="heading 2"/>
    <w:basedOn w:val="Normal"/>
    <w:next w:val="Normal"/>
    <w:link w:val="Heading2Char"/>
    <w:uiPriority w:val="9"/>
    <w:unhideWhenUsed/>
    <w:qFormat/>
    <w:rsid w:val="00AD7F84"/>
    <w:pPr>
      <w:spacing w:after="160" w:line="360" w:lineRule="auto"/>
      <w:ind w:left="576" w:hanging="576"/>
      <w:jc w:val="both"/>
      <w:outlineLvl w:val="1"/>
    </w:pPr>
    <w:rPr>
      <w:rFonts w:asciiTheme="minorHAnsi" w:eastAsiaTheme="majorEastAsia" w:hAnsiTheme="minorHAnsi" w:cstheme="majorBidi"/>
      <w:b/>
      <w:sz w:val="28"/>
      <w:szCs w:val="28"/>
    </w:rPr>
  </w:style>
  <w:style w:type="paragraph" w:styleId="Heading3">
    <w:name w:val="heading 3"/>
    <w:aliases w:val="Title 3"/>
    <w:basedOn w:val="Normal"/>
    <w:next w:val="Normal"/>
    <w:link w:val="Heading3Char"/>
    <w:uiPriority w:val="9"/>
    <w:qFormat/>
    <w:rsid w:val="00BA21F6"/>
    <w:pPr>
      <w:keepNext/>
      <w:spacing w:before="240" w:after="120" w:line="480" w:lineRule="auto"/>
      <w:ind w:right="1134"/>
      <w:outlineLvl w:val="2"/>
    </w:pPr>
    <w:rPr>
      <w:rFonts w:eastAsia="Times New Roman" w:cs="Times New Roman"/>
      <w:b/>
      <w:sz w:val="28"/>
      <w:szCs w:val="20"/>
    </w:rPr>
  </w:style>
  <w:style w:type="paragraph" w:styleId="Heading4">
    <w:name w:val="heading 4"/>
    <w:aliases w:val="Title 4"/>
    <w:basedOn w:val="Normal"/>
    <w:next w:val="Normal"/>
    <w:link w:val="Heading4Char"/>
    <w:qFormat/>
    <w:rsid w:val="00BA21F6"/>
    <w:pPr>
      <w:keepNext/>
      <w:spacing w:before="120" w:after="120" w:line="360" w:lineRule="auto"/>
      <w:outlineLvl w:val="3"/>
    </w:pPr>
    <w:rPr>
      <w:rFonts w:eastAsia="Times New Roman" w:cs="Times New Roman"/>
      <w:szCs w:val="20"/>
      <w:u w:val="single"/>
    </w:rPr>
  </w:style>
  <w:style w:type="paragraph" w:styleId="Heading5">
    <w:name w:val="heading 5"/>
    <w:basedOn w:val="Normal"/>
    <w:next w:val="Normal"/>
    <w:link w:val="Heading5Char"/>
    <w:uiPriority w:val="9"/>
    <w:qFormat/>
    <w:rsid w:val="00BA21F6"/>
    <w:pPr>
      <w:keepNext/>
      <w:spacing w:before="240" w:after="60" w:line="240" w:lineRule="auto"/>
      <w:outlineLvl w:val="4"/>
    </w:pPr>
    <w:rPr>
      <w:rFonts w:eastAsia="Times New Roman" w:cs="Times New Roman"/>
      <w:i/>
      <w:szCs w:val="20"/>
    </w:rPr>
  </w:style>
  <w:style w:type="paragraph" w:styleId="Heading6">
    <w:name w:val="heading 6"/>
    <w:basedOn w:val="Normal"/>
    <w:next w:val="Normal"/>
    <w:link w:val="Heading6Char"/>
    <w:uiPriority w:val="9"/>
    <w:unhideWhenUsed/>
    <w:qFormat/>
    <w:rsid w:val="00BA21F6"/>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D7F84"/>
    <w:pPr>
      <w:keepNext/>
      <w:keepLines/>
      <w:spacing w:before="40" w:after="0" w:line="252" w:lineRule="auto"/>
      <w:ind w:left="1296" w:hanging="1296"/>
      <w:jc w:val="both"/>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D7F84"/>
    <w:pPr>
      <w:keepNext/>
      <w:keepLines/>
      <w:spacing w:before="40" w:after="0" w:line="252" w:lineRule="auto"/>
      <w:ind w:left="1440" w:hanging="1440"/>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D7F84"/>
    <w:pPr>
      <w:keepNext/>
      <w:keepLines/>
      <w:numPr>
        <w:ilvl w:val="8"/>
        <w:numId w:val="1"/>
      </w:numPr>
      <w:spacing w:before="40" w:after="0" w:line="252"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Title 3 Char"/>
    <w:basedOn w:val="DefaultParagraphFont"/>
    <w:link w:val="Heading3"/>
    <w:uiPriority w:val="9"/>
    <w:rsid w:val="00BA21F6"/>
    <w:rPr>
      <w:rFonts w:ascii="Times New Roman" w:eastAsia="Times New Roman" w:hAnsi="Times New Roman" w:cs="Times New Roman"/>
      <w:b/>
      <w:sz w:val="28"/>
      <w:szCs w:val="20"/>
    </w:rPr>
  </w:style>
  <w:style w:type="character" w:customStyle="1" w:styleId="Heading4Char">
    <w:name w:val="Heading 4 Char"/>
    <w:aliases w:val="Title 4 Char"/>
    <w:basedOn w:val="DefaultParagraphFont"/>
    <w:link w:val="Heading4"/>
    <w:rsid w:val="00BA21F6"/>
    <w:rPr>
      <w:rFonts w:ascii="Times New Roman" w:eastAsia="Times New Roman" w:hAnsi="Times New Roman" w:cs="Times New Roman"/>
      <w:sz w:val="24"/>
      <w:szCs w:val="20"/>
      <w:u w:val="single"/>
    </w:rPr>
  </w:style>
  <w:style w:type="character" w:customStyle="1" w:styleId="Heading5Char">
    <w:name w:val="Heading 5 Char"/>
    <w:basedOn w:val="DefaultParagraphFont"/>
    <w:link w:val="Heading5"/>
    <w:uiPriority w:val="9"/>
    <w:rsid w:val="00BA21F6"/>
    <w:rPr>
      <w:rFonts w:ascii="Times New Roman" w:eastAsia="Times New Roman" w:hAnsi="Times New Roman" w:cs="Times New Roman"/>
      <w:i/>
      <w:sz w:val="24"/>
      <w:szCs w:val="20"/>
    </w:rPr>
  </w:style>
  <w:style w:type="character" w:customStyle="1" w:styleId="Heading6Char">
    <w:name w:val="Heading 6 Char"/>
    <w:basedOn w:val="DefaultParagraphFont"/>
    <w:link w:val="Heading6"/>
    <w:uiPriority w:val="9"/>
    <w:rsid w:val="00BA21F6"/>
    <w:rPr>
      <w:rFonts w:asciiTheme="majorHAnsi" w:eastAsiaTheme="majorEastAsia" w:hAnsiTheme="majorHAnsi" w:cstheme="majorBidi"/>
      <w:color w:val="243F60" w:themeColor="accent1" w:themeShade="7F"/>
      <w:sz w:val="24"/>
    </w:rPr>
  </w:style>
  <w:style w:type="paragraph" w:styleId="BalloonText">
    <w:name w:val="Balloon Text"/>
    <w:basedOn w:val="Normal"/>
    <w:link w:val="BalloonTextChar"/>
    <w:uiPriority w:val="99"/>
    <w:semiHidden/>
    <w:unhideWhenUsed/>
    <w:rsid w:val="005A28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84C"/>
    <w:rPr>
      <w:rFonts w:ascii="Tahoma" w:hAnsi="Tahoma" w:cs="Tahoma"/>
      <w:sz w:val="16"/>
      <w:szCs w:val="16"/>
    </w:rPr>
  </w:style>
  <w:style w:type="paragraph" w:styleId="NoSpacing">
    <w:name w:val="No Spacing"/>
    <w:uiPriority w:val="1"/>
    <w:qFormat/>
    <w:rsid w:val="008B0863"/>
    <w:pPr>
      <w:spacing w:after="0" w:line="240" w:lineRule="auto"/>
    </w:pPr>
    <w:rPr>
      <w:rFonts w:ascii="Times New Roman" w:hAnsi="Times New Roman"/>
      <w:sz w:val="24"/>
    </w:rPr>
  </w:style>
  <w:style w:type="character" w:styleId="Hyperlink">
    <w:name w:val="Hyperlink"/>
    <w:basedOn w:val="DefaultParagraphFont"/>
    <w:uiPriority w:val="99"/>
    <w:unhideWhenUsed/>
    <w:rsid w:val="008B0863"/>
    <w:rPr>
      <w:color w:val="0000FF" w:themeColor="hyperlink"/>
      <w:u w:val="single"/>
    </w:rPr>
  </w:style>
  <w:style w:type="paragraph" w:customStyle="1" w:styleId="FirstParaChar">
    <w:name w:val="First Para Char"/>
    <w:basedOn w:val="Normal"/>
    <w:next w:val="Normal"/>
    <w:link w:val="FirstParaCharChar"/>
    <w:uiPriority w:val="99"/>
    <w:rsid w:val="002A38F2"/>
    <w:pPr>
      <w:spacing w:before="240" w:after="0" w:line="360" w:lineRule="auto"/>
    </w:pPr>
    <w:rPr>
      <w:rFonts w:eastAsia="Times New Roman" w:cs="Times New Roman"/>
      <w:szCs w:val="20"/>
    </w:rPr>
  </w:style>
  <w:style w:type="character" w:customStyle="1" w:styleId="FirstParaCharChar">
    <w:name w:val="First Para Char Char"/>
    <w:basedOn w:val="DefaultParagraphFont"/>
    <w:link w:val="FirstParaChar"/>
    <w:uiPriority w:val="99"/>
    <w:locked/>
    <w:rsid w:val="002A38F2"/>
    <w:rPr>
      <w:rFonts w:ascii="Times New Roman" w:eastAsia="Times New Roman" w:hAnsi="Times New Roman" w:cs="Times New Roman"/>
      <w:sz w:val="24"/>
      <w:szCs w:val="20"/>
    </w:rPr>
  </w:style>
  <w:style w:type="paragraph" w:customStyle="1" w:styleId="MainPara">
    <w:name w:val="Main Para"/>
    <w:basedOn w:val="FirstParaChar"/>
    <w:link w:val="MainParaChar"/>
    <w:uiPriority w:val="99"/>
    <w:rsid w:val="002A38F2"/>
    <w:pPr>
      <w:ind w:firstLine="567"/>
    </w:pPr>
  </w:style>
  <w:style w:type="character" w:customStyle="1" w:styleId="MainParaChar">
    <w:name w:val="Main Para Char"/>
    <w:basedOn w:val="FirstParaCharChar"/>
    <w:link w:val="MainPara"/>
    <w:uiPriority w:val="99"/>
    <w:locked/>
    <w:rsid w:val="002A38F2"/>
    <w:rPr>
      <w:rFonts w:ascii="Times New Roman" w:eastAsia="Times New Roman" w:hAnsi="Times New Roman" w:cs="Times New Roman"/>
      <w:sz w:val="24"/>
      <w:szCs w:val="20"/>
    </w:rPr>
  </w:style>
  <w:style w:type="paragraph" w:customStyle="1" w:styleId="FirstPara">
    <w:name w:val="First Para"/>
    <w:basedOn w:val="Normal"/>
    <w:next w:val="MainPara"/>
    <w:uiPriority w:val="99"/>
    <w:rsid w:val="002A38F2"/>
    <w:pPr>
      <w:spacing w:before="240" w:after="0" w:line="360" w:lineRule="auto"/>
    </w:pPr>
    <w:rPr>
      <w:rFonts w:eastAsia="Times New Roman" w:cs="Times New Roman"/>
      <w:szCs w:val="20"/>
    </w:rPr>
  </w:style>
  <w:style w:type="table" w:styleId="TableGrid">
    <w:name w:val="Table Grid"/>
    <w:basedOn w:val="TableNormal"/>
    <w:uiPriority w:val="59"/>
    <w:rsid w:val="00AD7F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AD7F8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AD7F84"/>
    <w:rPr>
      <w:rFonts w:eastAsiaTheme="majorEastAsia" w:cstheme="majorBidi"/>
      <w:b/>
      <w:sz w:val="28"/>
      <w:szCs w:val="32"/>
    </w:rPr>
  </w:style>
  <w:style w:type="character" w:customStyle="1" w:styleId="Heading2Char">
    <w:name w:val="Heading 2 Char"/>
    <w:basedOn w:val="DefaultParagraphFont"/>
    <w:link w:val="Heading2"/>
    <w:uiPriority w:val="9"/>
    <w:rsid w:val="00AD7F84"/>
    <w:rPr>
      <w:rFonts w:eastAsiaTheme="majorEastAsia" w:cstheme="majorBidi"/>
      <w:b/>
      <w:sz w:val="28"/>
      <w:szCs w:val="28"/>
    </w:rPr>
  </w:style>
  <w:style w:type="character" w:customStyle="1" w:styleId="Heading7Char">
    <w:name w:val="Heading 7 Char"/>
    <w:basedOn w:val="DefaultParagraphFont"/>
    <w:link w:val="Heading7"/>
    <w:uiPriority w:val="9"/>
    <w:semiHidden/>
    <w:rsid w:val="00AD7F84"/>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AD7F8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7F84"/>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AD7F84"/>
    <w:pPr>
      <w:spacing w:after="160" w:line="252" w:lineRule="auto"/>
      <w:jc w:val="both"/>
    </w:pPr>
    <w:rPr>
      <w:rFonts w:asciiTheme="minorHAnsi" w:hAnsiTheme="minorHAnsi"/>
      <w:i/>
      <w:iCs/>
      <w:color w:val="1F497D" w:themeColor="text2"/>
      <w:sz w:val="18"/>
      <w:szCs w:val="18"/>
    </w:rPr>
  </w:style>
  <w:style w:type="paragraph" w:styleId="Title">
    <w:name w:val="Title"/>
    <w:basedOn w:val="Normal"/>
    <w:next w:val="Normal"/>
    <w:link w:val="TitleChar"/>
    <w:autoRedefine/>
    <w:uiPriority w:val="10"/>
    <w:qFormat/>
    <w:rsid w:val="00AD7F84"/>
    <w:pPr>
      <w:spacing w:before="240" w:after="240" w:line="240" w:lineRule="auto"/>
      <w:contextualSpacing/>
      <w:jc w:val="center"/>
    </w:pPr>
    <w:rPr>
      <w:rFonts w:asciiTheme="majorHAnsi" w:eastAsiaTheme="majorEastAsia" w:hAnsiTheme="majorHAnsi" w:cstheme="majorBidi"/>
      <w:bCs/>
      <w:spacing w:val="-7"/>
      <w:sz w:val="48"/>
      <w:szCs w:val="48"/>
    </w:rPr>
  </w:style>
  <w:style w:type="character" w:customStyle="1" w:styleId="TitleChar">
    <w:name w:val="Title Char"/>
    <w:basedOn w:val="DefaultParagraphFont"/>
    <w:link w:val="Title"/>
    <w:uiPriority w:val="10"/>
    <w:rsid w:val="00AD7F84"/>
    <w:rPr>
      <w:rFonts w:asciiTheme="majorHAnsi" w:eastAsiaTheme="majorEastAsia" w:hAnsiTheme="majorHAnsi" w:cstheme="majorBidi"/>
      <w:bCs/>
      <w:spacing w:val="-7"/>
      <w:sz w:val="48"/>
      <w:szCs w:val="48"/>
    </w:rPr>
  </w:style>
  <w:style w:type="paragraph" w:styleId="Subtitle">
    <w:name w:val="Subtitle"/>
    <w:basedOn w:val="Normal"/>
    <w:next w:val="Normal"/>
    <w:link w:val="SubtitleChar"/>
    <w:autoRedefine/>
    <w:uiPriority w:val="11"/>
    <w:qFormat/>
    <w:rsid w:val="00AD7F84"/>
    <w:pPr>
      <w:numPr>
        <w:ilvl w:val="1"/>
      </w:numPr>
      <w:spacing w:before="240" w:after="240" w:line="252" w:lineRule="auto"/>
      <w:jc w:val="center"/>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AD7F84"/>
    <w:rPr>
      <w:rFonts w:asciiTheme="majorHAnsi" w:eastAsiaTheme="majorEastAsia" w:hAnsiTheme="majorHAnsi" w:cstheme="majorBidi"/>
      <w:sz w:val="28"/>
      <w:szCs w:val="24"/>
    </w:rPr>
  </w:style>
  <w:style w:type="character" w:styleId="Strong">
    <w:name w:val="Strong"/>
    <w:basedOn w:val="DefaultParagraphFont"/>
    <w:uiPriority w:val="22"/>
    <w:qFormat/>
    <w:rsid w:val="00AD7F84"/>
    <w:rPr>
      <w:rFonts w:ascii="Calibri" w:hAnsi="Calibri"/>
      <w:b/>
      <w:bCs/>
      <w:sz w:val="24"/>
    </w:rPr>
  </w:style>
  <w:style w:type="character" w:styleId="Emphasis">
    <w:name w:val="Emphasis"/>
    <w:basedOn w:val="DefaultParagraphFont"/>
    <w:uiPriority w:val="20"/>
    <w:qFormat/>
    <w:rsid w:val="00AD7F84"/>
    <w:rPr>
      <w:i/>
      <w:iCs/>
    </w:rPr>
  </w:style>
  <w:style w:type="paragraph" w:styleId="ListParagraph">
    <w:name w:val="List Paragraph"/>
    <w:basedOn w:val="Normal"/>
    <w:uiPriority w:val="34"/>
    <w:qFormat/>
    <w:rsid w:val="00AD7F84"/>
    <w:pPr>
      <w:spacing w:after="160" w:line="252" w:lineRule="auto"/>
      <w:ind w:left="720"/>
      <w:contextualSpacing/>
      <w:jc w:val="both"/>
    </w:pPr>
    <w:rPr>
      <w:rFonts w:asciiTheme="minorHAnsi" w:hAnsiTheme="minorHAnsi"/>
    </w:rPr>
  </w:style>
  <w:style w:type="paragraph" w:styleId="Quote">
    <w:name w:val="Quote"/>
    <w:basedOn w:val="Normal"/>
    <w:next w:val="Normal"/>
    <w:link w:val="QuoteChar"/>
    <w:uiPriority w:val="29"/>
    <w:qFormat/>
    <w:rsid w:val="00AD7F84"/>
    <w:pPr>
      <w:spacing w:before="200" w:after="160" w:line="252" w:lineRule="auto"/>
      <w:ind w:left="864" w:right="864"/>
      <w:jc w:val="center"/>
    </w:pPr>
    <w:rPr>
      <w:rFonts w:asciiTheme="minorHAnsi" w:eastAsiaTheme="majorEastAsia" w:hAnsiTheme="minorHAnsi" w:cstheme="majorBidi"/>
      <w:i/>
      <w:iCs/>
      <w:color w:val="404040" w:themeColor="text1" w:themeTint="BF"/>
    </w:rPr>
  </w:style>
  <w:style w:type="character" w:customStyle="1" w:styleId="QuoteChar">
    <w:name w:val="Quote Char"/>
    <w:basedOn w:val="DefaultParagraphFont"/>
    <w:link w:val="Quote"/>
    <w:uiPriority w:val="29"/>
    <w:rsid w:val="00AD7F84"/>
    <w:rPr>
      <w:rFonts w:eastAsiaTheme="majorEastAsia" w:cstheme="majorBidi"/>
      <w:i/>
      <w:iCs/>
      <w:color w:val="404040" w:themeColor="text1" w:themeTint="BF"/>
      <w:sz w:val="24"/>
    </w:rPr>
  </w:style>
  <w:style w:type="paragraph" w:styleId="IntenseQuote">
    <w:name w:val="Intense Quote"/>
    <w:basedOn w:val="Normal"/>
    <w:next w:val="Normal"/>
    <w:link w:val="IntenseQuoteChar"/>
    <w:uiPriority w:val="30"/>
    <w:qFormat/>
    <w:rsid w:val="00AD7F84"/>
    <w:pPr>
      <w:pBdr>
        <w:top w:val="single" w:sz="4" w:space="10" w:color="4F81BD" w:themeColor="accent1"/>
        <w:bottom w:val="single" w:sz="4" w:space="10" w:color="4F81BD" w:themeColor="accent1"/>
      </w:pBdr>
      <w:spacing w:before="360" w:after="360" w:line="252" w:lineRule="auto"/>
      <w:ind w:left="864" w:right="864"/>
      <w:jc w:val="center"/>
    </w:pPr>
    <w:rPr>
      <w:rFonts w:asciiTheme="minorHAnsi" w:eastAsiaTheme="majorEastAsia" w:hAnsiTheme="minorHAnsi" w:cstheme="majorBidi"/>
      <w:i/>
      <w:iCs/>
      <w:color w:val="4F81BD" w:themeColor="accent1"/>
    </w:rPr>
  </w:style>
  <w:style w:type="character" w:customStyle="1" w:styleId="IntenseQuoteChar">
    <w:name w:val="Intense Quote Char"/>
    <w:basedOn w:val="DefaultParagraphFont"/>
    <w:link w:val="IntenseQuote"/>
    <w:uiPriority w:val="30"/>
    <w:rsid w:val="00AD7F84"/>
    <w:rPr>
      <w:rFonts w:eastAsiaTheme="majorEastAsia" w:cstheme="majorBidi"/>
      <w:i/>
      <w:iCs/>
      <w:color w:val="4F81BD" w:themeColor="accent1"/>
      <w:sz w:val="24"/>
    </w:rPr>
  </w:style>
  <w:style w:type="character" w:styleId="SubtleEmphasis">
    <w:name w:val="Subtle Emphasis"/>
    <w:basedOn w:val="DefaultParagraphFont"/>
    <w:uiPriority w:val="19"/>
    <w:qFormat/>
    <w:rsid w:val="00AD7F84"/>
    <w:rPr>
      <w:i/>
      <w:iCs/>
      <w:color w:val="404040" w:themeColor="text1" w:themeTint="BF"/>
    </w:rPr>
  </w:style>
  <w:style w:type="character" w:styleId="IntenseEmphasis">
    <w:name w:val="Intense Emphasis"/>
    <w:basedOn w:val="DefaultParagraphFont"/>
    <w:uiPriority w:val="21"/>
    <w:qFormat/>
    <w:rsid w:val="00AD7F84"/>
    <w:rPr>
      <w:i/>
      <w:iCs/>
      <w:color w:val="4F81BD" w:themeColor="accent1"/>
    </w:rPr>
  </w:style>
  <w:style w:type="character" w:styleId="SubtleReference">
    <w:name w:val="Subtle Reference"/>
    <w:basedOn w:val="DefaultParagraphFont"/>
    <w:uiPriority w:val="31"/>
    <w:qFormat/>
    <w:rsid w:val="00AD7F84"/>
    <w:rPr>
      <w:smallCaps/>
      <w:color w:val="5A5A5A" w:themeColor="text1" w:themeTint="A5"/>
    </w:rPr>
  </w:style>
  <w:style w:type="character" w:styleId="IntenseReference">
    <w:name w:val="Intense Reference"/>
    <w:basedOn w:val="DefaultParagraphFont"/>
    <w:uiPriority w:val="32"/>
    <w:qFormat/>
    <w:rsid w:val="00AD7F84"/>
    <w:rPr>
      <w:b/>
      <w:bCs/>
      <w:smallCaps/>
      <w:color w:val="4F81BD" w:themeColor="accent1"/>
      <w:spacing w:val="5"/>
    </w:rPr>
  </w:style>
  <w:style w:type="character" w:styleId="BookTitle">
    <w:name w:val="Book Title"/>
    <w:basedOn w:val="DefaultParagraphFont"/>
    <w:uiPriority w:val="33"/>
    <w:qFormat/>
    <w:rsid w:val="00AD7F84"/>
    <w:rPr>
      <w:b/>
      <w:bCs/>
      <w:i/>
      <w:iCs/>
      <w:spacing w:val="5"/>
    </w:rPr>
  </w:style>
  <w:style w:type="paragraph" w:styleId="TOCHeading">
    <w:name w:val="TOC Heading"/>
    <w:basedOn w:val="Heading1"/>
    <w:next w:val="Normal"/>
    <w:uiPriority w:val="39"/>
    <w:semiHidden/>
    <w:unhideWhenUsed/>
    <w:qFormat/>
    <w:rsid w:val="00AD7F84"/>
    <w:pPr>
      <w:keepLines/>
      <w:spacing w:after="0"/>
      <w:ind w:left="0" w:firstLine="0"/>
      <w:outlineLvl w:val="9"/>
    </w:pPr>
    <w:rPr>
      <w:rFonts w:asciiTheme="majorHAnsi" w:hAnsiTheme="majorHAnsi"/>
      <w:b w:val="0"/>
      <w:color w:val="365F91" w:themeColor="accent1" w:themeShade="BF"/>
      <w:sz w:val="32"/>
    </w:rPr>
  </w:style>
  <w:style w:type="paragraph" w:customStyle="1" w:styleId="FootnoteText1">
    <w:name w:val="Footnote Text1"/>
    <w:basedOn w:val="FootnoteText"/>
    <w:link w:val="footnotetextChar"/>
    <w:autoRedefine/>
    <w:qFormat/>
    <w:rsid w:val="00AD7F84"/>
  </w:style>
  <w:style w:type="character" w:customStyle="1" w:styleId="footnotetextChar">
    <w:name w:val="footnote text Char"/>
    <w:basedOn w:val="DefaultParagraphFont"/>
    <w:link w:val="FootnoteText1"/>
    <w:rsid w:val="00AD7F84"/>
    <w:rPr>
      <w:sz w:val="20"/>
      <w:szCs w:val="20"/>
    </w:rPr>
  </w:style>
  <w:style w:type="paragraph" w:styleId="BodyText">
    <w:name w:val="Body Text"/>
    <w:basedOn w:val="Normal"/>
    <w:link w:val="BodyTextChar"/>
    <w:rsid w:val="00AD7F84"/>
    <w:pPr>
      <w:spacing w:after="0" w:line="360" w:lineRule="auto"/>
      <w:jc w:val="both"/>
    </w:pPr>
    <w:rPr>
      <w:rFonts w:eastAsia="Times New Roman" w:cs="Times New Roman"/>
      <w:szCs w:val="24"/>
      <w:lang w:val="en-GB"/>
    </w:rPr>
  </w:style>
  <w:style w:type="character" w:customStyle="1" w:styleId="BodyTextChar">
    <w:name w:val="Body Text Char"/>
    <w:basedOn w:val="DefaultParagraphFont"/>
    <w:link w:val="BodyText"/>
    <w:rsid w:val="00AD7F84"/>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AD7F84"/>
    <w:rPr>
      <w:sz w:val="16"/>
      <w:szCs w:val="16"/>
    </w:rPr>
  </w:style>
  <w:style w:type="paragraph" w:styleId="CommentText">
    <w:name w:val="annotation text"/>
    <w:basedOn w:val="Normal"/>
    <w:link w:val="CommentTextChar"/>
    <w:uiPriority w:val="99"/>
    <w:semiHidden/>
    <w:unhideWhenUsed/>
    <w:rsid w:val="00AD7F84"/>
    <w:pPr>
      <w:spacing w:after="160" w:line="240" w:lineRule="auto"/>
      <w:jc w:val="both"/>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AD7F84"/>
    <w:rPr>
      <w:sz w:val="20"/>
      <w:szCs w:val="20"/>
    </w:rPr>
  </w:style>
  <w:style w:type="paragraph" w:styleId="CommentSubject">
    <w:name w:val="annotation subject"/>
    <w:basedOn w:val="CommentText"/>
    <w:next w:val="CommentText"/>
    <w:link w:val="CommentSubjectChar"/>
    <w:uiPriority w:val="99"/>
    <w:semiHidden/>
    <w:unhideWhenUsed/>
    <w:rsid w:val="00AD7F84"/>
    <w:rPr>
      <w:b/>
      <w:bCs/>
    </w:rPr>
  </w:style>
  <w:style w:type="character" w:customStyle="1" w:styleId="CommentSubjectChar">
    <w:name w:val="Comment Subject Char"/>
    <w:basedOn w:val="CommentTextChar"/>
    <w:link w:val="CommentSubject"/>
    <w:uiPriority w:val="99"/>
    <w:semiHidden/>
    <w:rsid w:val="00AD7F84"/>
    <w:rPr>
      <w:b/>
      <w:bCs/>
    </w:rPr>
  </w:style>
  <w:style w:type="paragraph" w:customStyle="1" w:styleId="EndNoteBibliographyTitle">
    <w:name w:val="EndNote Bibliography Title"/>
    <w:basedOn w:val="Normal"/>
    <w:link w:val="EndNoteBibliographyTitleChar"/>
    <w:rsid w:val="00AD7F84"/>
    <w:pPr>
      <w:spacing w:after="0" w:line="252" w:lineRule="auto"/>
      <w:jc w:val="center"/>
    </w:pPr>
    <w:rPr>
      <w:rFonts w:ascii="Calibri" w:hAnsi="Calibri"/>
      <w:noProof/>
    </w:rPr>
  </w:style>
  <w:style w:type="character" w:customStyle="1" w:styleId="EndNoteBibliographyTitleChar">
    <w:name w:val="EndNote Bibliography Title Char"/>
    <w:basedOn w:val="DefaultParagraphFont"/>
    <w:link w:val="EndNoteBibliographyTitle"/>
    <w:rsid w:val="00AD7F84"/>
    <w:rPr>
      <w:rFonts w:ascii="Calibri" w:hAnsi="Calibri"/>
      <w:noProof/>
      <w:sz w:val="24"/>
    </w:rPr>
  </w:style>
  <w:style w:type="paragraph" w:customStyle="1" w:styleId="EndNoteBibliography">
    <w:name w:val="EndNote Bibliography"/>
    <w:basedOn w:val="Normal"/>
    <w:link w:val="EndNoteBibliographyChar"/>
    <w:rsid w:val="00AD7F84"/>
    <w:pPr>
      <w:spacing w:after="160"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AD7F84"/>
    <w:rPr>
      <w:rFonts w:ascii="Calibri" w:hAnsi="Calibri"/>
      <w:noProof/>
      <w:sz w:val="24"/>
    </w:rPr>
  </w:style>
  <w:style w:type="character" w:styleId="PlaceholderText">
    <w:name w:val="Placeholder Text"/>
    <w:basedOn w:val="DefaultParagraphFont"/>
    <w:uiPriority w:val="99"/>
    <w:semiHidden/>
    <w:rsid w:val="00AD7F84"/>
    <w:rPr>
      <w:color w:val="808080"/>
    </w:rPr>
  </w:style>
  <w:style w:type="character" w:customStyle="1" w:styleId="apple-converted-space">
    <w:name w:val="apple-converted-space"/>
    <w:basedOn w:val="DefaultParagraphFont"/>
    <w:rsid w:val="00AD7F84"/>
  </w:style>
  <w:style w:type="paragraph" w:styleId="FootnoteText">
    <w:name w:val="footnote text"/>
    <w:basedOn w:val="Normal"/>
    <w:link w:val="FootnoteTextChar0"/>
    <w:uiPriority w:val="99"/>
    <w:semiHidden/>
    <w:unhideWhenUsed/>
    <w:rsid w:val="00AD7F84"/>
    <w:pPr>
      <w:spacing w:after="0" w:line="240" w:lineRule="auto"/>
      <w:jc w:val="both"/>
    </w:pPr>
    <w:rPr>
      <w:rFonts w:asciiTheme="minorHAnsi" w:hAnsiTheme="minorHAnsi"/>
      <w:sz w:val="20"/>
      <w:szCs w:val="20"/>
    </w:rPr>
  </w:style>
  <w:style w:type="character" w:customStyle="1" w:styleId="FootnoteTextChar0">
    <w:name w:val="Footnote Text Char"/>
    <w:basedOn w:val="DefaultParagraphFont"/>
    <w:link w:val="FootnoteText"/>
    <w:uiPriority w:val="99"/>
    <w:semiHidden/>
    <w:rsid w:val="00AD7F84"/>
    <w:rPr>
      <w:sz w:val="20"/>
      <w:szCs w:val="20"/>
    </w:rPr>
  </w:style>
  <w:style w:type="character" w:styleId="FootnoteReference">
    <w:name w:val="footnote reference"/>
    <w:basedOn w:val="DefaultParagraphFont"/>
    <w:uiPriority w:val="99"/>
    <w:semiHidden/>
    <w:unhideWhenUsed/>
    <w:rsid w:val="00AD7F8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8A0"/>
    <w:rPr>
      <w:rFonts w:ascii="Times New Roman" w:hAnsi="Times New Roman"/>
      <w:sz w:val="24"/>
    </w:rPr>
  </w:style>
  <w:style w:type="paragraph" w:styleId="Heading3">
    <w:name w:val="heading 3"/>
    <w:basedOn w:val="Normal"/>
    <w:next w:val="Normal"/>
    <w:link w:val="Heading3Char"/>
    <w:uiPriority w:val="99"/>
    <w:qFormat/>
    <w:rsid w:val="00BA21F6"/>
    <w:pPr>
      <w:keepNext/>
      <w:spacing w:before="240" w:after="120" w:line="480" w:lineRule="auto"/>
      <w:ind w:right="1134"/>
      <w:outlineLvl w:val="2"/>
    </w:pPr>
    <w:rPr>
      <w:rFonts w:eastAsia="Times New Roman" w:cs="Times New Roman"/>
      <w:b/>
      <w:sz w:val="28"/>
      <w:szCs w:val="20"/>
    </w:rPr>
  </w:style>
  <w:style w:type="paragraph" w:styleId="Heading4">
    <w:name w:val="heading 4"/>
    <w:basedOn w:val="Normal"/>
    <w:next w:val="Normal"/>
    <w:link w:val="Heading4Char"/>
    <w:uiPriority w:val="99"/>
    <w:qFormat/>
    <w:rsid w:val="00BA21F6"/>
    <w:pPr>
      <w:keepNext/>
      <w:spacing w:before="120" w:after="120" w:line="360" w:lineRule="auto"/>
      <w:outlineLvl w:val="3"/>
    </w:pPr>
    <w:rPr>
      <w:rFonts w:eastAsia="Times New Roman" w:cs="Times New Roman"/>
      <w:szCs w:val="20"/>
      <w:u w:val="single"/>
    </w:rPr>
  </w:style>
  <w:style w:type="paragraph" w:styleId="Heading5">
    <w:name w:val="heading 5"/>
    <w:basedOn w:val="Normal"/>
    <w:next w:val="Normal"/>
    <w:link w:val="Heading5Char"/>
    <w:uiPriority w:val="99"/>
    <w:qFormat/>
    <w:rsid w:val="00BA21F6"/>
    <w:pPr>
      <w:keepNext/>
      <w:spacing w:before="240" w:after="60" w:line="240" w:lineRule="auto"/>
      <w:outlineLvl w:val="4"/>
    </w:pPr>
    <w:rPr>
      <w:rFonts w:eastAsia="Times New Roman" w:cs="Times New Roman"/>
      <w:i/>
      <w:szCs w:val="20"/>
    </w:rPr>
  </w:style>
  <w:style w:type="paragraph" w:styleId="Heading6">
    <w:name w:val="heading 6"/>
    <w:basedOn w:val="Normal"/>
    <w:next w:val="Normal"/>
    <w:link w:val="Heading6Char"/>
    <w:uiPriority w:val="9"/>
    <w:unhideWhenUsed/>
    <w:qFormat/>
    <w:rsid w:val="00BA21F6"/>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21F6"/>
    <w:rPr>
      <w:rFonts w:ascii="Times New Roman" w:eastAsia="Times New Roman" w:hAnsi="Times New Roman" w:cs="Times New Roman"/>
      <w:b/>
      <w:sz w:val="28"/>
      <w:szCs w:val="20"/>
    </w:rPr>
  </w:style>
  <w:style w:type="character" w:customStyle="1" w:styleId="Heading4Char">
    <w:name w:val="Heading 4 Char"/>
    <w:basedOn w:val="DefaultParagraphFont"/>
    <w:link w:val="Heading4"/>
    <w:uiPriority w:val="99"/>
    <w:rsid w:val="00BA21F6"/>
    <w:rPr>
      <w:rFonts w:ascii="Times New Roman" w:eastAsia="Times New Roman" w:hAnsi="Times New Roman" w:cs="Times New Roman"/>
      <w:sz w:val="24"/>
      <w:szCs w:val="20"/>
      <w:u w:val="single"/>
    </w:rPr>
  </w:style>
  <w:style w:type="character" w:customStyle="1" w:styleId="Heading5Char">
    <w:name w:val="Heading 5 Char"/>
    <w:basedOn w:val="DefaultParagraphFont"/>
    <w:link w:val="Heading5"/>
    <w:uiPriority w:val="99"/>
    <w:rsid w:val="00BA21F6"/>
    <w:rPr>
      <w:rFonts w:ascii="Times New Roman" w:eastAsia="Times New Roman" w:hAnsi="Times New Roman" w:cs="Times New Roman"/>
      <w:i/>
      <w:sz w:val="24"/>
      <w:szCs w:val="20"/>
    </w:rPr>
  </w:style>
  <w:style w:type="character" w:customStyle="1" w:styleId="Heading6Char">
    <w:name w:val="Heading 6 Char"/>
    <w:basedOn w:val="DefaultParagraphFont"/>
    <w:link w:val="Heading6"/>
    <w:uiPriority w:val="9"/>
    <w:rsid w:val="00BA21F6"/>
    <w:rPr>
      <w:rFonts w:asciiTheme="majorHAnsi" w:eastAsiaTheme="majorEastAsia" w:hAnsiTheme="majorHAnsi" w:cstheme="majorBidi"/>
      <w:color w:val="243F60" w:themeColor="accent1" w:themeShade="7F"/>
      <w:sz w:val="24"/>
    </w:rPr>
  </w:style>
  <w:style w:type="paragraph" w:styleId="BalloonText">
    <w:name w:val="Balloon Text"/>
    <w:basedOn w:val="Normal"/>
    <w:link w:val="BalloonTextChar"/>
    <w:uiPriority w:val="99"/>
    <w:semiHidden/>
    <w:unhideWhenUsed/>
    <w:rsid w:val="005A28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84C"/>
    <w:rPr>
      <w:rFonts w:ascii="Tahoma" w:hAnsi="Tahoma" w:cs="Tahoma"/>
      <w:sz w:val="16"/>
      <w:szCs w:val="16"/>
    </w:rPr>
  </w:style>
  <w:style w:type="paragraph" w:styleId="NoSpacing">
    <w:name w:val="No Spacing"/>
    <w:uiPriority w:val="1"/>
    <w:qFormat/>
    <w:rsid w:val="008B0863"/>
    <w:pPr>
      <w:spacing w:after="0" w:line="240" w:lineRule="auto"/>
    </w:pPr>
    <w:rPr>
      <w:rFonts w:ascii="Times New Roman" w:hAnsi="Times New Roman"/>
      <w:sz w:val="24"/>
    </w:rPr>
  </w:style>
  <w:style w:type="character" w:styleId="Hyperlink">
    <w:name w:val="Hyperlink"/>
    <w:basedOn w:val="DefaultParagraphFont"/>
    <w:uiPriority w:val="99"/>
    <w:unhideWhenUsed/>
    <w:rsid w:val="008B0863"/>
    <w:rPr>
      <w:color w:val="0000FF" w:themeColor="hyperlink"/>
      <w:u w:val="single"/>
    </w:rPr>
  </w:style>
  <w:style w:type="paragraph" w:customStyle="1" w:styleId="FirstParaChar">
    <w:name w:val="First Para Char"/>
    <w:basedOn w:val="Normal"/>
    <w:next w:val="Normal"/>
    <w:link w:val="FirstParaCharChar"/>
    <w:uiPriority w:val="99"/>
    <w:rsid w:val="002A38F2"/>
    <w:pPr>
      <w:spacing w:before="240" w:after="0" w:line="360" w:lineRule="auto"/>
    </w:pPr>
    <w:rPr>
      <w:rFonts w:eastAsia="Times New Roman" w:cs="Times New Roman"/>
      <w:szCs w:val="20"/>
    </w:rPr>
  </w:style>
  <w:style w:type="character" w:customStyle="1" w:styleId="FirstParaCharChar">
    <w:name w:val="First Para Char Char"/>
    <w:basedOn w:val="DefaultParagraphFont"/>
    <w:link w:val="FirstParaChar"/>
    <w:uiPriority w:val="99"/>
    <w:locked/>
    <w:rsid w:val="002A38F2"/>
    <w:rPr>
      <w:rFonts w:ascii="Times New Roman" w:eastAsia="Times New Roman" w:hAnsi="Times New Roman" w:cs="Times New Roman"/>
      <w:sz w:val="24"/>
      <w:szCs w:val="20"/>
    </w:rPr>
  </w:style>
  <w:style w:type="paragraph" w:customStyle="1" w:styleId="MainPara">
    <w:name w:val="Main Para"/>
    <w:basedOn w:val="FirstParaChar"/>
    <w:link w:val="MainParaChar"/>
    <w:uiPriority w:val="99"/>
    <w:rsid w:val="002A38F2"/>
    <w:pPr>
      <w:ind w:firstLine="567"/>
    </w:pPr>
  </w:style>
  <w:style w:type="character" w:customStyle="1" w:styleId="MainParaChar">
    <w:name w:val="Main Para Char"/>
    <w:basedOn w:val="FirstParaCharChar"/>
    <w:link w:val="MainPara"/>
    <w:uiPriority w:val="99"/>
    <w:locked/>
    <w:rsid w:val="002A38F2"/>
    <w:rPr>
      <w:rFonts w:ascii="Times New Roman" w:eastAsia="Times New Roman" w:hAnsi="Times New Roman" w:cs="Times New Roman"/>
      <w:sz w:val="24"/>
      <w:szCs w:val="20"/>
    </w:rPr>
  </w:style>
  <w:style w:type="paragraph" w:customStyle="1" w:styleId="FirstPara">
    <w:name w:val="First Para"/>
    <w:basedOn w:val="Normal"/>
    <w:next w:val="MainPara"/>
    <w:uiPriority w:val="99"/>
    <w:rsid w:val="002A38F2"/>
    <w:pPr>
      <w:spacing w:before="240" w:after="0" w:line="360" w:lineRule="auto"/>
    </w:pPr>
    <w:rPr>
      <w:rFonts w:eastAsia="Times New Roman"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image" Target="media/image6.emf"/><Relationship Id="rId26" Type="http://schemas.openxmlformats.org/officeDocument/2006/relationships/oleObject" Target="embeddings/oleObject9.bin"/><Relationship Id="rId39" Type="http://schemas.openxmlformats.org/officeDocument/2006/relationships/hyperlink" Target="http://www.un.org/en/development/desa/policy/cdp/ldc/ldc_list.pdf" TargetMode="External"/><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oleObject" Target="embeddings/oleObject13.bin"/><Relationship Id="rId42"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6.bin"/><Relationship Id="rId29" Type="http://schemas.openxmlformats.org/officeDocument/2006/relationships/image" Target="media/image12.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hyperlink" Target="http://cgemod.org.uk/globev2_2012.pdf" TargetMode="Externa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5.bin"/><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image" Target="media/image13.wmf"/><Relationship Id="rId44"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4.wmf"/></Relationships>
</file>

<file path=word/charts/_rels/chart1.xml.rels><?xml version="1.0" encoding="UTF-8" standalone="yes"?>
<Relationships xmlns="http://schemas.openxmlformats.org/package/2006/relationships"><Relationship Id="rId1" Type="http://schemas.openxmlformats.org/officeDocument/2006/relationships/oleObject" Target="file:///C:\Working\Projects\Labor\Labour%20with%20Karen\Papers\Excel%20workbook%20to%20go%20with%20pape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Working\Projects\Labor\Labour%20with%20Karen\Papers\Excel%20workbook%20to%20go%20with%20paper.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'Wages for sel ctries'!$V$3</c:f>
              <c:strCache>
                <c:ptCount val="1"/>
                <c:pt idx="0">
                  <c:v>Office Managers and professionals</c:v>
                </c:pt>
              </c:strCache>
            </c:strRef>
          </c:tx>
          <c:spPr>
            <a:ln w="28575" cap="rnd">
              <a:solidFill>
                <a:schemeClr val="accent1"/>
              </a:solidFill>
              <a:round/>
            </a:ln>
            <a:effectLst/>
          </c:spPr>
          <c:marker>
            <c:symbol val="none"/>
          </c:marker>
          <c:cat>
            <c:strRef>
              <c:f>'Wages for sel ctries'!$U$4:$U$19</c:f>
              <c:strCache>
                <c:ptCount val="16"/>
                <c:pt idx="0">
                  <c:v>Agriculture, hunting and forestry</c:v>
                </c:pt>
                <c:pt idx="1">
                  <c:v>Fishing</c:v>
                </c:pt>
                <c:pt idx="2">
                  <c:v>Mining and quarrying</c:v>
                </c:pt>
                <c:pt idx="3">
                  <c:v>Manufacturing</c:v>
                </c:pt>
                <c:pt idx="4">
                  <c:v>Electricity, gas and water</c:v>
                </c:pt>
                <c:pt idx="5">
                  <c:v>Construction</c:v>
                </c:pt>
                <c:pt idx="6">
                  <c:v>Wholesale and retail trade</c:v>
                </c:pt>
                <c:pt idx="7">
                  <c:v>Hotels and restaurants</c:v>
                </c:pt>
                <c:pt idx="8">
                  <c:v>Transport, storage and communications</c:v>
                </c:pt>
                <c:pt idx="9">
                  <c:v>Financial intermediation</c:v>
                </c:pt>
                <c:pt idx="10">
                  <c:v>Real estate, renting and business</c:v>
                </c:pt>
                <c:pt idx="11">
                  <c:v>Public administration and defence</c:v>
                </c:pt>
                <c:pt idx="12">
                  <c:v>Education</c:v>
                </c:pt>
                <c:pt idx="13">
                  <c:v>Health and social work</c:v>
                </c:pt>
                <c:pt idx="14">
                  <c:v>Other community and personal services</c:v>
                </c:pt>
                <c:pt idx="15">
                  <c:v>Private households with employed persons</c:v>
                </c:pt>
              </c:strCache>
            </c:strRef>
          </c:cat>
          <c:val>
            <c:numRef>
              <c:f>'Wages for sel ctries'!$V$4:$V$19</c:f>
              <c:numCache>
                <c:formatCode>General</c:formatCode>
                <c:ptCount val="16"/>
                <c:pt idx="0">
                  <c:v>9.8600000000000048</c:v>
                </c:pt>
                <c:pt idx="1">
                  <c:v>9.8700000000000028</c:v>
                </c:pt>
                <c:pt idx="2">
                  <c:v>25.75</c:v>
                </c:pt>
                <c:pt idx="3">
                  <c:v>24.93</c:v>
                </c:pt>
                <c:pt idx="4">
                  <c:v>13.12</c:v>
                </c:pt>
                <c:pt idx="5">
                  <c:v>9.8700000000000028</c:v>
                </c:pt>
                <c:pt idx="6">
                  <c:v>9.68</c:v>
                </c:pt>
                <c:pt idx="7">
                  <c:v>9.8000000000000007</c:v>
                </c:pt>
                <c:pt idx="8">
                  <c:v>9.8000000000000007</c:v>
                </c:pt>
                <c:pt idx="9">
                  <c:v>15.96</c:v>
                </c:pt>
                <c:pt idx="10">
                  <c:v>8.2200000000000006</c:v>
                </c:pt>
                <c:pt idx="11">
                  <c:v>10.31</c:v>
                </c:pt>
                <c:pt idx="12">
                  <c:v>6.31</c:v>
                </c:pt>
                <c:pt idx="13">
                  <c:v>8.65</c:v>
                </c:pt>
                <c:pt idx="14">
                  <c:v>9.2800000000000011</c:v>
                </c:pt>
                <c:pt idx="15">
                  <c:v>9.8600000000000048</c:v>
                </c:pt>
              </c:numCache>
            </c:numRef>
          </c:val>
        </c:ser>
        <c:ser>
          <c:idx val="1"/>
          <c:order val="1"/>
          <c:tx>
            <c:strRef>
              <c:f>'Wages for sel ctries'!$W$3</c:f>
              <c:strCache>
                <c:ptCount val="1"/>
                <c:pt idx="0">
                  <c:v>Technical and assistant professionals</c:v>
                </c:pt>
              </c:strCache>
            </c:strRef>
          </c:tx>
          <c:spPr>
            <a:ln w="28575" cap="rnd">
              <a:solidFill>
                <a:schemeClr val="accent2"/>
              </a:solidFill>
              <a:round/>
            </a:ln>
            <a:effectLst/>
          </c:spPr>
          <c:marker>
            <c:symbol val="none"/>
          </c:marker>
          <c:cat>
            <c:strRef>
              <c:f>'Wages for sel ctries'!$U$4:$U$19</c:f>
              <c:strCache>
                <c:ptCount val="16"/>
                <c:pt idx="0">
                  <c:v>Agriculture, hunting and forestry</c:v>
                </c:pt>
                <c:pt idx="1">
                  <c:v>Fishing</c:v>
                </c:pt>
                <c:pt idx="2">
                  <c:v>Mining and quarrying</c:v>
                </c:pt>
                <c:pt idx="3">
                  <c:v>Manufacturing</c:v>
                </c:pt>
                <c:pt idx="4">
                  <c:v>Electricity, gas and water</c:v>
                </c:pt>
                <c:pt idx="5">
                  <c:v>Construction</c:v>
                </c:pt>
                <c:pt idx="6">
                  <c:v>Wholesale and retail trade</c:v>
                </c:pt>
                <c:pt idx="7">
                  <c:v>Hotels and restaurants</c:v>
                </c:pt>
                <c:pt idx="8">
                  <c:v>Transport, storage and communications</c:v>
                </c:pt>
                <c:pt idx="9">
                  <c:v>Financial intermediation</c:v>
                </c:pt>
                <c:pt idx="10">
                  <c:v>Real estate, renting and business</c:v>
                </c:pt>
                <c:pt idx="11">
                  <c:v>Public administration and defence</c:v>
                </c:pt>
                <c:pt idx="12">
                  <c:v>Education</c:v>
                </c:pt>
                <c:pt idx="13">
                  <c:v>Health and social work</c:v>
                </c:pt>
                <c:pt idx="14">
                  <c:v>Other community and personal services</c:v>
                </c:pt>
                <c:pt idx="15">
                  <c:v>Private households with employed persons</c:v>
                </c:pt>
              </c:strCache>
            </c:strRef>
          </c:cat>
          <c:val>
            <c:numRef>
              <c:f>'Wages for sel ctries'!$W$4:$W$19</c:f>
              <c:numCache>
                <c:formatCode>General</c:formatCode>
                <c:ptCount val="16"/>
                <c:pt idx="0">
                  <c:v>7.96</c:v>
                </c:pt>
                <c:pt idx="1">
                  <c:v>7.9700000000000024</c:v>
                </c:pt>
                <c:pt idx="2">
                  <c:v>21.259999999999987</c:v>
                </c:pt>
                <c:pt idx="3">
                  <c:v>7.4700000000000024</c:v>
                </c:pt>
                <c:pt idx="4">
                  <c:v>11.63</c:v>
                </c:pt>
                <c:pt idx="5">
                  <c:v>7.9700000000000024</c:v>
                </c:pt>
                <c:pt idx="6">
                  <c:v>2.8</c:v>
                </c:pt>
                <c:pt idx="7">
                  <c:v>7.96</c:v>
                </c:pt>
                <c:pt idx="8">
                  <c:v>16.36</c:v>
                </c:pt>
                <c:pt idx="9">
                  <c:v>6.25</c:v>
                </c:pt>
                <c:pt idx="10">
                  <c:v>6.85</c:v>
                </c:pt>
                <c:pt idx="11">
                  <c:v>8.5</c:v>
                </c:pt>
                <c:pt idx="12">
                  <c:v>8.44</c:v>
                </c:pt>
                <c:pt idx="13">
                  <c:v>2.64</c:v>
                </c:pt>
                <c:pt idx="14">
                  <c:v>7.6499999999999995</c:v>
                </c:pt>
                <c:pt idx="15">
                  <c:v>7.96</c:v>
                </c:pt>
              </c:numCache>
            </c:numRef>
          </c:val>
        </c:ser>
        <c:ser>
          <c:idx val="2"/>
          <c:order val="2"/>
          <c:tx>
            <c:strRef>
              <c:f>'Wages for sel ctries'!$X$3</c:f>
              <c:strCache>
                <c:ptCount val="1"/>
                <c:pt idx="0">
                  <c:v>Clerks</c:v>
                </c:pt>
              </c:strCache>
            </c:strRef>
          </c:tx>
          <c:spPr>
            <a:ln w="28575" cap="rnd">
              <a:solidFill>
                <a:schemeClr val="accent3"/>
              </a:solidFill>
              <a:round/>
            </a:ln>
            <a:effectLst/>
          </c:spPr>
          <c:marker>
            <c:symbol val="none"/>
          </c:marker>
          <c:cat>
            <c:strRef>
              <c:f>'Wages for sel ctries'!$U$4:$U$19</c:f>
              <c:strCache>
                <c:ptCount val="16"/>
                <c:pt idx="0">
                  <c:v>Agriculture, hunting and forestry</c:v>
                </c:pt>
                <c:pt idx="1">
                  <c:v>Fishing</c:v>
                </c:pt>
                <c:pt idx="2">
                  <c:v>Mining and quarrying</c:v>
                </c:pt>
                <c:pt idx="3">
                  <c:v>Manufacturing</c:v>
                </c:pt>
                <c:pt idx="4">
                  <c:v>Electricity, gas and water</c:v>
                </c:pt>
                <c:pt idx="5">
                  <c:v>Construction</c:v>
                </c:pt>
                <c:pt idx="6">
                  <c:v>Wholesale and retail trade</c:v>
                </c:pt>
                <c:pt idx="7">
                  <c:v>Hotels and restaurants</c:v>
                </c:pt>
                <c:pt idx="8">
                  <c:v>Transport, storage and communications</c:v>
                </c:pt>
                <c:pt idx="9">
                  <c:v>Financial intermediation</c:v>
                </c:pt>
                <c:pt idx="10">
                  <c:v>Real estate, renting and business</c:v>
                </c:pt>
                <c:pt idx="11">
                  <c:v>Public administration and defence</c:v>
                </c:pt>
                <c:pt idx="12">
                  <c:v>Education</c:v>
                </c:pt>
                <c:pt idx="13">
                  <c:v>Health and social work</c:v>
                </c:pt>
                <c:pt idx="14">
                  <c:v>Other community and personal services</c:v>
                </c:pt>
                <c:pt idx="15">
                  <c:v>Private households with employed persons</c:v>
                </c:pt>
              </c:strCache>
            </c:strRef>
          </c:cat>
          <c:val>
            <c:numRef>
              <c:f>'Wages for sel ctries'!$X$4:$X$19</c:f>
              <c:numCache>
                <c:formatCode>General</c:formatCode>
                <c:ptCount val="16"/>
                <c:pt idx="0">
                  <c:v>5.54</c:v>
                </c:pt>
                <c:pt idx="1">
                  <c:v>5.54</c:v>
                </c:pt>
                <c:pt idx="2">
                  <c:v>5.4700000000000024</c:v>
                </c:pt>
                <c:pt idx="3">
                  <c:v>4</c:v>
                </c:pt>
                <c:pt idx="4">
                  <c:v>10.66</c:v>
                </c:pt>
                <c:pt idx="5">
                  <c:v>5.55</c:v>
                </c:pt>
                <c:pt idx="6">
                  <c:v>4.3599999999999985</c:v>
                </c:pt>
                <c:pt idx="7">
                  <c:v>2.3299999999999987</c:v>
                </c:pt>
                <c:pt idx="8">
                  <c:v>4.99</c:v>
                </c:pt>
                <c:pt idx="9">
                  <c:v>14.43</c:v>
                </c:pt>
                <c:pt idx="10">
                  <c:v>4.03</c:v>
                </c:pt>
                <c:pt idx="11">
                  <c:v>5.44</c:v>
                </c:pt>
                <c:pt idx="12">
                  <c:v>5.68</c:v>
                </c:pt>
                <c:pt idx="13">
                  <c:v>4.0199999999999996</c:v>
                </c:pt>
                <c:pt idx="14">
                  <c:v>5.1099999999999985</c:v>
                </c:pt>
                <c:pt idx="15">
                  <c:v>5.54</c:v>
                </c:pt>
              </c:numCache>
            </c:numRef>
          </c:val>
        </c:ser>
        <c:ser>
          <c:idx val="3"/>
          <c:order val="3"/>
          <c:tx>
            <c:strRef>
              <c:f>'Wages for sel ctries'!$Y$3</c:f>
              <c:strCache>
                <c:ptCount val="1"/>
                <c:pt idx="0">
                  <c:v>Service and Shop workers</c:v>
                </c:pt>
              </c:strCache>
            </c:strRef>
          </c:tx>
          <c:spPr>
            <a:ln w="28575" cap="rnd">
              <a:solidFill>
                <a:schemeClr val="accent4"/>
              </a:solidFill>
              <a:round/>
            </a:ln>
            <a:effectLst/>
          </c:spPr>
          <c:marker>
            <c:symbol val="none"/>
          </c:marker>
          <c:cat>
            <c:strRef>
              <c:f>'Wages for sel ctries'!$U$4:$U$19</c:f>
              <c:strCache>
                <c:ptCount val="16"/>
                <c:pt idx="0">
                  <c:v>Agriculture, hunting and forestry</c:v>
                </c:pt>
                <c:pt idx="1">
                  <c:v>Fishing</c:v>
                </c:pt>
                <c:pt idx="2">
                  <c:v>Mining and quarrying</c:v>
                </c:pt>
                <c:pt idx="3">
                  <c:v>Manufacturing</c:v>
                </c:pt>
                <c:pt idx="4">
                  <c:v>Electricity, gas and water</c:v>
                </c:pt>
                <c:pt idx="5">
                  <c:v>Construction</c:v>
                </c:pt>
                <c:pt idx="6">
                  <c:v>Wholesale and retail trade</c:v>
                </c:pt>
                <c:pt idx="7">
                  <c:v>Hotels and restaurants</c:v>
                </c:pt>
                <c:pt idx="8">
                  <c:v>Transport, storage and communications</c:v>
                </c:pt>
                <c:pt idx="9">
                  <c:v>Financial intermediation</c:v>
                </c:pt>
                <c:pt idx="10">
                  <c:v>Real estate, renting and business</c:v>
                </c:pt>
                <c:pt idx="11">
                  <c:v>Public administration and defence</c:v>
                </c:pt>
                <c:pt idx="12">
                  <c:v>Education</c:v>
                </c:pt>
                <c:pt idx="13">
                  <c:v>Health and social work</c:v>
                </c:pt>
                <c:pt idx="14">
                  <c:v>Other community and personal services</c:v>
                </c:pt>
                <c:pt idx="15">
                  <c:v>Private households with employed persons</c:v>
                </c:pt>
              </c:strCache>
            </c:strRef>
          </c:cat>
          <c:val>
            <c:numRef>
              <c:f>'Wages for sel ctries'!$Y$4:$Y$19</c:f>
              <c:numCache>
                <c:formatCode>General</c:formatCode>
                <c:ptCount val="16"/>
                <c:pt idx="0">
                  <c:v>3.86</c:v>
                </c:pt>
                <c:pt idx="1">
                  <c:v>3.8699999999999997</c:v>
                </c:pt>
                <c:pt idx="2">
                  <c:v>3.79</c:v>
                </c:pt>
                <c:pt idx="3">
                  <c:v>3.03</c:v>
                </c:pt>
                <c:pt idx="4">
                  <c:v>7.23</c:v>
                </c:pt>
                <c:pt idx="5">
                  <c:v>3.8699999999999997</c:v>
                </c:pt>
                <c:pt idx="6">
                  <c:v>1.8</c:v>
                </c:pt>
                <c:pt idx="7">
                  <c:v>1.53</c:v>
                </c:pt>
                <c:pt idx="8">
                  <c:v>6.3599999999999985</c:v>
                </c:pt>
                <c:pt idx="9">
                  <c:v>4.38</c:v>
                </c:pt>
                <c:pt idx="10">
                  <c:v>1.32</c:v>
                </c:pt>
                <c:pt idx="11">
                  <c:v>4.26</c:v>
                </c:pt>
                <c:pt idx="12">
                  <c:v>4.1199999999999966</c:v>
                </c:pt>
                <c:pt idx="13">
                  <c:v>1.9100000000000001</c:v>
                </c:pt>
                <c:pt idx="14">
                  <c:v>1.8800000000000001</c:v>
                </c:pt>
                <c:pt idx="15">
                  <c:v>1.62</c:v>
                </c:pt>
              </c:numCache>
            </c:numRef>
          </c:val>
        </c:ser>
        <c:ser>
          <c:idx val="4"/>
          <c:order val="4"/>
          <c:tx>
            <c:strRef>
              <c:f>'Wages for sel ctries'!$Z$3</c:f>
              <c:strCache>
                <c:ptCount val="1"/>
                <c:pt idx="0">
                  <c:v>Agricultural workers and other low skilled</c:v>
                </c:pt>
              </c:strCache>
            </c:strRef>
          </c:tx>
          <c:spPr>
            <a:ln w="28575" cap="rnd">
              <a:solidFill>
                <a:schemeClr val="accent5"/>
              </a:solidFill>
              <a:round/>
            </a:ln>
            <a:effectLst/>
          </c:spPr>
          <c:marker>
            <c:symbol val="none"/>
          </c:marker>
          <c:cat>
            <c:strRef>
              <c:f>'Wages for sel ctries'!$U$4:$U$19</c:f>
              <c:strCache>
                <c:ptCount val="16"/>
                <c:pt idx="0">
                  <c:v>Agriculture, hunting and forestry</c:v>
                </c:pt>
                <c:pt idx="1">
                  <c:v>Fishing</c:v>
                </c:pt>
                <c:pt idx="2">
                  <c:v>Mining and quarrying</c:v>
                </c:pt>
                <c:pt idx="3">
                  <c:v>Manufacturing</c:v>
                </c:pt>
                <c:pt idx="4">
                  <c:v>Electricity, gas and water</c:v>
                </c:pt>
                <c:pt idx="5">
                  <c:v>Construction</c:v>
                </c:pt>
                <c:pt idx="6">
                  <c:v>Wholesale and retail trade</c:v>
                </c:pt>
                <c:pt idx="7">
                  <c:v>Hotels and restaurants</c:v>
                </c:pt>
                <c:pt idx="8">
                  <c:v>Transport, storage and communications</c:v>
                </c:pt>
                <c:pt idx="9">
                  <c:v>Financial intermediation</c:v>
                </c:pt>
                <c:pt idx="10">
                  <c:v>Real estate, renting and business</c:v>
                </c:pt>
                <c:pt idx="11">
                  <c:v>Public administration and defence</c:v>
                </c:pt>
                <c:pt idx="12">
                  <c:v>Education</c:v>
                </c:pt>
                <c:pt idx="13">
                  <c:v>Health and social work</c:v>
                </c:pt>
                <c:pt idx="14">
                  <c:v>Other community and personal services</c:v>
                </c:pt>
                <c:pt idx="15">
                  <c:v>Private households with employed persons</c:v>
                </c:pt>
              </c:strCache>
            </c:strRef>
          </c:cat>
          <c:val>
            <c:numRef>
              <c:f>'Wages for sel ctries'!$Z$4:$Z$19</c:f>
              <c:numCache>
                <c:formatCode>General</c:formatCode>
                <c:ptCount val="16"/>
                <c:pt idx="0">
                  <c:v>2.21</c:v>
                </c:pt>
                <c:pt idx="1">
                  <c:v>2.2400000000000002</c:v>
                </c:pt>
                <c:pt idx="2">
                  <c:v>4.9800000000000004</c:v>
                </c:pt>
                <c:pt idx="3">
                  <c:v>1.32</c:v>
                </c:pt>
                <c:pt idx="4">
                  <c:v>17.27</c:v>
                </c:pt>
                <c:pt idx="5">
                  <c:v>3.23</c:v>
                </c:pt>
                <c:pt idx="6">
                  <c:v>2.2000000000000002</c:v>
                </c:pt>
                <c:pt idx="7">
                  <c:v>1.83</c:v>
                </c:pt>
                <c:pt idx="8">
                  <c:v>3.53</c:v>
                </c:pt>
                <c:pt idx="9">
                  <c:v>2.72</c:v>
                </c:pt>
                <c:pt idx="10">
                  <c:v>2.36</c:v>
                </c:pt>
                <c:pt idx="11">
                  <c:v>2.92</c:v>
                </c:pt>
                <c:pt idx="12">
                  <c:v>2.64</c:v>
                </c:pt>
                <c:pt idx="13">
                  <c:v>3.72</c:v>
                </c:pt>
                <c:pt idx="14">
                  <c:v>2.52</c:v>
                </c:pt>
                <c:pt idx="15">
                  <c:v>2.61</c:v>
                </c:pt>
              </c:numCache>
            </c:numRef>
          </c:val>
        </c:ser>
        <c:marker val="1"/>
        <c:axId val="134576000"/>
        <c:axId val="134577536"/>
      </c:lineChart>
      <c:catAx>
        <c:axId val="1345760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577536"/>
        <c:crosses val="autoZero"/>
        <c:auto val="1"/>
        <c:lblAlgn val="ctr"/>
        <c:lblOffset val="100"/>
      </c:catAx>
      <c:valAx>
        <c:axId val="1345775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5760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'Wages for sel ctries'!$AA$3</c:f>
              <c:strCache>
                <c:ptCount val="1"/>
                <c:pt idx="0">
                  <c:v>Office Managers and professionals</c:v>
                </c:pt>
              </c:strCache>
            </c:strRef>
          </c:tx>
          <c:spPr>
            <a:ln w="28575" cap="rnd">
              <a:solidFill>
                <a:schemeClr val="accent1"/>
              </a:solidFill>
              <a:round/>
            </a:ln>
            <a:effectLst/>
          </c:spPr>
          <c:marker>
            <c:symbol val="none"/>
          </c:marker>
          <c:cat>
            <c:strRef>
              <c:f>'Wages for sel ctries'!$U$4:$U$14</c:f>
              <c:strCache>
                <c:ptCount val="9"/>
                <c:pt idx="0">
                  <c:v>Agriculture, hunting and forestry</c:v>
                </c:pt>
                <c:pt idx="1">
                  <c:v>Fishing</c:v>
                </c:pt>
                <c:pt idx="2">
                  <c:v>Mining and quarrying</c:v>
                </c:pt>
                <c:pt idx="3">
                  <c:v>Manufacturing</c:v>
                </c:pt>
                <c:pt idx="4">
                  <c:v>Construction</c:v>
                </c:pt>
                <c:pt idx="5">
                  <c:v>Wholesale and retail trade</c:v>
                </c:pt>
                <c:pt idx="6">
                  <c:v>Hotels and restaurants</c:v>
                </c:pt>
                <c:pt idx="7">
                  <c:v>Financial intermediation</c:v>
                </c:pt>
                <c:pt idx="8">
                  <c:v>Real estate, renting and business</c:v>
                </c:pt>
              </c:strCache>
              <c:extLst/>
            </c:strRef>
          </c:cat>
          <c:val>
            <c:numRef>
              <c:f>'Wages for sel ctries'!$AA$4:$AA$14</c:f>
              <c:numCache>
                <c:formatCode>General</c:formatCode>
                <c:ptCount val="9"/>
                <c:pt idx="0">
                  <c:v>14.25</c:v>
                </c:pt>
                <c:pt idx="1">
                  <c:v>14.25</c:v>
                </c:pt>
                <c:pt idx="2">
                  <c:v>13.88</c:v>
                </c:pt>
                <c:pt idx="3">
                  <c:v>10.79</c:v>
                </c:pt>
                <c:pt idx="4">
                  <c:v>13.86000000000001</c:v>
                </c:pt>
                <c:pt idx="5">
                  <c:v>14.17</c:v>
                </c:pt>
                <c:pt idx="6">
                  <c:v>14.17</c:v>
                </c:pt>
                <c:pt idx="7">
                  <c:v>11.3</c:v>
                </c:pt>
                <c:pt idx="8">
                  <c:v>11.3</c:v>
                </c:pt>
              </c:numCache>
              <c:extLst/>
            </c:numRef>
          </c:val>
        </c:ser>
        <c:ser>
          <c:idx val="1"/>
          <c:order val="1"/>
          <c:tx>
            <c:strRef>
              <c:f>'Wages for sel ctries'!$AB$3</c:f>
              <c:strCache>
                <c:ptCount val="1"/>
                <c:pt idx="0">
                  <c:v>Technical and assistant professionals</c:v>
                </c:pt>
              </c:strCache>
            </c:strRef>
          </c:tx>
          <c:spPr>
            <a:ln w="28575" cap="rnd">
              <a:solidFill>
                <a:schemeClr val="accent2"/>
              </a:solidFill>
              <a:round/>
            </a:ln>
            <a:effectLst/>
          </c:spPr>
          <c:marker>
            <c:symbol val="none"/>
          </c:marker>
          <c:cat>
            <c:strRef>
              <c:f>'Wages for sel ctries'!$U$4:$U$14</c:f>
              <c:strCache>
                <c:ptCount val="9"/>
                <c:pt idx="0">
                  <c:v>Agriculture, hunting and forestry</c:v>
                </c:pt>
                <c:pt idx="1">
                  <c:v>Fishing</c:v>
                </c:pt>
                <c:pt idx="2">
                  <c:v>Mining and quarrying</c:v>
                </c:pt>
                <c:pt idx="3">
                  <c:v>Manufacturing</c:v>
                </c:pt>
                <c:pt idx="4">
                  <c:v>Construction</c:v>
                </c:pt>
                <c:pt idx="5">
                  <c:v>Wholesale and retail trade</c:v>
                </c:pt>
                <c:pt idx="6">
                  <c:v>Hotels and restaurants</c:v>
                </c:pt>
                <c:pt idx="7">
                  <c:v>Financial intermediation</c:v>
                </c:pt>
                <c:pt idx="8">
                  <c:v>Real estate, renting and business</c:v>
                </c:pt>
              </c:strCache>
              <c:extLst/>
            </c:strRef>
          </c:cat>
          <c:val>
            <c:numRef>
              <c:f>'Wages for sel ctries'!$AB$4:$AB$14</c:f>
              <c:numCache>
                <c:formatCode>General</c:formatCode>
                <c:ptCount val="9"/>
                <c:pt idx="0">
                  <c:v>6.6599999999999975</c:v>
                </c:pt>
                <c:pt idx="1">
                  <c:v>6.6599999999999975</c:v>
                </c:pt>
                <c:pt idx="2">
                  <c:v>6.4300000000000024</c:v>
                </c:pt>
                <c:pt idx="3">
                  <c:v>3.48</c:v>
                </c:pt>
                <c:pt idx="4">
                  <c:v>6.46</c:v>
                </c:pt>
                <c:pt idx="5">
                  <c:v>3.54</c:v>
                </c:pt>
                <c:pt idx="6">
                  <c:v>3.54</c:v>
                </c:pt>
                <c:pt idx="7">
                  <c:v>3.62</c:v>
                </c:pt>
                <c:pt idx="8">
                  <c:v>3.62</c:v>
                </c:pt>
              </c:numCache>
              <c:extLst/>
            </c:numRef>
          </c:val>
        </c:ser>
        <c:ser>
          <c:idx val="2"/>
          <c:order val="2"/>
          <c:tx>
            <c:strRef>
              <c:f>'Wages for sel ctries'!$AC$3</c:f>
              <c:strCache>
                <c:ptCount val="1"/>
                <c:pt idx="0">
                  <c:v>Clerks</c:v>
                </c:pt>
              </c:strCache>
            </c:strRef>
          </c:tx>
          <c:spPr>
            <a:ln w="28575" cap="rnd">
              <a:solidFill>
                <a:schemeClr val="accent3"/>
              </a:solidFill>
              <a:round/>
            </a:ln>
            <a:effectLst/>
          </c:spPr>
          <c:marker>
            <c:symbol val="none"/>
          </c:marker>
          <c:cat>
            <c:strRef>
              <c:f>'Wages for sel ctries'!$U$4:$U$14</c:f>
              <c:strCache>
                <c:ptCount val="9"/>
                <c:pt idx="0">
                  <c:v>Agriculture, hunting and forestry</c:v>
                </c:pt>
                <c:pt idx="1">
                  <c:v>Fishing</c:v>
                </c:pt>
                <c:pt idx="2">
                  <c:v>Mining and quarrying</c:v>
                </c:pt>
                <c:pt idx="3">
                  <c:v>Manufacturing</c:v>
                </c:pt>
                <c:pt idx="4">
                  <c:v>Construction</c:v>
                </c:pt>
                <c:pt idx="5">
                  <c:v>Wholesale and retail trade</c:v>
                </c:pt>
                <c:pt idx="6">
                  <c:v>Hotels and restaurants</c:v>
                </c:pt>
                <c:pt idx="7">
                  <c:v>Financial intermediation</c:v>
                </c:pt>
                <c:pt idx="8">
                  <c:v>Real estate, renting and business</c:v>
                </c:pt>
              </c:strCache>
              <c:extLst/>
            </c:strRef>
          </c:cat>
          <c:val>
            <c:numRef>
              <c:f>'Wages for sel ctries'!$AC$4:$AC$14</c:f>
              <c:numCache>
                <c:formatCode>General</c:formatCode>
                <c:ptCount val="9"/>
                <c:pt idx="0">
                  <c:v>8.82</c:v>
                </c:pt>
                <c:pt idx="1">
                  <c:v>8.82</c:v>
                </c:pt>
                <c:pt idx="2">
                  <c:v>8.74</c:v>
                </c:pt>
                <c:pt idx="3">
                  <c:v>5.0199999999999996</c:v>
                </c:pt>
                <c:pt idx="4">
                  <c:v>8.69</c:v>
                </c:pt>
                <c:pt idx="5">
                  <c:v>1.44</c:v>
                </c:pt>
                <c:pt idx="6">
                  <c:v>1.44</c:v>
                </c:pt>
                <c:pt idx="7">
                  <c:v>9.25</c:v>
                </c:pt>
                <c:pt idx="8">
                  <c:v>9.25</c:v>
                </c:pt>
              </c:numCache>
              <c:extLst/>
            </c:numRef>
          </c:val>
        </c:ser>
        <c:ser>
          <c:idx val="3"/>
          <c:order val="3"/>
          <c:tx>
            <c:strRef>
              <c:f>'Wages for sel ctries'!$AD$3</c:f>
              <c:strCache>
                <c:ptCount val="1"/>
                <c:pt idx="0">
                  <c:v>Service and Shop workers</c:v>
                </c:pt>
              </c:strCache>
            </c:strRef>
          </c:tx>
          <c:spPr>
            <a:ln w="28575" cap="rnd">
              <a:solidFill>
                <a:schemeClr val="accent4"/>
              </a:solidFill>
              <a:round/>
            </a:ln>
            <a:effectLst/>
          </c:spPr>
          <c:marker>
            <c:symbol val="none"/>
          </c:marker>
          <c:cat>
            <c:strRef>
              <c:f>'Wages for sel ctries'!$U$4:$U$14</c:f>
              <c:strCache>
                <c:ptCount val="9"/>
                <c:pt idx="0">
                  <c:v>Agriculture, hunting and forestry</c:v>
                </c:pt>
                <c:pt idx="1">
                  <c:v>Fishing</c:v>
                </c:pt>
                <c:pt idx="2">
                  <c:v>Mining and quarrying</c:v>
                </c:pt>
                <c:pt idx="3">
                  <c:v>Manufacturing</c:v>
                </c:pt>
                <c:pt idx="4">
                  <c:v>Construction</c:v>
                </c:pt>
                <c:pt idx="5">
                  <c:v>Wholesale and retail trade</c:v>
                </c:pt>
                <c:pt idx="6">
                  <c:v>Hotels and restaurants</c:v>
                </c:pt>
                <c:pt idx="7">
                  <c:v>Financial intermediation</c:v>
                </c:pt>
                <c:pt idx="8">
                  <c:v>Real estate, renting and business</c:v>
                </c:pt>
              </c:strCache>
              <c:extLst/>
            </c:strRef>
          </c:cat>
          <c:val>
            <c:numRef>
              <c:f>'Wages for sel ctries'!$AD$4:$AD$14</c:f>
              <c:numCache>
                <c:formatCode>General</c:formatCode>
                <c:ptCount val="9"/>
                <c:pt idx="0">
                  <c:v>3.84</c:v>
                </c:pt>
                <c:pt idx="1">
                  <c:v>3.84</c:v>
                </c:pt>
                <c:pt idx="2">
                  <c:v>3.46</c:v>
                </c:pt>
                <c:pt idx="3">
                  <c:v>0.48000000000000032</c:v>
                </c:pt>
                <c:pt idx="4">
                  <c:v>3.4899999999999998</c:v>
                </c:pt>
                <c:pt idx="5">
                  <c:v>3.13</c:v>
                </c:pt>
                <c:pt idx="6">
                  <c:v>3.13</c:v>
                </c:pt>
                <c:pt idx="7">
                  <c:v>3.2600000000000002</c:v>
                </c:pt>
                <c:pt idx="8">
                  <c:v>3.2600000000000002</c:v>
                </c:pt>
              </c:numCache>
              <c:extLst/>
            </c:numRef>
          </c:val>
        </c:ser>
        <c:ser>
          <c:idx val="4"/>
          <c:order val="4"/>
          <c:tx>
            <c:strRef>
              <c:f>'Wages for sel ctries'!$AE$3</c:f>
              <c:strCache>
                <c:ptCount val="1"/>
                <c:pt idx="0">
                  <c:v>Agricultural workers and other low skilled</c:v>
                </c:pt>
              </c:strCache>
            </c:strRef>
          </c:tx>
          <c:spPr>
            <a:ln w="28575" cap="rnd">
              <a:solidFill>
                <a:schemeClr val="accent5"/>
              </a:solidFill>
              <a:round/>
            </a:ln>
            <a:effectLst/>
          </c:spPr>
          <c:marker>
            <c:symbol val="none"/>
          </c:marker>
          <c:cat>
            <c:strRef>
              <c:f>'Wages for sel ctries'!$U$4:$U$14</c:f>
              <c:strCache>
                <c:ptCount val="9"/>
                <c:pt idx="0">
                  <c:v>Agriculture, hunting and forestry</c:v>
                </c:pt>
                <c:pt idx="1">
                  <c:v>Fishing</c:v>
                </c:pt>
                <c:pt idx="2">
                  <c:v>Mining and quarrying</c:v>
                </c:pt>
                <c:pt idx="3">
                  <c:v>Manufacturing</c:v>
                </c:pt>
                <c:pt idx="4">
                  <c:v>Construction</c:v>
                </c:pt>
                <c:pt idx="5">
                  <c:v>Wholesale and retail trade</c:v>
                </c:pt>
                <c:pt idx="6">
                  <c:v>Hotels and restaurants</c:v>
                </c:pt>
                <c:pt idx="7">
                  <c:v>Financial intermediation</c:v>
                </c:pt>
                <c:pt idx="8">
                  <c:v>Real estate, renting and business</c:v>
                </c:pt>
              </c:strCache>
              <c:extLst/>
            </c:strRef>
          </c:cat>
          <c:val>
            <c:numRef>
              <c:f>'Wages for sel ctries'!$AE$4:$AE$14</c:f>
              <c:numCache>
                <c:formatCode>General</c:formatCode>
                <c:ptCount val="9"/>
                <c:pt idx="0">
                  <c:v>0.27</c:v>
                </c:pt>
                <c:pt idx="1">
                  <c:v>0.27</c:v>
                </c:pt>
                <c:pt idx="2">
                  <c:v>7.0000000000000021E-2</c:v>
                </c:pt>
                <c:pt idx="3">
                  <c:v>0</c:v>
                </c:pt>
                <c:pt idx="4">
                  <c:v>6.0000000000000032E-2</c:v>
                </c:pt>
                <c:pt idx="5">
                  <c:v>6.4700000000000024</c:v>
                </c:pt>
                <c:pt idx="6">
                  <c:v>6.4700000000000024</c:v>
                </c:pt>
                <c:pt idx="7">
                  <c:v>2.75</c:v>
                </c:pt>
                <c:pt idx="8">
                  <c:v>2.75</c:v>
                </c:pt>
              </c:numCache>
              <c:extLst/>
            </c:numRef>
          </c:val>
        </c:ser>
        <c:marker val="1"/>
        <c:axId val="134743936"/>
        <c:axId val="134745472"/>
      </c:lineChart>
      <c:catAx>
        <c:axId val="13474393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4745472"/>
        <c:crosses val="autoZero"/>
        <c:auto val="1"/>
        <c:lblAlgn val="ctr"/>
        <c:lblOffset val="100"/>
      </c:catAx>
      <c:valAx>
        <c:axId val="13474547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743936"/>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Sheet1!$B$3</c:f>
              <c:strCache>
                <c:ptCount val="1"/>
                <c:pt idx="0">
                  <c:v>crops</c:v>
                </c:pt>
              </c:strCache>
            </c:strRef>
          </c:tx>
          <c:spPr>
            <a:solidFill>
              <a:schemeClr val="accent1"/>
            </a:solidFill>
            <a:ln>
              <a:noFill/>
            </a:ln>
            <a:effectLst/>
          </c:spPr>
          <c:cat>
            <c:strRef>
              <c:f>Sheet1!$C$2:$K$2</c:f>
              <c:strCache>
                <c:ptCount val="9"/>
                <c:pt idx="0">
                  <c:v>India </c:v>
                </c:pt>
                <c:pt idx="1">
                  <c:v>Brazil</c:v>
                </c:pt>
                <c:pt idx="2">
                  <c:v>China &amp; HK</c:v>
                </c:pt>
                <c:pt idx="3">
                  <c:v>South Africa</c:v>
                </c:pt>
                <c:pt idx="4">
                  <c:v>Least Developed</c:v>
                </c:pt>
                <c:pt idx="5">
                  <c:v>Developing</c:v>
                </c:pt>
                <c:pt idx="6">
                  <c:v>EU</c:v>
                </c:pt>
                <c:pt idx="7">
                  <c:v>North America</c:v>
                </c:pt>
                <c:pt idx="8">
                  <c:v>Other Developed</c:v>
                </c:pt>
              </c:strCache>
            </c:strRef>
          </c:cat>
          <c:val>
            <c:numRef>
              <c:f>Sheet1!$C$3:$K$3</c:f>
              <c:numCache>
                <c:formatCode>General</c:formatCode>
                <c:ptCount val="9"/>
                <c:pt idx="0">
                  <c:v>466.92899999999935</c:v>
                </c:pt>
                <c:pt idx="1">
                  <c:v>4795.0920000000024</c:v>
                </c:pt>
                <c:pt idx="2">
                  <c:v>1721.809</c:v>
                </c:pt>
                <c:pt idx="3">
                  <c:v>3537.886</c:v>
                </c:pt>
                <c:pt idx="4">
                  <c:v>1120.5</c:v>
                </c:pt>
                <c:pt idx="5">
                  <c:v>2381.3110000000029</c:v>
                </c:pt>
                <c:pt idx="6">
                  <c:v>8309.9639999999836</c:v>
                </c:pt>
                <c:pt idx="7">
                  <c:v>17968.201000000001</c:v>
                </c:pt>
                <c:pt idx="8">
                  <c:v>16337.005999999981</c:v>
                </c:pt>
              </c:numCache>
            </c:numRef>
          </c:val>
        </c:ser>
        <c:ser>
          <c:idx val="1"/>
          <c:order val="1"/>
          <c:tx>
            <c:strRef>
              <c:f>Sheet1!$B$4</c:f>
              <c:strCache>
                <c:ptCount val="1"/>
                <c:pt idx="0">
                  <c:v>Livestock</c:v>
                </c:pt>
              </c:strCache>
            </c:strRef>
          </c:tx>
          <c:spPr>
            <a:solidFill>
              <a:schemeClr val="accent2"/>
            </a:solidFill>
            <a:ln>
              <a:noFill/>
            </a:ln>
            <a:effectLst/>
          </c:spPr>
          <c:cat>
            <c:strRef>
              <c:f>Sheet1!$C$2:$K$2</c:f>
              <c:strCache>
                <c:ptCount val="9"/>
                <c:pt idx="0">
                  <c:v>India </c:v>
                </c:pt>
                <c:pt idx="1">
                  <c:v>Brazil</c:v>
                </c:pt>
                <c:pt idx="2">
                  <c:v>China &amp; HK</c:v>
                </c:pt>
                <c:pt idx="3">
                  <c:v>South Africa</c:v>
                </c:pt>
                <c:pt idx="4">
                  <c:v>Least Developed</c:v>
                </c:pt>
                <c:pt idx="5">
                  <c:v>Developing</c:v>
                </c:pt>
                <c:pt idx="6">
                  <c:v>EU</c:v>
                </c:pt>
                <c:pt idx="7">
                  <c:v>North America</c:v>
                </c:pt>
                <c:pt idx="8">
                  <c:v>Other Developed</c:v>
                </c:pt>
              </c:strCache>
            </c:strRef>
          </c:cat>
          <c:val>
            <c:numRef>
              <c:f>Sheet1!$C$4:$K$4</c:f>
              <c:numCache>
                <c:formatCode>General</c:formatCode>
                <c:ptCount val="9"/>
                <c:pt idx="0">
                  <c:v>466.92899999999935</c:v>
                </c:pt>
                <c:pt idx="1">
                  <c:v>4637.4190000000008</c:v>
                </c:pt>
                <c:pt idx="2">
                  <c:v>1726.075</c:v>
                </c:pt>
                <c:pt idx="3">
                  <c:v>3530.2089999999966</c:v>
                </c:pt>
                <c:pt idx="4">
                  <c:v>1028.1959999999999</c:v>
                </c:pt>
                <c:pt idx="5">
                  <c:v>2705.116</c:v>
                </c:pt>
                <c:pt idx="6">
                  <c:v>9714.9030000000002</c:v>
                </c:pt>
                <c:pt idx="7">
                  <c:v>17666.197</c:v>
                </c:pt>
                <c:pt idx="8">
                  <c:v>23649.616999999977</c:v>
                </c:pt>
              </c:numCache>
            </c:numRef>
          </c:val>
        </c:ser>
        <c:ser>
          <c:idx val="2"/>
          <c:order val="2"/>
          <c:tx>
            <c:strRef>
              <c:f>Sheet1!$B$5</c:f>
              <c:strCache>
                <c:ptCount val="1"/>
                <c:pt idx="0">
                  <c:v>Extraction</c:v>
                </c:pt>
              </c:strCache>
            </c:strRef>
          </c:tx>
          <c:spPr>
            <a:solidFill>
              <a:schemeClr val="accent3"/>
            </a:solidFill>
            <a:ln>
              <a:noFill/>
            </a:ln>
            <a:effectLst/>
          </c:spPr>
          <c:cat>
            <c:strRef>
              <c:f>Sheet1!$C$2:$K$2</c:f>
              <c:strCache>
                <c:ptCount val="9"/>
                <c:pt idx="0">
                  <c:v>India </c:v>
                </c:pt>
                <c:pt idx="1">
                  <c:v>Brazil</c:v>
                </c:pt>
                <c:pt idx="2">
                  <c:v>China &amp; HK</c:v>
                </c:pt>
                <c:pt idx="3">
                  <c:v>South Africa</c:v>
                </c:pt>
                <c:pt idx="4">
                  <c:v>Least Developed</c:v>
                </c:pt>
                <c:pt idx="5">
                  <c:v>Developing</c:v>
                </c:pt>
                <c:pt idx="6">
                  <c:v>EU</c:v>
                </c:pt>
                <c:pt idx="7">
                  <c:v>North America</c:v>
                </c:pt>
                <c:pt idx="8">
                  <c:v>Other Developed</c:v>
                </c:pt>
              </c:strCache>
            </c:strRef>
          </c:cat>
          <c:val>
            <c:numRef>
              <c:f>Sheet1!$C$5:$K$5</c:f>
              <c:numCache>
                <c:formatCode>General</c:formatCode>
                <c:ptCount val="9"/>
                <c:pt idx="0">
                  <c:v>1191.7339999999999</c:v>
                </c:pt>
                <c:pt idx="1">
                  <c:v>9972.9889999999814</c:v>
                </c:pt>
                <c:pt idx="2">
                  <c:v>7811.4550000000008</c:v>
                </c:pt>
                <c:pt idx="3">
                  <c:v>4975.6100000000024</c:v>
                </c:pt>
                <c:pt idx="4">
                  <c:v>988.57</c:v>
                </c:pt>
                <c:pt idx="5">
                  <c:v>4617.1780000000008</c:v>
                </c:pt>
                <c:pt idx="6">
                  <c:v>32494.623</c:v>
                </c:pt>
                <c:pt idx="7">
                  <c:v>36540.737999999998</c:v>
                </c:pt>
                <c:pt idx="8">
                  <c:v>11114.64000000001</c:v>
                </c:pt>
              </c:numCache>
            </c:numRef>
          </c:val>
        </c:ser>
        <c:ser>
          <c:idx val="3"/>
          <c:order val="3"/>
          <c:tx>
            <c:strRef>
              <c:f>Sheet1!$B$6</c:f>
              <c:strCache>
                <c:ptCount val="1"/>
                <c:pt idx="0">
                  <c:v>Food Processing</c:v>
                </c:pt>
              </c:strCache>
            </c:strRef>
          </c:tx>
          <c:spPr>
            <a:solidFill>
              <a:schemeClr val="accent4"/>
            </a:solidFill>
            <a:ln>
              <a:noFill/>
            </a:ln>
            <a:effectLst/>
          </c:spPr>
          <c:cat>
            <c:strRef>
              <c:f>Sheet1!$C$2:$K$2</c:f>
              <c:strCache>
                <c:ptCount val="9"/>
                <c:pt idx="0">
                  <c:v>India </c:v>
                </c:pt>
                <c:pt idx="1">
                  <c:v>Brazil</c:v>
                </c:pt>
                <c:pt idx="2">
                  <c:v>China &amp; HK</c:v>
                </c:pt>
                <c:pt idx="3">
                  <c:v>South Africa</c:v>
                </c:pt>
                <c:pt idx="4">
                  <c:v>Least Developed</c:v>
                </c:pt>
                <c:pt idx="5">
                  <c:v>Developing</c:v>
                </c:pt>
                <c:pt idx="6">
                  <c:v>EU</c:v>
                </c:pt>
                <c:pt idx="7">
                  <c:v>North America</c:v>
                </c:pt>
                <c:pt idx="8">
                  <c:v>Other Developed</c:v>
                </c:pt>
              </c:strCache>
            </c:strRef>
          </c:cat>
          <c:val>
            <c:numRef>
              <c:f>Sheet1!$C$6:$K$6</c:f>
              <c:numCache>
                <c:formatCode>General</c:formatCode>
                <c:ptCount val="9"/>
                <c:pt idx="0">
                  <c:v>1241.6409999999998</c:v>
                </c:pt>
                <c:pt idx="1">
                  <c:v>5934.2960000000003</c:v>
                </c:pt>
                <c:pt idx="2">
                  <c:v>7203.8720000000003</c:v>
                </c:pt>
                <c:pt idx="3">
                  <c:v>9749.0290000000005</c:v>
                </c:pt>
                <c:pt idx="4">
                  <c:v>949.12</c:v>
                </c:pt>
                <c:pt idx="5">
                  <c:v>4009.703</c:v>
                </c:pt>
                <c:pt idx="6">
                  <c:v>40797.461000000003</c:v>
                </c:pt>
                <c:pt idx="7">
                  <c:v>39217.852000000043</c:v>
                </c:pt>
                <c:pt idx="8">
                  <c:v>31768.322</c:v>
                </c:pt>
              </c:numCache>
            </c:numRef>
          </c:val>
        </c:ser>
        <c:ser>
          <c:idx val="4"/>
          <c:order val="4"/>
          <c:tx>
            <c:strRef>
              <c:f>Sheet1!$B$7</c:f>
              <c:strCache>
                <c:ptCount val="1"/>
                <c:pt idx="0">
                  <c:v>Light manufactures</c:v>
                </c:pt>
              </c:strCache>
            </c:strRef>
          </c:tx>
          <c:spPr>
            <a:solidFill>
              <a:schemeClr val="accent5"/>
            </a:solidFill>
            <a:ln>
              <a:noFill/>
            </a:ln>
            <a:effectLst/>
          </c:spPr>
          <c:cat>
            <c:strRef>
              <c:f>Sheet1!$C$2:$K$2</c:f>
              <c:strCache>
                <c:ptCount val="9"/>
                <c:pt idx="0">
                  <c:v>India </c:v>
                </c:pt>
                <c:pt idx="1">
                  <c:v>Brazil</c:v>
                </c:pt>
                <c:pt idx="2">
                  <c:v>China &amp; HK</c:v>
                </c:pt>
                <c:pt idx="3">
                  <c:v>South Africa</c:v>
                </c:pt>
                <c:pt idx="4">
                  <c:v>Least Developed</c:v>
                </c:pt>
                <c:pt idx="5">
                  <c:v>Developing</c:v>
                </c:pt>
                <c:pt idx="6">
                  <c:v>EU</c:v>
                </c:pt>
                <c:pt idx="7">
                  <c:v>North America</c:v>
                </c:pt>
                <c:pt idx="8">
                  <c:v>Other Developed</c:v>
                </c:pt>
              </c:strCache>
            </c:strRef>
          </c:cat>
          <c:val>
            <c:numRef>
              <c:f>Sheet1!$C$7:$K$7</c:f>
              <c:numCache>
                <c:formatCode>General</c:formatCode>
                <c:ptCount val="9"/>
                <c:pt idx="0">
                  <c:v>1241.6419999999998</c:v>
                </c:pt>
                <c:pt idx="1">
                  <c:v>5934.2960000000003</c:v>
                </c:pt>
                <c:pt idx="2">
                  <c:v>7377.9610000000002</c:v>
                </c:pt>
                <c:pt idx="3">
                  <c:v>9749.0300000000007</c:v>
                </c:pt>
                <c:pt idx="4">
                  <c:v>773.59500000000003</c:v>
                </c:pt>
                <c:pt idx="5">
                  <c:v>4763.7349999999997</c:v>
                </c:pt>
                <c:pt idx="6">
                  <c:v>41599.726999999999</c:v>
                </c:pt>
                <c:pt idx="7">
                  <c:v>42760.879000000001</c:v>
                </c:pt>
                <c:pt idx="8">
                  <c:v>32276.701000000001</c:v>
                </c:pt>
              </c:numCache>
            </c:numRef>
          </c:val>
        </c:ser>
        <c:ser>
          <c:idx val="5"/>
          <c:order val="5"/>
          <c:tx>
            <c:strRef>
              <c:f>Sheet1!$B$8</c:f>
              <c:strCache>
                <c:ptCount val="1"/>
                <c:pt idx="0">
                  <c:v>Heavy manufactures</c:v>
                </c:pt>
              </c:strCache>
            </c:strRef>
          </c:tx>
          <c:spPr>
            <a:solidFill>
              <a:schemeClr val="accent6"/>
            </a:solidFill>
            <a:ln>
              <a:noFill/>
            </a:ln>
            <a:effectLst/>
          </c:spPr>
          <c:cat>
            <c:strRef>
              <c:f>Sheet1!$C$2:$K$2</c:f>
              <c:strCache>
                <c:ptCount val="9"/>
                <c:pt idx="0">
                  <c:v>India </c:v>
                </c:pt>
                <c:pt idx="1">
                  <c:v>Brazil</c:v>
                </c:pt>
                <c:pt idx="2">
                  <c:v>China &amp; HK</c:v>
                </c:pt>
                <c:pt idx="3">
                  <c:v>South Africa</c:v>
                </c:pt>
                <c:pt idx="4">
                  <c:v>Least Developed</c:v>
                </c:pt>
                <c:pt idx="5">
                  <c:v>Developing</c:v>
                </c:pt>
                <c:pt idx="6">
                  <c:v>EU</c:v>
                </c:pt>
                <c:pt idx="7">
                  <c:v>North America</c:v>
                </c:pt>
                <c:pt idx="8">
                  <c:v>Other Developed</c:v>
                </c:pt>
              </c:strCache>
            </c:strRef>
          </c:cat>
          <c:val>
            <c:numRef>
              <c:f>Sheet1!$C$8:$K$8</c:f>
              <c:numCache>
                <c:formatCode>General</c:formatCode>
                <c:ptCount val="9"/>
                <c:pt idx="0">
                  <c:v>1241.6409999999998</c:v>
                </c:pt>
                <c:pt idx="1">
                  <c:v>5934.2960000000003</c:v>
                </c:pt>
                <c:pt idx="2">
                  <c:v>7051.3270000000002</c:v>
                </c:pt>
                <c:pt idx="3">
                  <c:v>9749.0310000000009</c:v>
                </c:pt>
                <c:pt idx="4">
                  <c:v>995.745</c:v>
                </c:pt>
                <c:pt idx="5">
                  <c:v>4869.6110000000044</c:v>
                </c:pt>
                <c:pt idx="6">
                  <c:v>42404.211000000003</c:v>
                </c:pt>
                <c:pt idx="7">
                  <c:v>40355.715000000004</c:v>
                </c:pt>
                <c:pt idx="8">
                  <c:v>31607.067999999999</c:v>
                </c:pt>
              </c:numCache>
            </c:numRef>
          </c:val>
        </c:ser>
        <c:ser>
          <c:idx val="6"/>
          <c:order val="6"/>
          <c:tx>
            <c:strRef>
              <c:f>Sheet1!$B$9</c:f>
              <c:strCache>
                <c:ptCount val="1"/>
                <c:pt idx="0">
                  <c:v>Utilities &amp; construction</c:v>
                </c:pt>
              </c:strCache>
            </c:strRef>
          </c:tx>
          <c:spPr>
            <a:solidFill>
              <a:schemeClr val="accent1">
                <a:lumMod val="60000"/>
              </a:schemeClr>
            </a:solidFill>
            <a:ln>
              <a:noFill/>
            </a:ln>
            <a:effectLst/>
          </c:spPr>
          <c:cat>
            <c:strRef>
              <c:f>Sheet1!$C$2:$K$2</c:f>
              <c:strCache>
                <c:ptCount val="9"/>
                <c:pt idx="0">
                  <c:v>India </c:v>
                </c:pt>
                <c:pt idx="1">
                  <c:v>Brazil</c:v>
                </c:pt>
                <c:pt idx="2">
                  <c:v>China &amp; HK</c:v>
                </c:pt>
                <c:pt idx="3">
                  <c:v>South Africa</c:v>
                </c:pt>
                <c:pt idx="4">
                  <c:v>Least Developed</c:v>
                </c:pt>
                <c:pt idx="5">
                  <c:v>Developing</c:v>
                </c:pt>
                <c:pt idx="6">
                  <c:v>EU</c:v>
                </c:pt>
                <c:pt idx="7">
                  <c:v>North America</c:v>
                </c:pt>
                <c:pt idx="8">
                  <c:v>Other Developed</c:v>
                </c:pt>
              </c:strCache>
            </c:strRef>
          </c:cat>
          <c:val>
            <c:numRef>
              <c:f>Sheet1!$C$9:$K$9</c:f>
              <c:numCache>
                <c:formatCode>General</c:formatCode>
                <c:ptCount val="9"/>
                <c:pt idx="0">
                  <c:v>3781.5340000000001</c:v>
                </c:pt>
                <c:pt idx="1">
                  <c:v>10347.722000000011</c:v>
                </c:pt>
                <c:pt idx="2">
                  <c:v>3716.1390000000001</c:v>
                </c:pt>
                <c:pt idx="3">
                  <c:v>6703.7910000000002</c:v>
                </c:pt>
                <c:pt idx="4">
                  <c:v>1624.3539999999998</c:v>
                </c:pt>
                <c:pt idx="5">
                  <c:v>4482.5450000000001</c:v>
                </c:pt>
                <c:pt idx="6">
                  <c:v>26338.305</c:v>
                </c:pt>
                <c:pt idx="7">
                  <c:v>34217.805</c:v>
                </c:pt>
                <c:pt idx="8">
                  <c:v>27168.673999999992</c:v>
                </c:pt>
              </c:numCache>
            </c:numRef>
          </c:val>
        </c:ser>
        <c:ser>
          <c:idx val="7"/>
          <c:order val="7"/>
          <c:tx>
            <c:strRef>
              <c:f>Sheet1!$B$10</c:f>
              <c:strCache>
                <c:ptCount val="1"/>
                <c:pt idx="0">
                  <c:v>Trade &amp; Transport</c:v>
                </c:pt>
              </c:strCache>
            </c:strRef>
          </c:tx>
          <c:spPr>
            <a:solidFill>
              <a:schemeClr val="accent2">
                <a:lumMod val="60000"/>
              </a:schemeClr>
            </a:solidFill>
            <a:ln>
              <a:noFill/>
            </a:ln>
            <a:effectLst/>
          </c:spPr>
          <c:cat>
            <c:strRef>
              <c:f>Sheet1!$C$2:$K$2</c:f>
              <c:strCache>
                <c:ptCount val="9"/>
                <c:pt idx="0">
                  <c:v>India </c:v>
                </c:pt>
                <c:pt idx="1">
                  <c:v>Brazil</c:v>
                </c:pt>
                <c:pt idx="2">
                  <c:v>China &amp; HK</c:v>
                </c:pt>
                <c:pt idx="3">
                  <c:v>South Africa</c:v>
                </c:pt>
                <c:pt idx="4">
                  <c:v>Least Developed</c:v>
                </c:pt>
                <c:pt idx="5">
                  <c:v>Developing</c:v>
                </c:pt>
                <c:pt idx="6">
                  <c:v>EU</c:v>
                </c:pt>
                <c:pt idx="7">
                  <c:v>North America</c:v>
                </c:pt>
                <c:pt idx="8">
                  <c:v>Other Developed</c:v>
                </c:pt>
              </c:strCache>
            </c:strRef>
          </c:cat>
          <c:val>
            <c:numRef>
              <c:f>Sheet1!$C$10:$K$10</c:f>
              <c:numCache>
                <c:formatCode>General</c:formatCode>
                <c:ptCount val="9"/>
                <c:pt idx="0">
                  <c:v>5977.049</c:v>
                </c:pt>
                <c:pt idx="1">
                  <c:v>5408.915</c:v>
                </c:pt>
                <c:pt idx="2">
                  <c:v>5060.4550000000008</c:v>
                </c:pt>
                <c:pt idx="3">
                  <c:v>5102.6850000000004</c:v>
                </c:pt>
                <c:pt idx="4">
                  <c:v>735.29000000000053</c:v>
                </c:pt>
                <c:pt idx="5">
                  <c:v>2255.9740000000002</c:v>
                </c:pt>
                <c:pt idx="6">
                  <c:v>14500.585999999981</c:v>
                </c:pt>
                <c:pt idx="7">
                  <c:v>39075.438000000002</c:v>
                </c:pt>
                <c:pt idx="8">
                  <c:v>19056.598000000005</c:v>
                </c:pt>
              </c:numCache>
            </c:numRef>
          </c:val>
        </c:ser>
        <c:ser>
          <c:idx val="8"/>
          <c:order val="8"/>
          <c:tx>
            <c:strRef>
              <c:f>Sheet1!$B$11</c:f>
              <c:strCache>
                <c:ptCount val="1"/>
                <c:pt idx="0">
                  <c:v>Other services</c:v>
                </c:pt>
              </c:strCache>
            </c:strRef>
          </c:tx>
          <c:spPr>
            <a:solidFill>
              <a:schemeClr val="accent3">
                <a:lumMod val="60000"/>
              </a:schemeClr>
            </a:solidFill>
            <a:ln>
              <a:noFill/>
            </a:ln>
            <a:effectLst/>
          </c:spPr>
          <c:cat>
            <c:strRef>
              <c:f>Sheet1!$C$2:$K$2</c:f>
              <c:strCache>
                <c:ptCount val="9"/>
                <c:pt idx="0">
                  <c:v>India </c:v>
                </c:pt>
                <c:pt idx="1">
                  <c:v>Brazil</c:v>
                </c:pt>
                <c:pt idx="2">
                  <c:v>China &amp; HK</c:v>
                </c:pt>
                <c:pt idx="3">
                  <c:v>South Africa</c:v>
                </c:pt>
                <c:pt idx="4">
                  <c:v>Least Developed</c:v>
                </c:pt>
                <c:pt idx="5">
                  <c:v>Developing</c:v>
                </c:pt>
                <c:pt idx="6">
                  <c:v>EU</c:v>
                </c:pt>
                <c:pt idx="7">
                  <c:v>North America</c:v>
                </c:pt>
                <c:pt idx="8">
                  <c:v>Other Developed</c:v>
                </c:pt>
              </c:strCache>
            </c:strRef>
          </c:cat>
          <c:val>
            <c:numRef>
              <c:f>Sheet1!$C$11:$K$11</c:f>
              <c:numCache>
                <c:formatCode>General</c:formatCode>
                <c:ptCount val="9"/>
                <c:pt idx="0">
                  <c:v>2526.2710000000002</c:v>
                </c:pt>
                <c:pt idx="1">
                  <c:v>9181.2870000000003</c:v>
                </c:pt>
                <c:pt idx="2">
                  <c:v>6178.2910000000002</c:v>
                </c:pt>
                <c:pt idx="3">
                  <c:v>6268.1670000000004</c:v>
                </c:pt>
                <c:pt idx="4">
                  <c:v>1258.232</c:v>
                </c:pt>
                <c:pt idx="5">
                  <c:v>4419.1590000000024</c:v>
                </c:pt>
                <c:pt idx="6">
                  <c:v>26190.543000000001</c:v>
                </c:pt>
                <c:pt idx="7">
                  <c:v>43492.421999999999</c:v>
                </c:pt>
                <c:pt idx="8">
                  <c:v>28237.092000000001</c:v>
                </c:pt>
              </c:numCache>
            </c:numRef>
          </c:val>
        </c:ser>
        <c:gapWidth val="300"/>
        <c:axId val="147297408"/>
        <c:axId val="147298944"/>
      </c:barChart>
      <c:catAx>
        <c:axId val="14729740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47298944"/>
        <c:crosses val="autoZero"/>
        <c:auto val="1"/>
        <c:lblAlgn val="ctr"/>
        <c:lblOffset val="100"/>
      </c:catAx>
      <c:valAx>
        <c:axId val="147298944"/>
        <c:scaling>
          <c:orientation val="minMax"/>
        </c:scaling>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Annual</a:t>
                </a:r>
                <a:r>
                  <a:rPr lang="en-US" baseline="0"/>
                  <a:t> wage $US</a:t>
                </a:r>
                <a:endParaRPr lang="en-US"/>
              </a:p>
            </c:rich>
          </c:tx>
          <c:spPr>
            <a:noFill/>
            <a:ln>
              <a:noFill/>
            </a:ln>
            <a:effectLst/>
          </c:spPr>
        </c:title>
        <c:numFmt formatCode="General"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297408"/>
        <c:crosses val="autoZero"/>
        <c:crossBetween val="between"/>
      </c:valAx>
      <c:spPr>
        <a:noFill/>
        <a:ln>
          <a:noFill/>
        </a:ln>
        <a:effectLst/>
      </c:spPr>
    </c:plotArea>
    <c:legend>
      <c:legendPos val="r"/>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9654</Words>
  <Characters>55029</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USNA</Company>
  <LinksUpToDate>false</LinksUpToDate>
  <CharactersWithSpaces>64554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Karen</cp:lastModifiedBy>
  <cp:revision>4</cp:revision>
  <dcterms:created xsi:type="dcterms:W3CDTF">2016-04-15T02:18:00Z</dcterms:created>
  <dcterms:modified xsi:type="dcterms:W3CDTF">2016-04-15T02:25:00Z</dcterms:modified>
</cp:coreProperties>
</file>