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065" w:rsidRPr="00FD3167" w:rsidRDefault="005E1065" w:rsidP="005E1065">
      <w:pPr>
        <w:pStyle w:val="Title"/>
      </w:pPr>
      <w:bookmarkStart w:id="0" w:name="_Toc438461752"/>
      <w:bookmarkStart w:id="1" w:name="_Toc444258124"/>
      <w:r w:rsidRPr="00FD3167">
        <w:t xml:space="preserve">Structural </w:t>
      </w:r>
      <w:r>
        <w:t>Reform</w:t>
      </w:r>
      <w:r w:rsidRPr="00FD3167">
        <w:t xml:space="preserve"> in the Gulf Cooperation Council– Case Study (1) Taxation Reform in Saudi Arabia</w:t>
      </w:r>
    </w:p>
    <w:p w:rsidR="005E1065" w:rsidRDefault="005E1065" w:rsidP="005E1065">
      <w:pPr>
        <w:pStyle w:val="Subtitle"/>
        <w:rPr>
          <w:lang w:val="en-AU"/>
        </w:rPr>
      </w:pPr>
      <w:r>
        <w:rPr>
          <w:lang w:val="en-AU"/>
        </w:rPr>
        <w:t>Philip Adams and Louise Roos</w:t>
      </w:r>
    </w:p>
    <w:p w:rsidR="005E1065" w:rsidRDefault="005E1065" w:rsidP="005E1065">
      <w:pPr>
        <w:pStyle w:val="Subtitle"/>
        <w:rPr>
          <w:lang w:val="en-AU"/>
        </w:rPr>
      </w:pPr>
      <w:r>
        <w:rPr>
          <w:lang w:val="en-AU"/>
        </w:rPr>
        <w:t>Centre of Policy Studies, Victoria University</w:t>
      </w:r>
    </w:p>
    <w:p w:rsidR="005E1065" w:rsidRDefault="005E1065" w:rsidP="005E1065">
      <w:pPr>
        <w:pStyle w:val="Subtitle"/>
        <w:rPr>
          <w:lang w:val="en-AU"/>
        </w:rPr>
      </w:pPr>
      <w:r>
        <w:rPr>
          <w:lang w:val="en-AU"/>
        </w:rPr>
        <w:t>13 April 2016.</w:t>
      </w:r>
    </w:p>
    <w:p w:rsidR="005E1065" w:rsidRDefault="005E1065" w:rsidP="005E1065">
      <w:pPr>
        <w:pStyle w:val="Heading1"/>
      </w:pPr>
      <w:r>
        <w:t>Abstract</w:t>
      </w:r>
    </w:p>
    <w:p w:rsidR="005E1065" w:rsidRDefault="005E1065" w:rsidP="005E1065">
      <w:r w:rsidRPr="001C28D0">
        <w:t>The</w:t>
      </w:r>
      <w:r>
        <w:t xml:space="preserve"> Gulf Cooperation Council (GCC) (or more formally the Cooperation Council for the Arab States of the Gulf) is a regional intergovernmental economic union. The union consists of all Arab states in the Persian Gulf, except for Iraq. Thus, currently, its member states are Bahrain, Kuwait, Oman, Qatar, Saudi Arabia and the United Arab Emirates. Past discussions have been held to include Jordan and Morocco in this group.</w:t>
      </w:r>
    </w:p>
    <w:p w:rsidR="005E1065" w:rsidRDefault="005E1065" w:rsidP="005E1065">
      <w:r>
        <w:t xml:space="preserve">The members of the GCC have a number of common features. </w:t>
      </w:r>
      <w:r w:rsidRPr="008F2056">
        <w:t>All current member states are</w:t>
      </w:r>
      <w:r>
        <w:t xml:space="preserve"> monarchies, all have economies that rely on the production of Hydrocarbons for export, and all have fiscal structures that provide large subsidies on local consumption of energy financed from oil and gas income.</w:t>
      </w:r>
    </w:p>
    <w:p w:rsidR="005E1065" w:rsidRDefault="005E1065" w:rsidP="005E1065">
      <w:r>
        <w:t xml:space="preserve">Another common feature is that all of the economies are facing significant long-term pressure for structural reform due to declining hydrocarbon reserves. Currently, this pressure is exacerbated by the falling price of oil, from around $US110 per barrel in 2014 to less than $US35 per barrel at the start of 2016. Whether or not the price of oil will rise back to triple digits over the next decade is an open question. But what is not subject to debate is the need for the GCC economies to reform their economies. </w:t>
      </w:r>
    </w:p>
    <w:p w:rsidR="005E1065" w:rsidRDefault="005E1065" w:rsidP="005E1065">
      <w:r>
        <w:t>In nearly all cases, reform must start with fiscal consolidation. By this is meant reducing budget deficits that are caused by oil and gas revenues, not taxes, paying for free education and health care and for subsidised energy, water and housing. Note that in most of the regions, around 90 per cent of fiscal revenue comes from oil and gas profits earned by state owned enterprises.</w:t>
      </w:r>
    </w:p>
    <w:p w:rsidR="005E1065" w:rsidRDefault="005E1065" w:rsidP="005E1065">
      <w:r>
        <w:t xml:space="preserve">Over the past three years the Centre of Policy Studies has been employed by governments within the GCC to examine issues of structural reform. </w:t>
      </w:r>
      <w:r w:rsidRPr="003003EF">
        <w:t>Clients include: the Jordanian Ministry of Planning and International Cooperation t</w:t>
      </w:r>
      <w:r>
        <w:t>hrough Leading Point Management;</w:t>
      </w:r>
      <w:r w:rsidRPr="003003EF">
        <w:t xml:space="preserve"> the government of Oman (throug</w:t>
      </w:r>
      <w:r>
        <w:t>h the Sultan Qaboos University); and</w:t>
      </w:r>
      <w:r w:rsidRPr="003003EF">
        <w:t xml:space="preserve"> the Saudi Arabian Ministry of Commerce and Industry</w:t>
      </w:r>
      <w:r>
        <w:t>. Each of these projects has involved the construction of a single-country Computable General Equilibrium (CGE) model and database for a contemporaneous year of record, and modelling reports dealing with key issues facing the specific country. In this paper we report on one such exercise conducted for the Saudi Government, in which various new taxation options are examined, along with the efficacy of the current system of energy subsidies.</w:t>
      </w:r>
    </w:p>
    <w:p w:rsidR="005E1065" w:rsidRDefault="005E1065" w:rsidP="005E1065">
      <w:r>
        <w:lastRenderedPageBreak/>
        <w:t xml:space="preserve">The Saudi model is called the Saudi Applied General Equilibrium (SAGE) model. Its </w:t>
      </w:r>
      <w:r w:rsidRPr="004D5CF7">
        <w:t xml:space="preserve">core data are calibrated to the 2010 Supply Use Table (SUT) complemented by </w:t>
      </w:r>
      <w:r>
        <w:t xml:space="preserve">other National Accounts </w:t>
      </w:r>
      <w:r w:rsidRPr="004D5CF7">
        <w:t xml:space="preserve">data published by the Central Department </w:t>
      </w:r>
      <w:r>
        <w:t xml:space="preserve">of Statistics (CDS). It is </w:t>
      </w:r>
      <w:r w:rsidRPr="004D5CF7">
        <w:t>updated to 201</w:t>
      </w:r>
      <w:r>
        <w:t>4</w:t>
      </w:r>
      <w:r w:rsidRPr="004D5CF7">
        <w:t>, the latest year for which published data are available at the time of the project, using data from CDS for the period 2011-2013</w:t>
      </w:r>
      <w:r>
        <w:t xml:space="preserve">. </w:t>
      </w:r>
      <w:r w:rsidRPr="004D5CF7">
        <w:t>The</w:t>
      </w:r>
      <w:r>
        <w:t xml:space="preserve"> SAGE database for 2014 includes data for 59 commodities produced by 59 industries.</w:t>
      </w:r>
    </w:p>
    <w:p w:rsidR="005E1065" w:rsidRPr="00C76F20" w:rsidRDefault="005E1065" w:rsidP="005E1065">
      <w:r>
        <w:t xml:space="preserve">It is expected that the modelling will cover: </w:t>
      </w:r>
    </w:p>
    <w:p w:rsidR="005E1065" w:rsidRPr="008356B4" w:rsidRDefault="005E1065" w:rsidP="005E1065">
      <w:pPr>
        <w:pStyle w:val="ListParagraph"/>
        <w:numPr>
          <w:ilvl w:val="0"/>
          <w:numId w:val="7"/>
        </w:numPr>
        <w:spacing w:after="200"/>
      </w:pPr>
      <w:r w:rsidRPr="008356B4">
        <w:t>Energy and Utility price reform;</w:t>
      </w:r>
    </w:p>
    <w:p w:rsidR="005E1065" w:rsidRPr="008356B4" w:rsidRDefault="005E1065" w:rsidP="005E1065">
      <w:pPr>
        <w:pStyle w:val="ListParagraph"/>
        <w:numPr>
          <w:ilvl w:val="0"/>
          <w:numId w:val="7"/>
        </w:numPr>
        <w:spacing w:after="200"/>
      </w:pPr>
      <w:r w:rsidRPr="008356B4">
        <w:t>Changes to the Net worth tax (Zakat)</w:t>
      </w:r>
      <w:r>
        <w:rPr>
          <w:rStyle w:val="FootnoteReference"/>
        </w:rPr>
        <w:footnoteReference w:id="1"/>
      </w:r>
      <w:r w:rsidRPr="008356B4">
        <w:t xml:space="preserve">; and </w:t>
      </w:r>
    </w:p>
    <w:p w:rsidR="005E1065" w:rsidRPr="008356B4" w:rsidRDefault="005E1065" w:rsidP="005E1065">
      <w:pPr>
        <w:pStyle w:val="ListParagraph"/>
        <w:numPr>
          <w:ilvl w:val="0"/>
          <w:numId w:val="7"/>
        </w:numPr>
        <w:spacing w:after="200"/>
      </w:pPr>
      <w:r w:rsidRPr="008356B4">
        <w:t>The introduction of a range of new taxes and charges including an expatriates’ income tax, a Non-Saudi Corporate Tax, a land value tax, traffic and legal violations penalties and  public service fees.</w:t>
      </w:r>
    </w:p>
    <w:p w:rsidR="005E1065" w:rsidRDefault="005E1065" w:rsidP="005E1065">
      <w:r>
        <w:t>At the time of writing this abstract, a simulation of the economic impacts of the removal of subsidies on refined petroleum and electricity had been run and reported.</w:t>
      </w:r>
    </w:p>
    <w:p w:rsidR="005E1065" w:rsidRDefault="005E1065" w:rsidP="005E1065">
      <w:r>
        <w:t>Based on estimates from the SAGE baseline, in 2014 subsidies on the use of petroleum products and electricity are equivalent in value to 9.9 per cent of GDP. For the energy and utility price scenario, it was assumed that the subsidies present in the baseline are cut to zero in a linear way between 2015 and 2018. Cutting the subsidies will cause the purchasers’ price of petroleum products to increase by around 260 per cent, and the users’ price of electricity to increase by about 75 per cent.</w:t>
      </w:r>
    </w:p>
    <w:p w:rsidR="005E1065" w:rsidRDefault="005E1065" w:rsidP="005E1065">
      <w:r>
        <w:t>It is assumed that the monies saved from the removal of these subsidies are returned partly to the directly affected industries (petroleum products and electricity) to ensure that investments planned from 2015 onwards are not affected by the reduction in demand as the subsidies are removed. The remainder is handed to households as a non-distorting lump sum payment.</w:t>
      </w:r>
    </w:p>
    <w:p w:rsidR="005E1065" w:rsidRDefault="005E1065" w:rsidP="005E1065">
      <w:r>
        <w:t xml:space="preserve">Key findings are: </w:t>
      </w:r>
    </w:p>
    <w:p w:rsidR="005E1065" w:rsidRPr="001E2965" w:rsidRDefault="005E1065" w:rsidP="005E1065">
      <w:pPr>
        <w:pStyle w:val="ListParagraph"/>
        <w:numPr>
          <w:ilvl w:val="0"/>
          <w:numId w:val="8"/>
        </w:numPr>
        <w:spacing w:after="200"/>
        <w:rPr>
          <w:bCs/>
        </w:rPr>
      </w:pPr>
      <w:r w:rsidRPr="001E2965">
        <w:rPr>
          <w:bCs/>
        </w:rPr>
        <w:t>In the short run, removing the energy subsidies cause</w:t>
      </w:r>
      <w:r>
        <w:rPr>
          <w:bCs/>
        </w:rPr>
        <w:t>s</w:t>
      </w:r>
      <w:r w:rsidRPr="001E2965">
        <w:rPr>
          <w:bCs/>
        </w:rPr>
        <w:t xml:space="preserve"> employment to fall relative to its baseline level. Over time, the employment deviation is progressively eliminated as the real wage rate adjusts. In the long-run employment rises slightly relative to its baseline level due to compositional shifts in the economy.</w:t>
      </w:r>
    </w:p>
    <w:p w:rsidR="005E1065" w:rsidRPr="001E2965" w:rsidRDefault="005E1065" w:rsidP="005E1065">
      <w:pPr>
        <w:pStyle w:val="ListParagraph"/>
        <w:numPr>
          <w:ilvl w:val="0"/>
          <w:numId w:val="8"/>
        </w:numPr>
        <w:spacing w:after="200"/>
        <w:rPr>
          <w:bCs/>
        </w:rPr>
      </w:pPr>
      <w:r w:rsidRPr="001E2965">
        <w:rPr>
          <w:bCs/>
        </w:rPr>
        <w:t xml:space="preserve">Removal of the energy subsidies reduces </w:t>
      </w:r>
      <w:r>
        <w:rPr>
          <w:bCs/>
        </w:rPr>
        <w:t xml:space="preserve">productivite </w:t>
      </w:r>
      <w:r w:rsidRPr="001E2965">
        <w:rPr>
          <w:bCs/>
        </w:rPr>
        <w:t>capital slightly. In the short-run the economy’s labour/capital ratio falls. In the long-run it rises.</w:t>
      </w:r>
    </w:p>
    <w:p w:rsidR="005E1065" w:rsidRPr="001E2965" w:rsidRDefault="005E1065" w:rsidP="005E1065">
      <w:pPr>
        <w:pStyle w:val="ListParagraph"/>
        <w:numPr>
          <w:ilvl w:val="0"/>
          <w:numId w:val="8"/>
        </w:numPr>
        <w:spacing w:after="200"/>
        <w:rPr>
          <w:bCs/>
        </w:rPr>
      </w:pPr>
      <w:r w:rsidRPr="001E2965">
        <w:rPr>
          <w:bCs/>
        </w:rPr>
        <w:t>Removing the energy subsidies eliminates a large distortion in the economy. This improves the efficiency of resource use, such that even though employment and capital in most years fall relative to baseline levels, real GDP rises.</w:t>
      </w:r>
    </w:p>
    <w:p w:rsidR="005E1065" w:rsidRPr="001E2965" w:rsidRDefault="005E1065" w:rsidP="005E1065">
      <w:pPr>
        <w:pStyle w:val="ListParagraph"/>
        <w:numPr>
          <w:ilvl w:val="0"/>
          <w:numId w:val="8"/>
        </w:numPr>
        <w:spacing w:after="200"/>
        <w:rPr>
          <w:bCs/>
        </w:rPr>
      </w:pPr>
      <w:r w:rsidRPr="001E2965">
        <w:rPr>
          <w:bCs/>
        </w:rPr>
        <w:t>Removing the electricity subsidy increases real consumption (private plus public) and, hence, improves the overall welfare of the population.</w:t>
      </w:r>
    </w:p>
    <w:p w:rsidR="005E1065" w:rsidRPr="00BE2680" w:rsidRDefault="005E1065" w:rsidP="005E1065">
      <w:pPr>
        <w:pStyle w:val="ListParagraph"/>
        <w:numPr>
          <w:ilvl w:val="0"/>
          <w:numId w:val="8"/>
        </w:numPr>
        <w:spacing w:after="200"/>
        <w:rPr>
          <w:bCs/>
        </w:rPr>
      </w:pPr>
      <w:r w:rsidRPr="00BE2680">
        <w:rPr>
          <w:bCs/>
        </w:rPr>
        <w:lastRenderedPageBreak/>
        <w:t>Removing the energy subsidies leads to an improvement in the net volume of trade, while leading to a mixed outcome for industries. Production for some industries increases relative to baseline, while production in other industries falls.</w:t>
      </w:r>
    </w:p>
    <w:p w:rsidR="005E1065" w:rsidRPr="00FD3167" w:rsidRDefault="005E1065" w:rsidP="005E1065"/>
    <w:p w:rsidR="00BA0C3A" w:rsidRDefault="00BA0C3A" w:rsidP="0041431E">
      <w:r w:rsidRPr="00412245">
        <w:rPr>
          <w:b/>
        </w:rPr>
        <w:t>Keywords</w:t>
      </w:r>
      <w:r w:rsidR="00C32A1B" w:rsidRPr="00412245">
        <w:rPr>
          <w:b/>
        </w:rPr>
        <w:t>:</w:t>
      </w:r>
      <w:r>
        <w:t xml:space="preserve"> Computable general equilibrium (CGE). Middle East, </w:t>
      </w:r>
      <w:r w:rsidR="003D119B">
        <w:t>Energy Subsidies</w:t>
      </w:r>
    </w:p>
    <w:p w:rsidR="00BA0C3A" w:rsidRDefault="00BA0C3A" w:rsidP="0041431E"/>
    <w:p w:rsidR="00BA0C3A" w:rsidRDefault="00BA0C3A" w:rsidP="0041431E">
      <w:r w:rsidRPr="00412245">
        <w:rPr>
          <w:b/>
        </w:rPr>
        <w:t>JEL Classification</w:t>
      </w:r>
      <w:r w:rsidR="00C32A1B" w:rsidRPr="00412245">
        <w:rPr>
          <w:b/>
        </w:rPr>
        <w:t>:</w:t>
      </w:r>
      <w:r w:rsidR="003D119B">
        <w:tab/>
        <w:t xml:space="preserve">C68, D58, </w:t>
      </w:r>
      <w:r w:rsidR="00EE7CC1">
        <w:t xml:space="preserve">E63, </w:t>
      </w:r>
      <w:r w:rsidR="00C32A1B">
        <w:t>O53</w:t>
      </w:r>
    </w:p>
    <w:p w:rsidR="0041431E" w:rsidRDefault="0041431E">
      <w:pPr>
        <w:spacing w:after="200"/>
        <w:rPr>
          <w:b/>
          <w:sz w:val="32"/>
          <w:szCs w:val="48"/>
        </w:rPr>
      </w:pPr>
      <w:r>
        <w:br w:type="page"/>
      </w:r>
    </w:p>
    <w:sdt>
      <w:sdtPr>
        <w:rPr>
          <w:rFonts w:ascii="Arial" w:eastAsiaTheme="minorEastAsia" w:hAnsi="Arial" w:cstheme="minorBidi"/>
          <w:b w:val="0"/>
          <w:bCs w:val="0"/>
          <w:color w:val="auto"/>
          <w:sz w:val="22"/>
          <w:szCs w:val="24"/>
          <w:lang w:val="en-AU" w:eastAsia="en-US"/>
        </w:rPr>
        <w:id w:val="219865427"/>
        <w:docPartObj>
          <w:docPartGallery w:val="Table of Contents"/>
          <w:docPartUnique/>
        </w:docPartObj>
      </w:sdtPr>
      <w:sdtEndPr>
        <w:rPr>
          <w:noProof/>
        </w:rPr>
      </w:sdtEndPr>
      <w:sdtContent>
        <w:p w:rsidR="0041431E" w:rsidRDefault="0041431E">
          <w:pPr>
            <w:pStyle w:val="TOCHeading"/>
          </w:pPr>
          <w:r>
            <w:t>Contents</w:t>
          </w:r>
        </w:p>
        <w:p w:rsidR="00124D38" w:rsidRDefault="0041431E">
          <w:pPr>
            <w:pStyle w:val="TOC1"/>
            <w:tabs>
              <w:tab w:val="left" w:pos="440"/>
              <w:tab w:val="right" w:leader="dot" w:pos="9016"/>
            </w:tabs>
            <w:rPr>
              <w:rFonts w:asciiTheme="minorHAnsi" w:hAnsiTheme="minorHAnsi"/>
              <w:noProof/>
              <w:szCs w:val="22"/>
              <w:lang w:eastAsia="en-AU"/>
            </w:rPr>
          </w:pPr>
          <w:r>
            <w:fldChar w:fldCharType="begin"/>
          </w:r>
          <w:r>
            <w:instrText xml:space="preserve"> TOC \o "1-3" \h \z \u </w:instrText>
          </w:r>
          <w:r>
            <w:fldChar w:fldCharType="separate"/>
          </w:r>
          <w:hyperlink w:anchor="_Toc448504465" w:history="1">
            <w:r w:rsidR="00124D38" w:rsidRPr="00362618">
              <w:rPr>
                <w:rStyle w:val="Hyperlink"/>
                <w:noProof/>
              </w:rPr>
              <w:t>1</w:t>
            </w:r>
            <w:r w:rsidR="00124D38">
              <w:rPr>
                <w:rFonts w:asciiTheme="minorHAnsi" w:hAnsiTheme="minorHAnsi"/>
                <w:noProof/>
                <w:szCs w:val="22"/>
                <w:lang w:eastAsia="en-AU"/>
              </w:rPr>
              <w:tab/>
            </w:r>
            <w:r w:rsidR="00124D38" w:rsidRPr="00362618">
              <w:rPr>
                <w:rStyle w:val="Hyperlink"/>
                <w:noProof/>
              </w:rPr>
              <w:t>Introduction</w:t>
            </w:r>
            <w:r w:rsidR="00124D38">
              <w:rPr>
                <w:noProof/>
                <w:webHidden/>
              </w:rPr>
              <w:tab/>
            </w:r>
            <w:r w:rsidR="00124D38">
              <w:rPr>
                <w:noProof/>
                <w:webHidden/>
              </w:rPr>
              <w:fldChar w:fldCharType="begin"/>
            </w:r>
            <w:r w:rsidR="00124D38">
              <w:rPr>
                <w:noProof/>
                <w:webHidden/>
              </w:rPr>
              <w:instrText xml:space="preserve"> PAGEREF _Toc448504465 \h </w:instrText>
            </w:r>
            <w:r w:rsidR="00124D38">
              <w:rPr>
                <w:noProof/>
                <w:webHidden/>
              </w:rPr>
            </w:r>
            <w:r w:rsidR="00124D38">
              <w:rPr>
                <w:noProof/>
                <w:webHidden/>
              </w:rPr>
              <w:fldChar w:fldCharType="separate"/>
            </w:r>
            <w:r w:rsidR="00124D38">
              <w:rPr>
                <w:noProof/>
                <w:webHidden/>
              </w:rPr>
              <w:t>1</w:t>
            </w:r>
            <w:r w:rsidR="00124D38">
              <w:rPr>
                <w:noProof/>
                <w:webHidden/>
              </w:rPr>
              <w:fldChar w:fldCharType="end"/>
            </w:r>
          </w:hyperlink>
        </w:p>
        <w:p w:rsidR="00124D38" w:rsidRDefault="00211717">
          <w:pPr>
            <w:pStyle w:val="TOC1"/>
            <w:tabs>
              <w:tab w:val="left" w:pos="440"/>
              <w:tab w:val="right" w:leader="dot" w:pos="9016"/>
            </w:tabs>
            <w:rPr>
              <w:rFonts w:asciiTheme="minorHAnsi" w:hAnsiTheme="minorHAnsi"/>
              <w:noProof/>
              <w:szCs w:val="22"/>
              <w:lang w:eastAsia="en-AU"/>
            </w:rPr>
          </w:pPr>
          <w:hyperlink w:anchor="_Toc448504466" w:history="1">
            <w:r w:rsidR="00124D38" w:rsidRPr="00362618">
              <w:rPr>
                <w:rStyle w:val="Hyperlink"/>
                <w:noProof/>
              </w:rPr>
              <w:t>2</w:t>
            </w:r>
            <w:r w:rsidR="00124D38">
              <w:rPr>
                <w:rFonts w:asciiTheme="minorHAnsi" w:hAnsiTheme="minorHAnsi"/>
                <w:noProof/>
                <w:szCs w:val="22"/>
                <w:lang w:eastAsia="en-AU"/>
              </w:rPr>
              <w:tab/>
            </w:r>
            <w:r w:rsidR="00124D38" w:rsidRPr="00362618">
              <w:rPr>
                <w:rStyle w:val="Hyperlink"/>
                <w:noProof/>
              </w:rPr>
              <w:t>The model</w:t>
            </w:r>
            <w:r w:rsidR="00124D38">
              <w:rPr>
                <w:noProof/>
                <w:webHidden/>
              </w:rPr>
              <w:tab/>
            </w:r>
            <w:r w:rsidR="00124D38">
              <w:rPr>
                <w:noProof/>
                <w:webHidden/>
              </w:rPr>
              <w:fldChar w:fldCharType="begin"/>
            </w:r>
            <w:r w:rsidR="00124D38">
              <w:rPr>
                <w:noProof/>
                <w:webHidden/>
              </w:rPr>
              <w:instrText xml:space="preserve"> PAGEREF _Toc448504466 \h </w:instrText>
            </w:r>
            <w:r w:rsidR="00124D38">
              <w:rPr>
                <w:noProof/>
                <w:webHidden/>
              </w:rPr>
            </w:r>
            <w:r w:rsidR="00124D38">
              <w:rPr>
                <w:noProof/>
                <w:webHidden/>
              </w:rPr>
              <w:fldChar w:fldCharType="separate"/>
            </w:r>
            <w:r w:rsidR="00124D38">
              <w:rPr>
                <w:noProof/>
                <w:webHidden/>
              </w:rPr>
              <w:t>2</w:t>
            </w:r>
            <w:r w:rsidR="00124D38">
              <w:rPr>
                <w:noProof/>
                <w:webHidden/>
              </w:rPr>
              <w:fldChar w:fldCharType="end"/>
            </w:r>
          </w:hyperlink>
        </w:p>
        <w:p w:rsidR="00124D38" w:rsidRDefault="00211717">
          <w:pPr>
            <w:pStyle w:val="TOC1"/>
            <w:tabs>
              <w:tab w:val="left" w:pos="440"/>
              <w:tab w:val="right" w:leader="dot" w:pos="9016"/>
            </w:tabs>
            <w:rPr>
              <w:rFonts w:asciiTheme="minorHAnsi" w:hAnsiTheme="minorHAnsi"/>
              <w:noProof/>
              <w:szCs w:val="22"/>
              <w:lang w:eastAsia="en-AU"/>
            </w:rPr>
          </w:pPr>
          <w:hyperlink w:anchor="_Toc448504467" w:history="1">
            <w:r w:rsidR="00124D38" w:rsidRPr="00362618">
              <w:rPr>
                <w:rStyle w:val="Hyperlink"/>
                <w:noProof/>
              </w:rPr>
              <w:t>3</w:t>
            </w:r>
            <w:r w:rsidR="00124D38">
              <w:rPr>
                <w:rFonts w:asciiTheme="minorHAnsi" w:hAnsiTheme="minorHAnsi"/>
                <w:noProof/>
                <w:szCs w:val="22"/>
                <w:lang w:eastAsia="en-AU"/>
              </w:rPr>
              <w:tab/>
            </w:r>
            <w:r w:rsidR="00124D38" w:rsidRPr="00362618">
              <w:rPr>
                <w:rStyle w:val="Hyperlink"/>
                <w:noProof/>
              </w:rPr>
              <w:t>The SGEM Database</w:t>
            </w:r>
            <w:r w:rsidR="00124D38">
              <w:rPr>
                <w:noProof/>
                <w:webHidden/>
              </w:rPr>
              <w:tab/>
            </w:r>
            <w:r w:rsidR="00124D38">
              <w:rPr>
                <w:noProof/>
                <w:webHidden/>
              </w:rPr>
              <w:fldChar w:fldCharType="begin"/>
            </w:r>
            <w:r w:rsidR="00124D38">
              <w:rPr>
                <w:noProof/>
                <w:webHidden/>
              </w:rPr>
              <w:instrText xml:space="preserve"> PAGEREF _Toc448504467 \h </w:instrText>
            </w:r>
            <w:r w:rsidR="00124D38">
              <w:rPr>
                <w:noProof/>
                <w:webHidden/>
              </w:rPr>
            </w:r>
            <w:r w:rsidR="00124D38">
              <w:rPr>
                <w:noProof/>
                <w:webHidden/>
              </w:rPr>
              <w:fldChar w:fldCharType="separate"/>
            </w:r>
            <w:r w:rsidR="00124D38">
              <w:rPr>
                <w:noProof/>
                <w:webHidden/>
              </w:rPr>
              <w:t>6</w:t>
            </w:r>
            <w:r w:rsidR="00124D38">
              <w:rPr>
                <w:noProof/>
                <w:webHidden/>
              </w:rPr>
              <w:fldChar w:fldCharType="end"/>
            </w:r>
          </w:hyperlink>
        </w:p>
        <w:p w:rsidR="00124D38" w:rsidRDefault="00211717">
          <w:pPr>
            <w:pStyle w:val="TOC1"/>
            <w:tabs>
              <w:tab w:val="left" w:pos="440"/>
              <w:tab w:val="right" w:leader="dot" w:pos="9016"/>
            </w:tabs>
            <w:rPr>
              <w:rFonts w:asciiTheme="minorHAnsi" w:hAnsiTheme="minorHAnsi"/>
              <w:noProof/>
              <w:szCs w:val="22"/>
              <w:lang w:eastAsia="en-AU"/>
            </w:rPr>
          </w:pPr>
          <w:hyperlink w:anchor="_Toc448504468" w:history="1">
            <w:r w:rsidR="00124D38" w:rsidRPr="00362618">
              <w:rPr>
                <w:rStyle w:val="Hyperlink"/>
                <w:noProof/>
              </w:rPr>
              <w:t>4</w:t>
            </w:r>
            <w:r w:rsidR="00124D38">
              <w:rPr>
                <w:rFonts w:asciiTheme="minorHAnsi" w:hAnsiTheme="minorHAnsi"/>
                <w:noProof/>
                <w:szCs w:val="22"/>
                <w:lang w:eastAsia="en-AU"/>
              </w:rPr>
              <w:tab/>
            </w:r>
            <w:r w:rsidR="00124D38" w:rsidRPr="00362618">
              <w:rPr>
                <w:rStyle w:val="Hyperlink"/>
                <w:noProof/>
              </w:rPr>
              <w:t>Simulation design</w:t>
            </w:r>
            <w:r w:rsidR="00124D38">
              <w:rPr>
                <w:noProof/>
                <w:webHidden/>
              </w:rPr>
              <w:tab/>
            </w:r>
            <w:r w:rsidR="00124D38">
              <w:rPr>
                <w:noProof/>
                <w:webHidden/>
              </w:rPr>
              <w:fldChar w:fldCharType="begin"/>
            </w:r>
            <w:r w:rsidR="00124D38">
              <w:rPr>
                <w:noProof/>
                <w:webHidden/>
              </w:rPr>
              <w:instrText xml:space="preserve"> PAGEREF _Toc448504468 \h </w:instrText>
            </w:r>
            <w:r w:rsidR="00124D38">
              <w:rPr>
                <w:noProof/>
                <w:webHidden/>
              </w:rPr>
            </w:r>
            <w:r w:rsidR="00124D38">
              <w:rPr>
                <w:noProof/>
                <w:webHidden/>
              </w:rPr>
              <w:fldChar w:fldCharType="separate"/>
            </w:r>
            <w:r w:rsidR="00124D38">
              <w:rPr>
                <w:noProof/>
                <w:webHidden/>
              </w:rPr>
              <w:t>9</w:t>
            </w:r>
            <w:r w:rsidR="00124D38">
              <w:rPr>
                <w:noProof/>
                <w:webHidden/>
              </w:rPr>
              <w:fldChar w:fldCharType="end"/>
            </w:r>
          </w:hyperlink>
        </w:p>
        <w:p w:rsidR="00124D38" w:rsidRDefault="00211717">
          <w:pPr>
            <w:pStyle w:val="TOC2"/>
            <w:tabs>
              <w:tab w:val="left" w:pos="880"/>
              <w:tab w:val="right" w:leader="dot" w:pos="9016"/>
            </w:tabs>
            <w:rPr>
              <w:rFonts w:asciiTheme="minorHAnsi" w:hAnsiTheme="minorHAnsi"/>
              <w:noProof/>
              <w:szCs w:val="22"/>
              <w:lang w:eastAsia="en-AU"/>
            </w:rPr>
          </w:pPr>
          <w:hyperlink w:anchor="_Toc448504469" w:history="1">
            <w:r w:rsidR="00124D38" w:rsidRPr="00362618">
              <w:rPr>
                <w:rStyle w:val="Hyperlink"/>
                <w:noProof/>
              </w:rPr>
              <w:t>4.1</w:t>
            </w:r>
            <w:r w:rsidR="00124D38">
              <w:rPr>
                <w:rFonts w:asciiTheme="minorHAnsi" w:hAnsiTheme="minorHAnsi"/>
                <w:noProof/>
                <w:szCs w:val="22"/>
                <w:lang w:eastAsia="en-AU"/>
              </w:rPr>
              <w:tab/>
            </w:r>
            <w:r w:rsidR="00124D38" w:rsidRPr="00362618">
              <w:rPr>
                <w:rStyle w:val="Hyperlink"/>
                <w:noProof/>
              </w:rPr>
              <w:t>Policy analysis with SGEM</w:t>
            </w:r>
            <w:r w:rsidR="00124D38">
              <w:rPr>
                <w:noProof/>
                <w:webHidden/>
              </w:rPr>
              <w:tab/>
            </w:r>
            <w:r w:rsidR="00124D38">
              <w:rPr>
                <w:noProof/>
                <w:webHidden/>
              </w:rPr>
              <w:fldChar w:fldCharType="begin"/>
            </w:r>
            <w:r w:rsidR="00124D38">
              <w:rPr>
                <w:noProof/>
                <w:webHidden/>
              </w:rPr>
              <w:instrText xml:space="preserve"> PAGEREF _Toc448504469 \h </w:instrText>
            </w:r>
            <w:r w:rsidR="00124D38">
              <w:rPr>
                <w:noProof/>
                <w:webHidden/>
              </w:rPr>
            </w:r>
            <w:r w:rsidR="00124D38">
              <w:rPr>
                <w:noProof/>
                <w:webHidden/>
              </w:rPr>
              <w:fldChar w:fldCharType="separate"/>
            </w:r>
            <w:r w:rsidR="00124D38">
              <w:rPr>
                <w:noProof/>
                <w:webHidden/>
              </w:rPr>
              <w:t>9</w:t>
            </w:r>
            <w:r w:rsidR="00124D38">
              <w:rPr>
                <w:noProof/>
                <w:webHidden/>
              </w:rPr>
              <w:fldChar w:fldCharType="end"/>
            </w:r>
          </w:hyperlink>
        </w:p>
        <w:p w:rsidR="00124D38" w:rsidRDefault="00211717">
          <w:pPr>
            <w:pStyle w:val="TOC2"/>
            <w:tabs>
              <w:tab w:val="left" w:pos="880"/>
              <w:tab w:val="right" w:leader="dot" w:pos="9016"/>
            </w:tabs>
            <w:rPr>
              <w:rFonts w:asciiTheme="minorHAnsi" w:hAnsiTheme="minorHAnsi"/>
              <w:noProof/>
              <w:szCs w:val="22"/>
              <w:lang w:eastAsia="en-AU"/>
            </w:rPr>
          </w:pPr>
          <w:hyperlink w:anchor="_Toc448504470" w:history="1">
            <w:r w:rsidR="00124D38" w:rsidRPr="00362618">
              <w:rPr>
                <w:rStyle w:val="Hyperlink"/>
                <w:noProof/>
              </w:rPr>
              <w:t>4.2</w:t>
            </w:r>
            <w:r w:rsidR="00124D38">
              <w:rPr>
                <w:rFonts w:asciiTheme="minorHAnsi" w:hAnsiTheme="minorHAnsi"/>
                <w:noProof/>
                <w:szCs w:val="22"/>
                <w:lang w:eastAsia="en-AU"/>
              </w:rPr>
              <w:tab/>
            </w:r>
            <w:r w:rsidR="00124D38" w:rsidRPr="00362618">
              <w:rPr>
                <w:rStyle w:val="Hyperlink"/>
                <w:noProof/>
              </w:rPr>
              <w:t>Modelling petroleum and electricity subsidies</w:t>
            </w:r>
            <w:r w:rsidR="00124D38">
              <w:rPr>
                <w:noProof/>
                <w:webHidden/>
              </w:rPr>
              <w:tab/>
            </w:r>
            <w:r w:rsidR="00124D38">
              <w:rPr>
                <w:noProof/>
                <w:webHidden/>
              </w:rPr>
              <w:fldChar w:fldCharType="begin"/>
            </w:r>
            <w:r w:rsidR="00124D38">
              <w:rPr>
                <w:noProof/>
                <w:webHidden/>
              </w:rPr>
              <w:instrText xml:space="preserve"> PAGEREF _Toc448504470 \h </w:instrText>
            </w:r>
            <w:r w:rsidR="00124D38">
              <w:rPr>
                <w:noProof/>
                <w:webHidden/>
              </w:rPr>
            </w:r>
            <w:r w:rsidR="00124D38">
              <w:rPr>
                <w:noProof/>
                <w:webHidden/>
              </w:rPr>
              <w:fldChar w:fldCharType="separate"/>
            </w:r>
            <w:r w:rsidR="00124D38">
              <w:rPr>
                <w:noProof/>
                <w:webHidden/>
              </w:rPr>
              <w:t>9</w:t>
            </w:r>
            <w:r w:rsidR="00124D38">
              <w:rPr>
                <w:noProof/>
                <w:webHidden/>
              </w:rPr>
              <w:fldChar w:fldCharType="end"/>
            </w:r>
          </w:hyperlink>
        </w:p>
        <w:p w:rsidR="00124D38" w:rsidRDefault="00211717">
          <w:pPr>
            <w:pStyle w:val="TOC3"/>
            <w:tabs>
              <w:tab w:val="left" w:pos="1320"/>
              <w:tab w:val="right" w:leader="dot" w:pos="9016"/>
            </w:tabs>
            <w:rPr>
              <w:rFonts w:asciiTheme="minorHAnsi" w:hAnsiTheme="minorHAnsi"/>
              <w:noProof/>
              <w:szCs w:val="22"/>
              <w:lang w:eastAsia="en-AU"/>
            </w:rPr>
          </w:pPr>
          <w:hyperlink w:anchor="_Toc448504471" w:history="1">
            <w:r w:rsidR="00124D38" w:rsidRPr="00362618">
              <w:rPr>
                <w:rStyle w:val="Hyperlink"/>
                <w:noProof/>
              </w:rPr>
              <w:t>4.2.1</w:t>
            </w:r>
            <w:r w:rsidR="00124D38">
              <w:rPr>
                <w:rFonts w:asciiTheme="minorHAnsi" w:hAnsiTheme="minorHAnsi"/>
                <w:noProof/>
                <w:szCs w:val="22"/>
                <w:lang w:eastAsia="en-AU"/>
              </w:rPr>
              <w:tab/>
            </w:r>
            <w:r w:rsidR="00124D38" w:rsidRPr="00362618">
              <w:rPr>
                <w:rStyle w:val="Hyperlink"/>
                <w:noProof/>
              </w:rPr>
              <w:t>Subsidies in the baseline</w:t>
            </w:r>
            <w:r w:rsidR="00124D38">
              <w:rPr>
                <w:noProof/>
                <w:webHidden/>
              </w:rPr>
              <w:tab/>
            </w:r>
            <w:r w:rsidR="00124D38">
              <w:rPr>
                <w:noProof/>
                <w:webHidden/>
              </w:rPr>
              <w:fldChar w:fldCharType="begin"/>
            </w:r>
            <w:r w:rsidR="00124D38">
              <w:rPr>
                <w:noProof/>
                <w:webHidden/>
              </w:rPr>
              <w:instrText xml:space="preserve"> PAGEREF _Toc448504471 \h </w:instrText>
            </w:r>
            <w:r w:rsidR="00124D38">
              <w:rPr>
                <w:noProof/>
                <w:webHidden/>
              </w:rPr>
            </w:r>
            <w:r w:rsidR="00124D38">
              <w:rPr>
                <w:noProof/>
                <w:webHidden/>
              </w:rPr>
              <w:fldChar w:fldCharType="separate"/>
            </w:r>
            <w:r w:rsidR="00124D38">
              <w:rPr>
                <w:noProof/>
                <w:webHidden/>
              </w:rPr>
              <w:t>9</w:t>
            </w:r>
            <w:r w:rsidR="00124D38">
              <w:rPr>
                <w:noProof/>
                <w:webHidden/>
              </w:rPr>
              <w:fldChar w:fldCharType="end"/>
            </w:r>
          </w:hyperlink>
        </w:p>
        <w:p w:rsidR="00124D38" w:rsidRDefault="00211717">
          <w:pPr>
            <w:pStyle w:val="TOC3"/>
            <w:tabs>
              <w:tab w:val="left" w:pos="1320"/>
              <w:tab w:val="right" w:leader="dot" w:pos="9016"/>
            </w:tabs>
            <w:rPr>
              <w:rFonts w:asciiTheme="minorHAnsi" w:hAnsiTheme="minorHAnsi"/>
              <w:noProof/>
              <w:szCs w:val="22"/>
              <w:lang w:eastAsia="en-AU"/>
            </w:rPr>
          </w:pPr>
          <w:hyperlink w:anchor="_Toc448504472" w:history="1">
            <w:r w:rsidR="00124D38" w:rsidRPr="00362618">
              <w:rPr>
                <w:rStyle w:val="Hyperlink"/>
                <w:noProof/>
              </w:rPr>
              <w:t>4.2.2</w:t>
            </w:r>
            <w:r w:rsidR="00124D38">
              <w:rPr>
                <w:rFonts w:asciiTheme="minorHAnsi" w:hAnsiTheme="minorHAnsi"/>
                <w:noProof/>
                <w:szCs w:val="22"/>
                <w:lang w:eastAsia="en-AU"/>
              </w:rPr>
              <w:tab/>
            </w:r>
            <w:r w:rsidR="00124D38" w:rsidRPr="00362618">
              <w:rPr>
                <w:rStyle w:val="Hyperlink"/>
                <w:noProof/>
              </w:rPr>
              <w:t>Subsidies in the policy simulation</w:t>
            </w:r>
            <w:r w:rsidR="00124D38">
              <w:rPr>
                <w:noProof/>
                <w:webHidden/>
              </w:rPr>
              <w:tab/>
            </w:r>
            <w:r w:rsidR="00124D38">
              <w:rPr>
                <w:noProof/>
                <w:webHidden/>
              </w:rPr>
              <w:fldChar w:fldCharType="begin"/>
            </w:r>
            <w:r w:rsidR="00124D38">
              <w:rPr>
                <w:noProof/>
                <w:webHidden/>
              </w:rPr>
              <w:instrText xml:space="preserve"> PAGEREF _Toc448504472 \h </w:instrText>
            </w:r>
            <w:r w:rsidR="00124D38">
              <w:rPr>
                <w:noProof/>
                <w:webHidden/>
              </w:rPr>
            </w:r>
            <w:r w:rsidR="00124D38">
              <w:rPr>
                <w:noProof/>
                <w:webHidden/>
              </w:rPr>
              <w:fldChar w:fldCharType="separate"/>
            </w:r>
            <w:r w:rsidR="00124D38">
              <w:rPr>
                <w:noProof/>
                <w:webHidden/>
              </w:rPr>
              <w:t>9</w:t>
            </w:r>
            <w:r w:rsidR="00124D38">
              <w:rPr>
                <w:noProof/>
                <w:webHidden/>
              </w:rPr>
              <w:fldChar w:fldCharType="end"/>
            </w:r>
          </w:hyperlink>
        </w:p>
        <w:p w:rsidR="00124D38" w:rsidRDefault="00211717">
          <w:pPr>
            <w:pStyle w:val="TOC2"/>
            <w:tabs>
              <w:tab w:val="left" w:pos="880"/>
              <w:tab w:val="right" w:leader="dot" w:pos="9016"/>
            </w:tabs>
            <w:rPr>
              <w:rFonts w:asciiTheme="minorHAnsi" w:hAnsiTheme="minorHAnsi"/>
              <w:noProof/>
              <w:szCs w:val="22"/>
              <w:lang w:eastAsia="en-AU"/>
            </w:rPr>
          </w:pPr>
          <w:hyperlink w:anchor="_Toc448504473" w:history="1">
            <w:r w:rsidR="00124D38" w:rsidRPr="00362618">
              <w:rPr>
                <w:rStyle w:val="Hyperlink"/>
                <w:noProof/>
              </w:rPr>
              <w:t>4.3</w:t>
            </w:r>
            <w:r w:rsidR="00124D38">
              <w:rPr>
                <w:rFonts w:asciiTheme="minorHAnsi" w:hAnsiTheme="minorHAnsi"/>
                <w:noProof/>
                <w:szCs w:val="22"/>
                <w:lang w:eastAsia="en-AU"/>
              </w:rPr>
              <w:tab/>
            </w:r>
            <w:r w:rsidR="00124D38" w:rsidRPr="00362618">
              <w:rPr>
                <w:rStyle w:val="Hyperlink"/>
                <w:noProof/>
              </w:rPr>
              <w:t>Closure and simulation assumptions</w:t>
            </w:r>
            <w:r w:rsidR="00124D38">
              <w:rPr>
                <w:noProof/>
                <w:webHidden/>
              </w:rPr>
              <w:tab/>
            </w:r>
            <w:r w:rsidR="00124D38">
              <w:rPr>
                <w:noProof/>
                <w:webHidden/>
              </w:rPr>
              <w:fldChar w:fldCharType="begin"/>
            </w:r>
            <w:r w:rsidR="00124D38">
              <w:rPr>
                <w:noProof/>
                <w:webHidden/>
              </w:rPr>
              <w:instrText xml:space="preserve"> PAGEREF _Toc448504473 \h </w:instrText>
            </w:r>
            <w:r w:rsidR="00124D38">
              <w:rPr>
                <w:noProof/>
                <w:webHidden/>
              </w:rPr>
            </w:r>
            <w:r w:rsidR="00124D38">
              <w:rPr>
                <w:noProof/>
                <w:webHidden/>
              </w:rPr>
              <w:fldChar w:fldCharType="separate"/>
            </w:r>
            <w:r w:rsidR="00124D38">
              <w:rPr>
                <w:noProof/>
                <w:webHidden/>
              </w:rPr>
              <w:t>10</w:t>
            </w:r>
            <w:r w:rsidR="00124D38">
              <w:rPr>
                <w:noProof/>
                <w:webHidden/>
              </w:rPr>
              <w:fldChar w:fldCharType="end"/>
            </w:r>
          </w:hyperlink>
        </w:p>
        <w:p w:rsidR="00124D38" w:rsidRDefault="00211717">
          <w:pPr>
            <w:pStyle w:val="TOC3"/>
            <w:tabs>
              <w:tab w:val="left" w:pos="1320"/>
              <w:tab w:val="right" w:leader="dot" w:pos="9016"/>
            </w:tabs>
            <w:rPr>
              <w:rFonts w:asciiTheme="minorHAnsi" w:hAnsiTheme="minorHAnsi"/>
              <w:noProof/>
              <w:szCs w:val="22"/>
              <w:lang w:eastAsia="en-AU"/>
            </w:rPr>
          </w:pPr>
          <w:hyperlink w:anchor="_Toc448504474" w:history="1">
            <w:r w:rsidR="00124D38" w:rsidRPr="00362618">
              <w:rPr>
                <w:rStyle w:val="Hyperlink"/>
                <w:noProof/>
              </w:rPr>
              <w:t>4.3.1</w:t>
            </w:r>
            <w:r w:rsidR="00124D38">
              <w:rPr>
                <w:rFonts w:asciiTheme="minorHAnsi" w:hAnsiTheme="minorHAnsi"/>
                <w:noProof/>
                <w:szCs w:val="22"/>
                <w:lang w:eastAsia="en-AU"/>
              </w:rPr>
              <w:tab/>
            </w:r>
            <w:r w:rsidR="00124D38" w:rsidRPr="00362618">
              <w:rPr>
                <w:rStyle w:val="Hyperlink"/>
                <w:noProof/>
              </w:rPr>
              <w:t>Labour markets</w:t>
            </w:r>
            <w:r w:rsidR="00124D38">
              <w:rPr>
                <w:noProof/>
                <w:webHidden/>
              </w:rPr>
              <w:tab/>
            </w:r>
            <w:r w:rsidR="00124D38">
              <w:rPr>
                <w:noProof/>
                <w:webHidden/>
              </w:rPr>
              <w:fldChar w:fldCharType="begin"/>
            </w:r>
            <w:r w:rsidR="00124D38">
              <w:rPr>
                <w:noProof/>
                <w:webHidden/>
              </w:rPr>
              <w:instrText xml:space="preserve"> PAGEREF _Toc448504474 \h </w:instrText>
            </w:r>
            <w:r w:rsidR="00124D38">
              <w:rPr>
                <w:noProof/>
                <w:webHidden/>
              </w:rPr>
            </w:r>
            <w:r w:rsidR="00124D38">
              <w:rPr>
                <w:noProof/>
                <w:webHidden/>
              </w:rPr>
              <w:fldChar w:fldCharType="separate"/>
            </w:r>
            <w:r w:rsidR="00124D38">
              <w:rPr>
                <w:noProof/>
                <w:webHidden/>
              </w:rPr>
              <w:t>10</w:t>
            </w:r>
            <w:r w:rsidR="00124D38">
              <w:rPr>
                <w:noProof/>
                <w:webHidden/>
              </w:rPr>
              <w:fldChar w:fldCharType="end"/>
            </w:r>
          </w:hyperlink>
        </w:p>
        <w:p w:rsidR="00124D38" w:rsidRDefault="00211717">
          <w:pPr>
            <w:pStyle w:val="TOC3"/>
            <w:tabs>
              <w:tab w:val="left" w:pos="1320"/>
              <w:tab w:val="right" w:leader="dot" w:pos="9016"/>
            </w:tabs>
            <w:rPr>
              <w:rFonts w:asciiTheme="minorHAnsi" w:hAnsiTheme="minorHAnsi"/>
              <w:noProof/>
              <w:szCs w:val="22"/>
              <w:lang w:eastAsia="en-AU"/>
            </w:rPr>
          </w:pPr>
          <w:hyperlink w:anchor="_Toc448504475" w:history="1">
            <w:r w:rsidR="00124D38" w:rsidRPr="00362618">
              <w:rPr>
                <w:rStyle w:val="Hyperlink"/>
                <w:noProof/>
              </w:rPr>
              <w:t>4.3.2</w:t>
            </w:r>
            <w:r w:rsidR="00124D38">
              <w:rPr>
                <w:rFonts w:asciiTheme="minorHAnsi" w:hAnsiTheme="minorHAnsi"/>
                <w:noProof/>
                <w:szCs w:val="22"/>
                <w:lang w:eastAsia="en-AU"/>
              </w:rPr>
              <w:tab/>
            </w:r>
            <w:r w:rsidR="00124D38" w:rsidRPr="00362618">
              <w:rPr>
                <w:rStyle w:val="Hyperlink"/>
                <w:noProof/>
              </w:rPr>
              <w:t>Private consumption and the indicator of economic welfare</w:t>
            </w:r>
            <w:r w:rsidR="00124D38">
              <w:rPr>
                <w:noProof/>
                <w:webHidden/>
              </w:rPr>
              <w:tab/>
            </w:r>
            <w:r w:rsidR="00124D38">
              <w:rPr>
                <w:noProof/>
                <w:webHidden/>
              </w:rPr>
              <w:fldChar w:fldCharType="begin"/>
            </w:r>
            <w:r w:rsidR="00124D38">
              <w:rPr>
                <w:noProof/>
                <w:webHidden/>
              </w:rPr>
              <w:instrText xml:space="preserve"> PAGEREF _Toc448504475 \h </w:instrText>
            </w:r>
            <w:r w:rsidR="00124D38">
              <w:rPr>
                <w:noProof/>
                <w:webHidden/>
              </w:rPr>
            </w:r>
            <w:r w:rsidR="00124D38">
              <w:rPr>
                <w:noProof/>
                <w:webHidden/>
              </w:rPr>
              <w:fldChar w:fldCharType="separate"/>
            </w:r>
            <w:r w:rsidR="00124D38">
              <w:rPr>
                <w:noProof/>
                <w:webHidden/>
              </w:rPr>
              <w:t>10</w:t>
            </w:r>
            <w:r w:rsidR="00124D38">
              <w:rPr>
                <w:noProof/>
                <w:webHidden/>
              </w:rPr>
              <w:fldChar w:fldCharType="end"/>
            </w:r>
          </w:hyperlink>
        </w:p>
        <w:p w:rsidR="00124D38" w:rsidRDefault="00211717">
          <w:pPr>
            <w:pStyle w:val="TOC3"/>
            <w:tabs>
              <w:tab w:val="left" w:pos="1320"/>
              <w:tab w:val="right" w:leader="dot" w:pos="9016"/>
            </w:tabs>
            <w:rPr>
              <w:rFonts w:asciiTheme="minorHAnsi" w:hAnsiTheme="minorHAnsi"/>
              <w:noProof/>
              <w:szCs w:val="22"/>
              <w:lang w:eastAsia="en-AU"/>
            </w:rPr>
          </w:pPr>
          <w:hyperlink w:anchor="_Toc448504476" w:history="1">
            <w:r w:rsidR="00124D38" w:rsidRPr="00362618">
              <w:rPr>
                <w:rStyle w:val="Hyperlink"/>
                <w:noProof/>
              </w:rPr>
              <w:t>4.3.3</w:t>
            </w:r>
            <w:r w:rsidR="00124D38">
              <w:rPr>
                <w:rFonts w:asciiTheme="minorHAnsi" w:hAnsiTheme="minorHAnsi"/>
                <w:noProof/>
                <w:szCs w:val="22"/>
                <w:lang w:eastAsia="en-AU"/>
              </w:rPr>
              <w:tab/>
            </w:r>
            <w:r w:rsidR="00124D38" w:rsidRPr="00362618">
              <w:rPr>
                <w:rStyle w:val="Hyperlink"/>
                <w:noProof/>
              </w:rPr>
              <w:t>Investment</w:t>
            </w:r>
            <w:r w:rsidR="00124D38">
              <w:rPr>
                <w:noProof/>
                <w:webHidden/>
              </w:rPr>
              <w:tab/>
            </w:r>
            <w:r w:rsidR="00124D38">
              <w:rPr>
                <w:noProof/>
                <w:webHidden/>
              </w:rPr>
              <w:fldChar w:fldCharType="begin"/>
            </w:r>
            <w:r w:rsidR="00124D38">
              <w:rPr>
                <w:noProof/>
                <w:webHidden/>
              </w:rPr>
              <w:instrText xml:space="preserve"> PAGEREF _Toc448504476 \h </w:instrText>
            </w:r>
            <w:r w:rsidR="00124D38">
              <w:rPr>
                <w:noProof/>
                <w:webHidden/>
              </w:rPr>
            </w:r>
            <w:r w:rsidR="00124D38">
              <w:rPr>
                <w:noProof/>
                <w:webHidden/>
              </w:rPr>
              <w:fldChar w:fldCharType="separate"/>
            </w:r>
            <w:r w:rsidR="00124D38">
              <w:rPr>
                <w:noProof/>
                <w:webHidden/>
              </w:rPr>
              <w:t>10</w:t>
            </w:r>
            <w:r w:rsidR="00124D38">
              <w:rPr>
                <w:noProof/>
                <w:webHidden/>
              </w:rPr>
              <w:fldChar w:fldCharType="end"/>
            </w:r>
          </w:hyperlink>
        </w:p>
        <w:p w:rsidR="00124D38" w:rsidRDefault="00211717">
          <w:pPr>
            <w:pStyle w:val="TOC3"/>
            <w:tabs>
              <w:tab w:val="left" w:pos="1320"/>
              <w:tab w:val="right" w:leader="dot" w:pos="9016"/>
            </w:tabs>
            <w:rPr>
              <w:rFonts w:asciiTheme="minorHAnsi" w:hAnsiTheme="minorHAnsi"/>
              <w:noProof/>
              <w:szCs w:val="22"/>
              <w:lang w:eastAsia="en-AU"/>
            </w:rPr>
          </w:pPr>
          <w:hyperlink w:anchor="_Toc448504477" w:history="1">
            <w:r w:rsidR="00124D38" w:rsidRPr="00362618">
              <w:rPr>
                <w:rStyle w:val="Hyperlink"/>
                <w:noProof/>
              </w:rPr>
              <w:t>4.3.4</w:t>
            </w:r>
            <w:r w:rsidR="00124D38">
              <w:rPr>
                <w:rFonts w:asciiTheme="minorHAnsi" w:hAnsiTheme="minorHAnsi"/>
                <w:noProof/>
                <w:szCs w:val="22"/>
                <w:lang w:eastAsia="en-AU"/>
              </w:rPr>
              <w:tab/>
            </w:r>
            <w:r w:rsidR="00124D38" w:rsidRPr="00362618">
              <w:rPr>
                <w:rStyle w:val="Hyperlink"/>
                <w:noProof/>
              </w:rPr>
              <w:t>Government consumption and fiscal balances</w:t>
            </w:r>
            <w:r w:rsidR="00124D38">
              <w:rPr>
                <w:noProof/>
                <w:webHidden/>
              </w:rPr>
              <w:tab/>
            </w:r>
            <w:r w:rsidR="00124D38">
              <w:rPr>
                <w:noProof/>
                <w:webHidden/>
              </w:rPr>
              <w:fldChar w:fldCharType="begin"/>
            </w:r>
            <w:r w:rsidR="00124D38">
              <w:rPr>
                <w:noProof/>
                <w:webHidden/>
              </w:rPr>
              <w:instrText xml:space="preserve"> PAGEREF _Toc448504477 \h </w:instrText>
            </w:r>
            <w:r w:rsidR="00124D38">
              <w:rPr>
                <w:noProof/>
                <w:webHidden/>
              </w:rPr>
            </w:r>
            <w:r w:rsidR="00124D38">
              <w:rPr>
                <w:noProof/>
                <w:webHidden/>
              </w:rPr>
              <w:fldChar w:fldCharType="separate"/>
            </w:r>
            <w:r w:rsidR="00124D38">
              <w:rPr>
                <w:noProof/>
                <w:webHidden/>
              </w:rPr>
              <w:t>10</w:t>
            </w:r>
            <w:r w:rsidR="00124D38">
              <w:rPr>
                <w:noProof/>
                <w:webHidden/>
              </w:rPr>
              <w:fldChar w:fldCharType="end"/>
            </w:r>
          </w:hyperlink>
        </w:p>
        <w:p w:rsidR="00124D38" w:rsidRDefault="00211717">
          <w:pPr>
            <w:pStyle w:val="TOC3"/>
            <w:tabs>
              <w:tab w:val="left" w:pos="1320"/>
              <w:tab w:val="right" w:leader="dot" w:pos="9016"/>
            </w:tabs>
            <w:rPr>
              <w:rFonts w:asciiTheme="minorHAnsi" w:hAnsiTheme="minorHAnsi"/>
              <w:noProof/>
              <w:szCs w:val="22"/>
              <w:lang w:eastAsia="en-AU"/>
            </w:rPr>
          </w:pPr>
          <w:hyperlink w:anchor="_Toc448504478" w:history="1">
            <w:r w:rsidR="00124D38" w:rsidRPr="00362618">
              <w:rPr>
                <w:rStyle w:val="Hyperlink"/>
                <w:noProof/>
              </w:rPr>
              <w:t>4.3.5</w:t>
            </w:r>
            <w:r w:rsidR="00124D38">
              <w:rPr>
                <w:rFonts w:asciiTheme="minorHAnsi" w:hAnsiTheme="minorHAnsi"/>
                <w:noProof/>
                <w:szCs w:val="22"/>
                <w:lang w:eastAsia="en-AU"/>
              </w:rPr>
              <w:tab/>
            </w:r>
            <w:r w:rsidR="00124D38" w:rsidRPr="00362618">
              <w:rPr>
                <w:rStyle w:val="Hyperlink"/>
                <w:noProof/>
              </w:rPr>
              <w:t>Production technologies and household tastes</w:t>
            </w:r>
            <w:r w:rsidR="00124D38">
              <w:rPr>
                <w:noProof/>
                <w:webHidden/>
              </w:rPr>
              <w:tab/>
            </w:r>
            <w:r w:rsidR="00124D38">
              <w:rPr>
                <w:noProof/>
                <w:webHidden/>
              </w:rPr>
              <w:fldChar w:fldCharType="begin"/>
            </w:r>
            <w:r w:rsidR="00124D38">
              <w:rPr>
                <w:noProof/>
                <w:webHidden/>
              </w:rPr>
              <w:instrText xml:space="preserve"> PAGEREF _Toc448504478 \h </w:instrText>
            </w:r>
            <w:r w:rsidR="00124D38">
              <w:rPr>
                <w:noProof/>
                <w:webHidden/>
              </w:rPr>
            </w:r>
            <w:r w:rsidR="00124D38">
              <w:rPr>
                <w:noProof/>
                <w:webHidden/>
              </w:rPr>
              <w:fldChar w:fldCharType="separate"/>
            </w:r>
            <w:r w:rsidR="00124D38">
              <w:rPr>
                <w:noProof/>
                <w:webHidden/>
              </w:rPr>
              <w:t>10</w:t>
            </w:r>
            <w:r w:rsidR="00124D38">
              <w:rPr>
                <w:noProof/>
                <w:webHidden/>
              </w:rPr>
              <w:fldChar w:fldCharType="end"/>
            </w:r>
          </w:hyperlink>
        </w:p>
        <w:p w:rsidR="00124D38" w:rsidRDefault="00211717">
          <w:pPr>
            <w:pStyle w:val="TOC1"/>
            <w:tabs>
              <w:tab w:val="left" w:pos="440"/>
              <w:tab w:val="right" w:leader="dot" w:pos="9016"/>
            </w:tabs>
            <w:rPr>
              <w:rFonts w:asciiTheme="minorHAnsi" w:hAnsiTheme="minorHAnsi"/>
              <w:noProof/>
              <w:szCs w:val="22"/>
              <w:lang w:eastAsia="en-AU"/>
            </w:rPr>
          </w:pPr>
          <w:hyperlink w:anchor="_Toc448504479" w:history="1">
            <w:r w:rsidR="00124D38" w:rsidRPr="00362618">
              <w:rPr>
                <w:rStyle w:val="Hyperlink"/>
                <w:noProof/>
              </w:rPr>
              <w:t>5</w:t>
            </w:r>
            <w:r w:rsidR="00124D38">
              <w:rPr>
                <w:rFonts w:asciiTheme="minorHAnsi" w:hAnsiTheme="minorHAnsi"/>
                <w:noProof/>
                <w:szCs w:val="22"/>
                <w:lang w:eastAsia="en-AU"/>
              </w:rPr>
              <w:tab/>
            </w:r>
            <w:r w:rsidR="00124D38" w:rsidRPr="00362618">
              <w:rPr>
                <w:rStyle w:val="Hyperlink"/>
                <w:noProof/>
              </w:rPr>
              <w:t>Economic effects</w:t>
            </w:r>
            <w:r w:rsidR="00124D38">
              <w:rPr>
                <w:noProof/>
                <w:webHidden/>
              </w:rPr>
              <w:tab/>
            </w:r>
            <w:r w:rsidR="00124D38">
              <w:rPr>
                <w:noProof/>
                <w:webHidden/>
              </w:rPr>
              <w:fldChar w:fldCharType="begin"/>
            </w:r>
            <w:r w:rsidR="00124D38">
              <w:rPr>
                <w:noProof/>
                <w:webHidden/>
              </w:rPr>
              <w:instrText xml:space="preserve"> PAGEREF _Toc448504479 \h </w:instrText>
            </w:r>
            <w:r w:rsidR="00124D38">
              <w:rPr>
                <w:noProof/>
                <w:webHidden/>
              </w:rPr>
            </w:r>
            <w:r w:rsidR="00124D38">
              <w:rPr>
                <w:noProof/>
                <w:webHidden/>
              </w:rPr>
              <w:fldChar w:fldCharType="separate"/>
            </w:r>
            <w:r w:rsidR="00124D38">
              <w:rPr>
                <w:noProof/>
                <w:webHidden/>
              </w:rPr>
              <w:t>11</w:t>
            </w:r>
            <w:r w:rsidR="00124D38">
              <w:rPr>
                <w:noProof/>
                <w:webHidden/>
              </w:rPr>
              <w:fldChar w:fldCharType="end"/>
            </w:r>
          </w:hyperlink>
        </w:p>
        <w:p w:rsidR="00124D38" w:rsidRDefault="00211717">
          <w:pPr>
            <w:pStyle w:val="TOC1"/>
            <w:tabs>
              <w:tab w:val="right" w:leader="dot" w:pos="9016"/>
            </w:tabs>
            <w:rPr>
              <w:rFonts w:asciiTheme="minorHAnsi" w:hAnsiTheme="minorHAnsi"/>
              <w:noProof/>
              <w:szCs w:val="22"/>
              <w:lang w:eastAsia="en-AU"/>
            </w:rPr>
          </w:pPr>
          <w:hyperlink w:anchor="_Toc448504480" w:history="1">
            <w:r w:rsidR="00124D38" w:rsidRPr="00362618">
              <w:rPr>
                <w:rStyle w:val="Hyperlink"/>
                <w:noProof/>
              </w:rPr>
              <w:t>Reference</w:t>
            </w:r>
            <w:r w:rsidR="00124D38">
              <w:rPr>
                <w:noProof/>
                <w:webHidden/>
              </w:rPr>
              <w:tab/>
            </w:r>
            <w:r w:rsidR="00124D38">
              <w:rPr>
                <w:noProof/>
                <w:webHidden/>
              </w:rPr>
              <w:fldChar w:fldCharType="begin"/>
            </w:r>
            <w:r w:rsidR="00124D38">
              <w:rPr>
                <w:noProof/>
                <w:webHidden/>
              </w:rPr>
              <w:instrText xml:space="preserve"> PAGEREF _Toc448504480 \h </w:instrText>
            </w:r>
            <w:r w:rsidR="00124D38">
              <w:rPr>
                <w:noProof/>
                <w:webHidden/>
              </w:rPr>
            </w:r>
            <w:r w:rsidR="00124D38">
              <w:rPr>
                <w:noProof/>
                <w:webHidden/>
              </w:rPr>
              <w:fldChar w:fldCharType="separate"/>
            </w:r>
            <w:r w:rsidR="00124D38">
              <w:rPr>
                <w:noProof/>
                <w:webHidden/>
              </w:rPr>
              <w:t>17</w:t>
            </w:r>
            <w:r w:rsidR="00124D38">
              <w:rPr>
                <w:noProof/>
                <w:webHidden/>
              </w:rPr>
              <w:fldChar w:fldCharType="end"/>
            </w:r>
          </w:hyperlink>
        </w:p>
        <w:p w:rsidR="0041431E" w:rsidRDefault="0041431E">
          <w:r>
            <w:rPr>
              <w:b/>
              <w:bCs/>
              <w:noProof/>
            </w:rPr>
            <w:fldChar w:fldCharType="end"/>
          </w:r>
        </w:p>
      </w:sdtContent>
    </w:sdt>
    <w:bookmarkEnd w:id="0"/>
    <w:bookmarkEnd w:id="1"/>
    <w:p w:rsidR="00A048A0" w:rsidRDefault="00A048A0">
      <w:pPr>
        <w:spacing w:after="200"/>
        <w:sectPr w:rsidR="00A048A0" w:rsidSect="00F67EB6">
          <w:footerReference w:type="default" r:id="rId9"/>
          <w:pgSz w:w="11906" w:h="16838"/>
          <w:pgMar w:top="1440" w:right="1440" w:bottom="1440" w:left="1440" w:header="708" w:footer="708" w:gutter="0"/>
          <w:pgNumType w:start="1"/>
          <w:cols w:space="708"/>
          <w:docGrid w:linePitch="360"/>
        </w:sectPr>
      </w:pPr>
    </w:p>
    <w:p w:rsidR="00CF7B98" w:rsidRDefault="00CF7B98" w:rsidP="00F67EB6">
      <w:pPr>
        <w:pStyle w:val="Heading1"/>
        <w:numPr>
          <w:ilvl w:val="0"/>
          <w:numId w:val="10"/>
        </w:numPr>
      </w:pPr>
      <w:bookmarkStart w:id="2" w:name="_Toc448504465"/>
      <w:r w:rsidRPr="0041431E">
        <w:lastRenderedPageBreak/>
        <w:t>Introduction</w:t>
      </w:r>
      <w:bookmarkEnd w:id="2"/>
    </w:p>
    <w:p w:rsidR="00635777" w:rsidRDefault="006A618B" w:rsidP="00500030">
      <w:r>
        <w:t>The International Energy Agency (IEA) defines a subsidy as “any government action that concerns primarily the energy sector that lowers the cost of energy production, raises the price received by energy producers or lowers the price paid by energy consumers” (IAE, 1999:43)</w:t>
      </w:r>
      <w:r w:rsidR="007D7C97">
        <w:t xml:space="preserve">. </w:t>
      </w:r>
      <w:r w:rsidR="00280151">
        <w:t>The IAE (2010</w:t>
      </w:r>
      <w:r w:rsidR="005D1199">
        <w:t>a</w:t>
      </w:r>
      <w:r w:rsidR="00FC251E">
        <w:t xml:space="preserve">, </w:t>
      </w:r>
      <w:r w:rsidR="005D1199">
        <w:t xml:space="preserve">2010b, </w:t>
      </w:r>
      <w:r w:rsidR="00FC251E">
        <w:t>1999</w:t>
      </w:r>
      <w:r w:rsidR="00280151">
        <w:t>) lists</w:t>
      </w:r>
      <w:r w:rsidR="007D7C97">
        <w:t xml:space="preserve"> many reasons for manipulating</w:t>
      </w:r>
      <w:r w:rsidR="002B63F0">
        <w:t xml:space="preserve"> energy price</w:t>
      </w:r>
      <w:r w:rsidR="00A6549E">
        <w:t>s</w:t>
      </w:r>
      <w:r w:rsidR="00280151">
        <w:t>. They including:</w:t>
      </w:r>
    </w:p>
    <w:p w:rsidR="00635777" w:rsidRPr="00EF1CBA" w:rsidRDefault="00635777" w:rsidP="00211717"/>
    <w:p w:rsidR="00342040" w:rsidRPr="00EF1CBA" w:rsidRDefault="00342040" w:rsidP="00211717">
      <w:pPr>
        <w:pStyle w:val="ListParagraph"/>
        <w:numPr>
          <w:ilvl w:val="0"/>
          <w:numId w:val="11"/>
        </w:numPr>
      </w:pPr>
      <w:r w:rsidRPr="00211717">
        <w:rPr>
          <w:b/>
          <w:i/>
        </w:rPr>
        <w:t>M</w:t>
      </w:r>
      <w:r w:rsidR="009269D3" w:rsidRPr="00211717">
        <w:rPr>
          <w:b/>
          <w:i/>
        </w:rPr>
        <w:t xml:space="preserve">aintaining domestic energy </w:t>
      </w:r>
      <w:r w:rsidR="00280151" w:rsidRPr="00211717">
        <w:rPr>
          <w:b/>
          <w:i/>
        </w:rPr>
        <w:t>production</w:t>
      </w:r>
      <w:r w:rsidRPr="00EF1CBA">
        <w:t xml:space="preserve">: Production subsidies can be used to promote domestic production of energy </w:t>
      </w:r>
      <w:r w:rsidR="00280151" w:rsidRPr="00EF1CBA">
        <w:t xml:space="preserve">and </w:t>
      </w:r>
      <w:r w:rsidRPr="00EF1CBA">
        <w:t xml:space="preserve">to </w:t>
      </w:r>
      <w:r w:rsidR="00280151" w:rsidRPr="00EF1CBA">
        <w:t>reduce import dependency.</w:t>
      </w:r>
    </w:p>
    <w:p w:rsidR="00635777" w:rsidRPr="00EF1CBA" w:rsidRDefault="00342040" w:rsidP="00211717">
      <w:pPr>
        <w:pStyle w:val="ListParagraph"/>
        <w:numPr>
          <w:ilvl w:val="0"/>
          <w:numId w:val="11"/>
        </w:numPr>
      </w:pPr>
      <w:r w:rsidRPr="00211717">
        <w:rPr>
          <w:b/>
          <w:i/>
        </w:rPr>
        <w:t>Supporting industrial development</w:t>
      </w:r>
      <w:r w:rsidR="009269D3" w:rsidRPr="00211717">
        <w:rPr>
          <w:b/>
          <w:i/>
        </w:rPr>
        <w:t xml:space="preserve"> and employment</w:t>
      </w:r>
      <w:r w:rsidRPr="00EF1CBA">
        <w:t>:</w:t>
      </w:r>
      <w:r w:rsidR="009269D3" w:rsidRPr="00EF1CBA">
        <w:t xml:space="preserve"> </w:t>
      </w:r>
      <w:r w:rsidR="00F6330A" w:rsidRPr="00EF1CBA">
        <w:t>Providing subsidies to sectors lowers costs</w:t>
      </w:r>
      <w:r w:rsidR="00C4760A" w:rsidRPr="00EF1CBA">
        <w:t>, can encourage investment in energy-intensive industries such as aluminium</w:t>
      </w:r>
      <w:r w:rsidR="00F6330A" w:rsidRPr="00EF1CBA">
        <w:t xml:space="preserve"> and is a source of competitive advantage.</w:t>
      </w:r>
      <w:r w:rsidR="00070D1D" w:rsidRPr="00EF1CBA">
        <w:t xml:space="preserve"> Production subsidies which include tariffs and trade restrictions can be used to protect domestic employment.</w:t>
      </w:r>
    </w:p>
    <w:p w:rsidR="00635777" w:rsidRPr="00EF1CBA" w:rsidRDefault="00342040" w:rsidP="00211717">
      <w:pPr>
        <w:pStyle w:val="ListParagraph"/>
        <w:numPr>
          <w:ilvl w:val="0"/>
          <w:numId w:val="11"/>
        </w:numPr>
      </w:pPr>
      <w:r w:rsidRPr="00211717">
        <w:rPr>
          <w:b/>
          <w:i/>
        </w:rPr>
        <w:t>D</w:t>
      </w:r>
      <w:r w:rsidR="009269D3" w:rsidRPr="00211717">
        <w:rPr>
          <w:b/>
          <w:i/>
        </w:rPr>
        <w:t xml:space="preserve">evelopment </w:t>
      </w:r>
      <w:r w:rsidR="00C42D22" w:rsidRPr="00211717">
        <w:rPr>
          <w:b/>
          <w:i/>
        </w:rPr>
        <w:t>and economic growth</w:t>
      </w:r>
      <w:r w:rsidR="00C42D22" w:rsidRPr="00EF1CBA">
        <w:t>: Subsidies can also be used to encourage economic diversification by improving the competitiveness of energy-intensive industries such as petrochemical industries.</w:t>
      </w:r>
    </w:p>
    <w:p w:rsidR="00EE4DB9" w:rsidRPr="00EF1CBA" w:rsidRDefault="00970E92" w:rsidP="00211717">
      <w:pPr>
        <w:pStyle w:val="ListParagraph"/>
        <w:numPr>
          <w:ilvl w:val="0"/>
          <w:numId w:val="11"/>
        </w:numPr>
      </w:pPr>
      <w:r w:rsidRPr="00211717">
        <w:rPr>
          <w:b/>
          <w:i/>
        </w:rPr>
        <w:t>Helping the poor</w:t>
      </w:r>
      <w:r w:rsidR="00582051" w:rsidRPr="00EF1CBA">
        <w:t xml:space="preserve">: </w:t>
      </w:r>
      <w:r w:rsidR="005D1199">
        <w:t>C</w:t>
      </w:r>
      <w:r w:rsidR="005D1199" w:rsidRPr="00EF1CBA">
        <w:t>onsumption subsidies</w:t>
      </w:r>
      <w:r w:rsidR="005D1199">
        <w:t xml:space="preserve"> help to ensure a</w:t>
      </w:r>
      <w:r w:rsidR="006F513A" w:rsidRPr="00EF1CBA">
        <w:t xml:space="preserve"> minimum level of energy consumption</w:t>
      </w:r>
      <w:r w:rsidR="008357EC" w:rsidRPr="00EF1CBA">
        <w:t xml:space="preserve"> </w:t>
      </w:r>
      <w:r w:rsidR="005D1199">
        <w:t>and</w:t>
      </w:r>
      <w:r w:rsidR="008357EC" w:rsidRPr="00EF1CBA">
        <w:t xml:space="preserve"> </w:t>
      </w:r>
      <w:r w:rsidR="005D1199">
        <w:t xml:space="preserve">help </w:t>
      </w:r>
      <w:r w:rsidR="008357EC" w:rsidRPr="00EF1CBA">
        <w:t xml:space="preserve">improve </w:t>
      </w:r>
      <w:r w:rsidR="005D1199">
        <w:t xml:space="preserve">the </w:t>
      </w:r>
      <w:r w:rsidR="008357EC" w:rsidRPr="00EF1CBA">
        <w:t>living conditions of the poor</w:t>
      </w:r>
      <w:r w:rsidR="005D1199">
        <w:t xml:space="preserve">. </w:t>
      </w:r>
      <w:r w:rsidR="00E44B06">
        <w:t>However, subsidies tend to be inefficient because they are poorly targeted.</w:t>
      </w:r>
      <w:r w:rsidR="00893E8D">
        <w:t xml:space="preserve"> In general the higher the household income the higher the subsidy and because high income households consume more petroleum products they benefit relatively more from subsidies (Baig et al, 2007).</w:t>
      </w:r>
    </w:p>
    <w:p w:rsidR="00EE4DB9" w:rsidRPr="00EF1CBA" w:rsidRDefault="00FC251E" w:rsidP="00211717">
      <w:pPr>
        <w:pStyle w:val="ListParagraph"/>
        <w:numPr>
          <w:ilvl w:val="0"/>
          <w:numId w:val="11"/>
        </w:numPr>
      </w:pPr>
      <w:r w:rsidRPr="00211717">
        <w:rPr>
          <w:b/>
          <w:i/>
        </w:rPr>
        <w:t>Environmental protection</w:t>
      </w:r>
      <w:r w:rsidRPr="00EF1CBA">
        <w:t xml:space="preserve">: </w:t>
      </w:r>
      <w:r w:rsidR="002B63F0" w:rsidRPr="00EF1CBA">
        <w:t xml:space="preserve">It can also be that subsidies are introduced as incentives to improve electricity production </w:t>
      </w:r>
      <w:r w:rsidR="0006184B" w:rsidRPr="00EF1CBA">
        <w:t>with the aim of reducing harm to the environment</w:t>
      </w:r>
      <w:r w:rsidR="00AD244C" w:rsidRPr="00EF1CBA">
        <w:t xml:space="preserve"> (IAE, 1999</w:t>
      </w:r>
      <w:r w:rsidR="004475FD" w:rsidRPr="00EF1CBA">
        <w:t>:</w:t>
      </w:r>
      <w:r w:rsidR="00CD5FCD" w:rsidRPr="00EF1CBA">
        <w:t xml:space="preserve"> </w:t>
      </w:r>
      <w:r w:rsidR="00AD244C" w:rsidRPr="00EF1CBA">
        <w:t>44)</w:t>
      </w:r>
      <w:r w:rsidR="0006184B" w:rsidRPr="00EF1CBA">
        <w:t>.</w:t>
      </w:r>
      <w:r w:rsidR="00F82A66" w:rsidRPr="00EF1CBA">
        <w:t xml:space="preserve"> </w:t>
      </w:r>
    </w:p>
    <w:p w:rsidR="00EE4DB9" w:rsidRPr="00EE4DB9" w:rsidRDefault="00EE4DB9" w:rsidP="00211717">
      <w:pPr>
        <w:pStyle w:val="ListParagraph"/>
        <w:numPr>
          <w:ilvl w:val="0"/>
          <w:numId w:val="11"/>
        </w:numPr>
      </w:pPr>
      <w:r w:rsidRPr="00211717">
        <w:rPr>
          <w:b/>
          <w:i/>
        </w:rPr>
        <w:t>Redistribution of national resource wealth</w:t>
      </w:r>
      <w:r w:rsidRPr="00EF1CBA">
        <w:t>: In energy-producing countries, consumption subsidies are often used as a means by which the</w:t>
      </w:r>
      <w:r>
        <w:t xml:space="preserve"> value of a natural resource is shared by the population. </w:t>
      </w:r>
    </w:p>
    <w:p w:rsidR="006A618B" w:rsidRDefault="00F82A66" w:rsidP="00500030">
      <w:r>
        <w:t>Various policies and instruments can be used to</w:t>
      </w:r>
      <w:r w:rsidR="00950B32">
        <w:t xml:space="preserve"> </w:t>
      </w:r>
      <w:r>
        <w:t>i</w:t>
      </w:r>
      <w:r w:rsidR="00AD244C">
        <w:t>mpos</w:t>
      </w:r>
      <w:r w:rsidR="00EE4DB9">
        <w:t>e</w:t>
      </w:r>
      <w:r w:rsidR="00AD244C">
        <w:t xml:space="preserve"> energy subsidies.</w:t>
      </w:r>
      <w:r w:rsidR="00505992">
        <w:t xml:space="preserve"> Government m</w:t>
      </w:r>
      <w:r w:rsidR="00B63102">
        <w:t>a</w:t>
      </w:r>
      <w:r w:rsidR="00505992">
        <w:t xml:space="preserve">y </w:t>
      </w:r>
      <w:r w:rsidR="000A54EE">
        <w:t>decide to</w:t>
      </w:r>
      <w:r w:rsidR="00D31D92">
        <w:t xml:space="preserve"> </w:t>
      </w:r>
      <w:r w:rsidR="00B63102">
        <w:t xml:space="preserve">alter the price of energy </w:t>
      </w:r>
      <w:r w:rsidR="00505992">
        <w:t xml:space="preserve">by </w:t>
      </w:r>
      <w:r w:rsidR="00B63102">
        <w:t xml:space="preserve">(1) </w:t>
      </w:r>
      <w:r w:rsidR="00505992">
        <w:t>paying a direct transfer to producers or consumers,</w:t>
      </w:r>
      <w:r w:rsidR="00AD244C">
        <w:t xml:space="preserve"> </w:t>
      </w:r>
      <w:r w:rsidR="00B63102">
        <w:t xml:space="preserve">(2) </w:t>
      </w:r>
      <w:r w:rsidR="00505992">
        <w:t xml:space="preserve">structuring the tax system </w:t>
      </w:r>
      <w:r w:rsidR="000A54EE">
        <w:t xml:space="preserve">(e.g. tax breaks) </w:t>
      </w:r>
      <w:r w:rsidR="00505992">
        <w:t xml:space="preserve">in such a way that it </w:t>
      </w:r>
      <w:r w:rsidR="00B63102">
        <w:t>alters</w:t>
      </w:r>
      <w:r w:rsidR="00505992">
        <w:t xml:space="preserve"> the price of energy, </w:t>
      </w:r>
      <w:r w:rsidR="00B63102">
        <w:t xml:space="preserve">(3) </w:t>
      </w:r>
      <w:r w:rsidR="00505992">
        <w:t>impose trade restrictions</w:t>
      </w:r>
      <w:r w:rsidR="000A54EE">
        <w:t xml:space="preserve"> such as quotas</w:t>
      </w:r>
      <w:r w:rsidR="00505992">
        <w:t xml:space="preserve">, </w:t>
      </w:r>
      <w:r w:rsidR="00B63102">
        <w:t xml:space="preserve">(4) </w:t>
      </w:r>
      <w:r w:rsidR="00505992">
        <w:t xml:space="preserve">government providing the energy </w:t>
      </w:r>
      <w:r w:rsidR="00630BA0">
        <w:t>at less than full cost</w:t>
      </w:r>
      <w:r w:rsidR="00505992">
        <w:t xml:space="preserve"> </w:t>
      </w:r>
      <w:r w:rsidR="00DF0E82">
        <w:t xml:space="preserve">by for example direct investment in energy infrastructure </w:t>
      </w:r>
      <w:r w:rsidR="00505992">
        <w:t>and</w:t>
      </w:r>
      <w:r w:rsidR="00B63102">
        <w:t xml:space="preserve"> finally</w:t>
      </w:r>
      <w:r w:rsidR="00505992">
        <w:t xml:space="preserve"> introducing various market regulations</w:t>
      </w:r>
      <w:r w:rsidR="00DF0E82">
        <w:t xml:space="preserve"> </w:t>
      </w:r>
      <w:r w:rsidR="00B63102">
        <w:t>such as</w:t>
      </w:r>
      <w:r w:rsidR="00DF0E82">
        <w:t xml:space="preserve"> market-access restrictions</w:t>
      </w:r>
      <w:r w:rsidR="00505992">
        <w:t xml:space="preserve"> (</w:t>
      </w:r>
      <w:r w:rsidR="00630BA0">
        <w:t xml:space="preserve">IEA, 2010: 7; </w:t>
      </w:r>
      <w:r w:rsidR="00505992">
        <w:t>UNEP, 2008</w:t>
      </w:r>
      <w:r w:rsidR="00D31D92">
        <w:t>:9</w:t>
      </w:r>
      <w:r w:rsidR="00505992">
        <w:t>).</w:t>
      </w:r>
    </w:p>
    <w:p w:rsidR="00970E92" w:rsidRDefault="004D6AB8" w:rsidP="00500030">
      <w:r>
        <w:t>A key argument for the removal of subsidies is that subsidies are a distortion in the economy leading to an inefficient use of resources.</w:t>
      </w:r>
      <w:r w:rsidR="00903209">
        <w:t xml:space="preserve"> </w:t>
      </w:r>
      <w:r w:rsidR="00F51B07">
        <w:t xml:space="preserve">Removing this distortion should </w:t>
      </w:r>
      <w:r w:rsidR="00554C4B">
        <w:t xml:space="preserve">improve </w:t>
      </w:r>
    </w:p>
    <w:p w:rsidR="00970E92" w:rsidRDefault="00554C4B" w:rsidP="00970E92">
      <w:pPr>
        <w:pStyle w:val="ListParagraph"/>
        <w:numPr>
          <w:ilvl w:val="0"/>
          <w:numId w:val="5"/>
        </w:numPr>
      </w:pPr>
      <w:r>
        <w:t xml:space="preserve">social welfare, </w:t>
      </w:r>
    </w:p>
    <w:p w:rsidR="00970E92" w:rsidRDefault="00554C4B" w:rsidP="00970E92">
      <w:pPr>
        <w:pStyle w:val="ListParagraph"/>
        <w:numPr>
          <w:ilvl w:val="0"/>
          <w:numId w:val="5"/>
        </w:numPr>
      </w:pPr>
      <w:r>
        <w:t xml:space="preserve">environmental protection and </w:t>
      </w:r>
    </w:p>
    <w:p w:rsidR="00F51B07" w:rsidRDefault="00554C4B" w:rsidP="00970E92">
      <w:pPr>
        <w:pStyle w:val="ListParagraph"/>
        <w:numPr>
          <w:ilvl w:val="0"/>
          <w:numId w:val="5"/>
        </w:numPr>
      </w:pPr>
      <w:r>
        <w:t xml:space="preserve">economic growth. </w:t>
      </w:r>
    </w:p>
    <w:p w:rsidR="00B51433" w:rsidRDefault="0052742E" w:rsidP="0052742E">
      <w:r>
        <w:t xml:space="preserve">A 2015 report by the IEA estimates the global subsidy value in 2014 at $490 billion. Without reforms introduced in 2009, the subsidy estimate would have been $610 billion (IEA, 2015:27). IEA further estimates that fossil-fuel subsidies are become increasingly concentrated in the major oil- and gas-exporting countries. For example, the share of Middle </w:t>
      </w:r>
      <w:r>
        <w:lastRenderedPageBreak/>
        <w:t>East oil exporters</w:t>
      </w:r>
      <w:r>
        <w:rPr>
          <w:rStyle w:val="FootnoteReference"/>
        </w:rPr>
        <w:footnoteReference w:id="2"/>
      </w:r>
      <w:r>
        <w:t xml:space="preserve"> in the world total has risen from 35 per cent to 40 per cent over the last 4 years (IEA, 2015:100). The reason is that for the past few years, there was no incentive to reform energy pricing due to the high oil price. Higher oil prices meant higher government revenues from oil exports which allowed for increased government spending often on social support programmes and subsidies. For 2009-2014, fossil fuel subsidies for the Middle Eastern countries on average have been more than 25 per cent of government expenditure (IEA, 2015:100). The fall in the oil price directly impacts on government balances. If the price of oil remains low, governments would have to restructure their spending priorities. </w:t>
      </w:r>
      <w:r w:rsidR="007A46B9">
        <w:t>To mitigate the impact of lower oil prices on the government budget, a</w:t>
      </w:r>
      <w:r>
        <w:t xml:space="preserve">n option is to cut spending by reducing subsidies. For example, </w:t>
      </w:r>
      <w:r w:rsidR="00E4180B">
        <w:t xml:space="preserve">in 2015 </w:t>
      </w:r>
      <w:r>
        <w:t xml:space="preserve">the UAE </w:t>
      </w:r>
      <w:r w:rsidR="00E4180B">
        <w:t>d</w:t>
      </w:r>
      <w:r>
        <w:t>eregulate gasoline and diesel prices as part of the governments’</w:t>
      </w:r>
      <w:r w:rsidR="00E4180B">
        <w:t xml:space="preserve"> strategy to diversify sources of income, improve competitiveness and to reduce the economy’s dependence on subsidies (IEA, 2015:</w:t>
      </w:r>
      <w:r w:rsidR="00D83133">
        <w:t>1</w:t>
      </w:r>
      <w:r w:rsidR="00E4180B">
        <w:t>01).</w:t>
      </w:r>
      <w:r w:rsidR="00B51433">
        <w:t xml:space="preserve"> Saudi Arabia also feels the pinch of lower oil prices. In 2015, the budget deficit was approximately 15 percent of GDP. As a result, the government announced a cut in spending of 14 percent in 2016 (Tully, 2015).</w:t>
      </w:r>
      <w:r w:rsidR="00AC5365">
        <w:t xml:space="preserve"> The spending cuts include an increase in the price of retail gasoline by 50 per cent, from 0.60 of a Riyal to 0.90 per liter of premium gasoline.</w:t>
      </w:r>
      <w:r w:rsidR="00AC5365">
        <w:rPr>
          <w:rStyle w:val="FootnoteReference"/>
        </w:rPr>
        <w:footnoteReference w:id="3"/>
      </w:r>
      <w:r w:rsidR="00AC5365">
        <w:t xml:space="preserve">  </w:t>
      </w:r>
    </w:p>
    <w:p w:rsidR="0052742E" w:rsidRDefault="00683F84" w:rsidP="0052742E">
      <w:r>
        <w:t xml:space="preserve">Another reason to cut subsidies is to improve the low efficiency of domestic energy consumption which is driven by an increase in domestic demand. </w:t>
      </w:r>
      <w:r w:rsidR="007A46B9">
        <w:t xml:space="preserve">In 2010, Saudi Aramco warned that Saudi </w:t>
      </w:r>
      <w:r w:rsidR="00C56DB0">
        <w:t>Arabia’s capacity to o</w:t>
      </w:r>
      <w:r w:rsidR="007A46B9">
        <w:t xml:space="preserve">il export </w:t>
      </w:r>
      <w:r w:rsidR="00C56DB0">
        <w:t>w</w:t>
      </w:r>
      <w:r w:rsidR="007A46B9">
        <w:t>ould be restricted to less than 7 million barrels per day by 2028 if domestic energy demand continued to rise as its current pace (IEA, 2010:574).</w:t>
      </w:r>
      <w:r w:rsidR="00C56DB0">
        <w:t xml:space="preserve"> In the Middle East, </w:t>
      </w:r>
      <w:r>
        <w:t xml:space="preserve">passenger cars use 75 per cent more fuel per kilometre than cars in the OECD, mainly because low fuel prices reduce the incentive of investing in efficient cars. </w:t>
      </w:r>
      <w:r w:rsidR="007A46B9">
        <w:t>B</w:t>
      </w:r>
      <w:r w:rsidR="00A05B35">
        <w:t xml:space="preserve">ased on the </w:t>
      </w:r>
      <w:r>
        <w:t>current level of fuel consumption per car</w:t>
      </w:r>
      <w:r w:rsidR="00A05B35">
        <w:t>, cutting gasoline subsidies in Saudi Arabia would effectively leave each person approximately $680 per year worse off</w:t>
      </w:r>
      <w:r w:rsidR="007A46B9">
        <w:t xml:space="preserve"> (IEA, 2015:101)</w:t>
      </w:r>
      <w:r>
        <w:t>.</w:t>
      </w:r>
      <w:r w:rsidR="007A46B9">
        <w:t xml:space="preserve"> However, if cars had the same fuel efficiency as those in the OECD, then the impact per person would be about $410 per </w:t>
      </w:r>
      <w:r w:rsidR="007A46B9" w:rsidRPr="00C56DB0">
        <w:t xml:space="preserve">year. </w:t>
      </w:r>
      <w:r w:rsidR="00C56DB0" w:rsidRPr="00C56DB0">
        <w:t>Therefore changes to energy prices would slow down domestic demand and create an incentive to buy fuel efficient cars.</w:t>
      </w:r>
    </w:p>
    <w:p w:rsidR="00176F7F" w:rsidRDefault="00903209" w:rsidP="00133BD2">
      <w:r>
        <w:t xml:space="preserve">In this </w:t>
      </w:r>
      <w:r w:rsidR="008F6C00">
        <w:t xml:space="preserve">paper </w:t>
      </w:r>
      <w:r>
        <w:t xml:space="preserve">we </w:t>
      </w:r>
      <w:r w:rsidR="008F6C00">
        <w:t xml:space="preserve">use a dynamic CGE model for Saudi Arabia to </w:t>
      </w:r>
      <w:r>
        <w:t xml:space="preserve">model the economic impact of the removal of subsidies on refined petroleum and electricity. Removing the subsidies increases the price of energy to final users, with consequent flow-on effects through the economy. </w:t>
      </w:r>
      <w:r w:rsidR="00664301">
        <w:t>The paper is organised as follows. Section 2 describes the model used in this study</w:t>
      </w:r>
      <w:r w:rsidR="00176F7F">
        <w:t>.</w:t>
      </w:r>
      <w:r w:rsidR="00664301">
        <w:t xml:space="preserve"> This is followed by a description of the initial database.</w:t>
      </w:r>
      <w:r w:rsidR="00F47210">
        <w:t xml:space="preserve"> Section 4 describes the closure and shocks imposed on the model in the baseline and policy simulation. Section 5 provides a discussion on the results and concludes.</w:t>
      </w:r>
    </w:p>
    <w:p w:rsidR="00CF7B98" w:rsidRDefault="00D25FD1" w:rsidP="00CF7B98">
      <w:pPr>
        <w:pStyle w:val="Heading1"/>
      </w:pPr>
      <w:bookmarkStart w:id="3" w:name="_Toc448504466"/>
      <w:r>
        <w:t>The model</w:t>
      </w:r>
      <w:bookmarkEnd w:id="3"/>
      <w:r w:rsidR="00CF7B98">
        <w:t xml:space="preserve"> </w:t>
      </w:r>
    </w:p>
    <w:p w:rsidR="006D23FD" w:rsidRDefault="0041431E" w:rsidP="006D23FD">
      <w:r>
        <w:t xml:space="preserve">In this paper we use a dynamic CGE model of the Saudi Arabian economy to estimate the impact of the </w:t>
      </w:r>
      <w:r w:rsidR="00E7108B">
        <w:t xml:space="preserve">full </w:t>
      </w:r>
      <w:r>
        <w:t>removal of subsidies on petroleum and electricity.</w:t>
      </w:r>
      <w:r w:rsidR="00211717">
        <w:t xml:space="preserve"> The model is called the Saudi General Equilibrium Model (</w:t>
      </w:r>
      <w:r w:rsidR="00FD0013">
        <w:t>SGEM</w:t>
      </w:r>
      <w:r w:rsidR="00211717">
        <w:t>). SGEM</w:t>
      </w:r>
      <w:r w:rsidR="00412245" w:rsidRPr="00412245">
        <w:t xml:space="preserve"> models production of </w:t>
      </w:r>
      <w:r w:rsidR="00FD0013">
        <w:t>59</w:t>
      </w:r>
      <w:r w:rsidR="00412245" w:rsidRPr="00412245">
        <w:t xml:space="preserve"> commodities by </w:t>
      </w:r>
      <w:r w:rsidR="00FD0013">
        <w:t>59</w:t>
      </w:r>
      <w:r w:rsidR="00412245" w:rsidRPr="00412245">
        <w:t xml:space="preserve"> industries. </w:t>
      </w:r>
      <w:r w:rsidR="00FD0013">
        <w:t>There are three primary factors</w:t>
      </w:r>
      <w:r w:rsidR="00412245" w:rsidRPr="00412245">
        <w:t xml:space="preserve">: land, capital and labour. Labour is further distinguished by </w:t>
      </w:r>
      <w:r w:rsidR="00FD0013">
        <w:t>9</w:t>
      </w:r>
      <w:r w:rsidR="00412245" w:rsidRPr="00412245">
        <w:t xml:space="preserve"> occupational types. </w:t>
      </w:r>
      <w:r w:rsidR="00FD0013">
        <w:t>SGEM</w:t>
      </w:r>
      <w:r w:rsidR="00412245" w:rsidRPr="00412245">
        <w:t xml:space="preserve"> has one representative household and one </w:t>
      </w:r>
      <w:r w:rsidR="00412245" w:rsidRPr="00412245">
        <w:lastRenderedPageBreak/>
        <w:t xml:space="preserve">central government. </w:t>
      </w:r>
      <w:r w:rsidR="00FD0013">
        <w:t>D</w:t>
      </w:r>
      <w:r w:rsidR="00412245" w:rsidRPr="00412245">
        <w:t>ecision-making by the household and firms</w:t>
      </w:r>
      <w:r w:rsidR="00FD0013">
        <w:t xml:space="preserve"> are governed by optimising behaviour</w:t>
      </w:r>
      <w:r w:rsidR="00412245" w:rsidRPr="00412245">
        <w:t xml:space="preserve">. </w:t>
      </w:r>
      <w:r w:rsidR="00FD0013">
        <w:t xml:space="preserve">We assume that the household </w:t>
      </w:r>
      <w:r w:rsidR="004A53E5">
        <w:t xml:space="preserve">choose </w:t>
      </w:r>
      <w:r w:rsidR="00620FF8">
        <w:t xml:space="preserve">a combination of </w:t>
      </w:r>
      <w:r w:rsidR="004A53E5">
        <w:t xml:space="preserve">commodities to maximise utility subject to their budget whereas firms choose </w:t>
      </w:r>
      <w:r w:rsidR="00620FF8">
        <w:t xml:space="preserve">a combination of </w:t>
      </w:r>
      <w:r w:rsidR="004A53E5">
        <w:t>inputs that</w:t>
      </w:r>
      <w:r w:rsidR="00412245" w:rsidRPr="00412245">
        <w:t xml:space="preserve"> minimise costs subject to given input prices and a constant returns to scale production function. </w:t>
      </w:r>
      <w:r w:rsidR="00620FF8">
        <w:t xml:space="preserve">On the other hand, firms choose their commodity outputs to maximise revenue subject to a constant elasticity of transformation (CET) function. </w:t>
      </w:r>
      <w:r w:rsidR="00EF0EDF">
        <w:t xml:space="preserve">In creating capital, investors choose inputs that </w:t>
      </w:r>
      <w:r w:rsidR="00412245" w:rsidRPr="00412245">
        <w:t xml:space="preserve">are cost minimising combinations of </w:t>
      </w:r>
      <w:r w:rsidR="00620FF8">
        <w:t>Saudi</w:t>
      </w:r>
      <w:r w:rsidR="00412245" w:rsidRPr="00412245">
        <w:t xml:space="preserve"> and foreign commodities. We assume that domestic and imported varieties of commodities are imperfect substitutes for each other, with this modelled via constant elasticity of substitution (CES) functions. The export demand for any </w:t>
      </w:r>
      <w:r w:rsidR="00EF0EDF">
        <w:t>Saudi Arabian</w:t>
      </w:r>
      <w:r w:rsidR="00412245" w:rsidRPr="00412245">
        <w:t xml:space="preserve"> commodity is inversely related to its foreign-currency price. </w:t>
      </w:r>
      <w:r w:rsidR="00EF0EDF">
        <w:t>SGEM</w:t>
      </w:r>
      <w:r w:rsidR="00412245" w:rsidRPr="00412245">
        <w:t xml:space="preserve"> models the consumption of commodities by government as well as direct and indirect taxes. All sectors are competitive and all commodity markets clear. </w:t>
      </w:r>
      <w:r w:rsidR="00EF0EDF">
        <w:t>SGEM</w:t>
      </w:r>
      <w:r w:rsidR="00412245" w:rsidRPr="00412245">
        <w:t xml:space="preserve"> recognises </w:t>
      </w:r>
      <w:r w:rsidR="00EF0EDF">
        <w:t>three</w:t>
      </w:r>
      <w:r w:rsidR="00412245" w:rsidRPr="00412245">
        <w:t xml:space="preserve"> main types of dynamic adjustment: capital accumulation, </w:t>
      </w:r>
      <w:r w:rsidR="00AA4F68">
        <w:t>lagged adjustment mechanism in the labour market</w:t>
      </w:r>
      <w:r w:rsidR="00EF0EDF">
        <w:t xml:space="preserve"> and </w:t>
      </w:r>
      <w:r w:rsidR="00EF0EDF" w:rsidRPr="00412245">
        <w:t>net foreign liability accumulation</w:t>
      </w:r>
      <w:r w:rsidR="00EF0EDF">
        <w:t>.</w:t>
      </w:r>
      <w:r w:rsidR="00412245" w:rsidRPr="00412245">
        <w:t xml:space="preserve"> </w:t>
      </w:r>
      <w:r w:rsidR="00EF0EDF">
        <w:t>Each industry accumulates capital which is</w:t>
      </w:r>
      <w:r w:rsidR="00412245" w:rsidRPr="00412245">
        <w:t xml:space="preserve"> linked to industry-specific net investment. Changes in industry-specific investment are linked to changes in industry-specific rates of return.</w:t>
      </w:r>
      <w:r w:rsidR="00AA4F68">
        <w:t xml:space="preserve"> </w:t>
      </w:r>
      <w:r w:rsidR="00AA4F68" w:rsidRPr="00B53E3D">
        <w:t xml:space="preserve">Annual changes in the net liability position of the </w:t>
      </w:r>
      <w:r w:rsidR="00AA4F68">
        <w:t>economy</w:t>
      </w:r>
      <w:r w:rsidR="00AA4F68" w:rsidRPr="00B53E3D">
        <w:t xml:space="preserve"> are related to the annual </w:t>
      </w:r>
      <w:r w:rsidR="00AA4F68">
        <w:t xml:space="preserve">current account </w:t>
      </w:r>
      <w:r w:rsidR="00AA4F68" w:rsidRPr="00B53E3D">
        <w:t>balance.</w:t>
      </w:r>
    </w:p>
    <w:p w:rsidR="00633F2E" w:rsidRDefault="00FD4597" w:rsidP="00713502">
      <w:r>
        <w:t>In this paper we are interested in the removal of subsidies on the use of petroleum and electricity commodities.</w:t>
      </w:r>
      <w:r w:rsidR="00BE67D7">
        <w:t xml:space="preserve"> </w:t>
      </w:r>
      <w:r w:rsidR="00216A83">
        <w:t>There are two paths in which change in commodity taxes/subs</w:t>
      </w:r>
      <w:r w:rsidR="00493F9D">
        <w:t>idies</w:t>
      </w:r>
      <w:r w:rsidR="00216A83">
        <w:t xml:space="preserve"> </w:t>
      </w:r>
      <w:r w:rsidR="008A1EAD">
        <w:t>e</w:t>
      </w:r>
      <w:r w:rsidR="00216A83">
        <w:t xml:space="preserve">ffect the </w:t>
      </w:r>
      <w:r w:rsidR="002E61DC">
        <w:t>demand</w:t>
      </w:r>
      <w:r w:rsidR="008A1EAD">
        <w:t xml:space="preserve"> of </w:t>
      </w:r>
      <w:r w:rsidR="00943545">
        <w:t>commodities</w:t>
      </w:r>
      <w:r w:rsidR="00216A83">
        <w:t xml:space="preserve"> in SGEM. First, taxes are accounted for in </w:t>
      </w:r>
      <w:r w:rsidR="00151EE0">
        <w:t xml:space="preserve">purchasers’ </w:t>
      </w:r>
      <w:r w:rsidR="00216A83">
        <w:t>price equations</w:t>
      </w:r>
      <w:r w:rsidR="00325123">
        <w:t xml:space="preserve"> and changes in </w:t>
      </w:r>
      <w:r w:rsidR="00943545">
        <w:t xml:space="preserve">relative </w:t>
      </w:r>
      <w:r w:rsidR="00325123">
        <w:t>price leads to changes in the demand for commodities</w:t>
      </w:r>
      <w:r w:rsidR="00216A83">
        <w:t>.</w:t>
      </w:r>
      <w:r w:rsidR="00216A83">
        <w:rPr>
          <w:rStyle w:val="FootnoteReference"/>
        </w:rPr>
        <w:footnoteReference w:id="4"/>
      </w:r>
      <w:r w:rsidR="00216A83">
        <w:t xml:space="preserve"> </w:t>
      </w:r>
      <w:r w:rsidR="00C936AA">
        <w:t>Purchasers’ price is</w:t>
      </w:r>
      <w:r w:rsidR="0001376B">
        <w:t xml:space="preserve"> the amount paid by the users of commodities and reflect</w:t>
      </w:r>
      <w:r w:rsidR="00C936AA">
        <w:t>s</w:t>
      </w:r>
      <w:r w:rsidR="0001376B">
        <w:t xml:space="preserve"> the actual co</w:t>
      </w:r>
      <w:r w:rsidR="00C936AA">
        <w:t>t</w:t>
      </w:r>
      <w:r w:rsidR="0001376B">
        <w:t>s to users (United Nations, 2009</w:t>
      </w:r>
      <w:r w:rsidR="003128ED">
        <w:t>: 22</w:t>
      </w:r>
      <w:r w:rsidR="0001376B">
        <w:t>)</w:t>
      </w:r>
      <w:r w:rsidR="00633F2E">
        <w:t>.</w:t>
      </w:r>
      <w:r w:rsidR="00216A83">
        <w:t xml:space="preserve"> </w:t>
      </w:r>
      <w:r w:rsidR="00786625">
        <w:t xml:space="preserve">For example, if the price of </w:t>
      </w:r>
      <w:r w:rsidR="00E06B1C">
        <w:t>domestic</w:t>
      </w:r>
      <w:r w:rsidR="00786625">
        <w:t xml:space="preserve"> commodit</w:t>
      </w:r>
      <w:r w:rsidR="00E06B1C">
        <w:t>ies</w:t>
      </w:r>
      <w:r w:rsidR="00786625">
        <w:t xml:space="preserve"> increases, users of this commodity will demand less of the domestic commodity and more from the cheaper imported alternative.</w:t>
      </w:r>
      <w:r w:rsidR="00325123">
        <w:t xml:space="preserve"> Secondly, changes in tax/subsidies </w:t>
      </w:r>
      <w:r w:rsidR="002E61DC">
        <w:t>impact</w:t>
      </w:r>
      <w:r w:rsidR="00325123">
        <w:t xml:space="preserve"> government revenue and ultimately the government </w:t>
      </w:r>
      <w:r w:rsidR="0031665D">
        <w:t xml:space="preserve">budget </w:t>
      </w:r>
      <w:r w:rsidR="00321D3A">
        <w:t>balance</w:t>
      </w:r>
      <w:r w:rsidR="00325123">
        <w:t>.</w:t>
      </w:r>
    </w:p>
    <w:p w:rsidR="00EE10EF" w:rsidRDefault="00EE10EF" w:rsidP="006B60F0">
      <w:pPr>
        <w:rPr>
          <w:rFonts w:cs="Estrangelo Edessa"/>
          <w:szCs w:val="20"/>
        </w:rPr>
      </w:pPr>
      <w:r>
        <w:rPr>
          <w:rFonts w:cs="Estrangelo Edessa"/>
          <w:szCs w:val="20"/>
        </w:rPr>
        <w:t xml:space="preserve">SGEM includes many equations describing numerous variables. </w:t>
      </w:r>
      <w:r w:rsidR="00673E76">
        <w:rPr>
          <w:rFonts w:cs="Estrangelo Edessa"/>
          <w:szCs w:val="20"/>
        </w:rPr>
        <w:t>W</w:t>
      </w:r>
      <w:r w:rsidR="005669A5">
        <w:rPr>
          <w:rFonts w:cs="Estrangelo Edessa"/>
          <w:szCs w:val="20"/>
        </w:rPr>
        <w:t xml:space="preserve">e </w:t>
      </w:r>
      <w:r w:rsidR="004E4E7F">
        <w:rPr>
          <w:rFonts w:cs="Estrangelo Edessa"/>
          <w:szCs w:val="20"/>
        </w:rPr>
        <w:t xml:space="preserve">proceed by </w:t>
      </w:r>
      <w:r w:rsidR="00205A2F">
        <w:rPr>
          <w:rFonts w:cs="Estrangelo Edessa"/>
          <w:szCs w:val="20"/>
        </w:rPr>
        <w:t>describ</w:t>
      </w:r>
      <w:r w:rsidR="004E4E7F">
        <w:rPr>
          <w:rFonts w:cs="Estrangelo Edessa"/>
          <w:szCs w:val="20"/>
        </w:rPr>
        <w:t>ing</w:t>
      </w:r>
      <w:r w:rsidR="005669A5">
        <w:rPr>
          <w:rFonts w:cs="Estrangelo Edessa"/>
          <w:szCs w:val="20"/>
        </w:rPr>
        <w:t xml:space="preserve"> a </w:t>
      </w:r>
      <w:r w:rsidR="00673E76">
        <w:rPr>
          <w:rFonts w:cs="Estrangelo Edessa"/>
          <w:szCs w:val="20"/>
        </w:rPr>
        <w:t>set</w:t>
      </w:r>
      <w:r w:rsidR="005669A5">
        <w:rPr>
          <w:rFonts w:cs="Estrangelo Edessa"/>
          <w:szCs w:val="20"/>
        </w:rPr>
        <w:t xml:space="preserve"> of equations that allows us to understand how taxes and </w:t>
      </w:r>
      <w:r w:rsidR="0031665D">
        <w:rPr>
          <w:rFonts w:cs="Estrangelo Edessa"/>
          <w:szCs w:val="20"/>
        </w:rPr>
        <w:t xml:space="preserve">subsidies impact </w:t>
      </w:r>
      <w:r w:rsidR="00D569E9">
        <w:rPr>
          <w:rFonts w:cs="Estrangelo Edessa"/>
          <w:szCs w:val="20"/>
        </w:rPr>
        <w:t>the behaviour of</w:t>
      </w:r>
      <w:r w:rsidR="0031665D">
        <w:rPr>
          <w:rFonts w:cs="Estrangelo Edessa"/>
          <w:szCs w:val="20"/>
        </w:rPr>
        <w:t xml:space="preserve"> users in SGEM</w:t>
      </w:r>
      <w:r w:rsidR="005669A5">
        <w:rPr>
          <w:rFonts w:cs="Estrangelo Edessa"/>
          <w:szCs w:val="20"/>
        </w:rPr>
        <w:t xml:space="preserve">. </w:t>
      </w:r>
    </w:p>
    <w:p w:rsidR="006B60F0" w:rsidRDefault="00EE10EF" w:rsidP="006B60F0">
      <w:pPr>
        <w:rPr>
          <w:szCs w:val="20"/>
        </w:rPr>
      </w:pPr>
      <w:r>
        <w:rPr>
          <w:rFonts w:cs="Estrangelo Edessa"/>
          <w:szCs w:val="20"/>
        </w:rPr>
        <w:t>SGEM</w:t>
      </w:r>
      <w:r w:rsidR="006B60F0">
        <w:rPr>
          <w:rFonts w:cs="Estrangelo Edessa"/>
          <w:szCs w:val="20"/>
        </w:rPr>
        <w:t xml:space="preserve"> include</w:t>
      </w:r>
      <w:r w:rsidR="00873243">
        <w:rPr>
          <w:rFonts w:cs="Estrangelo Edessa"/>
          <w:szCs w:val="20"/>
        </w:rPr>
        <w:t>s</w:t>
      </w:r>
      <w:r w:rsidR="006B60F0">
        <w:rPr>
          <w:rFonts w:cs="Estrangelo Edessa"/>
          <w:szCs w:val="20"/>
        </w:rPr>
        <w:t xml:space="preserve"> equations </w:t>
      </w:r>
      <w:r w:rsidR="00EF37D4">
        <w:rPr>
          <w:rFonts w:cs="Estrangelo Edessa"/>
          <w:szCs w:val="20"/>
        </w:rPr>
        <w:t>linking</w:t>
      </w:r>
      <w:r w:rsidR="006B60F0">
        <w:rPr>
          <w:rFonts w:cs="Estrangelo Edessa"/>
          <w:szCs w:val="20"/>
        </w:rPr>
        <w:t xml:space="preserve"> </w:t>
      </w:r>
      <w:r w:rsidR="00BC59EB">
        <w:rPr>
          <w:rFonts w:cs="Estrangelo Edessa"/>
          <w:szCs w:val="20"/>
        </w:rPr>
        <w:t xml:space="preserve">flows of commodity </w:t>
      </w:r>
      <w:r w:rsidR="00BC59EB" w:rsidRPr="00BC59EB">
        <w:rPr>
          <w:rFonts w:cs="Estrangelo Edessa"/>
          <w:i/>
          <w:szCs w:val="20"/>
        </w:rPr>
        <w:t>c</w:t>
      </w:r>
      <w:r w:rsidR="00BC59EB">
        <w:rPr>
          <w:rFonts w:cs="Estrangelo Edessa"/>
          <w:szCs w:val="20"/>
        </w:rPr>
        <w:t xml:space="preserve"> from source </w:t>
      </w:r>
      <w:r w:rsidR="00BC59EB" w:rsidRPr="00BC59EB">
        <w:rPr>
          <w:rFonts w:cs="Estrangelo Edessa"/>
          <w:i/>
          <w:szCs w:val="20"/>
        </w:rPr>
        <w:t>s</w:t>
      </w:r>
      <w:r w:rsidR="00BC59EB">
        <w:rPr>
          <w:rFonts w:cs="Estrangelo Edessa"/>
          <w:szCs w:val="20"/>
        </w:rPr>
        <w:t xml:space="preserve"> valued at </w:t>
      </w:r>
      <w:r w:rsidR="006B60F0" w:rsidRPr="001F7E6B">
        <w:rPr>
          <w:rFonts w:cs="Estrangelo Edessa"/>
          <w:szCs w:val="20"/>
        </w:rPr>
        <w:t>purchasers’</w:t>
      </w:r>
      <w:r w:rsidR="00BC59EB">
        <w:rPr>
          <w:rFonts w:cs="Estrangelo Edessa"/>
          <w:szCs w:val="20"/>
        </w:rPr>
        <w:t>,</w:t>
      </w:r>
      <w:r w:rsidR="006B60F0" w:rsidRPr="001F7E6B">
        <w:rPr>
          <w:rFonts w:cs="Estrangelo Edessa"/>
          <w:szCs w:val="20"/>
        </w:rPr>
        <w:t xml:space="preserve"> to their</w:t>
      </w:r>
      <w:r w:rsidR="00B022C1">
        <w:rPr>
          <w:rFonts w:cs="Estrangelo Edessa"/>
          <w:szCs w:val="20"/>
        </w:rPr>
        <w:t xml:space="preserve"> </w:t>
      </w:r>
      <w:r w:rsidR="008D7107">
        <w:rPr>
          <w:rFonts w:cs="Estrangelo Edessa"/>
          <w:szCs w:val="20"/>
        </w:rPr>
        <w:t xml:space="preserve">respective </w:t>
      </w:r>
      <w:r w:rsidR="00B022C1">
        <w:rPr>
          <w:rFonts w:cs="Estrangelo Edessa"/>
          <w:szCs w:val="20"/>
        </w:rPr>
        <w:t>commodity and source-specific</w:t>
      </w:r>
      <w:r w:rsidR="006B60F0" w:rsidRPr="001F7E6B">
        <w:rPr>
          <w:rFonts w:cs="Estrangelo Edessa"/>
          <w:szCs w:val="20"/>
        </w:rPr>
        <w:t xml:space="preserve"> basic value, taxes and margins</w:t>
      </w:r>
      <w:r w:rsidR="00EF37D4">
        <w:rPr>
          <w:rFonts w:cs="Estrangelo Edessa"/>
          <w:szCs w:val="20"/>
        </w:rPr>
        <w:t xml:space="preserve"> cost</w:t>
      </w:r>
      <w:r w:rsidR="00873243">
        <w:rPr>
          <w:rFonts w:cs="Estrangelo Edessa"/>
          <w:szCs w:val="20"/>
        </w:rPr>
        <w:t xml:space="preserve">. </w:t>
      </w:r>
      <w:r w:rsidR="00673E76">
        <w:rPr>
          <w:rFonts w:cs="Estrangelo Edessa"/>
          <w:szCs w:val="20"/>
        </w:rPr>
        <w:t xml:space="preserve">We begin by defining values at purchasers’ price. </w:t>
      </w:r>
      <w:r w:rsidR="00873243">
        <w:rPr>
          <w:rFonts w:cs="Estrangelo Edessa"/>
          <w:szCs w:val="20"/>
        </w:rPr>
        <w:t>Equation (E1)</w:t>
      </w:r>
      <w:r w:rsidR="006B60F0">
        <w:rPr>
          <w:rFonts w:cs="Estrangelo Edessa"/>
          <w:szCs w:val="20"/>
        </w:rPr>
        <w:t xml:space="preserve"> shows</w:t>
      </w:r>
      <w:r w:rsidR="00B022C1">
        <w:rPr>
          <w:rFonts w:cs="Estrangelo Edessa"/>
          <w:szCs w:val="20"/>
        </w:rPr>
        <w:t xml:space="preserve"> </w:t>
      </w:r>
      <w:r w:rsidR="006B60F0">
        <w:rPr>
          <w:rFonts w:cs="Estrangelo Edessa"/>
          <w:szCs w:val="20"/>
        </w:rPr>
        <w:t>for all users</w:t>
      </w:r>
      <w:r w:rsidR="00144B74">
        <w:rPr>
          <w:rFonts w:cs="Estrangelo Edessa"/>
          <w:szCs w:val="20"/>
        </w:rPr>
        <w:t xml:space="preserve"> </w:t>
      </w:r>
      <w:r w:rsidR="00144B74" w:rsidRPr="00144B74">
        <w:rPr>
          <w:rFonts w:cs="Estrangelo Edessa"/>
          <w:i/>
          <w:szCs w:val="20"/>
        </w:rPr>
        <w:t>u</w:t>
      </w:r>
      <w:r w:rsidR="006B60F0">
        <w:rPr>
          <w:rFonts w:cs="Estrangelo Edessa"/>
          <w:szCs w:val="20"/>
        </w:rPr>
        <w:t>, the purchasers’ value of commodity</w:t>
      </w:r>
      <w:r w:rsidR="00BE6D02">
        <w:rPr>
          <w:rFonts w:cs="Estrangelo Edessa"/>
          <w:szCs w:val="20"/>
        </w:rPr>
        <w:t xml:space="preserve"> </w:t>
      </w:r>
      <w:r w:rsidR="00BE6D02" w:rsidRPr="00BE6D02">
        <w:rPr>
          <w:rFonts w:cs="Estrangelo Edessa"/>
          <w:i/>
          <w:szCs w:val="20"/>
        </w:rPr>
        <w:t>c</w:t>
      </w:r>
      <w:r w:rsidR="006B60F0" w:rsidRPr="00BE6D02">
        <w:rPr>
          <w:rFonts w:cs="Estrangelo Edessa"/>
          <w:i/>
          <w:szCs w:val="20"/>
        </w:rPr>
        <w:t xml:space="preserve"> </w:t>
      </w:r>
      <w:r w:rsidR="006B60F0">
        <w:rPr>
          <w:szCs w:val="20"/>
        </w:rPr>
        <w:t>from source</w:t>
      </w:r>
      <w:r w:rsidR="00BE6D02">
        <w:rPr>
          <w:szCs w:val="20"/>
        </w:rPr>
        <w:t xml:space="preserve"> </w:t>
      </w:r>
      <w:r w:rsidR="00BE6D02" w:rsidRPr="00BE6D02">
        <w:rPr>
          <w:i/>
          <w:szCs w:val="20"/>
        </w:rPr>
        <w:t>s</w:t>
      </w:r>
      <w:r w:rsidR="00873243">
        <w:rPr>
          <w:szCs w:val="20"/>
        </w:rPr>
        <w:t>,</w:t>
      </w:r>
      <w:r w:rsidR="006B60F0">
        <w:rPr>
          <w:szCs w:val="20"/>
        </w:rPr>
        <w:t xml:space="preserve"> </w:t>
      </w:r>
      <w:r w:rsidR="00873243">
        <w:rPr>
          <w:szCs w:val="20"/>
        </w:rPr>
        <w:t>are</w:t>
      </w:r>
      <w:r w:rsidR="006B60F0">
        <w:rPr>
          <w:szCs w:val="20"/>
        </w:rPr>
        <w:t xml:space="preserve"> equal to the sum of the basic value, sales tax and margins </w:t>
      </w:r>
      <w:r w:rsidR="00873243">
        <w:rPr>
          <w:szCs w:val="20"/>
        </w:rPr>
        <w:t xml:space="preserve">services </w:t>
      </w:r>
      <w:r w:rsidR="006B60F0">
        <w:rPr>
          <w:szCs w:val="20"/>
        </w:rPr>
        <w:t xml:space="preserve">facilitating this </w:t>
      </w:r>
      <w:r w:rsidR="00873243">
        <w:rPr>
          <w:szCs w:val="20"/>
        </w:rPr>
        <w:t xml:space="preserve">flow of the </w:t>
      </w:r>
      <w:r w:rsidR="006B60F0">
        <w:rPr>
          <w:szCs w:val="20"/>
        </w:rPr>
        <w:t xml:space="preserve">commodity to </w:t>
      </w:r>
      <w:r w:rsidR="003368F0">
        <w:rPr>
          <w:szCs w:val="20"/>
        </w:rPr>
        <w:t>its respective</w:t>
      </w:r>
      <w:r w:rsidR="006B60F0">
        <w:rPr>
          <w:szCs w:val="20"/>
        </w:rPr>
        <w:t xml:space="preserve"> users.</w:t>
      </w:r>
      <w:r w:rsidR="0064794C">
        <w:rPr>
          <w:szCs w:val="20"/>
        </w:rPr>
        <w:t xml:space="preserve"> </w:t>
      </w:r>
      <w:r w:rsidR="00873243">
        <w:rPr>
          <w:szCs w:val="20"/>
        </w:rPr>
        <w:t>In levels form this equation is</w:t>
      </w:r>
      <w:r w:rsidR="0064794C">
        <w:rPr>
          <w:szCs w:val="20"/>
        </w:rPr>
        <w:t>:</w:t>
      </w:r>
    </w:p>
    <w:p w:rsidR="00380366" w:rsidRDefault="00380366">
      <w:pPr>
        <w:spacing w:after="200"/>
        <w:rPr>
          <w:szCs w:val="20"/>
        </w:rPr>
      </w:pPr>
      <w:r>
        <w:rPr>
          <w:szCs w:val="20"/>
        </w:rPr>
        <w:br w:type="page"/>
      </w:r>
    </w:p>
    <w:p w:rsidR="0064794C" w:rsidRDefault="00E06B1C" w:rsidP="006B60F0">
      <w:pPr>
        <w:rPr>
          <w:szCs w:val="20"/>
        </w:rPr>
      </w:pPr>
      <w:r w:rsidRPr="0064794C">
        <w:rPr>
          <w:position w:val="-32"/>
          <w:szCs w:val="20"/>
        </w:rPr>
        <w:object w:dxaOrig="650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95pt;height:30.05pt" o:ole="">
            <v:imagedata r:id="rId10" o:title=""/>
          </v:shape>
          <o:OLEObject Type="Embed" ProgID="Equation.DSMT4" ShapeID="_x0000_i1025" DrawAspect="Content" ObjectID="_1522247636" r:id="rId11"/>
        </w:object>
      </w:r>
      <w:r w:rsidR="0064794C">
        <w:rPr>
          <w:szCs w:val="20"/>
        </w:rPr>
        <w:t xml:space="preserve"> </w:t>
      </w:r>
      <w:r w:rsidR="00873243">
        <w:rPr>
          <w:szCs w:val="20"/>
        </w:rPr>
        <w:tab/>
      </w:r>
      <w:r w:rsidR="00873243">
        <w:rPr>
          <w:szCs w:val="20"/>
        </w:rPr>
        <w:tab/>
        <w:t>(E1)</w:t>
      </w:r>
    </w:p>
    <w:p w:rsidR="0064794C" w:rsidRPr="001F7E6B" w:rsidRDefault="0064794C" w:rsidP="006B60F0">
      <w:pPr>
        <w:rPr>
          <w:rFonts w:cs="Estrangelo Edessa"/>
          <w:szCs w:val="20"/>
        </w:rPr>
      </w:pPr>
      <w:r>
        <w:rPr>
          <w:szCs w:val="20"/>
        </w:rPr>
        <w:t xml:space="preserve">for all c </w:t>
      </w:r>
      <w:r w:rsidRPr="0064794C">
        <w:rPr>
          <w:position w:val="-4"/>
          <w:szCs w:val="20"/>
        </w:rPr>
        <w:object w:dxaOrig="180" w:dyaOrig="180">
          <v:shape id="_x0000_i1026" type="#_x0000_t75" style="width:8.75pt;height:8.75pt" o:ole="">
            <v:imagedata r:id="rId12" o:title=""/>
          </v:shape>
          <o:OLEObject Type="Embed" ProgID="Equation.DSMT4" ShapeID="_x0000_i1026" DrawAspect="Content" ObjectID="_1522247637" r:id="rId13"/>
        </w:object>
      </w:r>
      <w:r>
        <w:rPr>
          <w:szCs w:val="20"/>
        </w:rPr>
        <w:t xml:space="preserve"> COM, s </w:t>
      </w:r>
      <w:r w:rsidRPr="0064794C">
        <w:rPr>
          <w:position w:val="-4"/>
          <w:szCs w:val="20"/>
        </w:rPr>
        <w:object w:dxaOrig="180" w:dyaOrig="180">
          <v:shape id="_x0000_i1027" type="#_x0000_t75" style="width:8.75pt;height:8.75pt" o:ole="">
            <v:imagedata r:id="rId12" o:title=""/>
          </v:shape>
          <o:OLEObject Type="Embed" ProgID="Equation.DSMT4" ShapeID="_x0000_i1027" DrawAspect="Content" ObjectID="_1522247638" r:id="rId14"/>
        </w:object>
      </w:r>
      <w:r>
        <w:rPr>
          <w:szCs w:val="20"/>
        </w:rPr>
        <w:t xml:space="preserve">SRC, u </w:t>
      </w:r>
      <w:r w:rsidRPr="0064794C">
        <w:rPr>
          <w:position w:val="-4"/>
          <w:szCs w:val="20"/>
        </w:rPr>
        <w:object w:dxaOrig="180" w:dyaOrig="180">
          <v:shape id="_x0000_i1028" type="#_x0000_t75" style="width:8.75pt;height:8.75pt" o:ole="">
            <v:imagedata r:id="rId12" o:title=""/>
          </v:shape>
          <o:OLEObject Type="Embed" ProgID="Equation.DSMT4" ShapeID="_x0000_i1028" DrawAspect="Content" ObjectID="_1522247639" r:id="rId15"/>
        </w:object>
      </w:r>
      <w:r>
        <w:rPr>
          <w:szCs w:val="20"/>
        </w:rPr>
        <w:t xml:space="preserve">USER, m </w:t>
      </w:r>
      <w:r w:rsidRPr="0064794C">
        <w:rPr>
          <w:position w:val="-4"/>
          <w:szCs w:val="20"/>
        </w:rPr>
        <w:object w:dxaOrig="180" w:dyaOrig="180">
          <v:shape id="_x0000_i1029" type="#_x0000_t75" style="width:8.75pt;height:8.75pt" o:ole="">
            <v:imagedata r:id="rId12" o:title=""/>
          </v:shape>
          <o:OLEObject Type="Embed" ProgID="Equation.DSMT4" ShapeID="_x0000_i1029" DrawAspect="Content" ObjectID="_1522247640" r:id="rId16"/>
        </w:object>
      </w:r>
      <w:r>
        <w:rPr>
          <w:szCs w:val="20"/>
        </w:rPr>
        <w:t>MAR</w:t>
      </w:r>
    </w:p>
    <w:p w:rsidR="006B60F0" w:rsidRDefault="0064794C" w:rsidP="006D23FD">
      <w:r>
        <w:t>where</w:t>
      </w:r>
    </w:p>
    <w:p w:rsidR="0064794C" w:rsidRDefault="0064794C" w:rsidP="006D23FD">
      <w:pPr>
        <w:rPr>
          <w:szCs w:val="20"/>
        </w:rPr>
      </w:pPr>
      <w:r>
        <w:t>VPUR</w:t>
      </w:r>
      <w:r>
        <w:tab/>
      </w:r>
      <w:r>
        <w:tab/>
        <w:t xml:space="preserve">is the </w:t>
      </w:r>
      <w:r w:rsidRPr="001F7E6B">
        <w:rPr>
          <w:szCs w:val="20"/>
        </w:rPr>
        <w:t xml:space="preserve">total purchasers’ value of </w:t>
      </w:r>
      <w:r>
        <w:rPr>
          <w:szCs w:val="20"/>
        </w:rPr>
        <w:t xml:space="preserve">commodity </w:t>
      </w:r>
      <w:r w:rsidRPr="001F7E6B">
        <w:rPr>
          <w:szCs w:val="20"/>
        </w:rPr>
        <w:t>flows</w:t>
      </w:r>
      <w:r>
        <w:rPr>
          <w:szCs w:val="20"/>
        </w:rPr>
        <w:t>, from all sources</w:t>
      </w:r>
      <w:r w:rsidRPr="001F7E6B">
        <w:rPr>
          <w:szCs w:val="20"/>
        </w:rPr>
        <w:t xml:space="preserve"> to user</w:t>
      </w:r>
      <w:r>
        <w:rPr>
          <w:szCs w:val="20"/>
        </w:rPr>
        <w:t xml:space="preserve"> u</w:t>
      </w:r>
      <w:r w:rsidRPr="001F7E6B">
        <w:rPr>
          <w:szCs w:val="20"/>
        </w:rPr>
        <w:t>;</w:t>
      </w:r>
    </w:p>
    <w:p w:rsidR="0064794C" w:rsidRDefault="0064794C" w:rsidP="006D23FD">
      <w:pPr>
        <w:rPr>
          <w:szCs w:val="20"/>
        </w:rPr>
      </w:pPr>
      <w:r>
        <w:rPr>
          <w:szCs w:val="20"/>
        </w:rPr>
        <w:t>BAS</w:t>
      </w:r>
      <w:r>
        <w:rPr>
          <w:szCs w:val="20"/>
        </w:rPr>
        <w:tab/>
      </w:r>
      <w:r>
        <w:rPr>
          <w:szCs w:val="20"/>
        </w:rPr>
        <w:tab/>
      </w:r>
      <w:r w:rsidRPr="001F7E6B">
        <w:rPr>
          <w:rFonts w:cs="Estrangelo Edessa"/>
          <w:szCs w:val="20"/>
        </w:rPr>
        <w:t>is the basic value of commodit</w:t>
      </w:r>
      <w:r>
        <w:rPr>
          <w:rFonts w:cs="Estrangelo Edessa"/>
          <w:szCs w:val="20"/>
        </w:rPr>
        <w:t>y flow from all sources</w:t>
      </w:r>
      <w:r w:rsidRPr="001F7E6B">
        <w:rPr>
          <w:rFonts w:cs="Estrangelo Edessa"/>
          <w:szCs w:val="20"/>
        </w:rPr>
        <w:t xml:space="preserve"> </w:t>
      </w:r>
      <w:r w:rsidRPr="001F7E6B">
        <w:rPr>
          <w:szCs w:val="20"/>
        </w:rPr>
        <w:t>to user</w:t>
      </w:r>
      <w:r>
        <w:rPr>
          <w:szCs w:val="20"/>
        </w:rPr>
        <w:t xml:space="preserve"> u</w:t>
      </w:r>
      <w:r w:rsidRPr="001F7E6B">
        <w:rPr>
          <w:szCs w:val="20"/>
        </w:rPr>
        <w:t>;</w:t>
      </w:r>
    </w:p>
    <w:p w:rsidR="0064794C" w:rsidRDefault="0064794C" w:rsidP="006D23FD">
      <w:pPr>
        <w:rPr>
          <w:szCs w:val="20"/>
        </w:rPr>
      </w:pPr>
      <w:r>
        <w:rPr>
          <w:szCs w:val="20"/>
        </w:rPr>
        <w:t>TAX</w:t>
      </w:r>
      <w:r>
        <w:rPr>
          <w:szCs w:val="20"/>
        </w:rPr>
        <w:tab/>
      </w:r>
      <w:r>
        <w:rPr>
          <w:szCs w:val="20"/>
        </w:rPr>
        <w:tab/>
      </w:r>
      <w:r w:rsidRPr="001F7E6B">
        <w:rPr>
          <w:rFonts w:cs="Estrangelo Edessa"/>
          <w:szCs w:val="20"/>
        </w:rPr>
        <w:t xml:space="preserve">is the tax value paid by </w:t>
      </w:r>
      <w:r w:rsidRPr="001F7E6B">
        <w:rPr>
          <w:szCs w:val="20"/>
        </w:rPr>
        <w:t>user</w:t>
      </w:r>
      <w:r>
        <w:rPr>
          <w:szCs w:val="20"/>
        </w:rPr>
        <w:t xml:space="preserve"> u or the subsidy received by user u</w:t>
      </w:r>
      <w:r w:rsidRPr="001F7E6B">
        <w:rPr>
          <w:szCs w:val="20"/>
        </w:rPr>
        <w:t>;</w:t>
      </w:r>
    </w:p>
    <w:p w:rsidR="0064794C" w:rsidRDefault="0064794C" w:rsidP="006D23FD">
      <w:pPr>
        <w:rPr>
          <w:szCs w:val="20"/>
        </w:rPr>
      </w:pPr>
      <w:r>
        <w:rPr>
          <w:szCs w:val="20"/>
        </w:rPr>
        <w:t>MAR_M</w:t>
      </w:r>
      <w:r>
        <w:rPr>
          <w:szCs w:val="20"/>
        </w:rPr>
        <w:tab/>
      </w:r>
      <w:r w:rsidRPr="001F7E6B">
        <w:rPr>
          <w:szCs w:val="20"/>
        </w:rPr>
        <w:t xml:space="preserve">is the </w:t>
      </w:r>
      <w:r w:rsidR="005669A5">
        <w:rPr>
          <w:szCs w:val="20"/>
        </w:rPr>
        <w:t xml:space="preserve">total </w:t>
      </w:r>
      <w:r w:rsidRPr="001F7E6B">
        <w:rPr>
          <w:szCs w:val="20"/>
        </w:rPr>
        <w:t>margin</w:t>
      </w:r>
      <w:r>
        <w:rPr>
          <w:szCs w:val="20"/>
        </w:rPr>
        <w:t xml:space="preserve"> value</w:t>
      </w:r>
      <w:r w:rsidR="005669A5">
        <w:rPr>
          <w:szCs w:val="20"/>
        </w:rPr>
        <w:t xml:space="preserve"> </w:t>
      </w:r>
      <w:r w:rsidRPr="001F7E6B">
        <w:rPr>
          <w:szCs w:val="20"/>
        </w:rPr>
        <w:t>that facilitate</w:t>
      </w:r>
      <w:r w:rsidR="00873243">
        <w:rPr>
          <w:szCs w:val="20"/>
        </w:rPr>
        <w:t>s</w:t>
      </w:r>
      <w:r w:rsidRPr="001F7E6B">
        <w:rPr>
          <w:szCs w:val="20"/>
        </w:rPr>
        <w:t xml:space="preserve"> the flow of commodities to user </w:t>
      </w:r>
      <w:r w:rsidR="005669A5">
        <w:rPr>
          <w:szCs w:val="20"/>
        </w:rPr>
        <w:t>u.</w:t>
      </w:r>
    </w:p>
    <w:p w:rsidR="00AC13FE" w:rsidRDefault="007B24D4" w:rsidP="006D23FD">
      <w:pPr>
        <w:rPr>
          <w:szCs w:val="20"/>
        </w:rPr>
      </w:pPr>
      <w:r>
        <w:rPr>
          <w:szCs w:val="20"/>
        </w:rPr>
        <w:t>As an</w:t>
      </w:r>
      <w:r w:rsidR="009A165D">
        <w:rPr>
          <w:szCs w:val="20"/>
        </w:rPr>
        <w:t xml:space="preserve"> </w:t>
      </w:r>
      <w:r w:rsidR="00E3245E">
        <w:rPr>
          <w:szCs w:val="20"/>
        </w:rPr>
        <w:t>example</w:t>
      </w:r>
      <w:r w:rsidR="009A165D">
        <w:rPr>
          <w:szCs w:val="20"/>
        </w:rPr>
        <w:t>,</w:t>
      </w:r>
      <w:r w:rsidR="00AC13FE">
        <w:rPr>
          <w:szCs w:val="20"/>
        </w:rPr>
        <w:t xml:space="preserve"> (E2) shows that the purchasers’ value of domestically produced petrol</w:t>
      </w:r>
      <w:r w:rsidR="000C2C06">
        <w:rPr>
          <w:szCs w:val="20"/>
        </w:rPr>
        <w:t>eum</w:t>
      </w:r>
      <w:r w:rsidR="00AC13FE">
        <w:rPr>
          <w:szCs w:val="20"/>
        </w:rPr>
        <w:t xml:space="preserve"> used by all </w:t>
      </w:r>
      <w:r w:rsidR="00E3245E" w:rsidRPr="00E3245E">
        <w:rPr>
          <w:i/>
          <w:szCs w:val="20"/>
        </w:rPr>
        <w:t>i</w:t>
      </w:r>
      <w:r w:rsidR="00E3245E">
        <w:rPr>
          <w:szCs w:val="20"/>
        </w:rPr>
        <w:t xml:space="preserve"> </w:t>
      </w:r>
      <w:r w:rsidR="00AC13FE">
        <w:rPr>
          <w:szCs w:val="20"/>
        </w:rPr>
        <w:t>industries</w:t>
      </w:r>
      <w:r w:rsidR="00FD757E">
        <w:rPr>
          <w:szCs w:val="20"/>
        </w:rPr>
        <w:t>,</w:t>
      </w:r>
      <w:r w:rsidR="00AC13FE">
        <w:rPr>
          <w:szCs w:val="20"/>
        </w:rPr>
        <w:t xml:space="preserve"> </w:t>
      </w:r>
      <w:r w:rsidR="009A165D">
        <w:rPr>
          <w:szCs w:val="20"/>
        </w:rPr>
        <w:t>a</w:t>
      </w:r>
      <w:r w:rsidR="00AC13FE">
        <w:rPr>
          <w:szCs w:val="20"/>
        </w:rPr>
        <w:t>s the sum of the basic</w:t>
      </w:r>
      <w:r w:rsidR="00FD757E">
        <w:rPr>
          <w:szCs w:val="20"/>
        </w:rPr>
        <w:t xml:space="preserve"> value</w:t>
      </w:r>
      <w:r w:rsidR="00AC13FE">
        <w:rPr>
          <w:szCs w:val="20"/>
        </w:rPr>
        <w:t>, sales tax and margin costs for domestically produced petrol</w:t>
      </w:r>
      <w:r w:rsidR="00511ADB">
        <w:rPr>
          <w:szCs w:val="20"/>
        </w:rPr>
        <w:t>eum</w:t>
      </w:r>
      <w:r w:rsidR="00AC13FE">
        <w:rPr>
          <w:szCs w:val="20"/>
        </w:rPr>
        <w:t>.</w:t>
      </w:r>
    </w:p>
    <w:p w:rsidR="00AC13FE" w:rsidRDefault="00712FEC" w:rsidP="006D23FD">
      <w:pPr>
        <w:rPr>
          <w:szCs w:val="20"/>
        </w:rPr>
      </w:pPr>
      <w:r w:rsidRPr="00AC13FE">
        <w:rPr>
          <w:position w:val="-44"/>
          <w:szCs w:val="20"/>
        </w:rPr>
        <w:object w:dxaOrig="6960" w:dyaOrig="980">
          <v:shape id="_x0000_i1030" type="#_x0000_t75" style="width:348.1pt;height:48.85pt" o:ole="">
            <v:imagedata r:id="rId17" o:title=""/>
          </v:shape>
          <o:OLEObject Type="Embed" ProgID="Equation.DSMT4" ShapeID="_x0000_i1030" DrawAspect="Content" ObjectID="_1522247641" r:id="rId18"/>
        </w:object>
      </w:r>
      <w:r w:rsidR="00AC13FE">
        <w:rPr>
          <w:szCs w:val="20"/>
        </w:rPr>
        <w:tab/>
      </w:r>
      <w:r w:rsidR="00AC13FE">
        <w:rPr>
          <w:szCs w:val="20"/>
        </w:rPr>
        <w:tab/>
        <w:t>(E2)</w:t>
      </w:r>
    </w:p>
    <w:p w:rsidR="00234324" w:rsidRDefault="00234324" w:rsidP="006D23FD">
      <w:pPr>
        <w:rPr>
          <w:szCs w:val="20"/>
        </w:rPr>
      </w:pPr>
      <w:r>
        <w:rPr>
          <w:szCs w:val="20"/>
        </w:rPr>
        <w:t>for i</w:t>
      </w:r>
      <w:r w:rsidRPr="0064794C">
        <w:rPr>
          <w:position w:val="-4"/>
          <w:szCs w:val="20"/>
        </w:rPr>
        <w:object w:dxaOrig="180" w:dyaOrig="180">
          <v:shape id="_x0000_i1031" type="#_x0000_t75" style="width:8.75pt;height:8.75pt" o:ole="">
            <v:imagedata r:id="rId12" o:title=""/>
          </v:shape>
          <o:OLEObject Type="Embed" ProgID="Equation.DSMT4" ShapeID="_x0000_i1031" DrawAspect="Content" ObjectID="_1522247642" r:id="rId19"/>
        </w:object>
      </w:r>
      <w:r>
        <w:rPr>
          <w:szCs w:val="20"/>
        </w:rPr>
        <w:t>IND</w:t>
      </w:r>
    </w:p>
    <w:p w:rsidR="005669A5" w:rsidRDefault="00E06B1C" w:rsidP="006D23FD">
      <w:pPr>
        <w:rPr>
          <w:szCs w:val="20"/>
        </w:rPr>
      </w:pPr>
      <w:r>
        <w:rPr>
          <w:szCs w:val="20"/>
        </w:rPr>
        <w:t>Rewriting (E1) into percentage change form yields:</w:t>
      </w:r>
    </w:p>
    <w:p w:rsidR="007909E5" w:rsidRDefault="003C10EA" w:rsidP="006D23FD">
      <w:pPr>
        <w:rPr>
          <w:szCs w:val="20"/>
        </w:rPr>
      </w:pPr>
      <w:r w:rsidRPr="003C10EA">
        <w:rPr>
          <w:position w:val="-44"/>
          <w:szCs w:val="20"/>
        </w:rPr>
        <w:object w:dxaOrig="7220" w:dyaOrig="980">
          <v:shape id="_x0000_i1032" type="#_x0000_t75" style="width:360.65pt;height:48.85pt" o:ole="">
            <v:imagedata r:id="rId20" o:title=""/>
          </v:shape>
          <o:OLEObject Type="Embed" ProgID="Equation.DSMT4" ShapeID="_x0000_i1032" DrawAspect="Content" ObjectID="_1522247643" r:id="rId21"/>
        </w:object>
      </w:r>
    </w:p>
    <w:p w:rsidR="007F4FBF" w:rsidRDefault="00234324" w:rsidP="006D23FD">
      <w:pPr>
        <w:rPr>
          <w:szCs w:val="20"/>
        </w:rPr>
      </w:pPr>
      <w:r>
        <w:rPr>
          <w:szCs w:val="20"/>
        </w:rPr>
        <w:t xml:space="preserve">c </w:t>
      </w:r>
      <w:r w:rsidRPr="0064794C">
        <w:rPr>
          <w:position w:val="-4"/>
          <w:szCs w:val="20"/>
        </w:rPr>
        <w:object w:dxaOrig="180" w:dyaOrig="180">
          <v:shape id="_x0000_i1033" type="#_x0000_t75" style="width:8.75pt;height:8.75pt" o:ole="">
            <v:imagedata r:id="rId12" o:title=""/>
          </v:shape>
          <o:OLEObject Type="Embed" ProgID="Equation.DSMT4" ShapeID="_x0000_i1033" DrawAspect="Content" ObjectID="_1522247644" r:id="rId22"/>
        </w:object>
      </w:r>
      <w:r>
        <w:rPr>
          <w:szCs w:val="20"/>
        </w:rPr>
        <w:t xml:space="preserve"> COM, s </w:t>
      </w:r>
      <w:r w:rsidRPr="0064794C">
        <w:rPr>
          <w:position w:val="-4"/>
          <w:szCs w:val="20"/>
        </w:rPr>
        <w:object w:dxaOrig="180" w:dyaOrig="180">
          <v:shape id="_x0000_i1034" type="#_x0000_t75" style="width:8.75pt;height:8.75pt" o:ole="">
            <v:imagedata r:id="rId12" o:title=""/>
          </v:shape>
          <o:OLEObject Type="Embed" ProgID="Equation.DSMT4" ShapeID="_x0000_i1034" DrawAspect="Content" ObjectID="_1522247645" r:id="rId23"/>
        </w:object>
      </w:r>
      <w:r>
        <w:rPr>
          <w:szCs w:val="20"/>
        </w:rPr>
        <w:t xml:space="preserve">SRC, u </w:t>
      </w:r>
      <w:r w:rsidRPr="0064794C">
        <w:rPr>
          <w:position w:val="-4"/>
          <w:szCs w:val="20"/>
        </w:rPr>
        <w:object w:dxaOrig="180" w:dyaOrig="180">
          <v:shape id="_x0000_i1035" type="#_x0000_t75" style="width:8.75pt;height:8.75pt" o:ole="">
            <v:imagedata r:id="rId12" o:title=""/>
          </v:shape>
          <o:OLEObject Type="Embed" ProgID="Equation.DSMT4" ShapeID="_x0000_i1035" DrawAspect="Content" ObjectID="_1522247646" r:id="rId24"/>
        </w:object>
      </w:r>
      <w:r>
        <w:rPr>
          <w:szCs w:val="20"/>
        </w:rPr>
        <w:t xml:space="preserve">USER, m </w:t>
      </w:r>
      <w:r w:rsidRPr="0064794C">
        <w:rPr>
          <w:position w:val="-4"/>
          <w:szCs w:val="20"/>
        </w:rPr>
        <w:object w:dxaOrig="180" w:dyaOrig="180">
          <v:shape id="_x0000_i1036" type="#_x0000_t75" style="width:8.75pt;height:8.75pt" o:ole="">
            <v:imagedata r:id="rId12" o:title=""/>
          </v:shape>
          <o:OLEObject Type="Embed" ProgID="Equation.DSMT4" ShapeID="_x0000_i1036" DrawAspect="Content" ObjectID="_1522247647" r:id="rId25"/>
        </w:object>
      </w:r>
      <w:r>
        <w:rPr>
          <w:szCs w:val="20"/>
        </w:rPr>
        <w:t>MAR</w:t>
      </w:r>
      <w:r w:rsidR="007F4FBF">
        <w:rPr>
          <w:szCs w:val="20"/>
        </w:rPr>
        <w:tab/>
      </w:r>
      <w:r w:rsidR="007F4FBF">
        <w:rPr>
          <w:szCs w:val="20"/>
        </w:rPr>
        <w:tab/>
      </w:r>
      <w:r w:rsidR="007F4FBF">
        <w:rPr>
          <w:szCs w:val="20"/>
        </w:rPr>
        <w:tab/>
      </w:r>
      <w:r w:rsidR="007F4FBF">
        <w:rPr>
          <w:szCs w:val="20"/>
        </w:rPr>
        <w:tab/>
      </w:r>
      <w:r w:rsidR="007F4FBF">
        <w:rPr>
          <w:szCs w:val="20"/>
        </w:rPr>
        <w:tab/>
      </w:r>
      <w:r w:rsidR="007F4FBF">
        <w:rPr>
          <w:szCs w:val="20"/>
        </w:rPr>
        <w:tab/>
        <w:t>(E3)</w:t>
      </w:r>
    </w:p>
    <w:p w:rsidR="00E06B1C" w:rsidRDefault="00E06B1C" w:rsidP="006D23FD">
      <w:pPr>
        <w:rPr>
          <w:szCs w:val="20"/>
        </w:rPr>
      </w:pPr>
      <w:r>
        <w:rPr>
          <w:szCs w:val="20"/>
        </w:rPr>
        <w:t>where</w:t>
      </w:r>
      <w:r w:rsidR="008D7107">
        <w:rPr>
          <w:szCs w:val="20"/>
        </w:rPr>
        <w:t>, for variables not yet declared,</w:t>
      </w:r>
    </w:p>
    <w:p w:rsidR="00E06B1C" w:rsidRDefault="00E06B1C" w:rsidP="00E06B1C">
      <w:pPr>
        <w:ind w:left="1440" w:hanging="1440"/>
        <w:rPr>
          <w:szCs w:val="20"/>
        </w:rPr>
      </w:pPr>
      <w:r>
        <w:rPr>
          <w:szCs w:val="20"/>
        </w:rPr>
        <w:t>ppur</w:t>
      </w:r>
      <w:r>
        <w:rPr>
          <w:szCs w:val="20"/>
        </w:rPr>
        <w:tab/>
        <w:t xml:space="preserve">is the percentage change in the purchases price of commodity </w:t>
      </w:r>
      <w:r w:rsidRPr="007909E5">
        <w:rPr>
          <w:i/>
          <w:szCs w:val="20"/>
        </w:rPr>
        <w:t>c</w:t>
      </w:r>
      <w:r>
        <w:rPr>
          <w:szCs w:val="20"/>
        </w:rPr>
        <w:t xml:space="preserve">, from source </w:t>
      </w:r>
      <w:r w:rsidRPr="007909E5">
        <w:rPr>
          <w:i/>
          <w:szCs w:val="20"/>
        </w:rPr>
        <w:t>s</w:t>
      </w:r>
      <w:r>
        <w:rPr>
          <w:szCs w:val="20"/>
        </w:rPr>
        <w:t xml:space="preserve"> by user </w:t>
      </w:r>
      <w:r w:rsidRPr="007909E5">
        <w:rPr>
          <w:i/>
          <w:szCs w:val="20"/>
        </w:rPr>
        <w:t>u</w:t>
      </w:r>
      <w:r w:rsidR="00742C7B">
        <w:rPr>
          <w:szCs w:val="20"/>
        </w:rPr>
        <w:t>.</w:t>
      </w:r>
    </w:p>
    <w:p w:rsidR="00E06B1C" w:rsidRDefault="00E06B1C" w:rsidP="00E06B1C">
      <w:pPr>
        <w:ind w:left="1440" w:hanging="1440"/>
        <w:rPr>
          <w:szCs w:val="20"/>
        </w:rPr>
      </w:pPr>
      <w:r>
        <w:rPr>
          <w:szCs w:val="20"/>
        </w:rPr>
        <w:t>pbas</w:t>
      </w:r>
      <w:r>
        <w:rPr>
          <w:szCs w:val="20"/>
        </w:rPr>
        <w:tab/>
        <w:t xml:space="preserve">basic price </w:t>
      </w:r>
      <w:r w:rsidR="00DE6866">
        <w:rPr>
          <w:szCs w:val="20"/>
        </w:rPr>
        <w:t xml:space="preserve">is the percentage change in the basic price of commodity c from </w:t>
      </w:r>
      <w:r w:rsidR="001D60DC">
        <w:rPr>
          <w:szCs w:val="20"/>
        </w:rPr>
        <w:t>both domestic and imported sources (see footnote 1)</w:t>
      </w:r>
      <w:r w:rsidR="00DE6866">
        <w:rPr>
          <w:szCs w:val="20"/>
        </w:rPr>
        <w:t>. Note that this variable omits a user dimension. That is because we assume that the basic price of a commodity is uniform over all users</w:t>
      </w:r>
      <w:r w:rsidR="00742C7B">
        <w:rPr>
          <w:szCs w:val="20"/>
        </w:rPr>
        <w:t>.</w:t>
      </w:r>
    </w:p>
    <w:p w:rsidR="00DE6866" w:rsidRDefault="00DE6866" w:rsidP="00E06B1C">
      <w:pPr>
        <w:ind w:left="1440" w:hanging="1440"/>
        <w:rPr>
          <w:szCs w:val="20"/>
        </w:rPr>
      </w:pPr>
      <w:r>
        <w:rPr>
          <w:szCs w:val="20"/>
        </w:rPr>
        <w:t>t</w:t>
      </w:r>
      <w:r>
        <w:rPr>
          <w:szCs w:val="20"/>
        </w:rPr>
        <w:tab/>
        <w:t>is the power of tax by commodity, source and user</w:t>
      </w:r>
      <w:r w:rsidR="00742C7B">
        <w:rPr>
          <w:szCs w:val="20"/>
        </w:rPr>
        <w:t>.</w:t>
      </w:r>
      <w:r w:rsidR="005F067E">
        <w:rPr>
          <w:rStyle w:val="FootnoteReference"/>
          <w:szCs w:val="20"/>
        </w:rPr>
        <w:footnoteReference w:id="5"/>
      </w:r>
      <w:r w:rsidR="00742C7B">
        <w:rPr>
          <w:szCs w:val="20"/>
        </w:rPr>
        <w:t xml:space="preserve"> </w:t>
      </w:r>
      <w:r w:rsidR="0067164C">
        <w:rPr>
          <w:szCs w:val="20"/>
        </w:rPr>
        <w:t>We allow</w:t>
      </w:r>
      <w:r w:rsidR="00742C7B">
        <w:rPr>
          <w:szCs w:val="20"/>
        </w:rPr>
        <w:t xml:space="preserve"> tax rates to vary across users. For example, agricultural industries may be subsidised for </w:t>
      </w:r>
      <w:r w:rsidR="00742C7B">
        <w:rPr>
          <w:szCs w:val="20"/>
        </w:rPr>
        <w:lastRenderedPageBreak/>
        <w:t>their use of fertilizers whereas manufacturing industries may be taxed.</w:t>
      </w:r>
      <w:r w:rsidR="0067164C">
        <w:rPr>
          <w:szCs w:val="20"/>
        </w:rPr>
        <w:t xml:space="preserve"> Due to non-uniform tax rates </w:t>
      </w:r>
      <w:r w:rsidR="001224E4">
        <w:rPr>
          <w:szCs w:val="20"/>
        </w:rPr>
        <w:t>the purchasers</w:t>
      </w:r>
      <w:r w:rsidR="00583A73">
        <w:rPr>
          <w:szCs w:val="20"/>
        </w:rPr>
        <w:t>’</w:t>
      </w:r>
      <w:r w:rsidR="001224E4">
        <w:rPr>
          <w:szCs w:val="20"/>
        </w:rPr>
        <w:t xml:space="preserve"> value may be non-uniform</w:t>
      </w:r>
      <w:r w:rsidR="00875CC0">
        <w:rPr>
          <w:szCs w:val="20"/>
        </w:rPr>
        <w:t xml:space="preserve"> over commodities, sources and users</w:t>
      </w:r>
      <w:r w:rsidR="001224E4">
        <w:rPr>
          <w:szCs w:val="20"/>
        </w:rPr>
        <w:t>.</w:t>
      </w:r>
    </w:p>
    <w:p w:rsidR="007F4FBF" w:rsidRDefault="007F4FBF" w:rsidP="00E06B1C">
      <w:pPr>
        <w:ind w:left="1440" w:hanging="1440"/>
        <w:rPr>
          <w:szCs w:val="20"/>
        </w:rPr>
      </w:pPr>
      <w:r>
        <w:rPr>
          <w:szCs w:val="20"/>
        </w:rPr>
        <w:t>Using our petroleum example, we can write (E3) as:</w:t>
      </w:r>
    </w:p>
    <w:p w:rsidR="007F4FBF" w:rsidRDefault="007F4FBF" w:rsidP="00E06B1C">
      <w:pPr>
        <w:ind w:left="1440" w:hanging="1440"/>
        <w:rPr>
          <w:szCs w:val="20"/>
        </w:rPr>
      </w:pPr>
      <w:r w:rsidRPr="007F4FBF">
        <w:rPr>
          <w:position w:val="-74"/>
          <w:szCs w:val="20"/>
        </w:rPr>
        <w:object w:dxaOrig="9900" w:dyaOrig="1300">
          <v:shape id="_x0000_i1037" type="#_x0000_t75" style="width:450.15pt;height:59.5pt" o:ole="">
            <v:imagedata r:id="rId26" o:title=""/>
          </v:shape>
          <o:OLEObject Type="Embed" ProgID="Equation.DSMT4" ShapeID="_x0000_i1037" DrawAspect="Content" ObjectID="_1522247648" r:id="rId27"/>
        </w:object>
      </w:r>
    </w:p>
    <w:p w:rsidR="007F4FBF" w:rsidRDefault="00234324" w:rsidP="00234324">
      <w:pPr>
        <w:rPr>
          <w:szCs w:val="20"/>
        </w:rPr>
      </w:pPr>
      <w:r>
        <w:rPr>
          <w:szCs w:val="20"/>
        </w:rPr>
        <w:t>for i</w:t>
      </w:r>
      <w:r w:rsidRPr="0064794C">
        <w:rPr>
          <w:position w:val="-4"/>
          <w:szCs w:val="20"/>
        </w:rPr>
        <w:object w:dxaOrig="180" w:dyaOrig="180">
          <v:shape id="_x0000_i1038" type="#_x0000_t75" style="width:8.75pt;height:8.75pt" o:ole="">
            <v:imagedata r:id="rId12" o:title=""/>
          </v:shape>
          <o:OLEObject Type="Embed" ProgID="Equation.DSMT4" ShapeID="_x0000_i1038" DrawAspect="Content" ObjectID="_1522247649" r:id="rId28"/>
        </w:object>
      </w:r>
      <w:r>
        <w:rPr>
          <w:szCs w:val="20"/>
        </w:rPr>
        <w:t>IND</w:t>
      </w:r>
      <w:r w:rsidR="007F4FBF">
        <w:rPr>
          <w:szCs w:val="20"/>
        </w:rPr>
        <w:tab/>
      </w:r>
      <w:r w:rsidR="007F4FBF">
        <w:rPr>
          <w:szCs w:val="20"/>
        </w:rPr>
        <w:tab/>
      </w:r>
      <w:r w:rsidR="007F4FBF">
        <w:rPr>
          <w:szCs w:val="20"/>
        </w:rPr>
        <w:tab/>
      </w:r>
      <w:r w:rsidR="007F4FBF">
        <w:rPr>
          <w:szCs w:val="20"/>
        </w:rPr>
        <w:tab/>
      </w:r>
      <w:r w:rsidR="007F4FBF">
        <w:rPr>
          <w:szCs w:val="20"/>
        </w:rPr>
        <w:tab/>
      </w:r>
      <w:r w:rsidR="007F4FBF">
        <w:rPr>
          <w:szCs w:val="20"/>
        </w:rPr>
        <w:tab/>
      </w:r>
      <w:r w:rsidR="007F4FBF">
        <w:rPr>
          <w:szCs w:val="20"/>
        </w:rPr>
        <w:tab/>
      </w:r>
      <w:r w:rsidR="007F4FBF">
        <w:rPr>
          <w:szCs w:val="20"/>
        </w:rPr>
        <w:tab/>
      </w:r>
      <w:r w:rsidR="007F4FBF">
        <w:rPr>
          <w:szCs w:val="20"/>
        </w:rPr>
        <w:tab/>
      </w:r>
      <w:r w:rsidR="007F4FBF">
        <w:rPr>
          <w:szCs w:val="20"/>
        </w:rPr>
        <w:tab/>
        <w:t>(E4)</w:t>
      </w:r>
    </w:p>
    <w:p w:rsidR="008D7107" w:rsidRDefault="008D7107" w:rsidP="008D7107">
      <w:pPr>
        <w:rPr>
          <w:szCs w:val="20"/>
        </w:rPr>
      </w:pPr>
      <w:r>
        <w:rPr>
          <w:szCs w:val="20"/>
        </w:rPr>
        <w:t>Equation (E</w:t>
      </w:r>
      <w:r w:rsidR="007F4FBF">
        <w:rPr>
          <w:szCs w:val="20"/>
        </w:rPr>
        <w:t>4</w:t>
      </w:r>
      <w:r>
        <w:rPr>
          <w:szCs w:val="20"/>
        </w:rPr>
        <w:t xml:space="preserve">) shows that if we hold </w:t>
      </w:r>
      <w:r w:rsidR="004A1974">
        <w:rPr>
          <w:szCs w:val="20"/>
        </w:rPr>
        <w:t>the basic price of petroleum (</w:t>
      </w:r>
      <w:r>
        <w:rPr>
          <w:szCs w:val="20"/>
        </w:rPr>
        <w:t>pbas</w:t>
      </w:r>
      <w:r w:rsidR="004A1974">
        <w:rPr>
          <w:szCs w:val="20"/>
        </w:rPr>
        <w:t>)</w:t>
      </w:r>
      <w:r>
        <w:rPr>
          <w:szCs w:val="20"/>
        </w:rPr>
        <w:t xml:space="preserve"> unchanged and increase t</w:t>
      </w:r>
      <w:r w:rsidR="007F4FBF">
        <w:rPr>
          <w:szCs w:val="20"/>
        </w:rPr>
        <w:t xml:space="preserve"> for domestically sourced petroleum</w:t>
      </w:r>
      <w:r>
        <w:rPr>
          <w:szCs w:val="20"/>
        </w:rPr>
        <w:t xml:space="preserve">, the purchasers’ price for domestically sourced </w:t>
      </w:r>
      <w:r w:rsidR="007F4FBF">
        <w:rPr>
          <w:szCs w:val="20"/>
        </w:rPr>
        <w:t>petroleum</w:t>
      </w:r>
      <w:r>
        <w:rPr>
          <w:szCs w:val="20"/>
        </w:rPr>
        <w:t xml:space="preserve"> will increase for all </w:t>
      </w:r>
      <w:r w:rsidR="007F4FBF">
        <w:rPr>
          <w:szCs w:val="20"/>
        </w:rPr>
        <w:t>industries</w:t>
      </w:r>
      <w:r>
        <w:rPr>
          <w:szCs w:val="20"/>
        </w:rPr>
        <w:t>.</w:t>
      </w:r>
      <w:r w:rsidR="00AC13FE">
        <w:rPr>
          <w:szCs w:val="20"/>
        </w:rPr>
        <w:t xml:space="preserve"> The purchasers</w:t>
      </w:r>
      <w:r w:rsidR="007F4FBF">
        <w:rPr>
          <w:szCs w:val="20"/>
        </w:rPr>
        <w:t>’</w:t>
      </w:r>
      <w:r w:rsidR="00AC13FE">
        <w:rPr>
          <w:szCs w:val="20"/>
        </w:rPr>
        <w:t xml:space="preserve"> price of commodities appear</w:t>
      </w:r>
      <w:r w:rsidR="007F4FBF">
        <w:rPr>
          <w:szCs w:val="20"/>
        </w:rPr>
        <w:t>s</w:t>
      </w:r>
      <w:r w:rsidR="00AC13FE">
        <w:rPr>
          <w:szCs w:val="20"/>
        </w:rPr>
        <w:t xml:space="preserve"> in the </w:t>
      </w:r>
      <w:r w:rsidR="00013993">
        <w:rPr>
          <w:szCs w:val="20"/>
        </w:rPr>
        <w:t xml:space="preserve">user-specific </w:t>
      </w:r>
      <w:r w:rsidR="00AC13FE">
        <w:rPr>
          <w:szCs w:val="20"/>
        </w:rPr>
        <w:t>demand equations for</w:t>
      </w:r>
      <w:r w:rsidR="00013993">
        <w:rPr>
          <w:szCs w:val="20"/>
        </w:rPr>
        <w:t xml:space="preserve"> commodities</w:t>
      </w:r>
      <w:r w:rsidR="007F4FBF">
        <w:rPr>
          <w:szCs w:val="20"/>
        </w:rPr>
        <w:t>. In general</w:t>
      </w:r>
      <w:r w:rsidR="007F39DB">
        <w:rPr>
          <w:szCs w:val="20"/>
        </w:rPr>
        <w:t>,</w:t>
      </w:r>
      <w:r w:rsidR="007F4FBF">
        <w:rPr>
          <w:szCs w:val="20"/>
        </w:rPr>
        <w:t xml:space="preserve"> </w:t>
      </w:r>
      <w:r w:rsidR="007F39DB">
        <w:rPr>
          <w:szCs w:val="20"/>
        </w:rPr>
        <w:t xml:space="preserve">demand equations take the following </w:t>
      </w:r>
      <w:r w:rsidR="007819C6">
        <w:rPr>
          <w:szCs w:val="20"/>
        </w:rPr>
        <w:t xml:space="preserve">percentage change </w:t>
      </w:r>
      <w:r w:rsidR="007F39DB">
        <w:rPr>
          <w:szCs w:val="20"/>
        </w:rPr>
        <w:t>form</w:t>
      </w:r>
      <w:r w:rsidR="00CB7833">
        <w:rPr>
          <w:szCs w:val="20"/>
        </w:rPr>
        <w:t>:</w:t>
      </w:r>
    </w:p>
    <w:p w:rsidR="00CB7833" w:rsidRDefault="000C2C06" w:rsidP="008D7107">
      <w:pPr>
        <w:rPr>
          <w:szCs w:val="20"/>
        </w:rPr>
      </w:pPr>
      <w:r w:rsidRPr="00CB7833">
        <w:rPr>
          <w:position w:val="-12"/>
          <w:szCs w:val="20"/>
        </w:rPr>
        <w:object w:dxaOrig="4480" w:dyaOrig="360">
          <v:shape id="_x0000_i1039" type="#_x0000_t75" style="width:224.15pt;height:18.15pt" o:ole="">
            <v:imagedata r:id="rId29" o:title=""/>
          </v:shape>
          <o:OLEObject Type="Embed" ProgID="Equation.DSMT4" ShapeID="_x0000_i1039" DrawAspect="Content" ObjectID="_1522247650" r:id="rId30"/>
        </w:object>
      </w:r>
      <w:r w:rsidR="00CB7833">
        <w:rPr>
          <w:szCs w:val="20"/>
        </w:rPr>
        <w:t xml:space="preserve"> </w:t>
      </w:r>
      <w:r w:rsidR="00CB7833">
        <w:rPr>
          <w:szCs w:val="20"/>
        </w:rPr>
        <w:tab/>
      </w:r>
      <w:r w:rsidR="00CB7833">
        <w:rPr>
          <w:szCs w:val="20"/>
        </w:rPr>
        <w:tab/>
      </w:r>
      <w:r w:rsidR="00CB7833">
        <w:rPr>
          <w:szCs w:val="20"/>
        </w:rPr>
        <w:tab/>
      </w:r>
      <w:r w:rsidR="00CB7833">
        <w:rPr>
          <w:szCs w:val="20"/>
        </w:rPr>
        <w:tab/>
      </w:r>
      <w:r w:rsidR="00CB7833">
        <w:rPr>
          <w:szCs w:val="20"/>
        </w:rPr>
        <w:tab/>
        <w:t>(E5)</w:t>
      </w:r>
    </w:p>
    <w:p w:rsidR="00CB7833" w:rsidRDefault="00234324" w:rsidP="008D7107">
      <w:pPr>
        <w:rPr>
          <w:szCs w:val="20"/>
        </w:rPr>
      </w:pPr>
      <w:r>
        <w:rPr>
          <w:szCs w:val="20"/>
        </w:rPr>
        <w:t xml:space="preserve">for all </w:t>
      </w:r>
      <w:r w:rsidR="006C7529">
        <w:rPr>
          <w:szCs w:val="20"/>
        </w:rPr>
        <w:t xml:space="preserve">c </w:t>
      </w:r>
      <w:r w:rsidR="006C7529" w:rsidRPr="0064794C">
        <w:rPr>
          <w:position w:val="-4"/>
          <w:szCs w:val="20"/>
        </w:rPr>
        <w:object w:dxaOrig="180" w:dyaOrig="180">
          <v:shape id="_x0000_i1040" type="#_x0000_t75" style="width:8.75pt;height:8.75pt" o:ole="">
            <v:imagedata r:id="rId12" o:title=""/>
          </v:shape>
          <o:OLEObject Type="Embed" ProgID="Equation.DSMT4" ShapeID="_x0000_i1040" DrawAspect="Content" ObjectID="_1522247651" r:id="rId31"/>
        </w:object>
      </w:r>
      <w:r w:rsidR="006C7529">
        <w:rPr>
          <w:szCs w:val="20"/>
        </w:rPr>
        <w:t xml:space="preserve"> COM, s </w:t>
      </w:r>
      <w:r w:rsidR="006C7529" w:rsidRPr="0064794C">
        <w:rPr>
          <w:position w:val="-4"/>
          <w:szCs w:val="20"/>
        </w:rPr>
        <w:object w:dxaOrig="180" w:dyaOrig="180">
          <v:shape id="_x0000_i1041" type="#_x0000_t75" style="width:8.75pt;height:8.75pt" o:ole="">
            <v:imagedata r:id="rId12" o:title=""/>
          </v:shape>
          <o:OLEObject Type="Embed" ProgID="Equation.DSMT4" ShapeID="_x0000_i1041" DrawAspect="Content" ObjectID="_1522247652" r:id="rId32"/>
        </w:object>
      </w:r>
      <w:r w:rsidR="006C7529">
        <w:rPr>
          <w:szCs w:val="20"/>
        </w:rPr>
        <w:t xml:space="preserve">SRC, u </w:t>
      </w:r>
      <w:r w:rsidR="006C7529" w:rsidRPr="0064794C">
        <w:rPr>
          <w:position w:val="-4"/>
          <w:szCs w:val="20"/>
        </w:rPr>
        <w:object w:dxaOrig="180" w:dyaOrig="180">
          <v:shape id="_x0000_i1042" type="#_x0000_t75" style="width:8.75pt;height:8.75pt" o:ole="">
            <v:imagedata r:id="rId12" o:title=""/>
          </v:shape>
          <o:OLEObject Type="Embed" ProgID="Equation.DSMT4" ShapeID="_x0000_i1042" DrawAspect="Content" ObjectID="_1522247653" r:id="rId33"/>
        </w:object>
      </w:r>
      <w:r w:rsidR="006C7529">
        <w:rPr>
          <w:szCs w:val="20"/>
        </w:rPr>
        <w:t>USER</w:t>
      </w:r>
    </w:p>
    <w:p w:rsidR="001D60DC" w:rsidRDefault="000C2C06" w:rsidP="00E06B1C">
      <w:pPr>
        <w:ind w:left="1440" w:hanging="1440"/>
        <w:rPr>
          <w:szCs w:val="20"/>
        </w:rPr>
      </w:pPr>
      <w:r>
        <w:rPr>
          <w:szCs w:val="20"/>
        </w:rPr>
        <w:t>where</w:t>
      </w:r>
    </w:p>
    <w:p w:rsidR="000C2C06" w:rsidRDefault="000C2C06" w:rsidP="00E06B1C">
      <w:pPr>
        <w:ind w:left="1440" w:hanging="1440"/>
        <w:rPr>
          <w:szCs w:val="20"/>
        </w:rPr>
      </w:pPr>
      <w:r>
        <w:rPr>
          <w:szCs w:val="20"/>
        </w:rPr>
        <w:t>x</w:t>
      </w:r>
      <w:r>
        <w:rPr>
          <w:szCs w:val="20"/>
        </w:rPr>
        <w:tab/>
        <w:t>is the percentage change in the demand for commodity c, source s used by user u</w:t>
      </w:r>
      <w:r w:rsidR="00E673E1">
        <w:rPr>
          <w:szCs w:val="20"/>
        </w:rPr>
        <w:t>.</w:t>
      </w:r>
    </w:p>
    <w:p w:rsidR="000C2C06" w:rsidRDefault="000C2C06" w:rsidP="00E06B1C">
      <w:pPr>
        <w:ind w:left="1440" w:hanging="1440"/>
        <w:rPr>
          <w:szCs w:val="20"/>
        </w:rPr>
      </w:pPr>
      <w:r>
        <w:rPr>
          <w:szCs w:val="20"/>
        </w:rPr>
        <w:t>x_s</w:t>
      </w:r>
      <w:r>
        <w:rPr>
          <w:szCs w:val="20"/>
        </w:rPr>
        <w:tab/>
        <w:t xml:space="preserve">is the percentage change in the overall demand for commodity c by user u, </w:t>
      </w:r>
      <w:r w:rsidR="00564764">
        <w:rPr>
          <w:szCs w:val="20"/>
        </w:rPr>
        <w:t xml:space="preserve">from all </w:t>
      </w:r>
      <w:r>
        <w:rPr>
          <w:szCs w:val="20"/>
        </w:rPr>
        <w:t>source</w:t>
      </w:r>
      <w:r w:rsidR="00564764">
        <w:rPr>
          <w:szCs w:val="20"/>
        </w:rPr>
        <w:t>s</w:t>
      </w:r>
      <w:r w:rsidR="00E673E1">
        <w:rPr>
          <w:szCs w:val="20"/>
        </w:rPr>
        <w:t>.</w:t>
      </w:r>
    </w:p>
    <w:p w:rsidR="000C2C06" w:rsidRDefault="000C2C06" w:rsidP="00E06B1C">
      <w:pPr>
        <w:ind w:left="1440" w:hanging="1440"/>
        <w:rPr>
          <w:szCs w:val="20"/>
        </w:rPr>
      </w:pPr>
      <w:r>
        <w:rPr>
          <w:szCs w:val="20"/>
        </w:rPr>
        <w:t>ppur_s</w:t>
      </w:r>
      <w:r>
        <w:rPr>
          <w:szCs w:val="20"/>
        </w:rPr>
        <w:tab/>
        <w:t>is the average composite prices of commodity c used by user u.</w:t>
      </w:r>
    </w:p>
    <w:p w:rsidR="00E673E1" w:rsidRDefault="00E673E1" w:rsidP="00E06B1C">
      <w:pPr>
        <w:ind w:left="1440" w:hanging="1440"/>
        <w:rPr>
          <w:szCs w:val="20"/>
        </w:rPr>
      </w:pPr>
      <w:r w:rsidRPr="00E673E1">
        <w:rPr>
          <w:position w:val="-6"/>
          <w:szCs w:val="20"/>
        </w:rPr>
        <w:object w:dxaOrig="220" w:dyaOrig="200">
          <v:shape id="_x0000_i1043" type="#_x0000_t75" style="width:11.25pt;height:10pt" o:ole="">
            <v:imagedata r:id="rId34" o:title=""/>
          </v:shape>
          <o:OLEObject Type="Embed" ProgID="Equation.DSMT4" ShapeID="_x0000_i1043" DrawAspect="Content" ObjectID="_1522247654" r:id="rId35"/>
        </w:object>
      </w:r>
      <w:r>
        <w:rPr>
          <w:szCs w:val="20"/>
        </w:rPr>
        <w:t xml:space="preserve"> </w:t>
      </w:r>
      <w:r>
        <w:rPr>
          <w:szCs w:val="20"/>
        </w:rPr>
        <w:tab/>
      </w:r>
      <w:r w:rsidRPr="00E673E1">
        <w:rPr>
          <w:szCs w:val="20"/>
        </w:rPr>
        <w:t xml:space="preserve">is a parameter that reflects the ease with which </w:t>
      </w:r>
      <w:r w:rsidR="00564764">
        <w:rPr>
          <w:szCs w:val="20"/>
        </w:rPr>
        <w:t xml:space="preserve">users </w:t>
      </w:r>
      <w:r>
        <w:rPr>
          <w:szCs w:val="20"/>
        </w:rPr>
        <w:t>react to changes in relative price</w:t>
      </w:r>
      <w:r w:rsidRPr="00E673E1">
        <w:rPr>
          <w:szCs w:val="20"/>
        </w:rPr>
        <w:t>.</w:t>
      </w:r>
    </w:p>
    <w:p w:rsidR="000C2C06" w:rsidRDefault="00062B0A" w:rsidP="00E06B1C">
      <w:pPr>
        <w:ind w:left="1440" w:hanging="1440"/>
        <w:rPr>
          <w:szCs w:val="20"/>
        </w:rPr>
      </w:pPr>
      <w:r>
        <w:rPr>
          <w:szCs w:val="20"/>
        </w:rPr>
        <w:t>Using</w:t>
      </w:r>
      <w:r w:rsidR="000C2C06">
        <w:rPr>
          <w:szCs w:val="20"/>
        </w:rPr>
        <w:t xml:space="preserve"> to our petroleum example, (E5) can be written as:</w:t>
      </w:r>
    </w:p>
    <w:p w:rsidR="000C2C06" w:rsidRDefault="000C2C06" w:rsidP="00E06B1C">
      <w:pPr>
        <w:ind w:left="1440" w:hanging="1440"/>
        <w:rPr>
          <w:szCs w:val="20"/>
        </w:rPr>
      </w:pPr>
      <w:r w:rsidRPr="00CB7833">
        <w:rPr>
          <w:position w:val="-12"/>
          <w:szCs w:val="20"/>
        </w:rPr>
        <w:object w:dxaOrig="7520" w:dyaOrig="360">
          <v:shape id="_x0000_i1044" type="#_x0000_t75" style="width:375.65pt;height:18.15pt" o:ole="">
            <v:imagedata r:id="rId36" o:title=""/>
          </v:shape>
          <o:OLEObject Type="Embed" ProgID="Equation.DSMT4" ShapeID="_x0000_i1044" DrawAspect="Content" ObjectID="_1522247655" r:id="rId37"/>
        </w:object>
      </w:r>
      <w:r w:rsidRPr="000C2C06">
        <w:rPr>
          <w:szCs w:val="20"/>
        </w:rPr>
        <w:t xml:space="preserve"> </w:t>
      </w:r>
      <w:r>
        <w:rPr>
          <w:szCs w:val="20"/>
        </w:rPr>
        <w:tab/>
        <w:t>(E6)</w:t>
      </w:r>
    </w:p>
    <w:p w:rsidR="000C2C06" w:rsidRDefault="000C2C06" w:rsidP="00E06B1C">
      <w:pPr>
        <w:ind w:left="1440" w:hanging="1440"/>
        <w:rPr>
          <w:szCs w:val="20"/>
        </w:rPr>
      </w:pPr>
      <w:r>
        <w:rPr>
          <w:szCs w:val="20"/>
        </w:rPr>
        <w:t>for i</w:t>
      </w:r>
      <w:r w:rsidRPr="0064794C">
        <w:rPr>
          <w:position w:val="-4"/>
          <w:szCs w:val="20"/>
        </w:rPr>
        <w:object w:dxaOrig="180" w:dyaOrig="180">
          <v:shape id="_x0000_i1045" type="#_x0000_t75" style="width:8.75pt;height:8.75pt" o:ole="">
            <v:imagedata r:id="rId12" o:title=""/>
          </v:shape>
          <o:OLEObject Type="Embed" ProgID="Equation.DSMT4" ShapeID="_x0000_i1045" DrawAspect="Content" ObjectID="_1522247656" r:id="rId38"/>
        </w:object>
      </w:r>
      <w:r>
        <w:rPr>
          <w:szCs w:val="20"/>
        </w:rPr>
        <w:t>IND</w:t>
      </w:r>
    </w:p>
    <w:p w:rsidR="00E06B1C" w:rsidRDefault="00EE10EF" w:rsidP="00066F4A">
      <w:r>
        <w:t xml:space="preserve">Equation </w:t>
      </w:r>
      <w:r w:rsidR="000C2C06">
        <w:t xml:space="preserve">(E6) shows that the </w:t>
      </w:r>
      <w:r w:rsidR="00E673E1">
        <w:t xml:space="preserve">percentage change in </w:t>
      </w:r>
      <w:r w:rsidR="000C2C06">
        <w:t>industry demand for domesti</w:t>
      </w:r>
      <w:r w:rsidR="00E673E1">
        <w:t>cally produced petroleum follow</w:t>
      </w:r>
      <w:r w:rsidR="000C2C06">
        <w:t>s the overall demand</w:t>
      </w:r>
      <w:r w:rsidR="00E673E1">
        <w:t xml:space="preserve"> for petroleum by industry and a relative price term. If the price of domestically produced petroleum (</w:t>
      </w:r>
      <w:r w:rsidR="00E673E1" w:rsidRPr="00E673E1">
        <w:rPr>
          <w:position w:val="-10"/>
        </w:rPr>
        <w:object w:dxaOrig="2079" w:dyaOrig="300">
          <v:shape id="_x0000_i1046" type="#_x0000_t75" style="width:104.55pt;height:15.05pt" o:ole="">
            <v:imagedata r:id="rId39" o:title=""/>
          </v:shape>
          <o:OLEObject Type="Embed" ProgID="Equation.DSMT4" ShapeID="_x0000_i1046" DrawAspect="Content" ObjectID="_1522247657" r:id="rId40"/>
        </w:object>
      </w:r>
      <w:r w:rsidR="00E673E1">
        <w:t>) increase relative to the average price of petrol by all industries</w:t>
      </w:r>
      <w:r w:rsidR="00564764">
        <w:t xml:space="preserve"> (</w:t>
      </w:r>
      <w:r w:rsidR="00564764" w:rsidRPr="00564764">
        <w:rPr>
          <w:position w:val="-10"/>
        </w:rPr>
        <w:object w:dxaOrig="1640" w:dyaOrig="300">
          <v:shape id="_x0000_i1047" type="#_x0000_t75" style="width:82pt;height:15.05pt" o:ole="">
            <v:imagedata r:id="rId41" o:title=""/>
          </v:shape>
          <o:OLEObject Type="Embed" ProgID="Equation.DSMT4" ShapeID="_x0000_i1047" DrawAspect="Content" ObjectID="_1522247658" r:id="rId42"/>
        </w:object>
      </w:r>
      <w:r w:rsidR="00564764">
        <w:t>)</w:t>
      </w:r>
      <w:r w:rsidR="00E673E1">
        <w:t>, then industries would substitute away from domestic petrol and toward cheaper imported petroleum.</w:t>
      </w:r>
    </w:p>
    <w:p w:rsidR="004D07E8" w:rsidRDefault="004D07E8" w:rsidP="00066F4A">
      <w:r w:rsidRPr="00201FEF">
        <w:t>Tax rates are policy variables and naturally exogenous</w:t>
      </w:r>
      <w:r>
        <w:t>. Flexible treatment of exogenous shocks to the model’s indirect tax system is introduced via equations of the form:</w:t>
      </w:r>
    </w:p>
    <w:p w:rsidR="004D07E8" w:rsidRDefault="003952DF" w:rsidP="006D23FD">
      <w:r w:rsidRPr="004D07E8">
        <w:rPr>
          <w:position w:val="-10"/>
        </w:rPr>
        <w:object w:dxaOrig="4720" w:dyaOrig="300">
          <v:shape id="_x0000_i1048" type="#_x0000_t75" style="width:236.05pt;height:15.05pt" o:ole="">
            <v:imagedata r:id="rId43" o:title=""/>
          </v:shape>
          <o:OLEObject Type="Embed" ProgID="Equation.DSMT4" ShapeID="_x0000_i1048" DrawAspect="Content" ObjectID="_1522247659" r:id="rId44"/>
        </w:object>
      </w:r>
      <w:r w:rsidR="004D07E8">
        <w:t xml:space="preserve"> </w:t>
      </w:r>
      <w:r w:rsidR="004D07E8">
        <w:tab/>
      </w:r>
      <w:r w:rsidR="004D07E8">
        <w:tab/>
      </w:r>
      <w:r w:rsidR="004D07E8">
        <w:tab/>
      </w:r>
      <w:r w:rsidR="004D07E8">
        <w:tab/>
      </w:r>
      <w:r w:rsidR="004D07E8">
        <w:tab/>
        <w:t>(</w:t>
      </w:r>
      <w:r w:rsidR="00FB0087">
        <w:t>E</w:t>
      </w:r>
      <w:r w:rsidR="004D07E8">
        <w:t>7)</w:t>
      </w:r>
    </w:p>
    <w:p w:rsidR="004D07E8" w:rsidRPr="00561E04" w:rsidRDefault="004D07E8" w:rsidP="004D07E8">
      <w:r w:rsidRPr="00561E04">
        <w:t xml:space="preserve">for all c </w:t>
      </w:r>
      <w:r w:rsidRPr="00561E04">
        <w:object w:dxaOrig="180" w:dyaOrig="180">
          <v:shape id="_x0000_i1049" type="#_x0000_t75" style="width:8.75pt;height:8.75pt" o:ole="">
            <v:imagedata r:id="rId12" o:title=""/>
          </v:shape>
          <o:OLEObject Type="Embed" ProgID="Equation.DSMT4" ShapeID="_x0000_i1049" DrawAspect="Content" ObjectID="_1522247660" r:id="rId45"/>
        </w:object>
      </w:r>
      <w:r w:rsidRPr="00561E04">
        <w:t xml:space="preserve"> COM, s </w:t>
      </w:r>
      <w:r w:rsidRPr="00561E04">
        <w:object w:dxaOrig="180" w:dyaOrig="180">
          <v:shape id="_x0000_i1050" type="#_x0000_t75" style="width:8.75pt;height:8.75pt" o:ole="">
            <v:imagedata r:id="rId12" o:title=""/>
          </v:shape>
          <o:OLEObject Type="Embed" ProgID="Equation.DSMT4" ShapeID="_x0000_i1050" DrawAspect="Content" ObjectID="_1522247661" r:id="rId46"/>
        </w:object>
      </w:r>
      <w:r w:rsidRPr="00561E04">
        <w:t xml:space="preserve">SRC, u </w:t>
      </w:r>
      <w:r w:rsidRPr="00561E04">
        <w:object w:dxaOrig="180" w:dyaOrig="180">
          <v:shape id="_x0000_i1051" type="#_x0000_t75" style="width:8.75pt;height:8.75pt" o:ole="">
            <v:imagedata r:id="rId12" o:title=""/>
          </v:shape>
          <o:OLEObject Type="Embed" ProgID="Equation.DSMT4" ShapeID="_x0000_i1051" DrawAspect="Content" ObjectID="_1522247662" r:id="rId47"/>
        </w:object>
      </w:r>
      <w:r w:rsidRPr="00561E04">
        <w:t xml:space="preserve">USER, t </w:t>
      </w:r>
      <w:r w:rsidRPr="00561E04">
        <w:object w:dxaOrig="180" w:dyaOrig="180">
          <v:shape id="_x0000_i1052" type="#_x0000_t75" style="width:8.75pt;height:8.75pt" o:ole="">
            <v:imagedata r:id="rId12" o:title=""/>
          </v:shape>
          <o:OLEObject Type="Embed" ProgID="Equation.DSMT4" ShapeID="_x0000_i1052" DrawAspect="Content" ObjectID="_1522247663" r:id="rId48"/>
        </w:object>
      </w:r>
      <w:r w:rsidRPr="00561E04">
        <w:t xml:space="preserve"> TAX type</w:t>
      </w:r>
    </w:p>
    <w:p w:rsidR="006D23FD" w:rsidRDefault="004D07E8" w:rsidP="006D23FD">
      <w:r>
        <w:t>where</w:t>
      </w:r>
    </w:p>
    <w:p w:rsidR="004D07E8" w:rsidRDefault="004D07E8" w:rsidP="006D23FD">
      <w:r>
        <w:t>f0tax_cs</w:t>
      </w:r>
      <w:r>
        <w:tab/>
        <w:t>is shift variable specific to commodities and uniform for users and source.</w:t>
      </w:r>
    </w:p>
    <w:p w:rsidR="004D07E8" w:rsidRDefault="004D07E8" w:rsidP="006D23FD">
      <w:r>
        <w:lastRenderedPageBreak/>
        <w:t>f1tax_u</w:t>
      </w:r>
      <w:r>
        <w:tab/>
        <w:t>is shift variable specific to commodities and source, and uniform for users.</w:t>
      </w:r>
    </w:p>
    <w:p w:rsidR="004D07E8" w:rsidRDefault="004D07E8" w:rsidP="006D23FD">
      <w:r>
        <w:t>f2tax</w:t>
      </w:r>
      <w:r>
        <w:tab/>
      </w:r>
      <w:r>
        <w:tab/>
        <w:t>is shift variable specific to commodities, source and users.</w:t>
      </w:r>
    </w:p>
    <w:p w:rsidR="004D07E8" w:rsidRDefault="00066F4A" w:rsidP="006D23FD">
      <w:r>
        <w:t>If the variables on the right hand side of (E7) remain exogenous and un</w:t>
      </w:r>
      <w:r w:rsidR="00B74F4B">
        <w:t>changed</w:t>
      </w:r>
      <w:r>
        <w:t>, the power of the tax remains unchanged</w:t>
      </w:r>
      <w:r w:rsidR="00D723CC">
        <w:t>, and</w:t>
      </w:r>
      <w:r>
        <w:t xml:space="preserve"> the purchasers’ price defined in (E3) </w:t>
      </w:r>
      <w:r w:rsidR="002A2D68">
        <w:t xml:space="preserve">only </w:t>
      </w:r>
      <w:r>
        <w:t xml:space="preserve">change due to </w:t>
      </w:r>
      <w:r w:rsidR="00D723CC">
        <w:t xml:space="preserve">non-tax </w:t>
      </w:r>
      <w:r>
        <w:t>factors</w:t>
      </w:r>
      <w:r w:rsidR="002A2D68">
        <w:t>. C</w:t>
      </w:r>
      <w:r w:rsidR="00FB0087">
        <w:t>hange</w:t>
      </w:r>
      <w:r w:rsidR="002A2D68">
        <w:t>s</w:t>
      </w:r>
      <w:r w:rsidR="00FB0087">
        <w:t xml:space="preserve"> in tax rate</w:t>
      </w:r>
      <w:r w:rsidR="00952C7F">
        <w:t>s</w:t>
      </w:r>
      <w:r w:rsidR="00FB0087">
        <w:t xml:space="preserve"> </w:t>
      </w:r>
      <w:r w:rsidR="002A2D68">
        <w:t xml:space="preserve">are imposed via </w:t>
      </w:r>
      <w:r w:rsidR="00FB0087">
        <w:t>shock</w:t>
      </w:r>
      <w:r w:rsidR="002A2D68">
        <w:t>s</w:t>
      </w:r>
      <w:r w:rsidR="00FB0087">
        <w:t xml:space="preserve"> </w:t>
      </w:r>
      <w:r w:rsidR="002A2D68">
        <w:t xml:space="preserve">to the appropriate </w:t>
      </w:r>
      <w:r w:rsidR="00FB0087">
        <w:t xml:space="preserve">shift variable appearing </w:t>
      </w:r>
      <w:r w:rsidR="002A2D68">
        <w:t xml:space="preserve">on the RHS in </w:t>
      </w:r>
      <w:r w:rsidR="00FB0087">
        <w:t>(E7).</w:t>
      </w:r>
    </w:p>
    <w:p w:rsidR="00FB0087" w:rsidRDefault="005334B6" w:rsidP="006D23FD">
      <w:r>
        <w:t>Tax</w:t>
      </w:r>
      <w:r w:rsidR="00452BA6">
        <w:t xml:space="preserve"> revenue </w:t>
      </w:r>
      <w:r>
        <w:t>form part of government income</w:t>
      </w:r>
      <w:r w:rsidR="005A18BB">
        <w:t xml:space="preserve"> and is defined as:</w:t>
      </w:r>
    </w:p>
    <w:p w:rsidR="0033497D" w:rsidRDefault="003952DF" w:rsidP="0033497D">
      <w:r w:rsidRPr="003952DF">
        <w:rPr>
          <w:position w:val="-26"/>
        </w:rPr>
        <w:object w:dxaOrig="4599" w:dyaOrig="499">
          <v:shape id="_x0000_i1053" type="#_x0000_t75" style="width:229.75pt;height:25.05pt" o:ole="">
            <v:imagedata r:id="rId49" o:title=""/>
          </v:shape>
          <o:OLEObject Type="Embed" ProgID="Equation.DSMT4" ShapeID="_x0000_i1053" DrawAspect="Content" ObjectID="_1522247664" r:id="rId50"/>
        </w:object>
      </w:r>
      <w:r w:rsidR="0033497D">
        <w:t xml:space="preserve"> </w:t>
      </w:r>
      <w:r w:rsidR="0033497D">
        <w:tab/>
      </w:r>
      <w:r w:rsidR="0033497D">
        <w:tab/>
      </w:r>
      <w:r w:rsidR="0033497D">
        <w:tab/>
      </w:r>
      <w:r w:rsidR="0033497D">
        <w:tab/>
      </w:r>
      <w:r w:rsidR="0033497D">
        <w:tab/>
        <w:t>(E.8)</w:t>
      </w:r>
    </w:p>
    <w:p w:rsidR="0033497D" w:rsidRDefault="0033497D" w:rsidP="0033497D">
      <w:pPr>
        <w:rPr>
          <w:szCs w:val="20"/>
        </w:rPr>
      </w:pPr>
      <w:r>
        <w:rPr>
          <w:szCs w:val="20"/>
        </w:rPr>
        <w:t xml:space="preserve">for all c </w:t>
      </w:r>
      <w:r w:rsidRPr="0064794C">
        <w:rPr>
          <w:position w:val="-4"/>
          <w:szCs w:val="20"/>
        </w:rPr>
        <w:object w:dxaOrig="180" w:dyaOrig="180">
          <v:shape id="_x0000_i1054" type="#_x0000_t75" style="width:8.75pt;height:8.75pt" o:ole="">
            <v:imagedata r:id="rId12" o:title=""/>
          </v:shape>
          <o:OLEObject Type="Embed" ProgID="Equation.DSMT4" ShapeID="_x0000_i1054" DrawAspect="Content" ObjectID="_1522247665" r:id="rId51"/>
        </w:object>
      </w:r>
      <w:r>
        <w:rPr>
          <w:szCs w:val="20"/>
        </w:rPr>
        <w:t xml:space="preserve"> COM, s </w:t>
      </w:r>
      <w:r w:rsidRPr="0064794C">
        <w:rPr>
          <w:position w:val="-4"/>
          <w:szCs w:val="20"/>
        </w:rPr>
        <w:object w:dxaOrig="180" w:dyaOrig="180">
          <v:shape id="_x0000_i1055" type="#_x0000_t75" style="width:8.75pt;height:8.75pt" o:ole="">
            <v:imagedata r:id="rId12" o:title=""/>
          </v:shape>
          <o:OLEObject Type="Embed" ProgID="Equation.DSMT4" ShapeID="_x0000_i1055" DrawAspect="Content" ObjectID="_1522247666" r:id="rId52"/>
        </w:object>
      </w:r>
      <w:r>
        <w:rPr>
          <w:szCs w:val="20"/>
        </w:rPr>
        <w:t xml:space="preserve">SRC, u </w:t>
      </w:r>
      <w:r w:rsidRPr="0064794C">
        <w:rPr>
          <w:position w:val="-4"/>
          <w:szCs w:val="20"/>
        </w:rPr>
        <w:object w:dxaOrig="180" w:dyaOrig="180">
          <v:shape id="_x0000_i1056" type="#_x0000_t75" style="width:8.75pt;height:8.75pt" o:ole="">
            <v:imagedata r:id="rId12" o:title=""/>
          </v:shape>
          <o:OLEObject Type="Embed" ProgID="Equation.DSMT4" ShapeID="_x0000_i1056" DrawAspect="Content" ObjectID="_1522247667" r:id="rId53"/>
        </w:object>
      </w:r>
      <w:r>
        <w:rPr>
          <w:szCs w:val="20"/>
        </w:rPr>
        <w:t>USER</w:t>
      </w:r>
    </w:p>
    <w:p w:rsidR="0033497D" w:rsidRDefault="0033497D" w:rsidP="0033497D">
      <w:pPr>
        <w:rPr>
          <w:szCs w:val="20"/>
        </w:rPr>
      </w:pPr>
      <w:r>
        <w:rPr>
          <w:szCs w:val="20"/>
        </w:rPr>
        <w:t>where</w:t>
      </w:r>
    </w:p>
    <w:p w:rsidR="0033497D" w:rsidRDefault="0033497D" w:rsidP="0033497D">
      <w:pPr>
        <w:ind w:left="1440" w:hanging="1440"/>
        <w:rPr>
          <w:szCs w:val="20"/>
        </w:rPr>
      </w:pPr>
      <w:r>
        <w:rPr>
          <w:szCs w:val="20"/>
        </w:rPr>
        <w:t>TAX</w:t>
      </w:r>
      <w:r>
        <w:rPr>
          <w:szCs w:val="20"/>
        </w:rPr>
        <w:tab/>
        <w:t xml:space="preserve">is the sum of net indirect taxes summed over all commodities, all source and users and appears in (E.1). </w:t>
      </w:r>
    </w:p>
    <w:p w:rsidR="0033497D" w:rsidRDefault="0033497D" w:rsidP="0033497D">
      <w:pPr>
        <w:ind w:left="1440" w:hanging="1440"/>
        <w:rPr>
          <w:szCs w:val="20"/>
        </w:rPr>
      </w:pPr>
      <w:r>
        <w:rPr>
          <w:szCs w:val="20"/>
        </w:rPr>
        <w:t>INCTAX</w:t>
      </w:r>
      <w:r>
        <w:rPr>
          <w:szCs w:val="20"/>
        </w:rPr>
        <w:tab/>
        <w:t>is direct taxes on labour and capital income.</w:t>
      </w:r>
    </w:p>
    <w:p w:rsidR="0033497D" w:rsidRDefault="0033497D" w:rsidP="0033497D">
      <w:r>
        <w:t>In SGEM, total government revenue is defined as:</w:t>
      </w:r>
      <w:r w:rsidR="00452BA6">
        <w:rPr>
          <w:rStyle w:val="FootnoteReference"/>
        </w:rPr>
        <w:footnoteReference w:id="6"/>
      </w:r>
    </w:p>
    <w:p w:rsidR="003C10EA" w:rsidRDefault="003952DF" w:rsidP="006D23FD">
      <w:r w:rsidRPr="003C10EA">
        <w:rPr>
          <w:position w:val="-6"/>
        </w:rPr>
        <w:object w:dxaOrig="4140" w:dyaOrig="260">
          <v:shape id="_x0000_i1057" type="#_x0000_t75" style="width:206.6pt;height:12.5pt" o:ole="">
            <v:imagedata r:id="rId54" o:title=""/>
          </v:shape>
          <o:OLEObject Type="Embed" ProgID="Equation.DSMT4" ShapeID="_x0000_i1057" DrawAspect="Content" ObjectID="_1522247668" r:id="rId55"/>
        </w:object>
      </w:r>
      <w:r w:rsidR="003C10EA">
        <w:t xml:space="preserve"> </w:t>
      </w:r>
      <w:r w:rsidR="003C10EA">
        <w:tab/>
      </w:r>
      <w:r w:rsidR="003C10EA">
        <w:tab/>
      </w:r>
      <w:r w:rsidR="003C10EA">
        <w:tab/>
      </w:r>
      <w:r w:rsidR="003C10EA">
        <w:tab/>
      </w:r>
      <w:r w:rsidR="003C10EA">
        <w:tab/>
      </w:r>
      <w:r w:rsidR="003C10EA">
        <w:tab/>
        <w:t>(E</w:t>
      </w:r>
      <w:r w:rsidR="0033497D">
        <w:t>.9</w:t>
      </w:r>
      <w:r w:rsidR="003C10EA">
        <w:t>)</w:t>
      </w:r>
    </w:p>
    <w:p w:rsidR="003C10EA" w:rsidRDefault="003C10EA" w:rsidP="006D23FD">
      <w:r>
        <w:t>where</w:t>
      </w:r>
    </w:p>
    <w:p w:rsidR="003C10EA" w:rsidRDefault="003C10EA" w:rsidP="006D23FD">
      <w:r>
        <w:t>OilRev</w:t>
      </w:r>
      <w:r>
        <w:tab/>
      </w:r>
      <w:r>
        <w:tab/>
        <w:t>is the revenue from oil sales</w:t>
      </w:r>
      <w:r w:rsidR="000F3F92">
        <w:t>;</w:t>
      </w:r>
    </w:p>
    <w:p w:rsidR="003C10EA" w:rsidRDefault="003C10EA" w:rsidP="006D23FD">
      <w:r>
        <w:t>TAX</w:t>
      </w:r>
      <w:r w:rsidR="00293B88">
        <w:t>REV</w:t>
      </w:r>
      <w:r>
        <w:tab/>
        <w:t>is the total tax revenue as defined in (E.</w:t>
      </w:r>
      <w:r w:rsidR="0033497D">
        <w:t>8</w:t>
      </w:r>
      <w:r>
        <w:t>)</w:t>
      </w:r>
      <w:r w:rsidR="000F3F92">
        <w:t>; and</w:t>
      </w:r>
    </w:p>
    <w:p w:rsidR="003C10EA" w:rsidRDefault="003C10EA" w:rsidP="006D23FD">
      <w:r>
        <w:t>NONTAX</w:t>
      </w:r>
      <w:r>
        <w:tab/>
        <w:t xml:space="preserve">is non-tax revenue (see footnote </w:t>
      </w:r>
      <w:r w:rsidR="00970270">
        <w:t>4</w:t>
      </w:r>
      <w:r>
        <w:t>).</w:t>
      </w:r>
    </w:p>
    <w:p w:rsidR="00452BA6" w:rsidRDefault="00452BA6" w:rsidP="00143AD2">
      <w:r>
        <w:t xml:space="preserve">Revenue from oil sales is by far the largest source of government income. See Section </w:t>
      </w:r>
      <w:r w:rsidR="00765E6C">
        <w:t>3</w:t>
      </w:r>
      <w:r>
        <w:t xml:space="preserve"> for a description of government revenues in the initial data base.</w:t>
      </w:r>
    </w:p>
    <w:p w:rsidR="00143AD2" w:rsidRDefault="00143AD2" w:rsidP="00143AD2">
      <w:pPr>
        <w:rPr>
          <w:szCs w:val="20"/>
        </w:rPr>
      </w:pPr>
      <w:r>
        <w:rPr>
          <w:szCs w:val="20"/>
        </w:rPr>
        <w:t>Finally we define government balance as the difference between government income and expenditure.</w:t>
      </w:r>
      <w:r w:rsidR="00650B13">
        <w:rPr>
          <w:szCs w:val="20"/>
        </w:rPr>
        <w:t xml:space="preserve"> Government expenditure includes purchases by government and government investment.</w:t>
      </w:r>
    </w:p>
    <w:p w:rsidR="00293B88" w:rsidRDefault="00A61E24" w:rsidP="002E0384">
      <w:pPr>
        <w:ind w:left="1440" w:hanging="1440"/>
        <w:rPr>
          <w:szCs w:val="20"/>
        </w:rPr>
      </w:pPr>
      <w:r w:rsidRPr="00DB217D">
        <w:rPr>
          <w:position w:val="-6"/>
          <w:szCs w:val="20"/>
        </w:rPr>
        <w:object w:dxaOrig="3200" w:dyaOrig="260">
          <v:shape id="_x0000_i1058" type="#_x0000_t75" style="width:160.3pt;height:13.15pt" o:ole="">
            <v:imagedata r:id="rId56" o:title=""/>
          </v:shape>
          <o:OLEObject Type="Embed" ProgID="Equation.DSMT4" ShapeID="_x0000_i1058" DrawAspect="Content" ObjectID="_1522247669" r:id="rId57"/>
        </w:object>
      </w:r>
      <w:r w:rsidR="00DB217D">
        <w:rPr>
          <w:szCs w:val="20"/>
        </w:rPr>
        <w:t xml:space="preserve"> </w:t>
      </w:r>
      <w:r w:rsidR="00DB217D">
        <w:rPr>
          <w:szCs w:val="20"/>
        </w:rPr>
        <w:tab/>
      </w:r>
      <w:r w:rsidR="00DB217D">
        <w:rPr>
          <w:szCs w:val="20"/>
        </w:rPr>
        <w:tab/>
      </w:r>
      <w:r w:rsidR="00DB217D">
        <w:rPr>
          <w:szCs w:val="20"/>
        </w:rPr>
        <w:tab/>
      </w:r>
      <w:r w:rsidR="00DB217D">
        <w:rPr>
          <w:szCs w:val="20"/>
        </w:rPr>
        <w:tab/>
      </w:r>
      <w:r w:rsidR="00DB217D">
        <w:rPr>
          <w:szCs w:val="20"/>
        </w:rPr>
        <w:tab/>
      </w:r>
      <w:r w:rsidR="00DB217D">
        <w:rPr>
          <w:szCs w:val="20"/>
        </w:rPr>
        <w:tab/>
      </w:r>
      <w:r w:rsidR="00DB217D">
        <w:rPr>
          <w:szCs w:val="20"/>
        </w:rPr>
        <w:tab/>
        <w:t>(E.10)</w:t>
      </w:r>
    </w:p>
    <w:p w:rsidR="00CF7B98" w:rsidRDefault="00D25FD1" w:rsidP="00CF7B98">
      <w:pPr>
        <w:pStyle w:val="Heading1"/>
      </w:pPr>
      <w:bookmarkStart w:id="4" w:name="_Toc448504467"/>
      <w:r>
        <w:t xml:space="preserve">The </w:t>
      </w:r>
      <w:r w:rsidR="00493F9D">
        <w:t>SGEM</w:t>
      </w:r>
      <w:r w:rsidR="00CF7B98">
        <w:t xml:space="preserve"> Database</w:t>
      </w:r>
      <w:bookmarkEnd w:id="4"/>
    </w:p>
    <w:p w:rsidR="00380366" w:rsidRDefault="00631FB9" w:rsidP="006D23FD">
      <w:r>
        <w:t xml:space="preserve">We create a database </w:t>
      </w:r>
      <w:r w:rsidR="00AA4F68">
        <w:t xml:space="preserve">which suit the requirements for SGEM. </w:t>
      </w:r>
      <w:r>
        <w:t xml:space="preserve">The core database is calibrated </w:t>
      </w:r>
      <w:r w:rsidR="00AA4F68">
        <w:t>to</w:t>
      </w:r>
      <w:r>
        <w:t xml:space="preserve"> the 2010 Suppy-Use Tables</w:t>
      </w:r>
      <w:r w:rsidR="00AA4F68">
        <w:t xml:space="preserve"> (SUT)</w:t>
      </w:r>
      <w:r>
        <w:t xml:space="preserve"> (</w:t>
      </w:r>
      <w:r w:rsidR="00095F36">
        <w:t>MoEP</w:t>
      </w:r>
      <w:r>
        <w:t>, 2015).</w:t>
      </w:r>
      <w:r w:rsidR="001F7DA4">
        <w:t xml:space="preserve"> </w:t>
      </w:r>
      <w:r w:rsidR="00AA4F68">
        <w:t>The SUT</w:t>
      </w:r>
      <w:r w:rsidR="00380366">
        <w:t xml:space="preserve"> does not have</w:t>
      </w:r>
      <w:r w:rsidR="00AA4F68">
        <w:t xml:space="preserve"> the required </w:t>
      </w:r>
      <w:r w:rsidR="001A335D">
        <w:t xml:space="preserve">format </w:t>
      </w:r>
      <w:r w:rsidR="00AA4F68">
        <w:t xml:space="preserve">of </w:t>
      </w:r>
      <w:r w:rsidR="001A335D">
        <w:t>the database</w:t>
      </w:r>
      <w:r w:rsidR="00AA4F68">
        <w:t xml:space="preserve"> and therefore </w:t>
      </w:r>
      <w:r w:rsidR="00165DA5">
        <w:t xml:space="preserve">a number of steps </w:t>
      </w:r>
      <w:r w:rsidR="00AA4F68">
        <w:t>w</w:t>
      </w:r>
      <w:r w:rsidR="00165DA5">
        <w:t>ere</w:t>
      </w:r>
      <w:r w:rsidR="00AA4F68">
        <w:t xml:space="preserve"> taken </w:t>
      </w:r>
      <w:r w:rsidR="002E30EE">
        <w:t>to convert</w:t>
      </w:r>
      <w:r w:rsidR="00AA4F68">
        <w:t xml:space="preserve"> the published data into the format</w:t>
      </w:r>
      <w:r>
        <w:t xml:space="preserve"> </w:t>
      </w:r>
      <w:r w:rsidR="001A335D">
        <w:t xml:space="preserve">required by SGEM. </w:t>
      </w:r>
      <w:r w:rsidR="00165DA5">
        <w:t>Due to the limited space in a journal paper, w</w:t>
      </w:r>
      <w:r w:rsidR="001A335D">
        <w:t>e deem it unnecessary</w:t>
      </w:r>
      <w:r w:rsidR="00165DA5">
        <w:t xml:space="preserve"> to describe in</w:t>
      </w:r>
      <w:r w:rsidR="001A335D">
        <w:t xml:space="preserve"> detail </w:t>
      </w:r>
      <w:r w:rsidR="00165DA5">
        <w:t>the steps taken in</w:t>
      </w:r>
      <w:r w:rsidR="001A335D">
        <w:t xml:space="preserve"> conv</w:t>
      </w:r>
      <w:r w:rsidR="00165DA5">
        <w:t xml:space="preserve">erting the published data into a database. </w:t>
      </w:r>
      <w:r w:rsidR="000B7F0B">
        <w:t xml:space="preserve">For a description </w:t>
      </w:r>
      <w:r w:rsidR="00C23B50">
        <w:t>of possible</w:t>
      </w:r>
      <w:r w:rsidR="000B7F0B">
        <w:t xml:space="preserve"> steps taken in creating a </w:t>
      </w:r>
      <w:r w:rsidR="008B18D5">
        <w:t xml:space="preserve">CGE </w:t>
      </w:r>
      <w:r w:rsidR="000B7F0B">
        <w:t>database, see Roos et al (201</w:t>
      </w:r>
      <w:r w:rsidR="008B18D5">
        <w:t>5</w:t>
      </w:r>
      <w:r w:rsidR="000B7F0B">
        <w:t>).</w:t>
      </w:r>
      <w:r w:rsidR="008B18D5">
        <w:t xml:space="preserve"> </w:t>
      </w:r>
    </w:p>
    <w:p w:rsidR="00723D5E" w:rsidRDefault="00B04FB0" w:rsidP="006D23FD">
      <w:r>
        <w:t>We highlight the following characteristics of the database.</w:t>
      </w:r>
    </w:p>
    <w:p w:rsidR="00124F95" w:rsidRDefault="00D003B3" w:rsidP="006D23FD">
      <w:r w:rsidRPr="00F94D16">
        <w:lastRenderedPageBreak/>
        <w:t xml:space="preserve">The model requires a </w:t>
      </w:r>
      <w:r w:rsidR="0051149E">
        <w:t xml:space="preserve">core </w:t>
      </w:r>
      <w:r w:rsidRPr="00F94D16">
        <w:t>database with separate matrices for basic, tax and margin flows for both domestic and imported sources</w:t>
      </w:r>
      <w:r>
        <w:t xml:space="preserve"> of commodities sold</w:t>
      </w:r>
      <w:r w:rsidRPr="00F94D16">
        <w:t xml:space="preserve"> to domestic and foreign users, as well as matrices for the factors of prod</w:t>
      </w:r>
      <w:r>
        <w:t>uction.</w:t>
      </w:r>
      <w:r w:rsidR="00702232">
        <w:t xml:space="preserve"> Commodities can be used by domestic firms divided into </w:t>
      </w:r>
      <w:r w:rsidR="00891CC2" w:rsidRPr="009A138D">
        <w:t>59</w:t>
      </w:r>
      <w:r w:rsidR="00702232" w:rsidRPr="009A138D">
        <w:t xml:space="preserve"> </w:t>
      </w:r>
      <w:r w:rsidR="00702232">
        <w:t>industries, investors</w:t>
      </w:r>
      <w:r w:rsidR="00702232" w:rsidRPr="00702232">
        <w:t xml:space="preserve"> </w:t>
      </w:r>
      <w:r w:rsidR="00702232">
        <w:t xml:space="preserve">divided into </w:t>
      </w:r>
      <w:r w:rsidR="00891CC2">
        <w:t>59</w:t>
      </w:r>
      <w:r w:rsidR="00702232" w:rsidRPr="00D62ADA">
        <w:t xml:space="preserve"> </w:t>
      </w:r>
      <w:r w:rsidR="00702232">
        <w:t>industries, a representative household, exported, demanded by the government o</w:t>
      </w:r>
      <w:r w:rsidR="00891CC2">
        <w:t>r</w:t>
      </w:r>
      <w:r w:rsidR="00702232">
        <w:t xml:space="preserve"> held as inventory.</w:t>
      </w:r>
      <w:r w:rsidR="001C3EED">
        <w:t xml:space="preserve"> </w:t>
      </w:r>
    </w:p>
    <w:p w:rsidR="00891CC2" w:rsidRDefault="00891CC2" w:rsidP="006D23FD">
      <w:r>
        <w:t>SGEM includes detailed treatment of margins. For each commodity</w:t>
      </w:r>
      <w:r w:rsidR="0029313C">
        <w:t xml:space="preserve"> valued at basic price</w:t>
      </w:r>
      <w:r>
        <w:t xml:space="preserve"> we have a corresponding margin matrix</w:t>
      </w:r>
      <w:r w:rsidR="0029313C">
        <w:t xml:space="preserve">, showing </w:t>
      </w:r>
      <w:r>
        <w:t>the cost of margin services used to facilitate the flow</w:t>
      </w:r>
      <w:r w:rsidR="00922F37">
        <w:t xml:space="preserve"> </w:t>
      </w:r>
      <w:r w:rsidR="009F76D9">
        <w:t>of commodities from all sources to the users of these commodities.</w:t>
      </w:r>
      <w:r w:rsidR="005C233C">
        <w:t xml:space="preserve"> SGEM includes 7 margins commodities. </w:t>
      </w:r>
    </w:p>
    <w:p w:rsidR="00D003B3" w:rsidRDefault="009B7C7E" w:rsidP="006D23FD">
      <w:r>
        <w:t xml:space="preserve">Of special interest in this paper is the </w:t>
      </w:r>
      <w:r w:rsidRPr="00664301">
        <w:t xml:space="preserve">modelling of </w:t>
      </w:r>
      <w:r w:rsidR="0029313C" w:rsidRPr="00664301">
        <w:t xml:space="preserve">taxes and </w:t>
      </w:r>
      <w:r w:rsidRPr="00664301">
        <w:t xml:space="preserve">subsidies. </w:t>
      </w:r>
      <w:r w:rsidR="001C3EED" w:rsidRPr="00664301">
        <w:t>For each</w:t>
      </w:r>
      <w:r w:rsidR="001C3EED">
        <w:t xml:space="preserve"> commodity valued at basic price</w:t>
      </w:r>
      <w:r w:rsidR="00D62ADA">
        <w:t xml:space="preserve"> we have tax matrices showing the</w:t>
      </w:r>
      <w:r w:rsidR="002E30EE">
        <w:t xml:space="preserve"> indirect</w:t>
      </w:r>
      <w:r w:rsidR="00D62ADA">
        <w:t xml:space="preserve"> taxes paid </w:t>
      </w:r>
      <w:r w:rsidR="002E30EE">
        <w:t>on the use of commodities</w:t>
      </w:r>
      <w:r w:rsidR="00D62ADA">
        <w:t xml:space="preserve"> from all sources</w:t>
      </w:r>
      <w:r w:rsidR="0029313C">
        <w:t xml:space="preserve"> </w:t>
      </w:r>
      <w:r w:rsidR="002E30EE">
        <w:t xml:space="preserve">by </w:t>
      </w:r>
      <w:r w:rsidR="0029313C">
        <w:t>various users</w:t>
      </w:r>
      <w:r w:rsidR="00D62ADA">
        <w:t xml:space="preserve">. Positive elements in these matrices show the tax associated with the delivery of commodities from all sources to the users of these commodities. </w:t>
      </w:r>
      <w:r w:rsidR="00454C55">
        <w:t xml:space="preserve">A negative element shows the subsidy paid </w:t>
      </w:r>
      <w:r w:rsidR="00E46886">
        <w:t>on</w:t>
      </w:r>
      <w:r w:rsidR="00454C55">
        <w:t xml:space="preserve"> commodity use by </w:t>
      </w:r>
      <w:r w:rsidR="008720C7">
        <w:t>users</w:t>
      </w:r>
      <w:r w:rsidR="00701D24">
        <w:t xml:space="preserve"> in SGEM</w:t>
      </w:r>
      <w:r w:rsidR="00454C55">
        <w:t>.</w:t>
      </w:r>
      <w:r w:rsidR="00F13CA5">
        <w:t xml:space="preserve"> </w:t>
      </w:r>
      <w:r w:rsidR="008720C7">
        <w:t xml:space="preserve">As reflected in the published Supply Use Tables (2010) </w:t>
      </w:r>
      <w:r w:rsidR="00F13CA5">
        <w:t>Saudi Arabia does not have value-added tax</w:t>
      </w:r>
      <w:r w:rsidR="002A39FE">
        <w:t xml:space="preserve"> or</w:t>
      </w:r>
      <w:r w:rsidR="00F13CA5">
        <w:t xml:space="preserve"> general sales on the use of commodities. </w:t>
      </w:r>
      <w:r w:rsidR="00785DF3">
        <w:t xml:space="preserve">Therefore, </w:t>
      </w:r>
      <w:r w:rsidR="00E46886">
        <w:t xml:space="preserve">in the core database, </w:t>
      </w:r>
      <w:r w:rsidR="00785DF3">
        <w:t xml:space="preserve">elements in the indirect tax matrices are set to zero. </w:t>
      </w:r>
      <w:r w:rsidR="002A39FE">
        <w:t>T</w:t>
      </w:r>
      <w:r w:rsidR="00F13CA5">
        <w:t xml:space="preserve">here are </w:t>
      </w:r>
      <w:r w:rsidR="00785DF3">
        <w:t xml:space="preserve">however </w:t>
      </w:r>
      <w:r w:rsidR="005316A3">
        <w:t>import duties</w:t>
      </w:r>
      <w:r w:rsidR="00F13CA5">
        <w:t xml:space="preserve">. </w:t>
      </w:r>
      <w:r w:rsidR="00785DF3">
        <w:t>I</w:t>
      </w:r>
      <w:r w:rsidR="005316A3">
        <w:t xml:space="preserve">mport duties are explicitly </w:t>
      </w:r>
      <w:r w:rsidR="002275B8">
        <w:t>accounted for in the database</w:t>
      </w:r>
      <w:r w:rsidR="00785DF3">
        <w:t xml:space="preserve"> via a satellite matrix</w:t>
      </w:r>
      <w:r w:rsidR="002275B8">
        <w:t xml:space="preserve">, </w:t>
      </w:r>
      <w:r w:rsidR="00785DF3">
        <w:t>and are</w:t>
      </w:r>
      <w:r w:rsidR="002275B8">
        <w:t xml:space="preserve"> also included in the </w:t>
      </w:r>
      <w:r w:rsidR="002E30EE">
        <w:t>f</w:t>
      </w:r>
      <w:r w:rsidR="002275B8">
        <w:t xml:space="preserve">low of </w:t>
      </w:r>
      <w:r w:rsidR="00A946B3">
        <w:t xml:space="preserve">imported </w:t>
      </w:r>
      <w:r w:rsidR="002275B8">
        <w:t>c</w:t>
      </w:r>
      <w:r w:rsidR="00A946B3">
        <w:t>ommodities valued at basic price.</w:t>
      </w:r>
      <w:r w:rsidR="00F66059">
        <w:t xml:space="preserve"> </w:t>
      </w:r>
      <w:r w:rsidR="0072546D">
        <w:t>This allows for the calculation of ad valorem rates</w:t>
      </w:r>
      <w:r w:rsidR="0072546D" w:rsidRPr="00F94D16">
        <w:t xml:space="preserve"> as the ratio between tax revenues and the relevant basic flows of commodities on which the taxes are levied</w:t>
      </w:r>
      <w:r w:rsidR="002A39FE">
        <w:t xml:space="preserve"> (see footnote 2)</w:t>
      </w:r>
      <w:r w:rsidR="0072546D">
        <w:t>.</w:t>
      </w:r>
    </w:p>
    <w:p w:rsidR="00D003B3" w:rsidRDefault="00A946B3" w:rsidP="006D23FD">
      <w:r>
        <w:t xml:space="preserve">The database includes matrices showing the value of primary factors used by industries in current production. These matrices include inputs of three factors of production, namely occupation specific labour payments by 59 industries, capital rentals by 59 industries and natural resources by industries. </w:t>
      </w:r>
      <w:r w:rsidR="00022DB6">
        <w:t xml:space="preserve">Natural resource uses are restricted to agricultural and mining industries. Industries also may pay production taxes such as business licences. </w:t>
      </w:r>
      <w:r w:rsidR="00022DB6" w:rsidRPr="00F94D16">
        <w:t>The database s</w:t>
      </w:r>
      <w:r w:rsidR="00022DB6">
        <w:t>hows that labour, capital, natural resource and</w:t>
      </w:r>
      <w:r w:rsidR="00022DB6" w:rsidRPr="00F94D16">
        <w:t xml:space="preserve"> production </w:t>
      </w:r>
      <w:r w:rsidR="00022DB6">
        <w:t>taxes</w:t>
      </w:r>
      <w:r w:rsidR="00022DB6" w:rsidRPr="00F94D16">
        <w:t xml:space="preserve"> are only used in current production and therefore these matrices are absent from entries in the capital formation, household consumption, exports</w:t>
      </w:r>
      <w:r w:rsidR="00022DB6">
        <w:t>,</w:t>
      </w:r>
      <w:r w:rsidR="00022DB6" w:rsidRPr="00F94D16">
        <w:t xml:space="preserve"> government and change in inventories columns</w:t>
      </w:r>
      <w:r w:rsidR="00022DB6">
        <w:t>.</w:t>
      </w:r>
    </w:p>
    <w:p w:rsidR="00AF0C55" w:rsidRDefault="00AF0C55" w:rsidP="006D23FD">
      <w:r>
        <w:t xml:space="preserve">The final matrix capturing data from the SUT is the multi-product matrix. </w:t>
      </w:r>
      <w:r w:rsidRPr="00F94D16">
        <w:t xml:space="preserve">Each element in </w:t>
      </w:r>
      <w:r>
        <w:t xml:space="preserve">this </w:t>
      </w:r>
      <w:r w:rsidRPr="00F94D16">
        <w:t>matrix refers to the basic value of commodit</w:t>
      </w:r>
      <w:r>
        <w:t>ies</w:t>
      </w:r>
      <w:r w:rsidRPr="00F94D16">
        <w:t xml:space="preserve"> produced by </w:t>
      </w:r>
      <w:r>
        <w:t xml:space="preserve">the various </w:t>
      </w:r>
      <w:r w:rsidRPr="00F94D16">
        <w:t>industr</w:t>
      </w:r>
      <w:r>
        <w:t xml:space="preserve">ies or stated differently it shows the </w:t>
      </w:r>
      <w:r w:rsidR="00697A6C">
        <w:t xml:space="preserve">value of </w:t>
      </w:r>
      <w:r>
        <w:t>industry output</w:t>
      </w:r>
      <w:r w:rsidRPr="00F94D16">
        <w:t>.</w:t>
      </w:r>
    </w:p>
    <w:p w:rsidR="00F9019E" w:rsidRDefault="008B18D5" w:rsidP="00F9019E">
      <w:r>
        <w:t xml:space="preserve">We wish to </w:t>
      </w:r>
      <w:r w:rsidR="00AB1664">
        <w:t>highlight</w:t>
      </w:r>
      <w:r>
        <w:t xml:space="preserve"> the following interesting aspects of the </w:t>
      </w:r>
      <w:r w:rsidR="00FD007F">
        <w:t xml:space="preserve">economy captured in the </w:t>
      </w:r>
      <w:r>
        <w:t>database.</w:t>
      </w:r>
      <w:r w:rsidR="00FD007F">
        <w:t xml:space="preserve"> </w:t>
      </w:r>
      <w:r w:rsidR="00F9019E" w:rsidRPr="00480BD1">
        <w:t xml:space="preserve">Table 1 reports values for the main components of GDP from the expenditure and income sides, calculated from the 2010 database. On the expenditure side, the largest component is exports, with a GDP share of 49.4 per cent. Exports exceed imports, </w:t>
      </w:r>
      <w:r w:rsidR="00F9019E">
        <w:t xml:space="preserve">implying a </w:t>
      </w:r>
      <w:r w:rsidR="00F9019E" w:rsidRPr="00480BD1">
        <w:t>surplus on trade account</w:t>
      </w:r>
      <w:r w:rsidR="00F9019E">
        <w:t xml:space="preserve"> of 317 billion SAR</w:t>
      </w:r>
      <w:r w:rsidR="00F9019E" w:rsidRPr="00480BD1">
        <w:t>. The surplus is nearly 1</w:t>
      </w:r>
      <w:r w:rsidR="00F9019E">
        <w:t>6</w:t>
      </w:r>
      <w:r w:rsidR="00F9019E" w:rsidRPr="00480BD1">
        <w:t xml:space="preserve"> per cent of GDP. Of the remaining components, household consumption makes up 32.5 per cent, investment 24.7 per cent and government consumption 20.3 per cent</w:t>
      </w:r>
      <w:r w:rsidR="001913F3">
        <w:t>.</w:t>
      </w:r>
    </w:p>
    <w:p w:rsidR="00C8435B" w:rsidRDefault="00C8435B" w:rsidP="00F9019E"/>
    <w:p w:rsidR="00C8435B" w:rsidRDefault="00C8435B" w:rsidP="00F9019E"/>
    <w:p w:rsidR="00C8435B" w:rsidRDefault="00C8435B" w:rsidP="00F9019E"/>
    <w:p w:rsidR="00F9019E" w:rsidRPr="00480BD1" w:rsidRDefault="00F9019E" w:rsidP="00F9019E">
      <w:pPr>
        <w:pStyle w:val="Caption"/>
      </w:pPr>
      <w:r w:rsidRPr="00480BD1">
        <w:lastRenderedPageBreak/>
        <w:t xml:space="preserve">Table </w:t>
      </w:r>
      <w:fldSimple w:instr=" SEQ Table \* ARABIC ">
        <w:r>
          <w:rPr>
            <w:noProof/>
          </w:rPr>
          <w:t>1</w:t>
        </w:r>
      </w:fldSimple>
      <w:r w:rsidRPr="00480BD1">
        <w:t>: GDP components on the expenditure side and income side</w:t>
      </w:r>
      <w:r w:rsidR="00EE6DED">
        <w:t xml:space="preserve"> (billion SAR)</w:t>
      </w:r>
      <w:r w:rsidR="00E46886">
        <w:t xml:space="preserve"> (2010)</w:t>
      </w:r>
    </w:p>
    <w:tbl>
      <w:tblPr>
        <w:tblW w:w="9047" w:type="dxa"/>
        <w:jc w:val="center"/>
        <w:tblInd w:w="93" w:type="dxa"/>
        <w:tblLook w:val="04A0" w:firstRow="1" w:lastRow="0" w:firstColumn="1" w:lastColumn="0" w:noHBand="0" w:noVBand="1"/>
      </w:tblPr>
      <w:tblGrid>
        <w:gridCol w:w="2549"/>
        <w:gridCol w:w="1282"/>
        <w:gridCol w:w="947"/>
        <w:gridCol w:w="222"/>
        <w:gridCol w:w="1832"/>
        <w:gridCol w:w="1268"/>
        <w:gridCol w:w="947"/>
      </w:tblGrid>
      <w:tr w:rsidR="00F9019E" w:rsidRPr="007960C6" w:rsidTr="00CB7833">
        <w:trPr>
          <w:trHeight w:val="264"/>
          <w:jc w:val="center"/>
        </w:trPr>
        <w:tc>
          <w:tcPr>
            <w:tcW w:w="2549" w:type="dxa"/>
            <w:tcBorders>
              <w:top w:val="single" w:sz="4" w:space="0" w:color="auto"/>
              <w:left w:val="nil"/>
              <w:bottom w:val="single" w:sz="4" w:space="0" w:color="auto"/>
              <w:right w:val="nil"/>
            </w:tcBorders>
            <w:shd w:val="clear" w:color="auto" w:fill="auto"/>
            <w:noWrap/>
            <w:vAlign w:val="center"/>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Expenditure item</w:t>
            </w:r>
          </w:p>
        </w:tc>
        <w:tc>
          <w:tcPr>
            <w:tcW w:w="1282" w:type="dxa"/>
            <w:tcBorders>
              <w:top w:val="single" w:sz="4" w:space="0" w:color="auto"/>
              <w:left w:val="nil"/>
              <w:bottom w:val="single" w:sz="4" w:space="0" w:color="auto"/>
              <w:right w:val="nil"/>
            </w:tcBorders>
            <w:shd w:val="clear" w:color="auto" w:fill="auto"/>
            <w:noWrap/>
            <w:vAlign w:val="center"/>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Value</w:t>
            </w:r>
            <w:r w:rsidRPr="007960C6">
              <w:rPr>
                <w:rFonts w:ascii="Times New Roman" w:hAnsi="Times New Roman"/>
                <w:color w:val="000000"/>
                <w:szCs w:val="22"/>
              </w:rPr>
              <w:br/>
              <w:t>(SAR bill)</w:t>
            </w:r>
          </w:p>
        </w:tc>
        <w:tc>
          <w:tcPr>
            <w:tcW w:w="947" w:type="dxa"/>
            <w:tcBorders>
              <w:top w:val="single" w:sz="4" w:space="0" w:color="auto"/>
              <w:left w:val="nil"/>
              <w:bottom w:val="single" w:sz="4" w:space="0" w:color="auto"/>
              <w:right w:val="nil"/>
            </w:tcBorders>
            <w:shd w:val="clear" w:color="auto" w:fill="auto"/>
            <w:noWrap/>
            <w:vAlign w:val="center"/>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Share (%)</w:t>
            </w:r>
          </w:p>
        </w:tc>
        <w:tc>
          <w:tcPr>
            <w:tcW w:w="222" w:type="dxa"/>
            <w:tcBorders>
              <w:left w:val="nil"/>
              <w:right w:val="nil"/>
            </w:tcBorders>
          </w:tcPr>
          <w:p w:rsidR="00F9019E" w:rsidRPr="007960C6" w:rsidRDefault="00F9019E" w:rsidP="00CB7833">
            <w:pPr>
              <w:spacing w:after="0" w:line="240" w:lineRule="auto"/>
              <w:jc w:val="center"/>
              <w:rPr>
                <w:rFonts w:ascii="Times New Roman" w:hAnsi="Times New Roman"/>
                <w:color w:val="000000"/>
                <w:szCs w:val="22"/>
              </w:rPr>
            </w:pPr>
          </w:p>
        </w:tc>
        <w:tc>
          <w:tcPr>
            <w:tcW w:w="1832" w:type="dxa"/>
            <w:tcBorders>
              <w:top w:val="single" w:sz="4" w:space="0" w:color="auto"/>
              <w:left w:val="nil"/>
              <w:bottom w:val="single" w:sz="4" w:space="0" w:color="auto"/>
              <w:right w:val="nil"/>
            </w:tcBorders>
            <w:shd w:val="clear" w:color="auto" w:fill="auto"/>
            <w:noWrap/>
            <w:vAlign w:val="center"/>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Income item</w:t>
            </w:r>
          </w:p>
        </w:tc>
        <w:tc>
          <w:tcPr>
            <w:tcW w:w="1268" w:type="dxa"/>
            <w:tcBorders>
              <w:top w:val="single" w:sz="4" w:space="0" w:color="auto"/>
              <w:left w:val="nil"/>
              <w:bottom w:val="single" w:sz="4" w:space="0" w:color="auto"/>
              <w:right w:val="nil"/>
            </w:tcBorders>
            <w:shd w:val="clear" w:color="auto" w:fill="auto"/>
            <w:noWrap/>
            <w:vAlign w:val="center"/>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Value</w:t>
            </w:r>
            <w:r w:rsidRPr="007960C6">
              <w:rPr>
                <w:rFonts w:ascii="Times New Roman" w:hAnsi="Times New Roman"/>
                <w:color w:val="000000"/>
                <w:szCs w:val="22"/>
              </w:rPr>
              <w:br/>
              <w:t>(SAR bill)</w:t>
            </w:r>
          </w:p>
        </w:tc>
        <w:tc>
          <w:tcPr>
            <w:tcW w:w="947" w:type="dxa"/>
            <w:tcBorders>
              <w:top w:val="single" w:sz="4" w:space="0" w:color="auto"/>
              <w:left w:val="nil"/>
              <w:bottom w:val="single" w:sz="4" w:space="0" w:color="auto"/>
              <w:right w:val="nil"/>
            </w:tcBorders>
            <w:shd w:val="clear" w:color="auto" w:fill="auto"/>
            <w:noWrap/>
            <w:vAlign w:val="center"/>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Share (%)</w:t>
            </w:r>
          </w:p>
        </w:tc>
      </w:tr>
      <w:tr w:rsidR="00F9019E" w:rsidRPr="007960C6" w:rsidTr="00CB7833">
        <w:trPr>
          <w:trHeight w:val="264"/>
          <w:jc w:val="center"/>
        </w:trPr>
        <w:tc>
          <w:tcPr>
            <w:tcW w:w="2549"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r w:rsidRPr="007960C6">
              <w:rPr>
                <w:rFonts w:ascii="Times New Roman" w:hAnsi="Times New Roman"/>
                <w:color w:val="000000"/>
                <w:szCs w:val="22"/>
              </w:rPr>
              <w:t>Household consumption</w:t>
            </w:r>
          </w:p>
        </w:tc>
        <w:tc>
          <w:tcPr>
            <w:tcW w:w="1282"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638</w:t>
            </w:r>
          </w:p>
        </w:tc>
        <w:tc>
          <w:tcPr>
            <w:tcW w:w="947"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32.5</w:t>
            </w:r>
          </w:p>
        </w:tc>
        <w:tc>
          <w:tcPr>
            <w:tcW w:w="222" w:type="dxa"/>
            <w:tcBorders>
              <w:top w:val="nil"/>
              <w:left w:val="nil"/>
              <w:bottom w:val="nil"/>
              <w:right w:val="nil"/>
            </w:tcBorders>
          </w:tcPr>
          <w:p w:rsidR="00F9019E" w:rsidRPr="007960C6" w:rsidRDefault="00F9019E" w:rsidP="00CB7833">
            <w:pPr>
              <w:spacing w:after="0" w:line="240" w:lineRule="auto"/>
              <w:jc w:val="center"/>
              <w:rPr>
                <w:rFonts w:ascii="Times New Roman" w:hAnsi="Times New Roman"/>
                <w:color w:val="000000"/>
                <w:szCs w:val="22"/>
              </w:rPr>
            </w:pPr>
          </w:p>
        </w:tc>
        <w:tc>
          <w:tcPr>
            <w:tcW w:w="1832"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r w:rsidRPr="007960C6">
              <w:rPr>
                <w:rFonts w:ascii="Times New Roman" w:hAnsi="Times New Roman"/>
                <w:color w:val="000000"/>
                <w:szCs w:val="22"/>
              </w:rPr>
              <w:t>Cost of labour</w:t>
            </w:r>
          </w:p>
        </w:tc>
        <w:tc>
          <w:tcPr>
            <w:tcW w:w="1268"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459</w:t>
            </w:r>
          </w:p>
        </w:tc>
        <w:tc>
          <w:tcPr>
            <w:tcW w:w="947"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23.4</w:t>
            </w:r>
          </w:p>
        </w:tc>
      </w:tr>
      <w:tr w:rsidR="00F9019E" w:rsidRPr="007960C6" w:rsidTr="00CB7833">
        <w:trPr>
          <w:trHeight w:val="264"/>
          <w:jc w:val="center"/>
        </w:trPr>
        <w:tc>
          <w:tcPr>
            <w:tcW w:w="2549"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r w:rsidRPr="007960C6">
              <w:rPr>
                <w:rFonts w:ascii="Times New Roman" w:hAnsi="Times New Roman"/>
                <w:color w:val="000000"/>
                <w:szCs w:val="22"/>
              </w:rPr>
              <w:t>Investment</w:t>
            </w:r>
          </w:p>
        </w:tc>
        <w:tc>
          <w:tcPr>
            <w:tcW w:w="1282"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485</w:t>
            </w:r>
          </w:p>
        </w:tc>
        <w:tc>
          <w:tcPr>
            <w:tcW w:w="947"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24.7</w:t>
            </w:r>
          </w:p>
        </w:tc>
        <w:tc>
          <w:tcPr>
            <w:tcW w:w="222" w:type="dxa"/>
            <w:tcBorders>
              <w:top w:val="nil"/>
              <w:left w:val="nil"/>
              <w:bottom w:val="nil"/>
              <w:right w:val="nil"/>
            </w:tcBorders>
          </w:tcPr>
          <w:p w:rsidR="00F9019E" w:rsidRPr="007960C6" w:rsidRDefault="00F9019E" w:rsidP="00CB7833">
            <w:pPr>
              <w:spacing w:after="0" w:line="240" w:lineRule="auto"/>
              <w:jc w:val="center"/>
              <w:rPr>
                <w:rFonts w:ascii="Times New Roman" w:hAnsi="Times New Roman"/>
                <w:color w:val="000000"/>
                <w:szCs w:val="22"/>
              </w:rPr>
            </w:pPr>
          </w:p>
        </w:tc>
        <w:tc>
          <w:tcPr>
            <w:tcW w:w="1832"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r w:rsidRPr="007960C6">
              <w:rPr>
                <w:rFonts w:ascii="Times New Roman" w:hAnsi="Times New Roman"/>
                <w:color w:val="000000"/>
                <w:szCs w:val="22"/>
              </w:rPr>
              <w:t>Cost of capital</w:t>
            </w:r>
          </w:p>
        </w:tc>
        <w:tc>
          <w:tcPr>
            <w:tcW w:w="1268"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1,171</w:t>
            </w:r>
          </w:p>
        </w:tc>
        <w:tc>
          <w:tcPr>
            <w:tcW w:w="947"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59.7</w:t>
            </w:r>
          </w:p>
        </w:tc>
      </w:tr>
      <w:tr w:rsidR="00F9019E" w:rsidRPr="007960C6" w:rsidTr="00CB7833">
        <w:trPr>
          <w:trHeight w:val="264"/>
          <w:jc w:val="center"/>
        </w:trPr>
        <w:tc>
          <w:tcPr>
            <w:tcW w:w="2549"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r w:rsidRPr="007960C6">
              <w:rPr>
                <w:rFonts w:ascii="Times New Roman" w:hAnsi="Times New Roman"/>
                <w:color w:val="000000"/>
                <w:szCs w:val="22"/>
              </w:rPr>
              <w:t>Government consumption</w:t>
            </w:r>
          </w:p>
        </w:tc>
        <w:tc>
          <w:tcPr>
            <w:tcW w:w="1282"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398</w:t>
            </w:r>
          </w:p>
        </w:tc>
        <w:tc>
          <w:tcPr>
            <w:tcW w:w="947"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20.3</w:t>
            </w:r>
          </w:p>
        </w:tc>
        <w:tc>
          <w:tcPr>
            <w:tcW w:w="222" w:type="dxa"/>
            <w:tcBorders>
              <w:top w:val="nil"/>
              <w:left w:val="nil"/>
              <w:bottom w:val="nil"/>
              <w:right w:val="nil"/>
            </w:tcBorders>
          </w:tcPr>
          <w:p w:rsidR="00F9019E" w:rsidRPr="007960C6" w:rsidRDefault="00F9019E" w:rsidP="00CB7833">
            <w:pPr>
              <w:spacing w:after="0" w:line="240" w:lineRule="auto"/>
              <w:jc w:val="center"/>
              <w:rPr>
                <w:rFonts w:ascii="Times New Roman" w:hAnsi="Times New Roman"/>
                <w:color w:val="000000"/>
                <w:szCs w:val="22"/>
              </w:rPr>
            </w:pPr>
          </w:p>
        </w:tc>
        <w:tc>
          <w:tcPr>
            <w:tcW w:w="1832"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r w:rsidRPr="007960C6">
              <w:rPr>
                <w:rFonts w:ascii="Times New Roman" w:hAnsi="Times New Roman"/>
                <w:color w:val="000000"/>
                <w:szCs w:val="22"/>
              </w:rPr>
              <w:t>Natural resource</w:t>
            </w:r>
          </w:p>
        </w:tc>
        <w:tc>
          <w:tcPr>
            <w:tcW w:w="1268"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31</w:t>
            </w:r>
            <w:r>
              <w:rPr>
                <w:rFonts w:ascii="Times New Roman" w:hAnsi="Times New Roman"/>
                <w:color w:val="000000"/>
                <w:szCs w:val="22"/>
              </w:rPr>
              <w:t>5</w:t>
            </w:r>
          </w:p>
        </w:tc>
        <w:tc>
          <w:tcPr>
            <w:tcW w:w="947"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16.0</w:t>
            </w:r>
          </w:p>
        </w:tc>
      </w:tr>
      <w:tr w:rsidR="00F9019E" w:rsidRPr="007960C6" w:rsidTr="00CB7833">
        <w:trPr>
          <w:trHeight w:val="264"/>
          <w:jc w:val="center"/>
        </w:trPr>
        <w:tc>
          <w:tcPr>
            <w:tcW w:w="2549"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r w:rsidRPr="007960C6">
              <w:rPr>
                <w:rFonts w:ascii="Times New Roman" w:hAnsi="Times New Roman"/>
                <w:color w:val="000000"/>
                <w:szCs w:val="22"/>
              </w:rPr>
              <w:t>Exports</w:t>
            </w:r>
          </w:p>
        </w:tc>
        <w:tc>
          <w:tcPr>
            <w:tcW w:w="1282"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970</w:t>
            </w:r>
          </w:p>
        </w:tc>
        <w:tc>
          <w:tcPr>
            <w:tcW w:w="947"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49.4</w:t>
            </w:r>
          </w:p>
        </w:tc>
        <w:tc>
          <w:tcPr>
            <w:tcW w:w="222" w:type="dxa"/>
            <w:tcBorders>
              <w:top w:val="nil"/>
              <w:left w:val="nil"/>
              <w:bottom w:val="nil"/>
              <w:right w:val="nil"/>
            </w:tcBorders>
          </w:tcPr>
          <w:p w:rsidR="00F9019E" w:rsidRPr="007960C6" w:rsidRDefault="00F9019E" w:rsidP="00CB7833">
            <w:pPr>
              <w:spacing w:after="0" w:line="240" w:lineRule="auto"/>
              <w:jc w:val="center"/>
              <w:rPr>
                <w:rFonts w:ascii="Times New Roman" w:hAnsi="Times New Roman"/>
                <w:color w:val="000000"/>
                <w:szCs w:val="22"/>
              </w:rPr>
            </w:pPr>
          </w:p>
        </w:tc>
        <w:tc>
          <w:tcPr>
            <w:tcW w:w="1832"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r w:rsidRPr="007960C6">
              <w:rPr>
                <w:rFonts w:ascii="Times New Roman" w:hAnsi="Times New Roman"/>
                <w:color w:val="000000"/>
                <w:szCs w:val="22"/>
              </w:rPr>
              <w:t>Indirect taxes</w:t>
            </w:r>
          </w:p>
        </w:tc>
        <w:tc>
          <w:tcPr>
            <w:tcW w:w="1268"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18</w:t>
            </w:r>
          </w:p>
        </w:tc>
        <w:tc>
          <w:tcPr>
            <w:tcW w:w="947" w:type="dxa"/>
            <w:tcBorders>
              <w:top w:val="nil"/>
              <w:left w:val="nil"/>
              <w:bottom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0.9</w:t>
            </w:r>
          </w:p>
        </w:tc>
      </w:tr>
      <w:tr w:rsidR="00F9019E" w:rsidRPr="007960C6" w:rsidTr="00CB7833">
        <w:trPr>
          <w:trHeight w:val="264"/>
          <w:jc w:val="center"/>
        </w:trPr>
        <w:tc>
          <w:tcPr>
            <w:tcW w:w="2549" w:type="dxa"/>
            <w:tcBorders>
              <w:top w:val="nil"/>
              <w:left w:val="nil"/>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r w:rsidRPr="007960C6">
              <w:rPr>
                <w:rFonts w:ascii="Times New Roman" w:hAnsi="Times New Roman"/>
                <w:color w:val="000000"/>
                <w:szCs w:val="22"/>
              </w:rPr>
              <w:t>Imports</w:t>
            </w:r>
          </w:p>
        </w:tc>
        <w:tc>
          <w:tcPr>
            <w:tcW w:w="1282" w:type="dxa"/>
            <w:tcBorders>
              <w:top w:val="nil"/>
              <w:left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653</w:t>
            </w:r>
          </w:p>
        </w:tc>
        <w:tc>
          <w:tcPr>
            <w:tcW w:w="947" w:type="dxa"/>
            <w:tcBorders>
              <w:top w:val="nil"/>
              <w:left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-33.3</w:t>
            </w:r>
          </w:p>
        </w:tc>
        <w:tc>
          <w:tcPr>
            <w:tcW w:w="222" w:type="dxa"/>
            <w:tcBorders>
              <w:top w:val="nil"/>
              <w:left w:val="nil"/>
              <w:right w:val="nil"/>
            </w:tcBorders>
          </w:tcPr>
          <w:p w:rsidR="00F9019E" w:rsidRPr="007960C6" w:rsidRDefault="00F9019E" w:rsidP="00CB7833">
            <w:pPr>
              <w:spacing w:after="0" w:line="240" w:lineRule="auto"/>
              <w:jc w:val="center"/>
              <w:rPr>
                <w:rFonts w:ascii="Times New Roman" w:hAnsi="Times New Roman"/>
                <w:color w:val="000000"/>
                <w:szCs w:val="22"/>
              </w:rPr>
            </w:pPr>
          </w:p>
        </w:tc>
        <w:tc>
          <w:tcPr>
            <w:tcW w:w="1832" w:type="dxa"/>
            <w:tcBorders>
              <w:top w:val="nil"/>
              <w:left w:val="nil"/>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p>
        </w:tc>
        <w:tc>
          <w:tcPr>
            <w:tcW w:w="1268" w:type="dxa"/>
            <w:tcBorders>
              <w:top w:val="nil"/>
              <w:left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p>
        </w:tc>
        <w:tc>
          <w:tcPr>
            <w:tcW w:w="947" w:type="dxa"/>
            <w:tcBorders>
              <w:top w:val="nil"/>
              <w:left w:val="nil"/>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p>
        </w:tc>
      </w:tr>
      <w:tr w:rsidR="00F9019E" w:rsidRPr="007960C6" w:rsidTr="00CB7833">
        <w:trPr>
          <w:trHeight w:val="264"/>
          <w:jc w:val="center"/>
        </w:trPr>
        <w:tc>
          <w:tcPr>
            <w:tcW w:w="2549" w:type="dxa"/>
            <w:tcBorders>
              <w:left w:val="nil"/>
              <w:bottom w:val="single" w:sz="12" w:space="0" w:color="auto"/>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r w:rsidRPr="007960C6">
              <w:rPr>
                <w:rFonts w:ascii="Times New Roman" w:hAnsi="Times New Roman"/>
                <w:color w:val="000000"/>
                <w:szCs w:val="22"/>
              </w:rPr>
              <w:t>GDP</w:t>
            </w:r>
          </w:p>
        </w:tc>
        <w:tc>
          <w:tcPr>
            <w:tcW w:w="1282" w:type="dxa"/>
            <w:tcBorders>
              <w:left w:val="nil"/>
              <w:bottom w:val="single" w:sz="12" w:space="0" w:color="auto"/>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1,963</w:t>
            </w:r>
          </w:p>
        </w:tc>
        <w:tc>
          <w:tcPr>
            <w:tcW w:w="947" w:type="dxa"/>
            <w:tcBorders>
              <w:left w:val="nil"/>
              <w:bottom w:val="single" w:sz="12" w:space="0" w:color="auto"/>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100.0</w:t>
            </w:r>
          </w:p>
        </w:tc>
        <w:tc>
          <w:tcPr>
            <w:tcW w:w="222" w:type="dxa"/>
            <w:tcBorders>
              <w:left w:val="nil"/>
              <w:right w:val="nil"/>
            </w:tcBorders>
          </w:tcPr>
          <w:p w:rsidR="00F9019E" w:rsidRPr="007960C6" w:rsidRDefault="00F9019E" w:rsidP="00CB7833">
            <w:pPr>
              <w:spacing w:after="0" w:line="240" w:lineRule="auto"/>
              <w:jc w:val="center"/>
              <w:rPr>
                <w:rFonts w:ascii="Times New Roman" w:hAnsi="Times New Roman"/>
                <w:color w:val="000000"/>
                <w:szCs w:val="22"/>
              </w:rPr>
            </w:pPr>
          </w:p>
        </w:tc>
        <w:tc>
          <w:tcPr>
            <w:tcW w:w="1832" w:type="dxa"/>
            <w:tcBorders>
              <w:left w:val="nil"/>
              <w:bottom w:val="single" w:sz="12" w:space="0" w:color="auto"/>
              <w:right w:val="nil"/>
            </w:tcBorders>
            <w:shd w:val="clear" w:color="auto" w:fill="auto"/>
            <w:noWrap/>
            <w:vAlign w:val="bottom"/>
            <w:hideMark/>
          </w:tcPr>
          <w:p w:rsidR="00F9019E" w:rsidRPr="007960C6" w:rsidRDefault="00F9019E" w:rsidP="00CB7833">
            <w:pPr>
              <w:spacing w:after="0" w:line="240" w:lineRule="auto"/>
              <w:rPr>
                <w:rFonts w:ascii="Times New Roman" w:hAnsi="Times New Roman"/>
                <w:color w:val="000000"/>
                <w:szCs w:val="22"/>
              </w:rPr>
            </w:pPr>
            <w:r w:rsidRPr="007960C6">
              <w:rPr>
                <w:rFonts w:ascii="Times New Roman" w:hAnsi="Times New Roman"/>
                <w:color w:val="000000"/>
                <w:szCs w:val="22"/>
              </w:rPr>
              <w:t>GDP</w:t>
            </w:r>
          </w:p>
        </w:tc>
        <w:tc>
          <w:tcPr>
            <w:tcW w:w="1268" w:type="dxa"/>
            <w:tcBorders>
              <w:left w:val="nil"/>
              <w:bottom w:val="single" w:sz="12" w:space="0" w:color="auto"/>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1,963</w:t>
            </w:r>
          </w:p>
        </w:tc>
        <w:tc>
          <w:tcPr>
            <w:tcW w:w="947" w:type="dxa"/>
            <w:tcBorders>
              <w:left w:val="nil"/>
              <w:bottom w:val="single" w:sz="12" w:space="0" w:color="auto"/>
              <w:right w:val="nil"/>
            </w:tcBorders>
            <w:shd w:val="clear" w:color="auto" w:fill="auto"/>
            <w:noWrap/>
            <w:vAlign w:val="bottom"/>
            <w:hideMark/>
          </w:tcPr>
          <w:p w:rsidR="00F9019E" w:rsidRPr="007960C6" w:rsidRDefault="00F9019E" w:rsidP="00CB7833">
            <w:pPr>
              <w:spacing w:after="0" w:line="240" w:lineRule="auto"/>
              <w:jc w:val="center"/>
              <w:rPr>
                <w:rFonts w:ascii="Times New Roman" w:hAnsi="Times New Roman"/>
                <w:color w:val="000000"/>
                <w:szCs w:val="22"/>
              </w:rPr>
            </w:pPr>
            <w:r w:rsidRPr="007960C6">
              <w:rPr>
                <w:rFonts w:ascii="Times New Roman" w:hAnsi="Times New Roman"/>
                <w:color w:val="000000"/>
                <w:szCs w:val="22"/>
              </w:rPr>
              <w:t>100.0</w:t>
            </w:r>
          </w:p>
        </w:tc>
      </w:tr>
    </w:tbl>
    <w:p w:rsidR="00F9019E" w:rsidRDefault="00F9019E" w:rsidP="00F9019E">
      <w:pPr>
        <w:rPr>
          <w:szCs w:val="22"/>
        </w:rPr>
      </w:pPr>
    </w:p>
    <w:p w:rsidR="00F9019E" w:rsidRDefault="00F9019E" w:rsidP="00F9019E">
      <w:r w:rsidRPr="00480BD1">
        <w:t>On the income side, the</w:t>
      </w:r>
      <w:r>
        <w:t xml:space="preserve"> cost of capital is</w:t>
      </w:r>
      <w:r w:rsidRPr="00480BD1">
        <w:t xml:space="preserve"> 2.5</w:t>
      </w:r>
      <w:r>
        <w:t xml:space="preserve"> times the costs of labour. </w:t>
      </w:r>
      <w:r w:rsidRPr="00480BD1">
        <w:t xml:space="preserve">The combined share of natural resources (agricultural land and oil and gas reserves) and capital is </w:t>
      </w:r>
      <w:r>
        <w:t>76</w:t>
      </w:r>
      <w:r w:rsidRPr="00480BD1">
        <w:t xml:space="preserve"> per cent. This means that in the short-run, with capital and natural resources fixed, the economy’s </w:t>
      </w:r>
      <w:r>
        <w:t xml:space="preserve">generalised </w:t>
      </w:r>
      <w:r w:rsidRPr="00480BD1">
        <w:t>supply schedule is highly inelastic</w:t>
      </w:r>
      <w:r>
        <w:t>.</w:t>
      </w:r>
    </w:p>
    <w:p w:rsidR="006D23FD" w:rsidRDefault="00F9019E" w:rsidP="006D23FD">
      <w:r>
        <w:t>Secondly</w:t>
      </w:r>
      <w:r w:rsidR="00FD007F">
        <w:t xml:space="preserve">, the </w:t>
      </w:r>
      <w:r w:rsidR="005866EE">
        <w:t xml:space="preserve">Saudi </w:t>
      </w:r>
      <w:r w:rsidR="00FD007F">
        <w:t xml:space="preserve">economy is </w:t>
      </w:r>
      <w:r w:rsidR="00623AD4">
        <w:t>concentrated around</w:t>
      </w:r>
      <w:r w:rsidR="00FD007F">
        <w:t xml:space="preserve"> </w:t>
      </w:r>
      <w:r w:rsidR="005866EE">
        <w:t>a handful of industries</w:t>
      </w:r>
      <w:r w:rsidR="00FD007F">
        <w:t xml:space="preserve">. </w:t>
      </w:r>
      <w:r w:rsidR="005866EE">
        <w:t xml:space="preserve">By far the largest is the </w:t>
      </w:r>
      <w:r w:rsidR="00623AD4">
        <w:t xml:space="preserve">crude oil </w:t>
      </w:r>
      <w:r w:rsidR="00E27978">
        <w:t xml:space="preserve">and gas </w:t>
      </w:r>
      <w:r w:rsidR="005866EE">
        <w:t xml:space="preserve">industry which </w:t>
      </w:r>
      <w:r w:rsidR="00623AD4">
        <w:t xml:space="preserve">contributes </w:t>
      </w:r>
      <w:r w:rsidR="00623AD4" w:rsidRPr="00E27978">
        <w:t xml:space="preserve">approximately </w:t>
      </w:r>
      <w:r w:rsidR="00E27978">
        <w:t>4</w:t>
      </w:r>
      <w:r w:rsidR="00BA67B6">
        <w:t>2</w:t>
      </w:r>
      <w:r w:rsidR="00623AD4" w:rsidRPr="00E27978">
        <w:t xml:space="preserve"> per cent of total value added.</w:t>
      </w:r>
      <w:r w:rsidR="00E27978" w:rsidRPr="00E27978">
        <w:t xml:space="preserve"> The next largest are industries producing public administration, education</w:t>
      </w:r>
      <w:r w:rsidR="003018BB">
        <w:t xml:space="preserve"> and</w:t>
      </w:r>
      <w:r w:rsidR="00E27978" w:rsidRPr="00E27978">
        <w:t xml:space="preserve"> construction</w:t>
      </w:r>
      <w:r w:rsidR="00BA67B6">
        <w:t xml:space="preserve"> services</w:t>
      </w:r>
      <w:r w:rsidR="003018BB">
        <w:t>.</w:t>
      </w:r>
      <w:r w:rsidR="00BA67B6">
        <w:t xml:space="preserve"> </w:t>
      </w:r>
      <w:r w:rsidR="009348D9">
        <w:t>The data also shows</w:t>
      </w:r>
      <w:r w:rsidR="00BA67B6">
        <w:t xml:space="preserve"> that the entire value added of the services sector </w:t>
      </w:r>
      <w:r w:rsidR="007C257E">
        <w:t>(4</w:t>
      </w:r>
      <w:r w:rsidR="009348D9">
        <w:t>1</w:t>
      </w:r>
      <w:r w:rsidR="007C257E">
        <w:t xml:space="preserve">%) </w:t>
      </w:r>
      <w:r w:rsidR="00BA67B6">
        <w:t>is close to the value added of the crude oil industry</w:t>
      </w:r>
      <w:r w:rsidR="007C257E">
        <w:t>.</w:t>
      </w:r>
      <w:r w:rsidR="00C7258B">
        <w:t xml:space="preserve"> This is followed by the manufacturing sector (12%)</w:t>
      </w:r>
      <w:r w:rsidR="009348D9">
        <w:t>,</w:t>
      </w:r>
      <w:r w:rsidR="00C7258B">
        <w:t xml:space="preserve"> agriculture (3%) and utilities sector</w:t>
      </w:r>
      <w:r w:rsidR="009348D9">
        <w:t xml:space="preserve"> (2%)</w:t>
      </w:r>
      <w:r w:rsidR="007C257E">
        <w:t xml:space="preserve">. </w:t>
      </w:r>
      <w:r w:rsidR="00C7258B">
        <w:t xml:space="preserve"> </w:t>
      </w:r>
    </w:p>
    <w:p w:rsidR="00965698" w:rsidRDefault="005A18BB" w:rsidP="006D23FD">
      <w:r>
        <w:t>Thirdly</w:t>
      </w:r>
      <w:r w:rsidR="00965698">
        <w:t xml:space="preserve">, the Supply table shows that there are no taxes on products. Saudi Arabia does not have </w:t>
      </w:r>
      <w:r w:rsidR="00107907">
        <w:t xml:space="preserve">sales taxes on commodities, and therefore the elements </w:t>
      </w:r>
      <w:r w:rsidR="00135087">
        <w:t>of</w:t>
      </w:r>
      <w:r w:rsidR="00107907">
        <w:t xml:space="preserve"> the </w:t>
      </w:r>
      <w:r w:rsidR="00135087">
        <w:t xml:space="preserve">commodity </w:t>
      </w:r>
      <w:r w:rsidR="00107907">
        <w:t>tax matrices</w:t>
      </w:r>
      <w:r w:rsidR="00135087">
        <w:t>,</w:t>
      </w:r>
      <w:r w:rsidR="00107907">
        <w:t xml:space="preserve"> stored in the initial database is set to zero</w:t>
      </w:r>
      <w:r w:rsidR="00965698">
        <w:t>.</w:t>
      </w:r>
      <w:r w:rsidR="00F50128">
        <w:t xml:space="preserve"> </w:t>
      </w:r>
      <w:r w:rsidR="005B787C">
        <w:t>The Use Table shows production taxes paid by industries.</w:t>
      </w:r>
      <w:r w:rsidR="004339B3">
        <w:t xml:space="preserve"> </w:t>
      </w:r>
      <w:r w:rsidR="001C3D6A">
        <w:t xml:space="preserve">Indirect </w:t>
      </w:r>
      <w:r w:rsidR="004339B3">
        <w:t>taxes contribute approximately 1 percent of GDP (Table 1).</w:t>
      </w:r>
    </w:p>
    <w:p w:rsidR="000F753E" w:rsidRPr="00252290" w:rsidRDefault="005A18BB" w:rsidP="00CC7175">
      <w:pPr>
        <w:rPr>
          <w:szCs w:val="22"/>
        </w:rPr>
      </w:pPr>
      <w:r>
        <w:t>In Saudi Arabia, by far the main source of government revenue is the sales of oil. The 2010 budget data shows that revenue from oil sales contributes 90 per cent of government revenue. Revenue from taxes</w:t>
      </w:r>
      <w:r w:rsidR="001C3D6A">
        <w:t xml:space="preserve"> (indirect and direct taxes)</w:t>
      </w:r>
      <w:r>
        <w:t xml:space="preserve"> and non-tax revenue accounts for 3 and 7 per cent respectively (</w:t>
      </w:r>
      <w:r w:rsidR="002078C6">
        <w:t>NICDP</w:t>
      </w:r>
      <w:r>
        <w:t>, 2014).</w:t>
      </w:r>
      <w:r>
        <w:rPr>
          <w:rStyle w:val="FootnoteReference"/>
        </w:rPr>
        <w:footnoteReference w:id="7"/>
      </w:r>
    </w:p>
    <w:p w:rsidR="006F2DC0" w:rsidRDefault="007C30A0" w:rsidP="006F2DC0">
      <w:r>
        <w:t>To</w:t>
      </w:r>
      <w:r w:rsidR="006F2DC0">
        <w:t xml:space="preserve"> evaluate the economic impact of the removal of subsidies on petroleum and electricity</w:t>
      </w:r>
      <w:r>
        <w:t>, we outline the sales and cost features of these industries below</w:t>
      </w:r>
      <w:r w:rsidR="006F2DC0">
        <w:t xml:space="preserve">. </w:t>
      </w:r>
    </w:p>
    <w:p w:rsidR="006F2DC0" w:rsidRDefault="006F2DC0" w:rsidP="006F2DC0">
      <w:r>
        <w:t>The initial sales structure of commodities captured in the core database suggests that approximately 50 per cent of petroleum is exported, with the remainder use domestically by industries and households. Electricity is mainly used domestically as an intermediate input by industries and households.</w:t>
      </w:r>
    </w:p>
    <w:p w:rsidR="00945133" w:rsidRDefault="00EF6B1E" w:rsidP="006D23FD">
      <w:r>
        <w:t>The cost structure of the petroleum industry suggests that the petroleum sector is capital intensive closely followed by domestically sourced intermediate inputs. A large share of costs in the electricity sector is domestic inputs (43%) followed by capital</w:t>
      </w:r>
      <w:r w:rsidR="00180AE8">
        <w:t xml:space="preserve"> </w:t>
      </w:r>
      <w:r>
        <w:t>(34%).</w:t>
      </w:r>
    </w:p>
    <w:p w:rsidR="00C8435B" w:rsidRDefault="00C8435B" w:rsidP="006D23FD"/>
    <w:p w:rsidR="00C8435B" w:rsidRPr="00E27978" w:rsidRDefault="00C8435B" w:rsidP="006D23FD"/>
    <w:p w:rsidR="00BA0C3A" w:rsidRDefault="00CF7B98" w:rsidP="00CF7B98">
      <w:pPr>
        <w:pStyle w:val="Heading1"/>
      </w:pPr>
      <w:bookmarkStart w:id="5" w:name="_Toc448504468"/>
      <w:r>
        <w:lastRenderedPageBreak/>
        <w:t>Simulation design</w:t>
      </w:r>
      <w:bookmarkEnd w:id="5"/>
      <w:r>
        <w:t xml:space="preserve"> </w:t>
      </w:r>
    </w:p>
    <w:p w:rsidR="00DD47C6" w:rsidRDefault="00DD47C6" w:rsidP="00DD47C6">
      <w:pPr>
        <w:pStyle w:val="Heading2"/>
      </w:pPr>
      <w:bookmarkStart w:id="6" w:name="_Toc448504469"/>
      <w:r>
        <w:t xml:space="preserve">Policy </w:t>
      </w:r>
      <w:r w:rsidR="00E13055">
        <w:t>analysis</w:t>
      </w:r>
      <w:r>
        <w:t xml:space="preserve"> with SGEM</w:t>
      </w:r>
      <w:bookmarkEnd w:id="6"/>
    </w:p>
    <w:p w:rsidR="00180AE8" w:rsidRDefault="00133BD2" w:rsidP="00FB053A">
      <w:r>
        <w:t xml:space="preserve">In this section we describe the process of modelling the economic impact of the removal of subsidies on refined petroleum and </w:t>
      </w:r>
      <w:r w:rsidRPr="00664301">
        <w:t>electricity</w:t>
      </w:r>
      <w:r w:rsidR="00664301">
        <w:t>.</w:t>
      </w:r>
      <w:r w:rsidRPr="00664301">
        <w:t xml:space="preserve"> </w:t>
      </w:r>
      <w:r w:rsidR="00180AE8" w:rsidRPr="00664301">
        <w:t xml:space="preserve">To conduct this experiment </w:t>
      </w:r>
      <w:r w:rsidR="009E49D4" w:rsidRPr="00664301">
        <w:t xml:space="preserve">with </w:t>
      </w:r>
      <w:r w:rsidR="00180AE8" w:rsidRPr="00664301">
        <w:t>SGEM, we run</w:t>
      </w:r>
      <w:r w:rsidR="009E49D4" w:rsidRPr="00664301">
        <w:t xml:space="preserve"> two simulations. The first simulation is the</w:t>
      </w:r>
      <w:r w:rsidR="009E49D4" w:rsidRPr="00AB4703">
        <w:t xml:space="preserve"> </w:t>
      </w:r>
      <w:r w:rsidR="009E49D4" w:rsidRPr="009E49D4">
        <w:t>baseline</w:t>
      </w:r>
      <w:r w:rsidR="009E49D4" w:rsidRPr="00681793">
        <w:t xml:space="preserve"> forecast</w:t>
      </w:r>
      <w:r w:rsidR="009E49D4" w:rsidRPr="00AB4703">
        <w:t xml:space="preserve"> </w:t>
      </w:r>
      <w:r w:rsidR="009E49D4">
        <w:t xml:space="preserve">or </w:t>
      </w:r>
      <w:r w:rsidR="009E49D4" w:rsidRPr="00AB4703">
        <w:t xml:space="preserve">business-as-usual simulation. This simulation </w:t>
      </w:r>
      <w:r w:rsidR="009E49D4">
        <w:t>models</w:t>
      </w:r>
      <w:r w:rsidR="009E49D4" w:rsidRPr="00AB4703">
        <w:t xml:space="preserve"> the </w:t>
      </w:r>
      <w:r w:rsidR="009E49D4">
        <w:t>growth</w:t>
      </w:r>
      <w:r w:rsidR="009E49D4" w:rsidRPr="00AB4703">
        <w:t xml:space="preserve"> </w:t>
      </w:r>
      <w:r w:rsidR="009E49D4">
        <w:t>of the economy over time in the absence of the</w:t>
      </w:r>
      <w:r w:rsidR="009E49D4" w:rsidRPr="00AB4703">
        <w:t xml:space="preserve"> policy </w:t>
      </w:r>
      <w:r w:rsidR="009E49D4">
        <w:t>change under consideration</w:t>
      </w:r>
      <w:r w:rsidR="00180AE8">
        <w:t>.</w:t>
      </w:r>
      <w:r w:rsidR="000A3DC8">
        <w:t xml:space="preserve"> SGEM is used to trace</w:t>
      </w:r>
      <w:r w:rsidR="000A3DC8" w:rsidRPr="009C36D3">
        <w:t xml:space="preserve"> out the implications of the specialists’ forecast</w:t>
      </w:r>
      <w:r w:rsidR="000A3DC8">
        <w:t xml:space="preserve">s at a fine level of sectorial </w:t>
      </w:r>
      <w:r w:rsidR="000A3DC8" w:rsidRPr="009C36D3">
        <w:t>detail.</w:t>
      </w:r>
      <w:r w:rsidR="000A3DC8">
        <w:t xml:space="preserve"> In this paper, t</w:t>
      </w:r>
      <w:r w:rsidR="000A3DC8" w:rsidRPr="009C36D3">
        <w:t>he base</w:t>
      </w:r>
      <w:r w:rsidR="000A3DC8">
        <w:t xml:space="preserve">line </w:t>
      </w:r>
      <w:r w:rsidR="000A3DC8" w:rsidRPr="009C36D3">
        <w:t xml:space="preserve">incorporates a large amount of information from </w:t>
      </w:r>
      <w:r w:rsidR="000A3DC8">
        <w:t>the Central Department of Statistics (CDS) and from Business Monitor International (BMI).</w:t>
      </w:r>
    </w:p>
    <w:p w:rsidR="00FB053A" w:rsidRDefault="009E49D4" w:rsidP="00FB053A">
      <w:r>
        <w:t xml:space="preserve">The second simulation is the </w:t>
      </w:r>
      <w:r w:rsidRPr="009E49D4">
        <w:t xml:space="preserve">policy </w:t>
      </w:r>
      <w:r>
        <w:t xml:space="preserve">simulation. This simulation generates a second forecast that incorporates all the exogenous features of the baseline forecast, plus policy-related shocks reflecting the details of the policy under consideration. The </w:t>
      </w:r>
      <w:r w:rsidR="000A3DC8">
        <w:t>results of the policy simulation</w:t>
      </w:r>
      <w:r>
        <w:t xml:space="preserve"> are typically reported </w:t>
      </w:r>
      <w:r w:rsidR="000A3DC8">
        <w:t>as</w:t>
      </w:r>
      <w:r>
        <w:t xml:space="preserve"> percentage deviations away from the baseline forecast.</w:t>
      </w:r>
    </w:p>
    <w:p w:rsidR="00565B1A" w:rsidRDefault="00493F9D" w:rsidP="00571C91">
      <w:pPr>
        <w:pStyle w:val="Heading2"/>
      </w:pPr>
      <w:bookmarkStart w:id="7" w:name="_Toc448504470"/>
      <w:r>
        <w:t>Modelling p</w:t>
      </w:r>
      <w:r w:rsidR="00D25FD1">
        <w:t>etroleum and electricity subsidies</w:t>
      </w:r>
      <w:bookmarkEnd w:id="7"/>
    </w:p>
    <w:p w:rsidR="00180AE8" w:rsidRDefault="00180AE8" w:rsidP="00180AE8">
      <w:r>
        <w:t xml:space="preserve">Recall from our discussion in Section </w:t>
      </w:r>
      <w:r w:rsidR="00765E6C">
        <w:t>3</w:t>
      </w:r>
      <w:r>
        <w:t xml:space="preserve"> that the core database records no initial indirect tax or subsidy data. </w:t>
      </w:r>
      <w:r w:rsidR="009C1B15">
        <w:t xml:space="preserve">To simulate the removal of subsidies in the policy simulation, we first introduce </w:t>
      </w:r>
      <w:r w:rsidR="00E13055">
        <w:t xml:space="preserve">the </w:t>
      </w:r>
      <w:r w:rsidR="009C1B15">
        <w:t>subsidies in the base line.</w:t>
      </w:r>
      <w:r w:rsidR="00E13055">
        <w:t xml:space="preserve"> </w:t>
      </w:r>
      <w:r w:rsidR="00CD585A">
        <w:t>T</w:t>
      </w:r>
      <w:r w:rsidR="00E13055">
        <w:t xml:space="preserve">he baseline results </w:t>
      </w:r>
      <w:r w:rsidR="00CD585A">
        <w:t xml:space="preserve">therefore </w:t>
      </w:r>
      <w:r w:rsidR="00E13055">
        <w:t xml:space="preserve">include subsidies whereas the policy </w:t>
      </w:r>
      <w:r w:rsidR="00A53A24">
        <w:t xml:space="preserve">run </w:t>
      </w:r>
      <w:r w:rsidR="00E13055">
        <w:t>simulates the removal of the</w:t>
      </w:r>
      <w:r w:rsidR="00CD585A">
        <w:t>se</w:t>
      </w:r>
      <w:r w:rsidR="00E13055">
        <w:t xml:space="preserve"> subsidies.</w:t>
      </w:r>
    </w:p>
    <w:p w:rsidR="00954083" w:rsidRDefault="00954083" w:rsidP="00954083">
      <w:pPr>
        <w:pStyle w:val="Heading3"/>
      </w:pPr>
      <w:bookmarkStart w:id="8" w:name="_Toc448504471"/>
      <w:r>
        <w:t>Subsidies in the baseline</w:t>
      </w:r>
      <w:bookmarkEnd w:id="8"/>
    </w:p>
    <w:p w:rsidR="00D55E3C" w:rsidRDefault="00D55E3C" w:rsidP="00D55E3C">
      <w:r>
        <w:t xml:space="preserve">The purchasers’ price of petroleum products and electricity in Saudi Arabia is low compared to the price paid in the rest of the world. To reflect this in the baseline, we introduce subsidies paid by final industrial and household users on purchases of petroleum products and electricity. It is estimated that in 2011 the </w:t>
      </w:r>
      <w:r w:rsidRPr="00063189">
        <w:t>subsidies</w:t>
      </w:r>
      <w:r>
        <w:t xml:space="preserve"> on petroleum products and electricity were approximately 7.4 per cent and 2.4 per cent of GDP</w:t>
      </w:r>
      <w:r>
        <w:rPr>
          <w:rStyle w:val="FootnoteReference"/>
        </w:rPr>
        <w:footnoteReference w:id="8"/>
      </w:r>
      <w:r>
        <w:t xml:space="preserve">. Total subsidies </w:t>
      </w:r>
      <w:r w:rsidRPr="0034338A">
        <w:t>are equivalent in value to 9.</w:t>
      </w:r>
      <w:r>
        <w:t>8</w:t>
      </w:r>
      <w:r w:rsidRPr="0034338A">
        <w:t xml:space="preserve"> per cent of GDP</w:t>
      </w:r>
      <w:r>
        <w:t xml:space="preserve"> recorded in 2011. For the baseline, we assume that these levels of support are maintained through the simulation period.</w:t>
      </w:r>
    </w:p>
    <w:p w:rsidR="00954083" w:rsidRPr="00B61395" w:rsidRDefault="00954083" w:rsidP="00954083">
      <w:r>
        <w:t xml:space="preserve">We introduce the subsidies gradually over the period 2011 to 2014. By 2015, all the subsidies on petroleum products and electricity are accounted for in the baseline simulation. The shocks are shown in Table </w:t>
      </w:r>
      <w:r w:rsidR="00664301">
        <w:t>1</w:t>
      </w:r>
      <w:r>
        <w:t>.</w:t>
      </w:r>
    </w:p>
    <w:p w:rsidR="00954083" w:rsidRDefault="00954083" w:rsidP="00954083">
      <w:pPr>
        <w:pStyle w:val="Caption"/>
      </w:pPr>
      <w:r>
        <w:t xml:space="preserve">Table </w:t>
      </w:r>
      <w:r w:rsidR="00664301">
        <w:t>1</w:t>
      </w:r>
      <w:r>
        <w:t>. Subsidies in the base simulation</w:t>
      </w:r>
    </w:p>
    <w:tbl>
      <w:tblPr>
        <w:tblW w:w="5717" w:type="dxa"/>
        <w:jc w:val="center"/>
        <w:tblInd w:w="-11" w:type="dxa"/>
        <w:tblLook w:val="04A0" w:firstRow="1" w:lastRow="0" w:firstColumn="1" w:lastColumn="0" w:noHBand="0" w:noVBand="1"/>
      </w:tblPr>
      <w:tblGrid>
        <w:gridCol w:w="2404"/>
        <w:gridCol w:w="1758"/>
        <w:gridCol w:w="1555"/>
      </w:tblGrid>
      <w:tr w:rsidR="00954083" w:rsidRPr="00EC5B69" w:rsidTr="00D847B9">
        <w:trPr>
          <w:trHeight w:val="300"/>
          <w:jc w:val="center"/>
        </w:trPr>
        <w:tc>
          <w:tcPr>
            <w:tcW w:w="2404" w:type="dxa"/>
            <w:tcBorders>
              <w:top w:val="single" w:sz="12" w:space="0" w:color="auto"/>
              <w:left w:val="nil"/>
              <w:bottom w:val="single" w:sz="4" w:space="0" w:color="auto"/>
              <w:right w:val="nil"/>
            </w:tcBorders>
            <w:shd w:val="clear" w:color="auto" w:fill="auto"/>
            <w:noWrap/>
            <w:vAlign w:val="bottom"/>
            <w:hideMark/>
          </w:tcPr>
          <w:p w:rsidR="00954083" w:rsidRPr="00606A98" w:rsidRDefault="00954083" w:rsidP="00D847B9">
            <w:pPr>
              <w:spacing w:after="0" w:line="240" w:lineRule="auto"/>
              <w:jc w:val="right"/>
              <w:rPr>
                <w:rFonts w:ascii="Times New Roman" w:hAnsi="Times New Roman"/>
                <w:color w:val="000000"/>
                <w:szCs w:val="22"/>
              </w:rPr>
            </w:pPr>
          </w:p>
        </w:tc>
        <w:tc>
          <w:tcPr>
            <w:tcW w:w="1758" w:type="dxa"/>
            <w:tcBorders>
              <w:top w:val="single" w:sz="12" w:space="0" w:color="auto"/>
              <w:left w:val="nil"/>
              <w:bottom w:val="single" w:sz="4" w:space="0" w:color="auto"/>
              <w:right w:val="nil"/>
            </w:tcBorders>
            <w:shd w:val="clear" w:color="auto" w:fill="auto"/>
            <w:noWrap/>
            <w:vAlign w:val="bottom"/>
          </w:tcPr>
          <w:p w:rsidR="00954083" w:rsidRPr="00606A98" w:rsidRDefault="00954083" w:rsidP="00D847B9">
            <w:pPr>
              <w:spacing w:after="0" w:line="240" w:lineRule="auto"/>
              <w:jc w:val="center"/>
              <w:rPr>
                <w:rFonts w:ascii="Times New Roman" w:hAnsi="Times New Roman"/>
                <w:color w:val="000000"/>
                <w:szCs w:val="22"/>
              </w:rPr>
            </w:pPr>
            <w:r w:rsidRPr="00606A98">
              <w:rPr>
                <w:rFonts w:ascii="Times New Roman" w:hAnsi="Times New Roman"/>
                <w:color w:val="000000"/>
                <w:szCs w:val="22"/>
              </w:rPr>
              <w:t>Period</w:t>
            </w:r>
          </w:p>
        </w:tc>
        <w:tc>
          <w:tcPr>
            <w:tcW w:w="1555" w:type="dxa"/>
            <w:tcBorders>
              <w:top w:val="single" w:sz="12" w:space="0" w:color="auto"/>
              <w:left w:val="nil"/>
              <w:bottom w:val="single" w:sz="4" w:space="0" w:color="auto"/>
              <w:right w:val="nil"/>
            </w:tcBorders>
            <w:shd w:val="clear" w:color="auto" w:fill="auto"/>
            <w:noWrap/>
            <w:vAlign w:val="bottom"/>
          </w:tcPr>
          <w:p w:rsidR="00954083" w:rsidRPr="00606A98" w:rsidRDefault="00954083" w:rsidP="00D847B9">
            <w:pPr>
              <w:spacing w:after="0" w:line="240" w:lineRule="auto"/>
              <w:jc w:val="center"/>
              <w:rPr>
                <w:rFonts w:ascii="Times New Roman" w:hAnsi="Times New Roman"/>
                <w:color w:val="000000"/>
                <w:szCs w:val="22"/>
              </w:rPr>
            </w:pPr>
            <w:r w:rsidRPr="00606A98">
              <w:rPr>
                <w:rFonts w:ascii="Times New Roman" w:hAnsi="Times New Roman"/>
                <w:color w:val="000000"/>
                <w:szCs w:val="22"/>
              </w:rPr>
              <w:t>SAR Million per year</w:t>
            </w:r>
          </w:p>
        </w:tc>
      </w:tr>
      <w:tr w:rsidR="00954083" w:rsidRPr="00EC5B69" w:rsidTr="00D847B9">
        <w:trPr>
          <w:trHeight w:val="300"/>
          <w:jc w:val="center"/>
        </w:trPr>
        <w:tc>
          <w:tcPr>
            <w:tcW w:w="2404" w:type="dxa"/>
            <w:tcBorders>
              <w:left w:val="nil"/>
              <w:right w:val="nil"/>
            </w:tcBorders>
            <w:shd w:val="clear" w:color="auto" w:fill="auto"/>
            <w:noWrap/>
            <w:vAlign w:val="bottom"/>
          </w:tcPr>
          <w:p w:rsidR="00954083" w:rsidRPr="00606A98" w:rsidRDefault="00954083" w:rsidP="00D847B9">
            <w:pPr>
              <w:spacing w:after="0" w:line="240" w:lineRule="auto"/>
              <w:rPr>
                <w:rFonts w:ascii="Times New Roman" w:hAnsi="Times New Roman"/>
                <w:color w:val="000000"/>
                <w:szCs w:val="22"/>
              </w:rPr>
            </w:pPr>
            <w:r w:rsidRPr="00606A98">
              <w:rPr>
                <w:rFonts w:ascii="Times New Roman" w:hAnsi="Times New Roman"/>
                <w:color w:val="000000"/>
                <w:szCs w:val="22"/>
              </w:rPr>
              <w:t>Petroleum products</w:t>
            </w:r>
          </w:p>
        </w:tc>
        <w:tc>
          <w:tcPr>
            <w:tcW w:w="1758" w:type="dxa"/>
            <w:tcBorders>
              <w:left w:val="nil"/>
              <w:right w:val="nil"/>
            </w:tcBorders>
            <w:shd w:val="clear" w:color="auto" w:fill="auto"/>
            <w:noWrap/>
            <w:vAlign w:val="bottom"/>
          </w:tcPr>
          <w:p w:rsidR="00954083" w:rsidRPr="00606A98" w:rsidRDefault="00954083" w:rsidP="00D847B9">
            <w:pPr>
              <w:spacing w:after="0" w:line="240" w:lineRule="auto"/>
              <w:jc w:val="center"/>
              <w:rPr>
                <w:rFonts w:ascii="Times New Roman" w:hAnsi="Times New Roman"/>
                <w:color w:val="000000"/>
                <w:szCs w:val="22"/>
              </w:rPr>
            </w:pPr>
            <w:r w:rsidRPr="00606A98">
              <w:rPr>
                <w:rFonts w:ascii="Times New Roman" w:hAnsi="Times New Roman"/>
                <w:color w:val="000000"/>
                <w:szCs w:val="22"/>
              </w:rPr>
              <w:t>2011-2012</w:t>
            </w:r>
          </w:p>
        </w:tc>
        <w:tc>
          <w:tcPr>
            <w:tcW w:w="1555" w:type="dxa"/>
            <w:tcBorders>
              <w:left w:val="nil"/>
              <w:right w:val="nil"/>
            </w:tcBorders>
            <w:shd w:val="clear" w:color="auto" w:fill="auto"/>
            <w:noWrap/>
            <w:vAlign w:val="bottom"/>
          </w:tcPr>
          <w:p w:rsidR="00954083" w:rsidRPr="00606A98" w:rsidRDefault="00954083" w:rsidP="00D847B9">
            <w:pPr>
              <w:spacing w:after="0" w:line="240" w:lineRule="auto"/>
              <w:jc w:val="center"/>
              <w:rPr>
                <w:rFonts w:ascii="Times New Roman" w:hAnsi="Times New Roman"/>
                <w:color w:val="000000"/>
                <w:szCs w:val="22"/>
              </w:rPr>
            </w:pPr>
            <w:r w:rsidRPr="00606A98">
              <w:rPr>
                <w:rFonts w:ascii="Times New Roman" w:hAnsi="Times New Roman"/>
                <w:color w:val="000000"/>
                <w:szCs w:val="22"/>
              </w:rPr>
              <w:t>79,414</w:t>
            </w:r>
          </w:p>
        </w:tc>
      </w:tr>
      <w:tr w:rsidR="00954083" w:rsidRPr="00EC5B69" w:rsidTr="00D847B9">
        <w:trPr>
          <w:trHeight w:val="300"/>
          <w:jc w:val="center"/>
        </w:trPr>
        <w:tc>
          <w:tcPr>
            <w:tcW w:w="2404" w:type="dxa"/>
            <w:tcBorders>
              <w:top w:val="nil"/>
              <w:left w:val="nil"/>
              <w:bottom w:val="single" w:sz="12" w:space="0" w:color="auto"/>
              <w:right w:val="nil"/>
            </w:tcBorders>
            <w:shd w:val="clear" w:color="auto" w:fill="auto"/>
            <w:noWrap/>
            <w:vAlign w:val="bottom"/>
          </w:tcPr>
          <w:p w:rsidR="00954083" w:rsidRPr="00606A98" w:rsidRDefault="00954083" w:rsidP="00D847B9">
            <w:pPr>
              <w:spacing w:after="0" w:line="240" w:lineRule="auto"/>
              <w:rPr>
                <w:rFonts w:ascii="Times New Roman" w:hAnsi="Times New Roman"/>
                <w:color w:val="000000"/>
                <w:szCs w:val="22"/>
              </w:rPr>
            </w:pPr>
            <w:r w:rsidRPr="00606A98">
              <w:rPr>
                <w:rFonts w:ascii="Times New Roman" w:hAnsi="Times New Roman"/>
                <w:color w:val="000000"/>
                <w:szCs w:val="22"/>
              </w:rPr>
              <w:t>Electricity</w:t>
            </w:r>
          </w:p>
        </w:tc>
        <w:tc>
          <w:tcPr>
            <w:tcW w:w="1758" w:type="dxa"/>
            <w:tcBorders>
              <w:top w:val="nil"/>
              <w:left w:val="nil"/>
              <w:bottom w:val="single" w:sz="12" w:space="0" w:color="auto"/>
              <w:right w:val="nil"/>
            </w:tcBorders>
            <w:shd w:val="clear" w:color="auto" w:fill="auto"/>
            <w:noWrap/>
            <w:vAlign w:val="bottom"/>
          </w:tcPr>
          <w:p w:rsidR="00954083" w:rsidRPr="00606A98" w:rsidRDefault="00954083" w:rsidP="00D847B9">
            <w:pPr>
              <w:spacing w:after="0" w:line="240" w:lineRule="auto"/>
              <w:jc w:val="center"/>
              <w:rPr>
                <w:rFonts w:ascii="Times New Roman" w:hAnsi="Times New Roman"/>
                <w:color w:val="000000"/>
                <w:szCs w:val="22"/>
              </w:rPr>
            </w:pPr>
            <w:r w:rsidRPr="00606A98">
              <w:rPr>
                <w:rFonts w:ascii="Times New Roman" w:hAnsi="Times New Roman"/>
                <w:color w:val="000000"/>
                <w:szCs w:val="22"/>
              </w:rPr>
              <w:t>2011-2014</w:t>
            </w:r>
          </w:p>
        </w:tc>
        <w:tc>
          <w:tcPr>
            <w:tcW w:w="1555" w:type="dxa"/>
            <w:tcBorders>
              <w:top w:val="nil"/>
              <w:left w:val="nil"/>
              <w:bottom w:val="single" w:sz="12" w:space="0" w:color="auto"/>
              <w:right w:val="nil"/>
            </w:tcBorders>
            <w:shd w:val="clear" w:color="auto" w:fill="auto"/>
            <w:noWrap/>
            <w:vAlign w:val="bottom"/>
          </w:tcPr>
          <w:p w:rsidR="00954083" w:rsidRPr="00606A98" w:rsidRDefault="00954083" w:rsidP="00D847B9">
            <w:pPr>
              <w:spacing w:after="0" w:line="240" w:lineRule="auto"/>
              <w:jc w:val="center"/>
              <w:rPr>
                <w:rFonts w:ascii="Times New Roman" w:hAnsi="Times New Roman"/>
                <w:color w:val="000000"/>
                <w:szCs w:val="22"/>
              </w:rPr>
            </w:pPr>
            <w:r w:rsidRPr="00606A98">
              <w:rPr>
                <w:rFonts w:ascii="Times New Roman" w:hAnsi="Times New Roman"/>
                <w:color w:val="000000"/>
                <w:szCs w:val="22"/>
              </w:rPr>
              <w:t>13,200</w:t>
            </w:r>
          </w:p>
        </w:tc>
      </w:tr>
    </w:tbl>
    <w:p w:rsidR="00954083" w:rsidRDefault="00954083" w:rsidP="00954083"/>
    <w:p w:rsidR="00380366" w:rsidRDefault="00380366">
      <w:pPr>
        <w:spacing w:after="200"/>
        <w:rPr>
          <w:b/>
          <w:szCs w:val="32"/>
        </w:rPr>
      </w:pPr>
      <w:bookmarkStart w:id="9" w:name="_Toc448504472"/>
      <w:r>
        <w:br w:type="page"/>
      </w:r>
    </w:p>
    <w:p w:rsidR="00954083" w:rsidRDefault="00D947D0" w:rsidP="00D947D0">
      <w:pPr>
        <w:pStyle w:val="Heading3"/>
      </w:pPr>
      <w:bookmarkStart w:id="10" w:name="_GoBack"/>
      <w:bookmarkEnd w:id="10"/>
      <w:r>
        <w:lastRenderedPageBreak/>
        <w:t>Subsidies in the policy simulation</w:t>
      </w:r>
      <w:bookmarkEnd w:id="9"/>
    </w:p>
    <w:p w:rsidR="00DD47C6" w:rsidRDefault="00122472" w:rsidP="00122472">
      <w:r w:rsidRPr="0034338A">
        <w:t xml:space="preserve">In the policy simulation we reduce subsidies by 40 per cent per annum on both petroleum products and electricity. The first year of the removal of subsidies is 2015. By 2020 more than 95 per cent of the subsidies have been eliminated. </w:t>
      </w:r>
    </w:p>
    <w:p w:rsidR="009C1B15" w:rsidRDefault="00122472" w:rsidP="00122472">
      <w:r>
        <w:t>It is assumed that the monies saved from the removal of these subsidies are returned partly to the directly affected industries (petroleum products and electricity) to ensure that investments planned from 2015 onwards are not affected by the reduction in demand as the subsidies are removed. The remainder is handed to households as a non-distorting lump sum payment.</w:t>
      </w:r>
    </w:p>
    <w:p w:rsidR="00FB053A" w:rsidRDefault="002A4F52" w:rsidP="00B6264C">
      <w:pPr>
        <w:pStyle w:val="Heading2"/>
      </w:pPr>
      <w:bookmarkStart w:id="11" w:name="_Toc448504473"/>
      <w:r>
        <w:t>Closure and s</w:t>
      </w:r>
      <w:r w:rsidR="00B6264C">
        <w:t>imulation a</w:t>
      </w:r>
      <w:r w:rsidR="00CE5AB2">
        <w:t>ssumptions</w:t>
      </w:r>
      <w:bookmarkEnd w:id="11"/>
    </w:p>
    <w:p w:rsidR="00F51B07" w:rsidRPr="00F51B07" w:rsidRDefault="00F51B07" w:rsidP="00F51B07">
      <w:r>
        <w:t>The macro closure for the policy simulation is explained below.</w:t>
      </w:r>
    </w:p>
    <w:p w:rsidR="00BA0C3A" w:rsidRPr="009C36D3" w:rsidRDefault="00BA0C3A" w:rsidP="00BA0C3A">
      <w:pPr>
        <w:pStyle w:val="Heading3"/>
        <w:keepNext/>
        <w:keepLines/>
        <w:spacing w:before="240" w:after="80" w:line="320" w:lineRule="atLeast"/>
        <w:jc w:val="both"/>
      </w:pPr>
      <w:bookmarkStart w:id="12" w:name="_Toc438461753"/>
      <w:bookmarkStart w:id="13" w:name="_Toc444258125"/>
      <w:bookmarkStart w:id="14" w:name="_Toc448504474"/>
      <w:r w:rsidRPr="009C36D3">
        <w:t>Labo</w:t>
      </w:r>
      <w:r>
        <w:t>u</w:t>
      </w:r>
      <w:r w:rsidRPr="009C36D3">
        <w:t>r markets</w:t>
      </w:r>
      <w:bookmarkEnd w:id="12"/>
      <w:bookmarkEnd w:id="13"/>
      <w:bookmarkEnd w:id="14"/>
      <w:r w:rsidRPr="009C36D3">
        <w:t xml:space="preserve"> </w:t>
      </w:r>
    </w:p>
    <w:p w:rsidR="00BA0C3A" w:rsidRPr="009C36D3" w:rsidRDefault="00BA0C3A" w:rsidP="00BA0C3A">
      <w:r>
        <w:t>L</w:t>
      </w:r>
      <w:r w:rsidRPr="009C36D3">
        <w:t>agged adjustment of the real-wage rate to changes in employment is assumed.</w:t>
      </w:r>
      <w:r>
        <w:t xml:space="preserve"> This means that in the policy outcomes </w:t>
      </w:r>
      <w:r w:rsidRPr="009C36D3">
        <w:t>can cause empl</w:t>
      </w:r>
      <w:r>
        <w:t>oyment to deviate from its baseline</w:t>
      </w:r>
      <w:r w:rsidRPr="009C36D3">
        <w:t xml:space="preserve"> value initially</w:t>
      </w:r>
      <w:r>
        <w:t>,</w:t>
      </w:r>
      <w:r w:rsidRPr="009C36D3">
        <w:t xml:space="preserve"> but thereafter, real wage adjustment steadily eliminates the short-run employment consequences</w:t>
      </w:r>
      <w:r>
        <w:t xml:space="preserve">. </w:t>
      </w:r>
      <w:r w:rsidRPr="009C36D3">
        <w:t>In the long run,</w:t>
      </w:r>
      <w:r>
        <w:t xml:space="preserve"> the benefits of policy outcomes are realised almost entirely as an increase </w:t>
      </w:r>
      <w:r w:rsidRPr="009C36D3">
        <w:t>in the real wage rate, rather than as a</w:t>
      </w:r>
      <w:r>
        <w:t xml:space="preserve">n increase in </w:t>
      </w:r>
      <w:r w:rsidRPr="009C36D3">
        <w:t>national employment. This labo</w:t>
      </w:r>
      <w:r>
        <w:t>u</w:t>
      </w:r>
      <w:r w:rsidRPr="009C36D3">
        <w:t>r-market assumption reflects the idea that in the long run national employment is determined by demographic factors</w:t>
      </w:r>
      <w:r>
        <w:t xml:space="preserve"> and immigration policy</w:t>
      </w:r>
      <w:r w:rsidRPr="009C36D3">
        <w:t>, which</w:t>
      </w:r>
      <w:r>
        <w:t xml:space="preserve"> we have assumed are </w:t>
      </w:r>
      <w:r w:rsidRPr="009C36D3">
        <w:t xml:space="preserve">unaffected by the </w:t>
      </w:r>
      <w:r>
        <w:t>policy.</w:t>
      </w:r>
    </w:p>
    <w:p w:rsidR="00BA0C3A" w:rsidRPr="009C36D3" w:rsidRDefault="00BA0C3A" w:rsidP="00BA0C3A">
      <w:pPr>
        <w:pStyle w:val="Heading3"/>
        <w:keepNext/>
        <w:keepLines/>
        <w:spacing w:before="240" w:after="80" w:line="320" w:lineRule="atLeast"/>
        <w:jc w:val="both"/>
      </w:pPr>
      <w:bookmarkStart w:id="15" w:name="_Toc438461754"/>
      <w:bookmarkStart w:id="16" w:name="_Toc444258126"/>
      <w:bookmarkStart w:id="17" w:name="_Toc448504475"/>
      <w:r w:rsidRPr="009C36D3">
        <w:t>Private consumption</w:t>
      </w:r>
      <w:r>
        <w:t xml:space="preserve"> and the indicator of economic welfare</w:t>
      </w:r>
      <w:bookmarkEnd w:id="15"/>
      <w:bookmarkEnd w:id="16"/>
      <w:bookmarkEnd w:id="17"/>
    </w:p>
    <w:p w:rsidR="00BA0C3A" w:rsidRDefault="00BA0C3A" w:rsidP="00BA0C3A">
      <w:r w:rsidRPr="009C36D3">
        <w:t xml:space="preserve">Private consumption expenditure is determined </w:t>
      </w:r>
      <w:r w:rsidRPr="00E65DFC">
        <w:t>via</w:t>
      </w:r>
      <w:r w:rsidRPr="009C36D3">
        <w:t xml:space="preserve"> a consumption function that links nominal consumption to h</w:t>
      </w:r>
      <w:r>
        <w:t>ousehold disposable income</w:t>
      </w:r>
      <w:r w:rsidRPr="009C36D3">
        <w:t xml:space="preserve">. </w:t>
      </w:r>
      <w:r>
        <w:t>In this simulation</w:t>
      </w:r>
      <w:r w:rsidRPr="009C36D3">
        <w:t>, the average propensity to consume (APC) is an endogenous variable that moves to ensure that the balance on current account in the balance of p</w:t>
      </w:r>
      <w:r>
        <w:t>ayments remains at its baseline</w:t>
      </w:r>
      <w:r w:rsidRPr="009C36D3">
        <w:t xml:space="preserve"> level.</w:t>
      </w:r>
    </w:p>
    <w:p w:rsidR="00BA0C3A" w:rsidRPr="009C36D3" w:rsidRDefault="00BA0C3A" w:rsidP="00BA0C3A">
      <w:pPr>
        <w:pStyle w:val="Heading3"/>
        <w:keepNext/>
        <w:keepLines/>
        <w:spacing w:before="200" w:line="276" w:lineRule="auto"/>
        <w:jc w:val="both"/>
      </w:pPr>
      <w:bookmarkStart w:id="18" w:name="_Toc438461755"/>
      <w:bookmarkStart w:id="19" w:name="_Toc444258127"/>
      <w:bookmarkStart w:id="20" w:name="_Toc448504476"/>
      <w:r>
        <w:t>Investment</w:t>
      </w:r>
      <w:bookmarkEnd w:id="18"/>
      <w:bookmarkEnd w:id="19"/>
      <w:bookmarkEnd w:id="20"/>
    </w:p>
    <w:p w:rsidR="00BA0C3A" w:rsidRPr="009C36D3" w:rsidRDefault="00BA0C3A" w:rsidP="00BA0C3A">
      <w:r>
        <w:t xml:space="preserve">Investment in all of the existing </w:t>
      </w:r>
      <w:r w:rsidRPr="009C36D3">
        <w:t>industries is allow</w:t>
      </w:r>
      <w:r>
        <w:t>ed to deviate from its baseline</w:t>
      </w:r>
      <w:r w:rsidRPr="009C36D3">
        <w:t xml:space="preserve"> value in line with deviations in expected rates of return on the industries’ capital</w:t>
      </w:r>
      <w:r>
        <w:t xml:space="preserve"> stocks. In the policy scenario</w:t>
      </w:r>
      <w:r w:rsidRPr="009C36D3">
        <w:t>,</w:t>
      </w:r>
      <w:r>
        <w:t xml:space="preserve"> SGEM</w:t>
      </w:r>
      <w:r w:rsidRPr="009C36D3">
        <w:t xml:space="preserve"> allows for short-run divergences in </w:t>
      </w:r>
      <w:r>
        <w:t>rates of return from their baseline</w:t>
      </w:r>
      <w:r w:rsidRPr="009C36D3">
        <w:t xml:space="preserve"> levels. These cause divergences in investment and hence capital stocks that gradually erode the initial divergences in rates of return</w:t>
      </w:r>
      <w:r>
        <w:t>. P</w:t>
      </w:r>
      <w:r w:rsidRPr="009C36D3">
        <w:t xml:space="preserve">rovided </w:t>
      </w:r>
      <w:r>
        <w:t xml:space="preserve">there are no further shocks, </w:t>
      </w:r>
      <w:r w:rsidRPr="009C36D3">
        <w:t xml:space="preserve">rates of </w:t>
      </w:r>
      <w:r>
        <w:t>return revert to their baseline</w:t>
      </w:r>
      <w:r w:rsidRPr="009C36D3">
        <w:t xml:space="preserve"> levels in the long run.</w:t>
      </w:r>
    </w:p>
    <w:p w:rsidR="00BA0C3A" w:rsidRPr="009C36D3" w:rsidRDefault="00BA0C3A" w:rsidP="00BA0C3A">
      <w:pPr>
        <w:pStyle w:val="Heading3"/>
        <w:keepNext/>
        <w:keepLines/>
        <w:spacing w:before="240" w:after="80" w:line="320" w:lineRule="atLeast"/>
        <w:jc w:val="both"/>
      </w:pPr>
      <w:bookmarkStart w:id="21" w:name="_Toc438461756"/>
      <w:bookmarkStart w:id="22" w:name="_Toc444258128"/>
      <w:bookmarkStart w:id="23" w:name="_Toc448504477"/>
      <w:r w:rsidRPr="009C36D3">
        <w:t>Government consumption and fiscal balances</w:t>
      </w:r>
      <w:bookmarkEnd w:id="21"/>
      <w:bookmarkEnd w:id="22"/>
      <w:bookmarkEnd w:id="23"/>
      <w:r w:rsidRPr="009C36D3">
        <w:t xml:space="preserve"> </w:t>
      </w:r>
    </w:p>
    <w:p w:rsidR="00BA0C3A" w:rsidRDefault="00BA0C3A" w:rsidP="00BA0C3A">
      <w:r>
        <w:t>SGEM</w:t>
      </w:r>
      <w:r w:rsidRPr="009C36D3">
        <w:t xml:space="preserve"> contains no theory to explain changes in real public consumption. In these simulations, </w:t>
      </w:r>
      <w:r>
        <w:t xml:space="preserve">real </w:t>
      </w:r>
      <w:r w:rsidRPr="009C36D3">
        <w:t xml:space="preserve">public consumption is simply indexed to </w:t>
      </w:r>
      <w:r>
        <w:t>real private consumption. The fiscal balance of the government is allowed to vary endogenously.</w:t>
      </w:r>
    </w:p>
    <w:p w:rsidR="00BA0C3A" w:rsidRDefault="00BA0C3A" w:rsidP="00BA0C3A">
      <w:r>
        <w:t>The net impact of the removal of subsidies implies an improvement in the fiscal balances.</w:t>
      </w:r>
    </w:p>
    <w:p w:rsidR="00BA0C3A" w:rsidRPr="009C36D3" w:rsidRDefault="00BA0C3A" w:rsidP="00BA0C3A">
      <w:pPr>
        <w:pStyle w:val="Heading3"/>
        <w:keepNext/>
        <w:keepLines/>
        <w:spacing w:before="240" w:after="80" w:line="320" w:lineRule="atLeast"/>
        <w:jc w:val="both"/>
      </w:pPr>
      <w:bookmarkStart w:id="24" w:name="_Toc438461758"/>
      <w:bookmarkStart w:id="25" w:name="_Toc444258130"/>
      <w:bookmarkStart w:id="26" w:name="_Toc448504478"/>
      <w:r w:rsidRPr="009C36D3">
        <w:lastRenderedPageBreak/>
        <w:t>Production technologies and household tastes</w:t>
      </w:r>
      <w:bookmarkEnd w:id="24"/>
      <w:bookmarkEnd w:id="25"/>
      <w:bookmarkEnd w:id="26"/>
      <w:r w:rsidRPr="009C36D3">
        <w:t xml:space="preserve"> </w:t>
      </w:r>
    </w:p>
    <w:p w:rsidR="00BA0C3A" w:rsidRDefault="00BA0C3A" w:rsidP="00BA0C3A">
      <w:r>
        <w:t>SGEM</w:t>
      </w:r>
      <w:r w:rsidRPr="009C36D3">
        <w:t xml:space="preserve"> contains many variables</w:t>
      </w:r>
      <w:r w:rsidRPr="009C36D3" w:rsidDel="008A5B53">
        <w:t xml:space="preserve"> </w:t>
      </w:r>
      <w:r w:rsidRPr="009C36D3">
        <w:t>to allow for shifts in technology and household preferences. In the policy scenarios, most of these variables are exogenous and have the</w:t>
      </w:r>
      <w:r>
        <w:t xml:space="preserve"> same values as in the baseline</w:t>
      </w:r>
      <w:r w:rsidRPr="009C36D3">
        <w:t xml:space="preserve"> projection. The exceptions are technology variables that a</w:t>
      </w:r>
      <w:r>
        <w:t xml:space="preserve">re made endogenous to accommodate the production associated with the new project. </w:t>
      </w:r>
    </w:p>
    <w:p w:rsidR="00BA0C3A" w:rsidRDefault="00BA0C3A" w:rsidP="00BA0C3A">
      <w:pPr>
        <w:spacing w:after="0" w:line="240" w:lineRule="auto"/>
      </w:pPr>
    </w:p>
    <w:p w:rsidR="00BA0C3A" w:rsidRPr="005B21BD" w:rsidRDefault="00BA0C3A" w:rsidP="0024467B">
      <w:pPr>
        <w:pStyle w:val="Heading1"/>
      </w:pPr>
      <w:bookmarkStart w:id="27" w:name="_Toc438461761"/>
      <w:bookmarkStart w:id="28" w:name="_Toc444258133"/>
      <w:bookmarkStart w:id="29" w:name="_Toc448504479"/>
      <w:r w:rsidRPr="005B21BD">
        <w:t>Economic effects</w:t>
      </w:r>
      <w:bookmarkEnd w:id="27"/>
      <w:bookmarkEnd w:id="28"/>
      <w:bookmarkEnd w:id="29"/>
    </w:p>
    <w:p w:rsidR="00BA0C3A" w:rsidRDefault="00BA0C3A" w:rsidP="00BA0C3A">
      <w:r w:rsidRPr="00912963">
        <w:t>This section contains a discuss</w:t>
      </w:r>
      <w:r>
        <w:t>ion of deviations from baseline</w:t>
      </w:r>
      <w:r w:rsidRPr="00912963">
        <w:t xml:space="preserve"> values </w:t>
      </w:r>
      <w:r>
        <w:t xml:space="preserve">due to </w:t>
      </w:r>
      <w:r w:rsidRPr="00912963">
        <w:t xml:space="preserve">the </w:t>
      </w:r>
      <w:r>
        <w:t>removal of the energy subsidies. M</w:t>
      </w:r>
      <w:r w:rsidRPr="00912963">
        <w:t>acroeconomic impacts are dealt with f</w:t>
      </w:r>
      <w:r>
        <w:t>irst, followed by impacts on industry production</w:t>
      </w:r>
      <w:r w:rsidRPr="00912963">
        <w:t>.</w:t>
      </w:r>
      <w:r>
        <w:t xml:space="preserve"> The main effects are highlighted in italics.</w:t>
      </w:r>
      <w:r w:rsidRPr="00912963">
        <w:t xml:space="preserve"> </w:t>
      </w:r>
    </w:p>
    <w:p w:rsidR="00BA0C3A" w:rsidRPr="00912963" w:rsidRDefault="00BA0C3A" w:rsidP="00BA0C3A">
      <w:pPr>
        <w:pStyle w:val="Highlightresult"/>
      </w:pPr>
      <w:r w:rsidRPr="00912963">
        <w:t xml:space="preserve">In the short run, removing the </w:t>
      </w:r>
      <w:r>
        <w:t>energy</w:t>
      </w:r>
      <w:r w:rsidRPr="00912963">
        <w:t xml:space="preserve"> subsid</w:t>
      </w:r>
      <w:r>
        <w:t>ies cause</w:t>
      </w:r>
      <w:r w:rsidRPr="00912963">
        <w:t xml:space="preserve"> employment t</w:t>
      </w:r>
      <w:r>
        <w:t>o fall relative to its baseline</w:t>
      </w:r>
      <w:r w:rsidRPr="00912963">
        <w:t xml:space="preserve"> level. Over time, the employment deviation is progressively eliminated as the real wage rate adjusts. In the long-run employment rises sl</w:t>
      </w:r>
      <w:r>
        <w:t>ightly relative to its baseline</w:t>
      </w:r>
      <w:r w:rsidRPr="00912963">
        <w:t xml:space="preserve"> level due to compositional shifts in the economy.</w:t>
      </w:r>
    </w:p>
    <w:p w:rsidR="00BA0C3A" w:rsidRPr="00912963" w:rsidRDefault="00BA0C3A" w:rsidP="00BA0C3A">
      <w:r w:rsidRPr="00912963">
        <w:t xml:space="preserve">The explanation of macro effects begins with the impacts on the labour market. Figure </w:t>
      </w:r>
      <w:r>
        <w:t>4</w:t>
      </w:r>
      <w:r w:rsidRPr="00912963">
        <w:t xml:space="preserve"> shows percentage deviations in national employment, the real wage rate and the real cost of labour. </w:t>
      </w:r>
      <w:r>
        <w:t>T</w:t>
      </w:r>
      <w:r w:rsidRPr="00912963">
        <w:t xml:space="preserve">he real wage is defined as the ratio of the nominal wage rate to the price of consumption. The real cost of labour is defined as the ratio of the nominal wage rate to the national price of output (measured by the factor-cost GDP deflator). </w:t>
      </w:r>
    </w:p>
    <w:p w:rsidR="00BA0C3A" w:rsidRPr="00912963" w:rsidRDefault="00BA0C3A" w:rsidP="00BA0C3A">
      <w:r w:rsidRPr="00912963">
        <w:t>According to the labour-market specifica</w:t>
      </w:r>
      <w:r>
        <w:t>tion in SGEM</w:t>
      </w:r>
      <w:r w:rsidRPr="00912963">
        <w:t xml:space="preserve"> the real wage rate is sticky in the short run. In other words, the nominal wage moves with the price of consumption. Over time, however, the real wage adjusts downwards as </w:t>
      </w:r>
      <w:r>
        <w:t>the capital / labour ratio falls relative to baseline</w:t>
      </w:r>
      <w:r w:rsidRPr="00912963">
        <w:t xml:space="preserve">. </w:t>
      </w:r>
    </w:p>
    <w:p w:rsidR="00BA0C3A" w:rsidRPr="00912963" w:rsidRDefault="00BA0C3A" w:rsidP="00BA0C3A">
      <w:r w:rsidRPr="00912963">
        <w:t>Employment falls in the short-run because of an increase in the r</w:t>
      </w:r>
      <w:r>
        <w:t xml:space="preserve">eal cost of labour (Figure </w:t>
      </w:r>
      <w:r w:rsidR="00E64678">
        <w:t>1</w:t>
      </w:r>
      <w:r w:rsidRPr="00912963">
        <w:t>). The real cost of labour increases because removing the</w:t>
      </w:r>
      <w:r>
        <w:t xml:space="preserve"> energy subsidies</w:t>
      </w:r>
      <w:r w:rsidRPr="00912963">
        <w:t xml:space="preserve"> cause</w:t>
      </w:r>
      <w:r>
        <w:t>s</w:t>
      </w:r>
      <w:r w:rsidRPr="00912963">
        <w:t xml:space="preserve"> the price of spending (consumption, for example) to rise relative to the price of production. Initially, </w:t>
      </w:r>
      <w:r>
        <w:t xml:space="preserve">with the real wage rate sticky, </w:t>
      </w:r>
      <w:r w:rsidRPr="00912963">
        <w:t xml:space="preserve">the nominal price of labour </w:t>
      </w:r>
      <w:r>
        <w:t xml:space="preserve">is </w:t>
      </w:r>
      <w:r w:rsidRPr="00912963">
        <w:t>tied to the price of consumption</w:t>
      </w:r>
      <w:r>
        <w:t>. Thus, if the price consumption rises relative to the price of production</w:t>
      </w:r>
      <w:r w:rsidRPr="00912963">
        <w:t>,</w:t>
      </w:r>
      <w:r>
        <w:t xml:space="preserve"> then the real cost of labour must increase. </w:t>
      </w:r>
      <w:r w:rsidRPr="00912963">
        <w:t>An increase in the real cost of labour causes producers to substitute away from labour and towards relatively cheaper alternatives such as capital.</w:t>
      </w:r>
    </w:p>
    <w:p w:rsidR="00C072D6" w:rsidRDefault="00BA0C3A" w:rsidP="00BA0C3A">
      <w:r w:rsidRPr="00912963">
        <w:t>Over time, the real wage rate and the real cost of labour fall relative to base</w:t>
      </w:r>
      <w:r>
        <w:t>line</w:t>
      </w:r>
      <w:r w:rsidRPr="00912963">
        <w:t xml:space="preserve"> levels, forcing emplo</w:t>
      </w:r>
      <w:r>
        <w:t>yment back towards its baseline value. The largest</w:t>
      </w:r>
      <w:r w:rsidRPr="00912963">
        <w:t xml:space="preserve"> employmen</w:t>
      </w:r>
      <w:r>
        <w:t>t deviation is minus 0.7 per cent in 2018</w:t>
      </w:r>
      <w:r w:rsidRPr="00912963">
        <w:t>. In the final year, with the employment deviation eliminated, th</w:t>
      </w:r>
      <w:r>
        <w:t>e real wage rate is down by 4.8</w:t>
      </w:r>
      <w:r w:rsidRPr="00912963">
        <w:t xml:space="preserve"> per cent</w:t>
      </w:r>
      <w:r>
        <w:t xml:space="preserve"> compared to its level in the baseline.</w:t>
      </w:r>
    </w:p>
    <w:p w:rsidR="00C072D6" w:rsidRDefault="00C072D6">
      <w:pPr>
        <w:spacing w:after="200"/>
      </w:pPr>
      <w:r>
        <w:br w:type="page"/>
      </w:r>
    </w:p>
    <w:p w:rsidR="00BA0C3A" w:rsidRPr="00F25E23" w:rsidRDefault="00BA0C3A" w:rsidP="00BA0C3A">
      <w:pPr>
        <w:jc w:val="center"/>
        <w:rPr>
          <w:rFonts w:ascii="Times New Roman" w:hAnsi="Times New Roman" w:cs="Times New Roman"/>
          <w:b/>
        </w:rPr>
      </w:pPr>
      <w:r w:rsidRPr="00F25E23">
        <w:rPr>
          <w:rFonts w:ascii="Times New Roman" w:hAnsi="Times New Roman" w:cs="Times New Roman"/>
          <w:b/>
        </w:rPr>
        <w:lastRenderedPageBreak/>
        <w:t xml:space="preserve">Figure </w:t>
      </w:r>
      <w:r w:rsidR="00E64678">
        <w:rPr>
          <w:rFonts w:ascii="Times New Roman" w:hAnsi="Times New Roman" w:cs="Times New Roman"/>
          <w:b/>
        </w:rPr>
        <w:t>1</w:t>
      </w:r>
      <w:r w:rsidRPr="00F25E23">
        <w:rPr>
          <w:rFonts w:ascii="Times New Roman" w:hAnsi="Times New Roman" w:cs="Times New Roman"/>
          <w:b/>
        </w:rPr>
        <w:t>. Deviations (%) from baseline in employment and real wage rates</w:t>
      </w:r>
    </w:p>
    <w:p w:rsidR="00BA0C3A" w:rsidRDefault="00BA0C3A" w:rsidP="00BA0C3A">
      <w:pPr>
        <w:spacing w:after="0" w:line="240" w:lineRule="auto"/>
        <w:jc w:val="center"/>
      </w:pPr>
      <w:r>
        <w:rPr>
          <w:noProof/>
          <w:lang w:val="en-GB" w:eastAsia="en-GB"/>
        </w:rPr>
        <w:drawing>
          <wp:inline distT="0" distB="0" distL="0" distR="0" wp14:anchorId="471A8710" wp14:editId="5FBC4076">
            <wp:extent cx="4858247" cy="2600077"/>
            <wp:effectExtent l="0" t="0" r="19050" b="1016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BA0C3A" w:rsidRDefault="00BA0C3A" w:rsidP="00BA0C3A">
      <w:pPr>
        <w:spacing w:after="0" w:line="240" w:lineRule="auto"/>
      </w:pPr>
    </w:p>
    <w:p w:rsidR="00BA0C3A" w:rsidRPr="00912963" w:rsidRDefault="00BA0C3A" w:rsidP="00BA0C3A">
      <w:r w:rsidRPr="00912963">
        <w:t xml:space="preserve">A final point to note is that even though the long-run change in national employment is small, this does not mean that employment at the individual industry or regional level remains close </w:t>
      </w:r>
      <w:r>
        <w:t>to baseline</w:t>
      </w:r>
      <w:r w:rsidRPr="00912963">
        <w:t xml:space="preserve"> values. In most industries and regions, there are significant permanent employment </w:t>
      </w:r>
      <w:r>
        <w:t>responses to changes in electricity prices.</w:t>
      </w:r>
    </w:p>
    <w:p w:rsidR="00BA0C3A" w:rsidRPr="00120264" w:rsidRDefault="00BA0C3A" w:rsidP="00BA0C3A">
      <w:pPr>
        <w:pStyle w:val="Highlightresult"/>
      </w:pPr>
      <w:r w:rsidRPr="00120264">
        <w:t xml:space="preserve">Removal of the energy subsidies reduces capital slightly. </w:t>
      </w:r>
      <w:r>
        <w:t xml:space="preserve">In the short-run the economy’s </w:t>
      </w:r>
      <w:r w:rsidRPr="00120264">
        <w:t>labour/capital ratio falls. In the long-run it rises.</w:t>
      </w:r>
    </w:p>
    <w:p w:rsidR="00BA0C3A" w:rsidRPr="00912963" w:rsidRDefault="00BA0C3A" w:rsidP="00BA0C3A">
      <w:r w:rsidRPr="00912963">
        <w:t xml:space="preserve">Figure </w:t>
      </w:r>
      <w:r w:rsidR="00E64678">
        <w:t>2</w:t>
      </w:r>
      <w:r w:rsidRPr="00912963">
        <w:t xml:space="preserve"> shows </w:t>
      </w:r>
      <w:r>
        <w:t>percentage deviations from baseline</w:t>
      </w:r>
      <w:r w:rsidRPr="00912963">
        <w:t xml:space="preserve"> values for the national capit</w:t>
      </w:r>
      <w:r>
        <w:t>al stock and employment. In 2040</w:t>
      </w:r>
      <w:r w:rsidRPr="00912963">
        <w:t xml:space="preserve">, the </w:t>
      </w:r>
      <w:r>
        <w:t>capital-stock deviation is -0.6</w:t>
      </w:r>
      <w:r w:rsidRPr="00912963">
        <w:t xml:space="preserve"> per cent, implying an increase in the ra</w:t>
      </w:r>
      <w:r>
        <w:t>tio of labour to capital of 0.6 per cent (= 0.0 per cent minus -0.6</w:t>
      </w:r>
      <w:r w:rsidRPr="00912963">
        <w:t xml:space="preserve"> per cent).</w:t>
      </w:r>
    </w:p>
    <w:p w:rsidR="00BA0C3A" w:rsidRDefault="00BA0C3A" w:rsidP="00BA0C3A">
      <w:pPr>
        <w:rPr>
          <w:b/>
          <w:sz w:val="36"/>
          <w:szCs w:val="48"/>
        </w:rPr>
      </w:pPr>
      <w:r w:rsidRPr="00912963">
        <w:t>The reduction in c</w:t>
      </w:r>
      <w:r>
        <w:t>apital relative to its baseline</w:t>
      </w:r>
      <w:r w:rsidRPr="00912963">
        <w:t xml:space="preserve"> value is due, in the main, to changes in relative factor prices. Over the longer term, with the r</w:t>
      </w:r>
      <w:r>
        <w:t>eal cost of labour falling (</w:t>
      </w:r>
      <w:r w:rsidRPr="00912963">
        <w:t xml:space="preserve">Figure </w:t>
      </w:r>
      <w:r w:rsidR="00955651">
        <w:t>1</w:t>
      </w:r>
      <w:r w:rsidRPr="00912963">
        <w:t>), there is scope for the real cost of capital to rise. This induces producers to substitute labour for capital across the economy</w:t>
      </w:r>
    </w:p>
    <w:p w:rsidR="00BA0C3A" w:rsidRPr="00E64678" w:rsidRDefault="00BA0C3A" w:rsidP="00E64678">
      <w:pPr>
        <w:jc w:val="center"/>
        <w:rPr>
          <w:rFonts w:ascii="Times New Roman" w:hAnsi="Times New Roman" w:cs="Times New Roman"/>
          <w:b/>
        </w:rPr>
      </w:pPr>
      <w:r w:rsidRPr="00E64678">
        <w:rPr>
          <w:rFonts w:ascii="Times New Roman" w:hAnsi="Times New Roman" w:cs="Times New Roman"/>
          <w:b/>
        </w:rPr>
        <w:t xml:space="preserve">Figure </w:t>
      </w:r>
      <w:r w:rsidR="00E64678">
        <w:rPr>
          <w:rFonts w:ascii="Times New Roman" w:hAnsi="Times New Roman" w:cs="Times New Roman"/>
          <w:b/>
        </w:rPr>
        <w:t>2</w:t>
      </w:r>
      <w:r w:rsidRPr="00E64678">
        <w:rPr>
          <w:rFonts w:ascii="Times New Roman" w:hAnsi="Times New Roman" w:cs="Times New Roman"/>
          <w:b/>
        </w:rPr>
        <w:t>. Deviations (%) from baseline in employment and capital</w:t>
      </w:r>
    </w:p>
    <w:p w:rsidR="00BA0C3A" w:rsidRDefault="00BA0C3A" w:rsidP="00BA0C3A">
      <w:pPr>
        <w:spacing w:after="0" w:line="240" w:lineRule="auto"/>
        <w:jc w:val="center"/>
        <w:rPr>
          <w:b/>
          <w:sz w:val="36"/>
          <w:szCs w:val="48"/>
        </w:rPr>
      </w:pPr>
      <w:r>
        <w:rPr>
          <w:noProof/>
          <w:lang w:val="en-GB" w:eastAsia="en-GB"/>
        </w:rPr>
        <w:drawing>
          <wp:inline distT="0" distB="0" distL="0" distR="0" wp14:anchorId="5401CBED" wp14:editId="63F933DD">
            <wp:extent cx="5009322" cy="2687540"/>
            <wp:effectExtent l="0" t="0" r="20320" b="1778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BA0C3A" w:rsidRPr="00912963" w:rsidRDefault="00BA0C3A" w:rsidP="00BA0C3A">
      <w:pPr>
        <w:pStyle w:val="Highlightresult"/>
      </w:pPr>
      <w:r w:rsidRPr="00912963">
        <w:lastRenderedPageBreak/>
        <w:t xml:space="preserve">Removing the </w:t>
      </w:r>
      <w:r>
        <w:t>energy subsidies eliminates</w:t>
      </w:r>
      <w:r w:rsidRPr="00912963">
        <w:t xml:space="preserve"> a large distortion in the economy. This improves the efficiency of resource use, such that even though employment and capital in most years fall relative to bas</w:t>
      </w:r>
      <w:r>
        <w:t>eline</w:t>
      </w:r>
      <w:r w:rsidRPr="00912963">
        <w:t xml:space="preserve"> levels, real GDP rises.</w:t>
      </w:r>
    </w:p>
    <w:p w:rsidR="00BA0C3A" w:rsidRPr="00912963" w:rsidRDefault="00BA0C3A" w:rsidP="00BA0C3A">
      <w:r w:rsidRPr="00912963">
        <w:t xml:space="preserve">The percentage change in real GDP is a share-weighted average of the percentage changes in quantities of factor inputs (labour, capital and natural resource), with allowance for changes in the efficiency of resource use. Increased (reduced) efficiency increases (reduces) real GDP even with unchanged levels of factor inputs. Figure </w:t>
      </w:r>
      <w:r>
        <w:t>6</w:t>
      </w:r>
      <w:r w:rsidRPr="00912963">
        <w:t xml:space="preserve"> shows, in stacked annual columns, the contribution of each component to the overall percentage deviation in real GDP. Note that the contr</w:t>
      </w:r>
      <w:r>
        <w:t xml:space="preserve">ibutions of </w:t>
      </w:r>
      <w:r w:rsidRPr="00912963">
        <w:t xml:space="preserve">natural resource </w:t>
      </w:r>
      <w:r>
        <w:t>to the real GDP deviation are zero (because in this simulation natural resource supply does not change between policy and baseline) and are</w:t>
      </w:r>
      <w:r w:rsidRPr="00912963">
        <w:t xml:space="preserve"> not shown</w:t>
      </w:r>
      <w:r>
        <w:t>.</w:t>
      </w:r>
    </w:p>
    <w:p w:rsidR="00BA0C3A" w:rsidRDefault="00BA0C3A" w:rsidP="00BA0C3A">
      <w:r w:rsidRPr="00912963">
        <w:t>Real GDP inc</w:t>
      </w:r>
      <w:r>
        <w:t>reases relative to its baseline</w:t>
      </w:r>
      <w:r w:rsidRPr="00912963">
        <w:t xml:space="preserve"> level in all years of the simulation. In the final year it is </w:t>
      </w:r>
      <w:r>
        <w:t>up 1.0</w:t>
      </w:r>
      <w:r w:rsidRPr="00912963">
        <w:t xml:space="preserve"> per cent. As the Figure shows, efficiency gains account for more than 100 per cent of the additional real GDP. These efficiency gains represent the reduction in deadweight loss associated with removing the distortions created by </w:t>
      </w:r>
      <w:r>
        <w:t>energy subsidies in the baseline.</w:t>
      </w:r>
    </w:p>
    <w:p w:rsidR="00BA0C3A" w:rsidRDefault="00BA0C3A" w:rsidP="00BA0C3A">
      <w:pPr>
        <w:pStyle w:val="Caption"/>
      </w:pPr>
      <w:r>
        <w:t xml:space="preserve">Figure </w:t>
      </w:r>
      <w:r w:rsidR="00955651">
        <w:t>3</w:t>
      </w:r>
      <w:r>
        <w:t xml:space="preserve">. </w:t>
      </w:r>
      <w:r w:rsidRPr="00912963">
        <w:t xml:space="preserve">Contributions to </w:t>
      </w:r>
      <w:r>
        <w:t xml:space="preserve">the </w:t>
      </w:r>
      <w:r w:rsidRPr="00912963">
        <w:t>over</w:t>
      </w:r>
      <w:r>
        <w:t>all deviation (%) from baseline</w:t>
      </w:r>
      <w:r w:rsidRPr="00912963">
        <w:t xml:space="preserve"> in real GDP</w:t>
      </w:r>
    </w:p>
    <w:p w:rsidR="00BA0C3A" w:rsidRDefault="00BA0C3A" w:rsidP="00BA0C3A">
      <w:pPr>
        <w:spacing w:after="0" w:line="240" w:lineRule="auto"/>
        <w:jc w:val="center"/>
      </w:pPr>
      <w:r>
        <w:rPr>
          <w:noProof/>
          <w:lang w:val="en-GB" w:eastAsia="en-GB"/>
        </w:rPr>
        <w:drawing>
          <wp:inline distT="0" distB="0" distL="0" distR="0" wp14:anchorId="6A478D49" wp14:editId="560407DA">
            <wp:extent cx="4810539" cy="2568271"/>
            <wp:effectExtent l="0" t="0" r="9525" b="22860"/>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BA0C3A" w:rsidRPr="00120264" w:rsidRDefault="00BA0C3A" w:rsidP="00BA0C3A">
      <w:pPr>
        <w:pStyle w:val="Highlightresult"/>
        <w:rPr>
          <w:rStyle w:val="Emphasis"/>
          <w:i/>
          <w:iCs w:val="0"/>
        </w:rPr>
      </w:pPr>
      <w:r w:rsidRPr="00120264">
        <w:rPr>
          <w:rStyle w:val="Emphasis"/>
        </w:rPr>
        <w:t>Removing the electricity subsidy increases real consumption (private plus public) and, hence, improves the overall welfare of the population.</w:t>
      </w:r>
    </w:p>
    <w:p w:rsidR="00BA0C3A" w:rsidRDefault="00BA0C3A" w:rsidP="00BA0C3A">
      <w:r w:rsidRPr="00912963">
        <w:t xml:space="preserve">Figure </w:t>
      </w:r>
      <w:r w:rsidR="00955651">
        <w:t>4</w:t>
      </w:r>
      <w:r w:rsidRPr="00912963">
        <w:t xml:space="preserve"> shows percentage deviations from base-case values for the three main components of real Gross National Expenditure (GNE): real private consumption (C), real public consumption (G) and real investment (private plus public) (I).</w:t>
      </w:r>
      <w:r>
        <w:t xml:space="preserve"> Note that by assumption the deviation in real public consumption matches the deviation in real private consumption</w:t>
      </w:r>
      <w:r w:rsidR="00955651">
        <w:t>.</w:t>
      </w:r>
    </w:p>
    <w:p w:rsidR="00BA0C3A" w:rsidRDefault="00BA0C3A" w:rsidP="00BA0C3A">
      <w:r>
        <w:t>In this simulation</w:t>
      </w:r>
      <w:r w:rsidRPr="00912963">
        <w:t xml:space="preserve">, </w:t>
      </w:r>
      <w:r>
        <w:t xml:space="preserve">effectively </w:t>
      </w:r>
      <w:r w:rsidRPr="00912963">
        <w:t xml:space="preserve">all of the benefit of the efficiency improvements shown in Figure </w:t>
      </w:r>
      <w:r>
        <w:t>6</w:t>
      </w:r>
      <w:r w:rsidRPr="00912963">
        <w:t xml:space="preserve"> returns to consumers as increased real income</w:t>
      </w:r>
      <w:r>
        <w:t xml:space="preserve">. </w:t>
      </w:r>
      <w:r w:rsidRPr="00912963">
        <w:t>Accordi</w:t>
      </w:r>
      <w:r>
        <w:t>ngly, the removal of the subsidies increases</w:t>
      </w:r>
      <w:r w:rsidRPr="00912963">
        <w:t xml:space="preserve"> real consumption, even after making allowance for the increase in price</w:t>
      </w:r>
      <w:r>
        <w:t>s</w:t>
      </w:r>
      <w:r w:rsidRPr="00912963">
        <w:t xml:space="preserve"> paid </w:t>
      </w:r>
      <w:r>
        <w:t xml:space="preserve">by the private household </w:t>
      </w:r>
      <w:r w:rsidRPr="00912963">
        <w:t xml:space="preserve">for electricity </w:t>
      </w:r>
      <w:r>
        <w:t>and petroleum products.</w:t>
      </w:r>
      <w:r w:rsidRPr="00912963">
        <w:t xml:space="preserve"> The increase in real c</w:t>
      </w:r>
      <w:r>
        <w:t>onsumption relative to baseline level in 2040 is 0.5 per cent</w:t>
      </w:r>
      <w:r w:rsidRPr="00912963">
        <w:t>. This can be considered to be the welfare improvement assoc</w:t>
      </w:r>
      <w:r>
        <w:t>iated with cutting energy subsidies</w:t>
      </w:r>
      <w:r w:rsidRPr="00912963">
        <w:t>.</w:t>
      </w:r>
    </w:p>
    <w:p w:rsidR="00BA0C3A" w:rsidRDefault="00BA0C3A" w:rsidP="00BA0C3A">
      <w:r w:rsidRPr="00912963">
        <w:lastRenderedPageBreak/>
        <w:t xml:space="preserve">Deviations in real investment (I) (Figure </w:t>
      </w:r>
      <w:r w:rsidR="006E4505">
        <w:t>4</w:t>
      </w:r>
      <w:r w:rsidRPr="00912963">
        <w:t xml:space="preserve">) accommodate the reduced capital shown in Figure </w:t>
      </w:r>
      <w:r w:rsidR="006E4505">
        <w:t>2</w:t>
      </w:r>
      <w:r>
        <w:t>.</w:t>
      </w:r>
    </w:p>
    <w:p w:rsidR="00BA0C3A" w:rsidRPr="00912963" w:rsidRDefault="00BA0C3A" w:rsidP="00BA0C3A">
      <w:pPr>
        <w:pStyle w:val="Caption"/>
      </w:pPr>
      <w:r>
        <w:t xml:space="preserve">Figure </w:t>
      </w:r>
      <w:r w:rsidR="006E4505">
        <w:t>4</w:t>
      </w:r>
      <w:r>
        <w:t>. Deviations (%) from baseline in the major components of real GNE</w:t>
      </w:r>
      <w:r>
        <w:rPr>
          <w:rStyle w:val="FootnoteReference"/>
        </w:rPr>
        <w:footnoteReference w:id="9"/>
      </w:r>
    </w:p>
    <w:p w:rsidR="00BA0C3A" w:rsidRDefault="00BA0C3A" w:rsidP="00BA0C3A">
      <w:pPr>
        <w:spacing w:after="0" w:line="240" w:lineRule="auto"/>
        <w:jc w:val="center"/>
      </w:pPr>
      <w:r>
        <w:rPr>
          <w:noProof/>
          <w:lang w:val="en-GB" w:eastAsia="en-GB"/>
        </w:rPr>
        <w:drawing>
          <wp:inline distT="0" distB="0" distL="0" distR="0" wp14:anchorId="73AE2A55" wp14:editId="7B9AED8B">
            <wp:extent cx="4858247" cy="2345635"/>
            <wp:effectExtent l="0" t="0" r="19050" b="17145"/>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BA0C3A" w:rsidRPr="00120264" w:rsidRDefault="00BA0C3A" w:rsidP="00BA0C3A">
      <w:pPr>
        <w:pStyle w:val="Highlightresult"/>
      </w:pPr>
      <w:r w:rsidRPr="00120264">
        <w:t>Removing the energy subsidies leads to an improvement in the net volume of trade.</w:t>
      </w:r>
    </w:p>
    <w:p w:rsidR="00BA0C3A" w:rsidRDefault="00BA0C3A" w:rsidP="00BA0C3A">
      <w:r>
        <w:t xml:space="preserve">Throughout the projection period, the increase in real GDP (Y) exceeds the increase in real GNE (C+I+G), with the result that </w:t>
      </w:r>
      <w:r w:rsidRPr="00912963">
        <w:t>the net volume of trade</w:t>
      </w:r>
      <w:r>
        <w:t xml:space="preserve"> (X-M) must improve. As shown in Figure </w:t>
      </w:r>
      <w:r w:rsidR="002435CF">
        <w:t>5</w:t>
      </w:r>
      <w:r>
        <w:t xml:space="preserve"> at the end of the simulation period, relative to baseline levels, the volume of exports is up by around 0.5 per cent, while the volume of imports is down by around 0.5 per cent.</w:t>
      </w:r>
    </w:p>
    <w:p w:rsidR="00BA0C3A" w:rsidRDefault="00BA0C3A" w:rsidP="00BA0C3A">
      <w:r>
        <w:t>To achieve the improvement in net trade volumes,</w:t>
      </w:r>
      <w:r w:rsidRPr="00912963">
        <w:t xml:space="preserve"> changes in the real exchange rate are necessary (see </w:t>
      </w:r>
      <w:r w:rsidRPr="0014421E">
        <w:t xml:space="preserve">Figure </w:t>
      </w:r>
      <w:r w:rsidR="002435CF">
        <w:t>5</w:t>
      </w:r>
      <w:r w:rsidRPr="00912963">
        <w:t>). Throughout the period the real exchange rate is</w:t>
      </w:r>
      <w:r>
        <w:t xml:space="preserve"> below its baseline</w:t>
      </w:r>
      <w:r w:rsidRPr="00912963">
        <w:t xml:space="preserve"> level</w:t>
      </w:r>
      <w:r>
        <w:t xml:space="preserve"> (Figure </w:t>
      </w:r>
      <w:r w:rsidR="002435CF">
        <w:t>5</w:t>
      </w:r>
      <w:r>
        <w:t>). Real devaluation</w:t>
      </w:r>
      <w:r w:rsidRPr="00912963">
        <w:t xml:space="preserve"> of the exchange rate </w:t>
      </w:r>
      <w:r>
        <w:t>improves the competitiveness of Saudi Arabia’s</w:t>
      </w:r>
      <w:r w:rsidRPr="00912963">
        <w:t xml:space="preserve"> export industries on foreign markets and the competitiveness of</w:t>
      </w:r>
      <w:r>
        <w:t xml:space="preserve"> the country’s</w:t>
      </w:r>
      <w:r w:rsidRPr="00912963">
        <w:t xml:space="preserve"> import-competing industries on local markets. </w:t>
      </w:r>
    </w:p>
    <w:p w:rsidR="00BA0C3A" w:rsidRPr="00912963" w:rsidRDefault="00BA0C3A" w:rsidP="00BA0C3A">
      <w:pPr>
        <w:pStyle w:val="Caption"/>
      </w:pPr>
      <w:r>
        <w:t xml:space="preserve">Figure </w:t>
      </w:r>
      <w:r w:rsidR="002435CF">
        <w:t>5</w:t>
      </w:r>
      <w:r>
        <w:t>. Deviations (%) from baseline in trade volumes and the real exchange rate GNE</w:t>
      </w:r>
    </w:p>
    <w:p w:rsidR="00BA0C3A" w:rsidRDefault="00BA0C3A" w:rsidP="00BA0C3A">
      <w:pPr>
        <w:jc w:val="center"/>
      </w:pPr>
      <w:r>
        <w:rPr>
          <w:noProof/>
          <w:lang w:val="en-GB" w:eastAsia="en-GB"/>
        </w:rPr>
        <w:drawing>
          <wp:inline distT="0" distB="0" distL="0" distR="0" wp14:anchorId="0197F8A4" wp14:editId="3E2A6AE5">
            <wp:extent cx="4731026" cy="2456953"/>
            <wp:effectExtent l="0" t="0" r="12700" b="19685"/>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BA0C3A" w:rsidRPr="00912963" w:rsidRDefault="00BA0C3A" w:rsidP="00BA0C3A">
      <w:pPr>
        <w:pStyle w:val="Highlightresult"/>
      </w:pPr>
      <w:r w:rsidRPr="00912963">
        <w:lastRenderedPageBreak/>
        <w:t>Production in some industries</w:t>
      </w:r>
      <w:r>
        <w:t xml:space="preserve"> increases relative to baseline</w:t>
      </w:r>
      <w:r w:rsidRPr="00912963">
        <w:t>, while production in other industries falls.</w:t>
      </w:r>
    </w:p>
    <w:p w:rsidR="00BA0C3A" w:rsidRDefault="00BA0C3A" w:rsidP="00BA0C3A">
      <w:r>
        <w:t xml:space="preserve">Table </w:t>
      </w:r>
      <w:r w:rsidR="006E4505">
        <w:t>2</w:t>
      </w:r>
      <w:r w:rsidRPr="00912963">
        <w:t xml:space="preserve"> shows projected changes</w:t>
      </w:r>
      <w:r>
        <w:t>, relative to baseline value, for the production of</w:t>
      </w:r>
      <w:r w:rsidRPr="00912963">
        <w:t xml:space="preserve"> industries affected most by removal of the</w:t>
      </w:r>
      <w:r>
        <w:t xml:space="preserve"> energy subsidies.</w:t>
      </w:r>
      <w:r w:rsidRPr="00912963">
        <w:t xml:space="preserve"> Information is provided for two years, the fina</w:t>
      </w:r>
      <w:r>
        <w:t>l year of the subsidy cuts, 2018</w:t>
      </w:r>
      <w:r w:rsidRPr="00912963">
        <w:t xml:space="preserve"> and the l</w:t>
      </w:r>
      <w:r>
        <w:t>ast year of the simulation, 2040</w:t>
      </w:r>
      <w:r w:rsidRPr="00912963">
        <w:t>. For each year, the table shows pr</w:t>
      </w:r>
      <w:r>
        <w:t>ojections for percentage deviations</w:t>
      </w:r>
      <w:r w:rsidRPr="00912963">
        <w:t xml:space="preserve"> in industry output sorted from largest positive to larges</w:t>
      </w:r>
      <w:r>
        <w:t>t negative. For example, in 2018</w:t>
      </w:r>
      <w:r w:rsidRPr="00912963">
        <w:t xml:space="preserve"> the first industry listed is </w:t>
      </w:r>
      <w:r>
        <w:t>SewageRefuse (industry 54</w:t>
      </w:r>
      <w:r w:rsidRPr="00912963">
        <w:t>), which is projected to experience the largest percentage i</w:t>
      </w:r>
      <w:r>
        <w:t>ncrease in production (1.8 per cent relative to its baseline level). The last</w:t>
      </w:r>
      <w:r w:rsidRPr="00912963">
        <w:t xml:space="preserve"> industry </w:t>
      </w:r>
      <w:r>
        <w:rPr>
          <w:iCs/>
        </w:rPr>
        <w:t>is AirTrans (industry 40</w:t>
      </w:r>
      <w:r w:rsidRPr="00912963">
        <w:rPr>
          <w:iCs/>
        </w:rPr>
        <w:t>)</w:t>
      </w:r>
      <w:r w:rsidRPr="00912963">
        <w:t>, which is projected to experience the largest fall in production</w:t>
      </w:r>
      <w:r>
        <w:t xml:space="preserve"> (12.7 per cent relative to its baseline level)</w:t>
      </w:r>
      <w:r w:rsidRPr="00912963">
        <w:t>.</w:t>
      </w:r>
    </w:p>
    <w:p w:rsidR="00BA0C3A" w:rsidRDefault="00BA0C3A" w:rsidP="00BA0C3A">
      <w:r>
        <w:t xml:space="preserve">It is important to stress that the numbers in Table </w:t>
      </w:r>
      <w:r w:rsidR="006E4505">
        <w:t>2</w:t>
      </w:r>
      <w:r>
        <w:t xml:space="preserve"> are output changes relative to the baseline forecast, they are not annual growth rates. For example, in the baseline forecast production of AirTrans grows at an average annual rate of 8.1 per cent between 2013 and 2018. With the removal of energy subsidies, the average annual growth rate falls to 5.7 per cent, such that by 2018 the level of output is 12.7 per cent below its baseline value.</w:t>
      </w:r>
    </w:p>
    <w:p w:rsidR="00BA0C3A" w:rsidRDefault="00BA0C3A" w:rsidP="00BA0C3A">
      <w:pPr>
        <w:pStyle w:val="Caption"/>
      </w:pPr>
      <w:r>
        <w:t xml:space="preserve">Table </w:t>
      </w:r>
      <w:r w:rsidR="006E4505">
        <w:t>2</w:t>
      </w:r>
      <w:r>
        <w:t>: Percentage deviations in output of selected industries, ranked.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1984"/>
        <w:gridCol w:w="1453"/>
        <w:gridCol w:w="778"/>
        <w:gridCol w:w="1880"/>
        <w:gridCol w:w="1453"/>
      </w:tblGrid>
      <w:tr w:rsidR="00BA0C3A" w:rsidRPr="00BF16AD" w:rsidTr="00CB7833">
        <w:tc>
          <w:tcPr>
            <w:tcW w:w="4396" w:type="dxa"/>
            <w:gridSpan w:val="3"/>
            <w:tcBorders>
              <w:top w:val="single" w:sz="4" w:space="0" w:color="auto"/>
              <w:bottom w:val="single" w:sz="4" w:space="0" w:color="auto"/>
              <w:right w:val="single" w:sz="4" w:space="0" w:color="auto"/>
            </w:tcBorders>
          </w:tcPr>
          <w:p w:rsidR="00BA0C3A" w:rsidRPr="002C49CB" w:rsidRDefault="00BA0C3A" w:rsidP="00CB7833">
            <w:pPr>
              <w:spacing w:after="0"/>
              <w:jc w:val="center"/>
              <w:rPr>
                <w:rFonts w:ascii="Times New Roman" w:hAnsi="Times New Roman" w:cstheme="minorBidi"/>
                <w:color w:val="000000"/>
                <w:szCs w:val="22"/>
              </w:rPr>
            </w:pPr>
            <w:r w:rsidRPr="002C49CB">
              <w:rPr>
                <w:rFonts w:ascii="Times New Roman" w:hAnsi="Times New Roman" w:cstheme="minorBidi"/>
                <w:color w:val="000000"/>
                <w:szCs w:val="22"/>
              </w:rPr>
              <w:t>2018</w:t>
            </w:r>
          </w:p>
        </w:tc>
        <w:tc>
          <w:tcPr>
            <w:tcW w:w="4111" w:type="dxa"/>
            <w:gridSpan w:val="3"/>
            <w:tcBorders>
              <w:top w:val="single" w:sz="4" w:space="0" w:color="auto"/>
              <w:left w:val="single" w:sz="4" w:space="0" w:color="auto"/>
              <w:bottom w:val="single" w:sz="4" w:space="0" w:color="auto"/>
            </w:tcBorders>
          </w:tcPr>
          <w:p w:rsidR="00BA0C3A" w:rsidRPr="002C49CB" w:rsidRDefault="00BA0C3A" w:rsidP="00CB7833">
            <w:pPr>
              <w:spacing w:after="0"/>
              <w:jc w:val="center"/>
              <w:rPr>
                <w:rFonts w:ascii="Times New Roman" w:hAnsi="Times New Roman" w:cstheme="minorBidi"/>
                <w:color w:val="000000"/>
                <w:szCs w:val="22"/>
              </w:rPr>
            </w:pPr>
            <w:r w:rsidRPr="002C49CB">
              <w:rPr>
                <w:rFonts w:ascii="Times New Roman" w:hAnsi="Times New Roman" w:cstheme="minorBidi"/>
                <w:color w:val="000000"/>
                <w:szCs w:val="22"/>
              </w:rPr>
              <w:t>2040</w:t>
            </w:r>
          </w:p>
        </w:tc>
      </w:tr>
      <w:tr w:rsidR="00BA0C3A" w:rsidRPr="00BF16AD" w:rsidTr="00CB7833">
        <w:tc>
          <w:tcPr>
            <w:tcW w:w="959" w:type="dxa"/>
            <w:tcBorders>
              <w:top w:val="single" w:sz="4" w:space="0" w:color="auto"/>
              <w:bottom w:val="single" w:sz="4" w:space="0" w:color="auto"/>
            </w:tcBorders>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Rank</w:t>
            </w:r>
          </w:p>
        </w:tc>
        <w:tc>
          <w:tcPr>
            <w:tcW w:w="1984" w:type="dxa"/>
            <w:tcBorders>
              <w:top w:val="single" w:sz="4" w:space="0" w:color="auto"/>
              <w:bottom w:val="single" w:sz="4" w:space="0" w:color="auto"/>
            </w:tcBorders>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Industry</w:t>
            </w:r>
          </w:p>
        </w:tc>
        <w:tc>
          <w:tcPr>
            <w:tcW w:w="1453" w:type="dxa"/>
            <w:tcBorders>
              <w:top w:val="single" w:sz="4" w:space="0" w:color="auto"/>
              <w:bottom w:val="single" w:sz="4" w:space="0" w:color="auto"/>
              <w:right w:val="single" w:sz="4" w:space="0" w:color="auto"/>
            </w:tcBorders>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 change</w:t>
            </w:r>
          </w:p>
        </w:tc>
        <w:tc>
          <w:tcPr>
            <w:tcW w:w="778" w:type="dxa"/>
            <w:tcBorders>
              <w:top w:val="single" w:sz="4" w:space="0" w:color="auto"/>
              <w:left w:val="single" w:sz="4" w:space="0" w:color="auto"/>
              <w:bottom w:val="single" w:sz="4" w:space="0" w:color="auto"/>
            </w:tcBorders>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Rank</w:t>
            </w:r>
          </w:p>
        </w:tc>
        <w:tc>
          <w:tcPr>
            <w:tcW w:w="1880" w:type="dxa"/>
            <w:tcBorders>
              <w:top w:val="single" w:sz="4" w:space="0" w:color="auto"/>
              <w:bottom w:val="single" w:sz="4" w:space="0" w:color="auto"/>
            </w:tcBorders>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Industry</w:t>
            </w:r>
          </w:p>
        </w:tc>
        <w:tc>
          <w:tcPr>
            <w:tcW w:w="1453" w:type="dxa"/>
            <w:tcBorders>
              <w:top w:val="single" w:sz="4" w:space="0" w:color="auto"/>
              <w:bottom w:val="single" w:sz="4" w:space="0" w:color="auto"/>
            </w:tcBorders>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 change</w:t>
            </w:r>
          </w:p>
        </w:tc>
      </w:tr>
      <w:tr w:rsidR="00BA0C3A" w:rsidRPr="00BF16AD" w:rsidTr="00CB7833">
        <w:tc>
          <w:tcPr>
            <w:tcW w:w="959" w:type="dxa"/>
            <w:tcBorders>
              <w:top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1</w:t>
            </w:r>
          </w:p>
        </w:tc>
        <w:tc>
          <w:tcPr>
            <w:tcW w:w="1984" w:type="dxa"/>
            <w:tcBorders>
              <w:top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54 SewageRefuse</w:t>
            </w:r>
          </w:p>
        </w:tc>
        <w:tc>
          <w:tcPr>
            <w:tcW w:w="1453" w:type="dxa"/>
            <w:tcBorders>
              <w:top w:val="single" w:sz="4" w:space="0" w:color="auto"/>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1.8</w:t>
            </w:r>
          </w:p>
        </w:tc>
        <w:tc>
          <w:tcPr>
            <w:tcW w:w="778" w:type="dxa"/>
            <w:tcBorders>
              <w:top w:val="single" w:sz="4" w:space="0" w:color="auto"/>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1</w:t>
            </w:r>
          </w:p>
        </w:tc>
        <w:tc>
          <w:tcPr>
            <w:tcW w:w="1880" w:type="dxa"/>
            <w:tcBorders>
              <w:top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9 Tobacco</w:t>
            </w:r>
          </w:p>
        </w:tc>
        <w:tc>
          <w:tcPr>
            <w:tcW w:w="1453" w:type="dxa"/>
            <w:tcBorders>
              <w:top w:val="single" w:sz="4" w:space="0" w:color="auto"/>
            </w:tcBorders>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1.6</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2</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9 Tobacco</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1.8</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2</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46 RealEstate</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1.1</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3</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51 PubAdmin</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1.7</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53 HealthSocSrv</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0.9</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4</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32 Water</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1.7</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4</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32 Water</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0.6</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5</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53 HealthSocSrv</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1.6</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54 SewageRefuse</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0.5</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6</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57 OthServ</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1.2</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6</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51 PubAdmin</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0.4</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7</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52 EducServ</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1.2</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7</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8 FoodBev</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0.3</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8</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8 FoodBev</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0.9</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8</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57 OthServ</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0.2</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9</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33 Construction</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0.9</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9</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52 EducServ</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0.2</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10</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 Fishing</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0.9</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10</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 Fishing</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0.2</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p>
        </w:tc>
        <w:tc>
          <w:tcPr>
            <w:tcW w:w="1984" w:type="dxa"/>
            <w:vAlign w:val="center"/>
          </w:tcPr>
          <w:p w:rsidR="00BA0C3A" w:rsidRPr="002C49CB" w:rsidRDefault="00BA0C3A" w:rsidP="00CB7833">
            <w:pPr>
              <w:spacing w:after="0"/>
              <w:rPr>
                <w:rFonts w:ascii="Times New Roman" w:hAnsi="Times New Roman" w:cstheme="minorBidi"/>
                <w:color w:val="000000"/>
                <w:szCs w:val="22"/>
              </w:rPr>
            </w:pP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 </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p>
        </w:tc>
        <w:tc>
          <w:tcPr>
            <w:tcW w:w="1880" w:type="dxa"/>
            <w:vAlign w:val="center"/>
          </w:tcPr>
          <w:p w:rsidR="00BA0C3A" w:rsidRPr="002C49CB" w:rsidRDefault="00BA0C3A" w:rsidP="00CB7833">
            <w:pPr>
              <w:spacing w:after="0"/>
              <w:rPr>
                <w:rFonts w:ascii="Times New Roman" w:hAnsi="Times New Roman" w:cstheme="minorBidi"/>
                <w:color w:val="000000"/>
                <w:szCs w:val="22"/>
              </w:rPr>
            </w:pP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50</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27 MotorVech</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-4.8</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50</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39 WaterTrans</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-8.4</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51</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16 RefinePetrol</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-4.9</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51</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17 Chemicals</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-8.7</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52</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6 MetalOres</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-5.9</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52</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38 LandTrans</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-9.2</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53</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30 Recycling</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-6.0</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53</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22 MachEquip</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-9.8</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54</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31 Electricity</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-6.2</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54</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23 OthMachComp</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-10.6</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55</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38 LandTrans</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-6.3</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55</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20 BasicMetals</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-10.9</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56</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23 OthMachComp</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-7.0</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56</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6 MetalOres</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-11.4</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57</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20 BasicMetals</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-8.4</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57</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30 Recycling</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-11.5</w:t>
            </w:r>
          </w:p>
        </w:tc>
      </w:tr>
      <w:tr w:rsidR="00BA0C3A" w:rsidRPr="00BF16AD" w:rsidTr="00CB7833">
        <w:tc>
          <w:tcPr>
            <w:tcW w:w="959"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58</w:t>
            </w:r>
          </w:p>
        </w:tc>
        <w:tc>
          <w:tcPr>
            <w:tcW w:w="1984"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28 OthTranEquip</w:t>
            </w:r>
          </w:p>
        </w:tc>
        <w:tc>
          <w:tcPr>
            <w:tcW w:w="1453" w:type="dxa"/>
            <w:tcBorders>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-8.8</w:t>
            </w:r>
          </w:p>
        </w:tc>
        <w:tc>
          <w:tcPr>
            <w:tcW w:w="778" w:type="dxa"/>
            <w:tcBorders>
              <w:left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58</w:t>
            </w:r>
          </w:p>
        </w:tc>
        <w:tc>
          <w:tcPr>
            <w:tcW w:w="1880" w:type="dxa"/>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40 AirTrans</w:t>
            </w:r>
          </w:p>
        </w:tc>
        <w:tc>
          <w:tcPr>
            <w:tcW w:w="1453" w:type="dxa"/>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-12.0</w:t>
            </w:r>
          </w:p>
        </w:tc>
      </w:tr>
      <w:tr w:rsidR="00BA0C3A" w:rsidRPr="00BF16AD" w:rsidTr="00CB7833">
        <w:tc>
          <w:tcPr>
            <w:tcW w:w="959" w:type="dxa"/>
            <w:tcBorders>
              <w:bottom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lang w:eastAsia="en-US"/>
              </w:rPr>
              <w:t>59</w:t>
            </w:r>
          </w:p>
        </w:tc>
        <w:tc>
          <w:tcPr>
            <w:tcW w:w="1984" w:type="dxa"/>
            <w:tcBorders>
              <w:bottom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40 AirTrans</w:t>
            </w:r>
          </w:p>
        </w:tc>
        <w:tc>
          <w:tcPr>
            <w:tcW w:w="1453" w:type="dxa"/>
            <w:tcBorders>
              <w:bottom w:val="single" w:sz="4" w:space="0" w:color="auto"/>
              <w:right w:val="single" w:sz="4" w:space="0" w:color="auto"/>
            </w:tcBorders>
            <w:vAlign w:val="center"/>
          </w:tcPr>
          <w:p w:rsidR="00BA0C3A" w:rsidRPr="002C49CB" w:rsidRDefault="00BA0C3A" w:rsidP="00CB7833">
            <w:pPr>
              <w:tabs>
                <w:tab w:val="decimal" w:pos="601"/>
              </w:tabs>
              <w:spacing w:after="0"/>
              <w:rPr>
                <w:rFonts w:ascii="Times New Roman" w:hAnsi="Times New Roman" w:cstheme="minorBidi"/>
                <w:color w:val="000000"/>
                <w:szCs w:val="22"/>
              </w:rPr>
            </w:pPr>
            <w:r w:rsidRPr="002C49CB">
              <w:rPr>
                <w:rFonts w:ascii="Times New Roman" w:hAnsi="Times New Roman" w:cstheme="minorBidi"/>
                <w:color w:val="000000"/>
                <w:szCs w:val="22"/>
              </w:rPr>
              <w:t>-12.7</w:t>
            </w:r>
          </w:p>
        </w:tc>
        <w:tc>
          <w:tcPr>
            <w:tcW w:w="778" w:type="dxa"/>
            <w:tcBorders>
              <w:left w:val="single" w:sz="4" w:space="0" w:color="auto"/>
              <w:bottom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59</w:t>
            </w:r>
          </w:p>
        </w:tc>
        <w:tc>
          <w:tcPr>
            <w:tcW w:w="1880" w:type="dxa"/>
            <w:tcBorders>
              <w:bottom w:val="single" w:sz="4" w:space="0" w:color="auto"/>
            </w:tcBorders>
            <w:vAlign w:val="center"/>
          </w:tcPr>
          <w:p w:rsidR="00BA0C3A" w:rsidRPr="002C49CB" w:rsidRDefault="00BA0C3A" w:rsidP="00CB7833">
            <w:pPr>
              <w:spacing w:after="0"/>
              <w:rPr>
                <w:rFonts w:ascii="Times New Roman" w:hAnsi="Times New Roman" w:cstheme="minorBidi"/>
                <w:color w:val="000000"/>
                <w:szCs w:val="22"/>
              </w:rPr>
            </w:pPr>
            <w:r w:rsidRPr="002C49CB">
              <w:rPr>
                <w:rFonts w:ascii="Times New Roman" w:hAnsi="Times New Roman" w:cstheme="minorBidi"/>
                <w:color w:val="000000"/>
                <w:szCs w:val="22"/>
              </w:rPr>
              <w:t>28 OthTranEquip</w:t>
            </w:r>
          </w:p>
        </w:tc>
        <w:tc>
          <w:tcPr>
            <w:tcW w:w="1453" w:type="dxa"/>
            <w:tcBorders>
              <w:bottom w:val="single" w:sz="4" w:space="0" w:color="auto"/>
            </w:tcBorders>
            <w:vAlign w:val="center"/>
          </w:tcPr>
          <w:p w:rsidR="00BA0C3A" w:rsidRPr="002C49CB" w:rsidRDefault="00BA0C3A" w:rsidP="00CB7833">
            <w:pPr>
              <w:tabs>
                <w:tab w:val="decimal" w:pos="614"/>
              </w:tabs>
              <w:spacing w:after="0"/>
              <w:rPr>
                <w:rFonts w:ascii="Times New Roman" w:hAnsi="Times New Roman" w:cstheme="minorBidi"/>
                <w:color w:val="000000"/>
                <w:szCs w:val="22"/>
              </w:rPr>
            </w:pPr>
            <w:r w:rsidRPr="002C49CB">
              <w:rPr>
                <w:rFonts w:ascii="Times New Roman" w:hAnsi="Times New Roman" w:cstheme="minorBidi"/>
                <w:color w:val="000000"/>
                <w:szCs w:val="22"/>
              </w:rPr>
              <w:t>-12.7</w:t>
            </w:r>
          </w:p>
        </w:tc>
      </w:tr>
    </w:tbl>
    <w:p w:rsidR="00BA0C3A" w:rsidRDefault="00BA0C3A" w:rsidP="00BA0C3A"/>
    <w:p w:rsidR="00BA0C3A" w:rsidRPr="00912963" w:rsidRDefault="00BA0C3A" w:rsidP="00BA0C3A">
      <w:r>
        <w:t>Comparing 2018 with 2040</w:t>
      </w:r>
      <w:r w:rsidRPr="00912963">
        <w:t>, shows that there is relatively little change in the pattern of results across industries. So, for the sake of brevity we con</w:t>
      </w:r>
      <w:r>
        <w:t>centrate on the numbers for 2018</w:t>
      </w:r>
      <w:r w:rsidRPr="00912963">
        <w:t>.</w:t>
      </w:r>
    </w:p>
    <w:p w:rsidR="00BA0C3A" w:rsidRPr="0062161F" w:rsidRDefault="00BA0C3A" w:rsidP="00BA0C3A">
      <w:r>
        <w:t xml:space="preserve">We focus first on the industries that lose production as a result of the cut in energy subsidies. The greatest loss is experienced by AirTrans (industry 40), with a projected fall in output of 12.7 per cent relative to its baseline level. Fuel is an important input to the production of this industry. With the price of fuel rising by </w:t>
      </w:r>
      <w:r w:rsidRPr="0062161F">
        <w:t xml:space="preserve">over 150 per cent, unit cost of production for air transport services rises significantly. Given elastic demand for the industry’s output, the increase in cost leads to a significant fall in output. Investment in air </w:t>
      </w:r>
      <w:r w:rsidRPr="0062161F">
        <w:lastRenderedPageBreak/>
        <w:t>transport services also declines, which accounts for the reduction in production of the transport equipment supplier, OthTranEquip (industry 28).</w:t>
      </w:r>
    </w:p>
    <w:p w:rsidR="00BA0C3A" w:rsidRPr="0062161F" w:rsidRDefault="00BA0C3A" w:rsidP="00BA0C3A">
      <w:r w:rsidRPr="0062161F">
        <w:t>BasicMetals (industry 56) and OthMachComp (industry 23) owe their low rankings to exposure to investment demand in the transport industries and in the industries directly affected by the cut in subsidies, Electricity (industry 31) and RefinePetrol (16).</w:t>
      </w:r>
    </w:p>
    <w:p w:rsidR="00BA0C3A" w:rsidRDefault="00BA0C3A" w:rsidP="00BA0C3A">
      <w:r w:rsidRPr="0062161F">
        <w:t xml:space="preserve">In the short-term, the directly affected industries are projected to lose output as the cut in subsidies causes demand to fall. Production of Electricity falls by 6.2 per cent relative to its baseline level. Production of RefinePetrol falls by 4.9 per cent. This is in reaction to increases in prices paid by final customers of 150 per </w:t>
      </w:r>
      <w:r>
        <w:t>cent for refined petroleum products and 50 per cent for electricity. It is of interest to note that over time the Electricity and RefinePetrol industries fail to claw back any of these short-run losses of production. In 2040, relative to baseline levels electricity production is down 6.4 per cent, and refine petroleum production is down 6.8 per cent.</w:t>
      </w:r>
    </w:p>
    <w:p w:rsidR="00BA0C3A" w:rsidRPr="00912963" w:rsidRDefault="00BA0C3A" w:rsidP="00BA0C3A">
      <w:r>
        <w:t xml:space="preserve">The remaining industries shown in the lower half of the table either have close input/output connections to intermediate and investment demand in the Electricity and RefinePetrol sectors, or like AirTrans are dependent on fuel as an input and face fairly elastic demand schedules. </w:t>
      </w:r>
      <w:r w:rsidRPr="00912963">
        <w:t>Because of elastic demand</w:t>
      </w:r>
      <w:r>
        <w:t>,</w:t>
      </w:r>
      <w:r w:rsidRPr="00912963">
        <w:t xml:space="preserve"> industries</w:t>
      </w:r>
      <w:r>
        <w:t xml:space="preserve"> in this latter group</w:t>
      </w:r>
      <w:r w:rsidRPr="00912963">
        <w:t xml:space="preserve"> cannot easily pass on the cost increases aris</w:t>
      </w:r>
      <w:r>
        <w:t>ing from the jump in energy</w:t>
      </w:r>
      <w:r w:rsidRPr="00912963">
        <w:t xml:space="preserve"> price</w:t>
      </w:r>
      <w:r>
        <w:t>s</w:t>
      </w:r>
      <w:r w:rsidRPr="00912963">
        <w:t>. Typically, these are trade-expose</w:t>
      </w:r>
      <w:r>
        <w:t xml:space="preserve">d industries. </w:t>
      </w:r>
    </w:p>
    <w:p w:rsidR="001C5B9B" w:rsidRDefault="00BA0C3A" w:rsidP="00BA0C3A">
      <w:r w:rsidRPr="00912963">
        <w:t>The most favourably affected i</w:t>
      </w:r>
      <w:r>
        <w:t>ndustries all have a common characteristic: their</w:t>
      </w:r>
      <w:r w:rsidRPr="00912963">
        <w:t xml:space="preserve"> main </w:t>
      </w:r>
      <w:r>
        <w:t xml:space="preserve">source of demand is private and public consumption spending. As shown in Figure 7, real private and public consumption </w:t>
      </w:r>
      <w:r w:rsidRPr="00912963">
        <w:t>increases by around 2.</w:t>
      </w:r>
      <w:r>
        <w:t>0 per cent relative to baseline levels in 2018</w:t>
      </w:r>
      <w:r w:rsidRPr="00912963">
        <w:t>. Electricity</w:t>
      </w:r>
      <w:r>
        <w:t xml:space="preserve"> and refined petroleum products comprise</w:t>
      </w:r>
      <w:r w:rsidRPr="00912963">
        <w:t xml:space="preserve"> only a small share in the cost of production for these indus</w:t>
      </w:r>
      <w:r>
        <w:t xml:space="preserve">tries. So, with </w:t>
      </w:r>
      <w:r w:rsidRPr="00912963">
        <w:t>expenditure elasticities</w:t>
      </w:r>
      <w:r>
        <w:t xml:space="preserve"> averaging around unity</w:t>
      </w:r>
      <w:r w:rsidRPr="00912963">
        <w:t>, they receive a boost in demand and production</w:t>
      </w:r>
      <w:r>
        <w:t xml:space="preserve"> in line with </w:t>
      </w:r>
      <w:r w:rsidRPr="00912963">
        <w:t>the two per cent projec</w:t>
      </w:r>
      <w:r>
        <w:t>ted increase in aggregate real</w:t>
      </w:r>
      <w:r w:rsidRPr="00912963">
        <w:t xml:space="preserve"> consumption</w:t>
      </w:r>
      <w:r>
        <w:t xml:space="preserve"> spending</w:t>
      </w:r>
      <w:r w:rsidR="00095F36">
        <w:t>.</w:t>
      </w:r>
    </w:p>
    <w:p w:rsidR="00500030" w:rsidRDefault="00500030">
      <w:pPr>
        <w:spacing w:after="200"/>
      </w:pPr>
    </w:p>
    <w:p w:rsidR="00500030" w:rsidRDefault="00500030" w:rsidP="00500030"/>
    <w:p w:rsidR="00500030" w:rsidRDefault="00500030" w:rsidP="00500030">
      <w:r w:rsidRPr="00E82DCC">
        <w:rPr>
          <w:noProof/>
          <w:lang w:eastAsia="en-AU"/>
        </w:rPr>
        <w:t xml:space="preserve"> </w:t>
      </w:r>
    </w:p>
    <w:p w:rsidR="00500030" w:rsidRDefault="00500030" w:rsidP="00500030"/>
    <w:p w:rsidR="00095F36" w:rsidRDefault="00095F36">
      <w:pPr>
        <w:spacing w:after="200"/>
      </w:pPr>
      <w:r>
        <w:br w:type="page"/>
      </w:r>
    </w:p>
    <w:p w:rsidR="00095F36" w:rsidRDefault="00095F36" w:rsidP="00FD2E43">
      <w:pPr>
        <w:pStyle w:val="Heading1"/>
        <w:numPr>
          <w:ilvl w:val="0"/>
          <w:numId w:val="0"/>
        </w:numPr>
        <w:ind w:left="432" w:hanging="432"/>
      </w:pPr>
      <w:bookmarkStart w:id="30" w:name="_Toc448504480"/>
      <w:r>
        <w:lastRenderedPageBreak/>
        <w:t>Reference</w:t>
      </w:r>
      <w:bookmarkEnd w:id="30"/>
    </w:p>
    <w:p w:rsidR="00893E8D" w:rsidRDefault="00893E8D" w:rsidP="0079674C">
      <w:pPr>
        <w:ind w:left="284" w:hanging="284"/>
      </w:pPr>
      <w:r>
        <w:t>Baig, T., Mati, A., Coady, D and Ntamatungiro, J. (2007). Domestic Petroleum Product prices and subsidies: Recent developments and reform strategies. IMF Working paper WP/07/71.</w:t>
      </w:r>
    </w:p>
    <w:p w:rsidR="00633F2E" w:rsidRPr="00CA683C" w:rsidRDefault="00633F2E" w:rsidP="0079674C">
      <w:pPr>
        <w:ind w:left="284" w:hanging="284"/>
      </w:pPr>
      <w:r w:rsidRPr="00CA683C">
        <w:t>Dixon, P.B., Parmenter, B.R., Sutton, J. &amp; Vincent, D.P. (1982). ORANI: A Multisectoral Model of the Australian Economy. North-Holland, Amsterdam.</w:t>
      </w:r>
    </w:p>
    <w:p w:rsidR="00835C52" w:rsidRDefault="00835C52" w:rsidP="0079674C">
      <w:pPr>
        <w:ind w:left="284" w:hanging="284"/>
      </w:pPr>
      <w:r>
        <w:t>Glomm, and Jung, . (2015). A macroeconomic analysis of energy subsidies in a small open economy. Economic Inquiry.Vol. 53, No. 4, October 2015, pp1783-1806.</w:t>
      </w:r>
    </w:p>
    <w:p w:rsidR="00E27978" w:rsidRDefault="00E27978" w:rsidP="0079674C">
      <w:pPr>
        <w:ind w:left="284" w:hanging="284"/>
      </w:pPr>
      <w:r>
        <w:t>Harrison</w:t>
      </w:r>
      <w:r w:rsidR="00835C52">
        <w:t xml:space="preserve">, </w:t>
      </w:r>
      <w:r>
        <w:t xml:space="preserve">Horridge, Jerie &amp; Pearson (2014), </w:t>
      </w:r>
      <w:r w:rsidRPr="00AC5365">
        <w:rPr>
          <w:bCs/>
          <w:i/>
          <w:iCs/>
        </w:rPr>
        <w:t>GEMPACK manual</w:t>
      </w:r>
      <w:r>
        <w:t>, GEMPACK Software, ISBN 978-1-921654-34-3</w:t>
      </w:r>
    </w:p>
    <w:p w:rsidR="00E27978" w:rsidRDefault="00E27978" w:rsidP="0079674C">
      <w:pPr>
        <w:ind w:left="284" w:hanging="284"/>
      </w:pPr>
      <w:r>
        <w:t>Harrison, W.J. and K.R. Pearson (1996), 'Computing Solutions for Large General Equilibrium Models Using GEMPACK', Computational Economics, vol. 9, pp.83-127. [A preliminary version was Impact Preliminary Working Paper No. IP-64, (June 1994), pp.55.]</w:t>
      </w:r>
    </w:p>
    <w:p w:rsidR="00A6549E" w:rsidRDefault="00A6549E" w:rsidP="00A6549E">
      <w:pPr>
        <w:ind w:left="284" w:hanging="284"/>
      </w:pPr>
      <w:r>
        <w:t>International Energy Agency. (2010</w:t>
      </w:r>
      <w:r w:rsidR="007D2018">
        <w:t>a</w:t>
      </w:r>
      <w:r>
        <w:t>). The scope of fossil-fuel subsidies in 2009 and a roadmap for phasing out fossil-fuel subsidies. An IEA, OECD and World Bank Joint Report. Prepared for the G-20 Summit, Seoul. November 2010. Available at:</w:t>
      </w:r>
    </w:p>
    <w:p w:rsidR="00A6549E" w:rsidRDefault="00A6549E" w:rsidP="00A6549E">
      <w:pPr>
        <w:ind w:left="284" w:hanging="284"/>
      </w:pPr>
      <w:r>
        <w:tab/>
      </w:r>
      <w:hyperlink r:id="rId63" w:history="1">
        <w:r w:rsidRPr="009B6E67">
          <w:rPr>
            <w:rStyle w:val="Hyperlink"/>
          </w:rPr>
          <w:t>http://www.worldenergyoutlook.org/media/weowebsite/energysubsidies/second_joint_report.pdf</w:t>
        </w:r>
      </w:hyperlink>
      <w:r w:rsidR="006B75AC">
        <w:t xml:space="preserve">. </w:t>
      </w:r>
      <w:r>
        <w:t>Accessed on: 14 April 2016.</w:t>
      </w:r>
    </w:p>
    <w:p w:rsidR="007D2018" w:rsidRDefault="007D2018" w:rsidP="00A6549E">
      <w:pPr>
        <w:ind w:left="284" w:hanging="284"/>
      </w:pPr>
      <w:r>
        <w:t>International Energy Agency. (2010b). World Energy Outlook 2010. Accessed 15 April 2016.</w:t>
      </w:r>
    </w:p>
    <w:p w:rsidR="006C5997" w:rsidRDefault="006C5997" w:rsidP="00A6549E">
      <w:pPr>
        <w:ind w:left="284" w:hanging="284"/>
      </w:pPr>
      <w:r>
        <w:t xml:space="preserve">International Energy Agency. (1999). World Energy Outlook. Looking at energy subsidies: Getting the prices right. Available at: </w:t>
      </w:r>
      <w:hyperlink r:id="rId64" w:history="1">
        <w:r w:rsidRPr="009B6E67">
          <w:rPr>
            <w:rStyle w:val="Hyperlink"/>
          </w:rPr>
          <w:t>http://www.worldenergyoutlook.org/media/weowebsite/2008-1994/weo1999.pdf</w:t>
        </w:r>
      </w:hyperlink>
    </w:p>
    <w:p w:rsidR="00095F36" w:rsidRDefault="00095F36" w:rsidP="0079674C">
      <w:r>
        <w:t>Ministry of Economic planning (2014). Supply Use Tables for 2010.</w:t>
      </w:r>
    </w:p>
    <w:p w:rsidR="008B18D5" w:rsidRPr="006E4505" w:rsidRDefault="008B18D5" w:rsidP="002650C1">
      <w:pPr>
        <w:ind w:left="284" w:hanging="284"/>
      </w:pPr>
      <w:r w:rsidRPr="006E4505">
        <w:t>Roos, E.L., Adams, P.D., and van Heerden, J.H. (2015). Construction a CGE database using GEMPACK for an African country. Computational Economics. Volume 46, Issue 4, Page 495-518. Published online 11 September 2014. DOI 10.1007/s10614-014-9468-1</w:t>
      </w:r>
    </w:p>
    <w:p w:rsidR="00A71CD4" w:rsidRPr="006E4505" w:rsidRDefault="00A71CD4" w:rsidP="002650C1">
      <w:pPr>
        <w:ind w:left="284" w:hanging="284"/>
      </w:pPr>
      <w:r w:rsidRPr="006E4505">
        <w:t xml:space="preserve">Tully, A. (2015). Saudi Arabia cuts subsidies as budget deficit soars. Available online at: </w:t>
      </w:r>
      <w:hyperlink r:id="rId65" w:history="1">
        <w:r w:rsidRPr="006E4505">
          <w:t>http://oilprice.com/Energy/Energy-General/Saudi-Arabia-Cuts-Subsidies-As-Budget-Deficit-Soars.html</w:t>
        </w:r>
      </w:hyperlink>
      <w:r w:rsidRPr="006E4505">
        <w:t xml:space="preserve">. Accessed on 15 </w:t>
      </w:r>
      <w:r w:rsidR="00540CB4" w:rsidRPr="006E4505">
        <w:t>A</w:t>
      </w:r>
      <w:r w:rsidRPr="006E4505">
        <w:t>pril 2016</w:t>
      </w:r>
    </w:p>
    <w:p w:rsidR="0001376B" w:rsidRPr="006E4505" w:rsidRDefault="0001376B" w:rsidP="002650C1">
      <w:pPr>
        <w:ind w:left="284" w:hanging="284"/>
      </w:pPr>
      <w:r w:rsidRPr="006E4505">
        <w:t xml:space="preserve">United Nations. (2009). Systems of National Accounts, 2008. Available at: </w:t>
      </w:r>
      <w:hyperlink r:id="rId66" w:history="1">
        <w:r w:rsidRPr="006E4505">
          <w:t>http://unstats.un.org/unsd/nationalaccount/docs/SNA2008.pdf</w:t>
        </w:r>
      </w:hyperlink>
      <w:r w:rsidRPr="006E4505">
        <w:t xml:space="preserve"> Accessed on 29 February 2016.</w:t>
      </w:r>
    </w:p>
    <w:p w:rsidR="0001376B" w:rsidRDefault="00505992" w:rsidP="00F82A66">
      <w:pPr>
        <w:ind w:left="284" w:hanging="284"/>
      </w:pPr>
      <w:r>
        <w:t xml:space="preserve">United National Environment Programme (UNEP). (2008). Energy, Climate Change and Sustainable development. Available at: </w:t>
      </w:r>
      <w:hyperlink r:id="rId67" w:history="1">
        <w:r w:rsidRPr="009B6E67">
          <w:rPr>
            <w:rStyle w:val="Hyperlink"/>
          </w:rPr>
          <w:t>http://www.unep.org/pdf/pressreleases/reforming_energy_subsidies.pdf</w:t>
        </w:r>
      </w:hyperlink>
    </w:p>
    <w:p w:rsidR="00505992" w:rsidRDefault="00505992" w:rsidP="00F82A66">
      <w:pPr>
        <w:ind w:left="284"/>
      </w:pPr>
      <w:r>
        <w:t>Accessed on: 15 April 2016</w:t>
      </w:r>
    </w:p>
    <w:sectPr w:rsidR="00505992" w:rsidSect="00A048A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87E" w:rsidRDefault="0077587E" w:rsidP="00BA0C3A">
      <w:pPr>
        <w:spacing w:after="0" w:line="240" w:lineRule="auto"/>
      </w:pPr>
      <w:r>
        <w:separator/>
      </w:r>
    </w:p>
  </w:endnote>
  <w:endnote w:type="continuationSeparator" w:id="0">
    <w:p w:rsidR="0077587E" w:rsidRDefault="0077587E" w:rsidP="00BA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Estrangelo Edessa">
    <w:panose1 w:val="03080600000000000000"/>
    <w:charset w:val="00"/>
    <w:family w:val="script"/>
    <w:pitch w:val="variable"/>
    <w:sig w:usb0="80002043" w:usb1="00000000" w:usb2="0000008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9369201"/>
      <w:docPartObj>
        <w:docPartGallery w:val="Page Numbers (Bottom of Page)"/>
        <w:docPartUnique/>
      </w:docPartObj>
    </w:sdtPr>
    <w:sdtEndPr>
      <w:rPr>
        <w:noProof/>
      </w:rPr>
    </w:sdtEndPr>
    <w:sdtContent>
      <w:p w:rsidR="00211717" w:rsidRDefault="00211717">
        <w:pPr>
          <w:pStyle w:val="Footer"/>
          <w:jc w:val="center"/>
        </w:pPr>
        <w:r w:rsidRPr="00A048A0">
          <w:rPr>
            <w:sz w:val="18"/>
          </w:rPr>
          <w:fldChar w:fldCharType="begin"/>
        </w:r>
        <w:r w:rsidRPr="00A048A0">
          <w:rPr>
            <w:sz w:val="18"/>
          </w:rPr>
          <w:instrText xml:space="preserve"> PAGE   \* MERGEFORMAT </w:instrText>
        </w:r>
        <w:r w:rsidRPr="00A048A0">
          <w:rPr>
            <w:sz w:val="18"/>
          </w:rPr>
          <w:fldChar w:fldCharType="separate"/>
        </w:r>
        <w:r w:rsidR="00380366">
          <w:rPr>
            <w:noProof/>
            <w:sz w:val="18"/>
          </w:rPr>
          <w:t>17</w:t>
        </w:r>
        <w:r w:rsidRPr="00A048A0">
          <w:rPr>
            <w:noProof/>
            <w:sz w:val="18"/>
          </w:rPr>
          <w:fldChar w:fldCharType="end"/>
        </w:r>
      </w:p>
    </w:sdtContent>
  </w:sdt>
  <w:p w:rsidR="00211717" w:rsidRDefault="002117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87E" w:rsidRDefault="0077587E" w:rsidP="00BA0C3A">
      <w:pPr>
        <w:spacing w:after="0" w:line="240" w:lineRule="auto"/>
      </w:pPr>
      <w:r>
        <w:separator/>
      </w:r>
    </w:p>
  </w:footnote>
  <w:footnote w:type="continuationSeparator" w:id="0">
    <w:p w:rsidR="0077587E" w:rsidRDefault="0077587E" w:rsidP="00BA0C3A">
      <w:pPr>
        <w:spacing w:after="0" w:line="240" w:lineRule="auto"/>
      </w:pPr>
      <w:r>
        <w:continuationSeparator/>
      </w:r>
    </w:p>
  </w:footnote>
  <w:footnote w:id="1">
    <w:p w:rsidR="00211717" w:rsidRPr="00CA7E38" w:rsidRDefault="00211717" w:rsidP="005E1065">
      <w:pPr>
        <w:pStyle w:val="FootnoteText"/>
        <w:rPr>
          <w:lang w:val="en-AU"/>
        </w:rPr>
      </w:pPr>
      <w:r>
        <w:rPr>
          <w:rStyle w:val="FootnoteReference"/>
        </w:rPr>
        <w:footnoteRef/>
      </w:r>
      <w:r>
        <w:t xml:space="preserve"> </w:t>
      </w:r>
      <w:r w:rsidRPr="00CA7E38">
        <w:t>Zakat is an obligatory payment required from Muslims according to the sharia and forms one of t</w:t>
      </w:r>
      <w:r>
        <w:t>he five pillars of Islam. In Saudi the Z</w:t>
      </w:r>
      <w:r w:rsidRPr="00CA7E38">
        <w:t>akat is assessed on Saudi and GCC nationals and on c</w:t>
      </w:r>
      <w:r>
        <w:t xml:space="preserve">ompanies that are wholly owned </w:t>
      </w:r>
      <w:r w:rsidRPr="00CA7E38">
        <w:t>by those individuals or their equity interest in companies. In general, zakat is levied at a fixed rate of 2.5% on the hig</w:t>
      </w:r>
      <w:r>
        <w:t>her of adjusted taxable profits</w:t>
      </w:r>
      <w:r w:rsidRPr="00CA7E38">
        <w:t xml:space="preserve"> and other items.</w:t>
      </w:r>
    </w:p>
  </w:footnote>
  <w:footnote w:id="2">
    <w:p w:rsidR="00211717" w:rsidRPr="009D10F3" w:rsidRDefault="00211717" w:rsidP="0052742E">
      <w:pPr>
        <w:pStyle w:val="FootnoteText"/>
        <w:rPr>
          <w:lang w:val="en-AU"/>
        </w:rPr>
      </w:pPr>
      <w:r>
        <w:rPr>
          <w:rStyle w:val="FootnoteReference"/>
        </w:rPr>
        <w:footnoteRef/>
      </w:r>
      <w:r>
        <w:t xml:space="preserve"> </w:t>
      </w:r>
      <w:r>
        <w:rPr>
          <w:lang w:val="en-AU"/>
        </w:rPr>
        <w:t xml:space="preserve">These countries include Bahrain, Iran, Iraq, Kuwait, Oman, Qatar, Saudi Arabia and the United Arab Emirates (UAE). </w:t>
      </w:r>
    </w:p>
  </w:footnote>
  <w:footnote w:id="3">
    <w:p w:rsidR="00211717" w:rsidRPr="00AC5365" w:rsidRDefault="00211717">
      <w:pPr>
        <w:pStyle w:val="FootnoteText"/>
        <w:rPr>
          <w:lang w:val="en-AU"/>
        </w:rPr>
      </w:pPr>
      <w:r>
        <w:rPr>
          <w:rStyle w:val="FootnoteReference"/>
        </w:rPr>
        <w:footnoteRef/>
      </w:r>
      <w:r>
        <w:t xml:space="preserve"> </w:t>
      </w:r>
      <w:r>
        <w:rPr>
          <w:lang w:val="en-AU"/>
        </w:rPr>
        <w:t>Given the exchange rate of 1US$ = 3.75 Riyals, this is an increase from 16 cents to 24 cents per litre.</w:t>
      </w:r>
    </w:p>
  </w:footnote>
  <w:footnote w:id="4">
    <w:p w:rsidR="00211717" w:rsidRDefault="00211717">
      <w:pPr>
        <w:pStyle w:val="FootnoteText"/>
      </w:pPr>
      <w:r>
        <w:rPr>
          <w:rStyle w:val="FootnoteReference"/>
        </w:rPr>
        <w:footnoteRef/>
      </w:r>
      <w:r>
        <w:t xml:space="preserve"> SGEM allows for the modelling of various sets of commodity prices. </w:t>
      </w:r>
      <w:r w:rsidRPr="00A319B9">
        <w:t>For example, basic prices are prices before taxes on products are added and subsidies on products are subtracted. It does not include the value of margin services on the flow of commodities. For domestic goods it is it is the prices received by producers. For imported goods it is the prices received by importers. Sales taxes and margins are excluded but import duties are included (Dixon et al, 1982:108-115).</w:t>
      </w:r>
      <w:r>
        <w:t xml:space="preserve"> </w:t>
      </w:r>
    </w:p>
    <w:p w:rsidR="00211717" w:rsidRPr="00216A83" w:rsidRDefault="00211717">
      <w:pPr>
        <w:pStyle w:val="FootnoteText"/>
        <w:rPr>
          <w:lang w:val="en-AU"/>
        </w:rPr>
      </w:pPr>
      <w:r>
        <w:t>Purchasers’ price on the other hand includes margin costs and sales taxes. Of interest in this paper is purchasers’ price.</w:t>
      </w:r>
    </w:p>
  </w:footnote>
  <w:footnote w:id="5">
    <w:p w:rsidR="00211717" w:rsidRDefault="00211717">
      <w:pPr>
        <w:pStyle w:val="FootnoteText"/>
      </w:pPr>
      <w:r>
        <w:rPr>
          <w:rStyle w:val="FootnoteReference"/>
        </w:rPr>
        <w:footnoteRef/>
      </w:r>
      <w:r>
        <w:t xml:space="preserve"> Since a policy change might involve movement of a tax to a subsidy tax rates </w:t>
      </w:r>
      <w:r w:rsidRPr="00201FEF">
        <w:t>can pass through zero</w:t>
      </w:r>
      <w:r>
        <w:t xml:space="preserve"> (or indeed begin at zero)</w:t>
      </w:r>
      <w:r w:rsidRPr="00201FEF">
        <w:t xml:space="preserve">. Therefore, </w:t>
      </w:r>
      <w:r>
        <w:t xml:space="preserve">tax rates are </w:t>
      </w:r>
      <w:r w:rsidRPr="00201FEF">
        <w:t>normally represent</w:t>
      </w:r>
      <w:r>
        <w:t>ed in the model as</w:t>
      </w:r>
      <w:r w:rsidRPr="00201FEF">
        <w:t xml:space="preserve"> power</w:t>
      </w:r>
      <w:r>
        <w:t>s</w:t>
      </w:r>
      <w:r w:rsidRPr="00201FEF">
        <w:t xml:space="preserve"> of the</w:t>
      </w:r>
      <w:r>
        <w:t xml:space="preserve"> relevant</w:t>
      </w:r>
      <w:r w:rsidRPr="00201FEF">
        <w:t xml:space="preserve"> tax </w:t>
      </w:r>
      <w:r>
        <w:t xml:space="preserve">              </w:t>
      </w:r>
      <w:r w:rsidRPr="00201FEF">
        <w:t>(</w:t>
      </w:r>
      <w:r>
        <w:t xml:space="preserve">t </w:t>
      </w:r>
      <w:r w:rsidRPr="00201FEF">
        <w:t>=1</w:t>
      </w:r>
      <w:r>
        <w:t xml:space="preserve"> </w:t>
      </w:r>
      <w:r w:rsidRPr="00201FEF">
        <w:t xml:space="preserve">+ </w:t>
      </w:r>
      <w:r>
        <w:t xml:space="preserve">tax </w:t>
      </w:r>
      <w:r w:rsidRPr="00201FEF">
        <w:t xml:space="preserve">rate). </w:t>
      </w:r>
      <w:r>
        <w:t>The tax rate is defined as the</w:t>
      </w:r>
      <w:r w:rsidRPr="00201FEF">
        <w:t xml:space="preserve"> ratio of tax revenue </w:t>
      </w:r>
      <w:r>
        <w:t>to</w:t>
      </w:r>
      <w:r w:rsidRPr="00201FEF">
        <w:t xml:space="preserve"> the tax base</w:t>
      </w:r>
      <w:r>
        <w:t xml:space="preserve">. That is </w:t>
      </w:r>
      <w:r w:rsidRPr="00F51181">
        <w:rPr>
          <w:position w:val="-26"/>
        </w:rPr>
        <w:object w:dxaOrig="2140" w:dyaOrig="620">
          <v:shape id="_x0000_i1059" type="#_x0000_t75" style="width:107.05pt;height:30.7pt" o:ole="">
            <v:imagedata r:id="rId1" o:title=""/>
          </v:shape>
          <o:OLEObject Type="Embed" ProgID="Equation.DSMT4" ShapeID="_x0000_i1059" DrawAspect="Content" ObjectID="_1522247670" r:id="rId2"/>
        </w:object>
      </w:r>
      <w:r>
        <w:t xml:space="preserve"> where c </w:t>
      </w:r>
      <w:r w:rsidRPr="0064794C">
        <w:rPr>
          <w:position w:val="-4"/>
        </w:rPr>
        <w:object w:dxaOrig="180" w:dyaOrig="180">
          <v:shape id="_x0000_i1060" type="#_x0000_t75" style="width:8.75pt;height:8.75pt" o:ole="">
            <v:imagedata r:id="rId3" o:title=""/>
          </v:shape>
          <o:OLEObject Type="Embed" ProgID="Equation.DSMT4" ShapeID="_x0000_i1060" DrawAspect="Content" ObjectID="_1522247671" r:id="rId4"/>
        </w:object>
      </w:r>
      <w:r>
        <w:t xml:space="preserve"> COM, s </w:t>
      </w:r>
      <w:r w:rsidRPr="0064794C">
        <w:rPr>
          <w:position w:val="-4"/>
        </w:rPr>
        <w:object w:dxaOrig="180" w:dyaOrig="180">
          <v:shape id="_x0000_i1061" type="#_x0000_t75" style="width:8.75pt;height:8.75pt" o:ole="">
            <v:imagedata r:id="rId3" o:title=""/>
          </v:shape>
          <o:OLEObject Type="Embed" ProgID="Equation.DSMT4" ShapeID="_x0000_i1061" DrawAspect="Content" ObjectID="_1522247672" r:id="rId5"/>
        </w:object>
      </w:r>
      <w:r>
        <w:t xml:space="preserve">SRC, u </w:t>
      </w:r>
      <w:r w:rsidRPr="0064794C">
        <w:rPr>
          <w:position w:val="-4"/>
        </w:rPr>
        <w:object w:dxaOrig="180" w:dyaOrig="180">
          <v:shape id="_x0000_i1062" type="#_x0000_t75" style="width:8.75pt;height:8.75pt" o:ole="">
            <v:imagedata r:id="rId3" o:title=""/>
          </v:shape>
          <o:OLEObject Type="Embed" ProgID="Equation.DSMT4" ShapeID="_x0000_i1062" DrawAspect="Content" ObjectID="_1522247673" r:id="rId6"/>
        </w:object>
      </w:r>
      <w:r>
        <w:t xml:space="preserve">USER, t </w:t>
      </w:r>
      <w:r w:rsidRPr="0064794C">
        <w:rPr>
          <w:position w:val="-4"/>
        </w:rPr>
        <w:object w:dxaOrig="180" w:dyaOrig="180">
          <v:shape id="_x0000_i1063" type="#_x0000_t75" style="width:8.75pt;height:8.75pt" o:ole="">
            <v:imagedata r:id="rId3" o:title=""/>
          </v:shape>
          <o:OLEObject Type="Embed" ProgID="Equation.DSMT4" ShapeID="_x0000_i1063" DrawAspect="Content" ObjectID="_1522247674" r:id="rId7"/>
        </w:object>
      </w:r>
      <w:r>
        <w:t>TAX. Tax revenues are read in from the database. The tax bases for the various indirect taxes are:</w:t>
      </w:r>
    </w:p>
    <w:p w:rsidR="00211717" w:rsidRPr="00511ADB" w:rsidRDefault="00211717" w:rsidP="00511ADB">
      <w:pPr>
        <w:pStyle w:val="ListParagraph"/>
        <w:widowControl w:val="0"/>
        <w:numPr>
          <w:ilvl w:val="0"/>
          <w:numId w:val="4"/>
        </w:numPr>
        <w:adjustRightInd w:val="0"/>
        <w:spacing w:before="80" w:after="160" w:line="240" w:lineRule="auto"/>
        <w:jc w:val="both"/>
        <w:textAlignment w:val="baseline"/>
        <w:rPr>
          <w:rFonts w:ascii="Times New Roman" w:eastAsia="Times New Roman" w:hAnsi="Times New Roman" w:cs="Times New Roman"/>
          <w:sz w:val="20"/>
          <w:szCs w:val="20"/>
          <w:lang w:val="en-GB" w:eastAsia="en-AU"/>
        </w:rPr>
      </w:pPr>
      <w:r w:rsidRPr="00511ADB">
        <w:rPr>
          <w:rFonts w:ascii="Times New Roman" w:eastAsia="Times New Roman" w:hAnsi="Times New Roman" w:cs="Times New Roman"/>
          <w:sz w:val="20"/>
          <w:szCs w:val="20"/>
          <w:lang w:val="en-GB" w:eastAsia="en-AU"/>
        </w:rPr>
        <w:t>For Sales taxes: the basic value of commodity flows</w:t>
      </w:r>
      <w:r>
        <w:rPr>
          <w:rFonts w:ascii="Times New Roman" w:eastAsia="Times New Roman" w:hAnsi="Times New Roman" w:cs="Times New Roman"/>
          <w:sz w:val="20"/>
          <w:szCs w:val="20"/>
          <w:lang w:val="en-GB" w:eastAsia="en-AU"/>
        </w:rPr>
        <w:t>.</w:t>
      </w:r>
    </w:p>
    <w:p w:rsidR="00211717" w:rsidRDefault="00211717" w:rsidP="00511ADB">
      <w:pPr>
        <w:pStyle w:val="ListParagraph"/>
        <w:widowControl w:val="0"/>
        <w:numPr>
          <w:ilvl w:val="0"/>
          <w:numId w:val="4"/>
        </w:numPr>
        <w:adjustRightInd w:val="0"/>
        <w:spacing w:before="80" w:after="160" w:line="240" w:lineRule="auto"/>
        <w:jc w:val="both"/>
        <w:textAlignment w:val="baseline"/>
        <w:rPr>
          <w:rFonts w:ascii="Times New Roman" w:eastAsia="Times New Roman" w:hAnsi="Times New Roman" w:cs="Times New Roman"/>
          <w:sz w:val="20"/>
          <w:szCs w:val="20"/>
          <w:lang w:val="en-GB" w:eastAsia="en-AU"/>
        </w:rPr>
      </w:pPr>
      <w:r w:rsidRPr="00511ADB">
        <w:rPr>
          <w:rFonts w:ascii="Times New Roman" w:eastAsia="Times New Roman" w:hAnsi="Times New Roman" w:cs="Times New Roman"/>
          <w:sz w:val="20"/>
          <w:szCs w:val="20"/>
          <w:lang w:val="en-GB" w:eastAsia="en-AU"/>
        </w:rPr>
        <w:t>For Tariffs: the c.i.f value of imports</w:t>
      </w:r>
      <w:r>
        <w:rPr>
          <w:rFonts w:ascii="Times New Roman" w:eastAsia="Times New Roman" w:hAnsi="Times New Roman" w:cs="Times New Roman"/>
          <w:sz w:val="20"/>
          <w:szCs w:val="20"/>
          <w:lang w:val="en-GB" w:eastAsia="en-AU"/>
        </w:rPr>
        <w:t>.</w:t>
      </w:r>
    </w:p>
    <w:p w:rsidR="00211717" w:rsidRPr="00511ADB" w:rsidRDefault="00211717" w:rsidP="00511ADB">
      <w:pPr>
        <w:pStyle w:val="ListParagraph"/>
        <w:widowControl w:val="0"/>
        <w:numPr>
          <w:ilvl w:val="0"/>
          <w:numId w:val="4"/>
        </w:numPr>
        <w:adjustRightInd w:val="0"/>
        <w:spacing w:before="80" w:after="160" w:line="240" w:lineRule="auto"/>
        <w:jc w:val="both"/>
        <w:textAlignment w:val="baseline"/>
        <w:rPr>
          <w:rFonts w:ascii="Times New Roman" w:eastAsia="Times New Roman" w:hAnsi="Times New Roman" w:cs="Times New Roman"/>
          <w:sz w:val="20"/>
          <w:szCs w:val="20"/>
          <w:lang w:val="en-GB" w:eastAsia="en-AU"/>
        </w:rPr>
      </w:pPr>
      <w:r w:rsidRPr="00511ADB">
        <w:rPr>
          <w:rFonts w:ascii="Times New Roman" w:eastAsia="Times New Roman" w:hAnsi="Times New Roman" w:cs="Times New Roman"/>
          <w:sz w:val="20"/>
          <w:szCs w:val="20"/>
          <w:lang w:val="en-GB" w:eastAsia="en-AU"/>
        </w:rPr>
        <w:t>For production taxes: the basic value of industry output</w:t>
      </w:r>
      <w:r>
        <w:rPr>
          <w:rFonts w:ascii="Times New Roman" w:eastAsia="Times New Roman" w:hAnsi="Times New Roman" w:cs="Times New Roman"/>
          <w:sz w:val="20"/>
          <w:szCs w:val="20"/>
          <w:lang w:val="en-GB" w:eastAsia="en-AU"/>
        </w:rPr>
        <w:t>.</w:t>
      </w:r>
    </w:p>
    <w:p w:rsidR="00211717" w:rsidRPr="00511ADB" w:rsidRDefault="00211717">
      <w:pPr>
        <w:pStyle w:val="FootnoteText"/>
      </w:pPr>
    </w:p>
  </w:footnote>
  <w:footnote w:id="6">
    <w:p w:rsidR="00211717" w:rsidRPr="00A319B9" w:rsidRDefault="00211717" w:rsidP="00452BA6">
      <w:pPr>
        <w:pStyle w:val="FootnoteText"/>
        <w:rPr>
          <w:lang w:val="en-AU"/>
        </w:rPr>
      </w:pPr>
      <w:r>
        <w:rPr>
          <w:rStyle w:val="FootnoteReference"/>
        </w:rPr>
        <w:footnoteRef/>
      </w:r>
      <w:r>
        <w:t xml:space="preserve"> </w:t>
      </w:r>
      <w:r>
        <w:rPr>
          <w:lang w:val="en-AU"/>
        </w:rPr>
        <w:t>Clearly government revenue is highly dependent on the price of oil. If the price of oil falls, government revenue falls. There is scope for reforms that allows tax revenue to increase its share in government revenue. This will smooth out the volatility in government revenue due to changes in oil prices.</w:t>
      </w:r>
    </w:p>
  </w:footnote>
  <w:footnote w:id="7">
    <w:p w:rsidR="00211717" w:rsidRPr="00B43DB9" w:rsidRDefault="00211717" w:rsidP="005A18BB">
      <w:pPr>
        <w:pStyle w:val="FootnoteText"/>
        <w:rPr>
          <w:lang w:val="en-AU"/>
        </w:rPr>
      </w:pPr>
      <w:r>
        <w:rPr>
          <w:rStyle w:val="FootnoteReference"/>
        </w:rPr>
        <w:footnoteRef/>
      </w:r>
      <w:r>
        <w:rPr>
          <w:lang w:val="en-AU"/>
        </w:rPr>
        <w:t xml:space="preserve"> Indirect tax includes taxes on international trade (approx. 14 billion SAR) and production tax (approx. 3 million SAR). No income tax is payable. Tax on income and profits is approximately 7.1 billion SAR. Non-tax revenue includes fees and charges as well as investment income. </w:t>
      </w:r>
    </w:p>
  </w:footnote>
  <w:footnote w:id="8">
    <w:p w:rsidR="00211717" w:rsidRPr="00252290" w:rsidRDefault="00211717" w:rsidP="00D55E3C">
      <w:pPr>
        <w:pStyle w:val="FootnoteText"/>
        <w:rPr>
          <w:lang w:val="en-AU"/>
        </w:rPr>
      </w:pPr>
      <w:r>
        <w:rPr>
          <w:rStyle w:val="FootnoteReference"/>
        </w:rPr>
        <w:footnoteRef/>
      </w:r>
      <w:r>
        <w:t xml:space="preserve"> </w:t>
      </w:r>
      <w:r>
        <w:rPr>
          <w:lang w:val="en-AU"/>
        </w:rPr>
        <w:t>These estimates have been provided by NICDP on an informal basis.</w:t>
      </w:r>
    </w:p>
  </w:footnote>
  <w:footnote w:id="9">
    <w:p w:rsidR="00211717" w:rsidRPr="00D70B00" w:rsidRDefault="00211717" w:rsidP="00BA0C3A">
      <w:pPr>
        <w:pStyle w:val="FootnoteText"/>
        <w:rPr>
          <w:lang w:val="en-AU"/>
        </w:rPr>
      </w:pPr>
      <w:r>
        <w:rPr>
          <w:rStyle w:val="FootnoteReference"/>
        </w:rPr>
        <w:footnoteRef/>
      </w:r>
      <w:r>
        <w:t xml:space="preserve"> </w:t>
      </w:r>
      <w:r>
        <w:rPr>
          <w:lang w:val="en-AU"/>
        </w:rPr>
        <w:t xml:space="preserve">The components of GNE are private consumption, public consumption and investment. In these simulations, the deviations in real private consumption and real public consumption are identical. Hence in this figure only two lines appear. The consumption-line that sits above zero is actually two lines one on top of the other.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55E53"/>
    <w:multiLevelType w:val="hybridMultilevel"/>
    <w:tmpl w:val="B94AD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C874E6D"/>
    <w:multiLevelType w:val="hybridMultilevel"/>
    <w:tmpl w:val="D4020D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3304CDF"/>
    <w:multiLevelType w:val="hybridMultilevel"/>
    <w:tmpl w:val="ABAEB6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961463E"/>
    <w:multiLevelType w:val="hybridMultilevel"/>
    <w:tmpl w:val="E9D636A8"/>
    <w:lvl w:ilvl="0" w:tplc="0C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60255E"/>
    <w:multiLevelType w:val="hybridMultilevel"/>
    <w:tmpl w:val="53766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3C386AEF"/>
    <w:multiLevelType w:val="multilevel"/>
    <w:tmpl w:val="BEC63A3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nsid w:val="55706E10"/>
    <w:multiLevelType w:val="hybridMultilevel"/>
    <w:tmpl w:val="7A3A6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579F2EE7"/>
    <w:multiLevelType w:val="hybridMultilevel"/>
    <w:tmpl w:val="2EF826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5B871C82"/>
    <w:multiLevelType w:val="multilevel"/>
    <w:tmpl w:val="828244B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68AB4043"/>
    <w:multiLevelType w:val="hybridMultilevel"/>
    <w:tmpl w:val="158292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7"/>
  </w:num>
  <w:num w:numId="4">
    <w:abstractNumId w:val="4"/>
  </w:num>
  <w:num w:numId="5">
    <w:abstractNumId w:val="9"/>
  </w:num>
  <w:num w:numId="6">
    <w:abstractNumId w:val="3"/>
  </w:num>
  <w:num w:numId="7">
    <w:abstractNumId w:val="1"/>
  </w:num>
  <w:num w:numId="8">
    <w:abstractNumId w:val="2"/>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C3A"/>
    <w:rsid w:val="0001376B"/>
    <w:rsid w:val="00013993"/>
    <w:rsid w:val="00022DB6"/>
    <w:rsid w:val="00035ED1"/>
    <w:rsid w:val="000453A5"/>
    <w:rsid w:val="0006184B"/>
    <w:rsid w:val="00062B0A"/>
    <w:rsid w:val="00063189"/>
    <w:rsid w:val="00066F4A"/>
    <w:rsid w:val="00070D1D"/>
    <w:rsid w:val="00077AC8"/>
    <w:rsid w:val="00095F36"/>
    <w:rsid w:val="000A3DC8"/>
    <w:rsid w:val="000A54EE"/>
    <w:rsid w:val="000B7F0B"/>
    <w:rsid w:val="000C2C06"/>
    <w:rsid w:val="000F3F92"/>
    <w:rsid w:val="000F4F71"/>
    <w:rsid w:val="000F753E"/>
    <w:rsid w:val="00107907"/>
    <w:rsid w:val="001111E6"/>
    <w:rsid w:val="00112779"/>
    <w:rsid w:val="00122472"/>
    <w:rsid w:val="001224E4"/>
    <w:rsid w:val="00124D38"/>
    <w:rsid w:val="00124F95"/>
    <w:rsid w:val="00133BD2"/>
    <w:rsid w:val="001348E1"/>
    <w:rsid w:val="00135087"/>
    <w:rsid w:val="00143AD2"/>
    <w:rsid w:val="00144B74"/>
    <w:rsid w:val="00151EE0"/>
    <w:rsid w:val="00165DA5"/>
    <w:rsid w:val="00174118"/>
    <w:rsid w:val="00176F7F"/>
    <w:rsid w:val="00180AE8"/>
    <w:rsid w:val="0018724E"/>
    <w:rsid w:val="001913F3"/>
    <w:rsid w:val="001918A0"/>
    <w:rsid w:val="001A335D"/>
    <w:rsid w:val="001A4A3B"/>
    <w:rsid w:val="001C3D6A"/>
    <w:rsid w:val="001C3EED"/>
    <w:rsid w:val="001C5B9B"/>
    <w:rsid w:val="001D60DC"/>
    <w:rsid w:val="001F7DA4"/>
    <w:rsid w:val="00205A2F"/>
    <w:rsid w:val="002078C6"/>
    <w:rsid w:val="00211717"/>
    <w:rsid w:val="00216A83"/>
    <w:rsid w:val="002275B8"/>
    <w:rsid w:val="0023041A"/>
    <w:rsid w:val="002331E1"/>
    <w:rsid w:val="00234324"/>
    <w:rsid w:val="00242C10"/>
    <w:rsid w:val="002435CF"/>
    <w:rsid w:val="0024467B"/>
    <w:rsid w:val="00247AFF"/>
    <w:rsid w:val="00263540"/>
    <w:rsid w:val="00264E5E"/>
    <w:rsid w:val="002650C1"/>
    <w:rsid w:val="00280151"/>
    <w:rsid w:val="00286527"/>
    <w:rsid w:val="00292698"/>
    <w:rsid w:val="0029313C"/>
    <w:rsid w:val="00293B88"/>
    <w:rsid w:val="002A2D68"/>
    <w:rsid w:val="002A39FE"/>
    <w:rsid w:val="002A4F52"/>
    <w:rsid w:val="002B4BF0"/>
    <w:rsid w:val="002B63F0"/>
    <w:rsid w:val="002E0384"/>
    <w:rsid w:val="002E30EE"/>
    <w:rsid w:val="002E61DC"/>
    <w:rsid w:val="003018BB"/>
    <w:rsid w:val="003128ED"/>
    <w:rsid w:val="0031665D"/>
    <w:rsid w:val="00321D3A"/>
    <w:rsid w:val="00324270"/>
    <w:rsid w:val="00325123"/>
    <w:rsid w:val="0033497D"/>
    <w:rsid w:val="003368F0"/>
    <w:rsid w:val="00342040"/>
    <w:rsid w:val="00380366"/>
    <w:rsid w:val="003952DF"/>
    <w:rsid w:val="003A388F"/>
    <w:rsid w:val="003B1238"/>
    <w:rsid w:val="003C10EA"/>
    <w:rsid w:val="003C116F"/>
    <w:rsid w:val="003D119B"/>
    <w:rsid w:val="003D23A7"/>
    <w:rsid w:val="003D3656"/>
    <w:rsid w:val="003F6602"/>
    <w:rsid w:val="004120BD"/>
    <w:rsid w:val="00412245"/>
    <w:rsid w:val="0041431E"/>
    <w:rsid w:val="004150C7"/>
    <w:rsid w:val="00421FC7"/>
    <w:rsid w:val="004279FF"/>
    <w:rsid w:val="004339B3"/>
    <w:rsid w:val="004475FD"/>
    <w:rsid w:val="004512B3"/>
    <w:rsid w:val="00452BA6"/>
    <w:rsid w:val="00454C55"/>
    <w:rsid w:val="0045592F"/>
    <w:rsid w:val="0047239A"/>
    <w:rsid w:val="004768CD"/>
    <w:rsid w:val="00482AAC"/>
    <w:rsid w:val="004878CE"/>
    <w:rsid w:val="00493F9D"/>
    <w:rsid w:val="00494E0C"/>
    <w:rsid w:val="004A1974"/>
    <w:rsid w:val="004A53E5"/>
    <w:rsid w:val="004B26D5"/>
    <w:rsid w:val="004B604C"/>
    <w:rsid w:val="004B6977"/>
    <w:rsid w:val="004D07E8"/>
    <w:rsid w:val="004D6AB8"/>
    <w:rsid w:val="004E4E7F"/>
    <w:rsid w:val="00500030"/>
    <w:rsid w:val="00505992"/>
    <w:rsid w:val="00510787"/>
    <w:rsid w:val="0051149E"/>
    <w:rsid w:val="00511ADB"/>
    <w:rsid w:val="0052742E"/>
    <w:rsid w:val="005316A3"/>
    <w:rsid w:val="005334B6"/>
    <w:rsid w:val="00540CB4"/>
    <w:rsid w:val="00554C4B"/>
    <w:rsid w:val="00554F11"/>
    <w:rsid w:val="00561E04"/>
    <w:rsid w:val="00564764"/>
    <w:rsid w:val="00565B1A"/>
    <w:rsid w:val="005669A5"/>
    <w:rsid w:val="00571C91"/>
    <w:rsid w:val="00582051"/>
    <w:rsid w:val="00583A73"/>
    <w:rsid w:val="005866EE"/>
    <w:rsid w:val="00594B8D"/>
    <w:rsid w:val="00595E5C"/>
    <w:rsid w:val="005A18BB"/>
    <w:rsid w:val="005B5DF3"/>
    <w:rsid w:val="005B787C"/>
    <w:rsid w:val="005C233C"/>
    <w:rsid w:val="005D1199"/>
    <w:rsid w:val="005E1065"/>
    <w:rsid w:val="005F067E"/>
    <w:rsid w:val="005F4C68"/>
    <w:rsid w:val="005F7C32"/>
    <w:rsid w:val="00602961"/>
    <w:rsid w:val="00620FF8"/>
    <w:rsid w:val="00623AD4"/>
    <w:rsid w:val="0062621E"/>
    <w:rsid w:val="00630BA0"/>
    <w:rsid w:val="00631C2E"/>
    <w:rsid w:val="00631FB9"/>
    <w:rsid w:val="00633F2E"/>
    <w:rsid w:val="00635777"/>
    <w:rsid w:val="0064794C"/>
    <w:rsid w:val="00647F20"/>
    <w:rsid w:val="00650B13"/>
    <w:rsid w:val="00650FFE"/>
    <w:rsid w:val="00664301"/>
    <w:rsid w:val="006663AB"/>
    <w:rsid w:val="006673FD"/>
    <w:rsid w:val="0067164C"/>
    <w:rsid w:val="00673E76"/>
    <w:rsid w:val="00683F84"/>
    <w:rsid w:val="00697A6C"/>
    <w:rsid w:val="006A618B"/>
    <w:rsid w:val="006B60F0"/>
    <w:rsid w:val="006B75AC"/>
    <w:rsid w:val="006C5997"/>
    <w:rsid w:val="006C7529"/>
    <w:rsid w:val="006D13C7"/>
    <w:rsid w:val="006D23FD"/>
    <w:rsid w:val="006D4E35"/>
    <w:rsid w:val="006E3B3F"/>
    <w:rsid w:val="006E4505"/>
    <w:rsid w:val="006E627F"/>
    <w:rsid w:val="006F2DC0"/>
    <w:rsid w:val="006F4DF4"/>
    <w:rsid w:val="006F513A"/>
    <w:rsid w:val="00701D24"/>
    <w:rsid w:val="00702232"/>
    <w:rsid w:val="00712FEC"/>
    <w:rsid w:val="00713502"/>
    <w:rsid w:val="00723D5E"/>
    <w:rsid w:val="0072546D"/>
    <w:rsid w:val="0073611B"/>
    <w:rsid w:val="00742C7B"/>
    <w:rsid w:val="00765189"/>
    <w:rsid w:val="00765E6C"/>
    <w:rsid w:val="0077587E"/>
    <w:rsid w:val="007819C6"/>
    <w:rsid w:val="00785DF3"/>
    <w:rsid w:val="00786625"/>
    <w:rsid w:val="007909E5"/>
    <w:rsid w:val="0079674C"/>
    <w:rsid w:val="007A46B9"/>
    <w:rsid w:val="007B21B3"/>
    <w:rsid w:val="007B24D4"/>
    <w:rsid w:val="007C0825"/>
    <w:rsid w:val="007C257E"/>
    <w:rsid w:val="007C30A0"/>
    <w:rsid w:val="007D2018"/>
    <w:rsid w:val="007D7C97"/>
    <w:rsid w:val="007F39DB"/>
    <w:rsid w:val="007F4FBF"/>
    <w:rsid w:val="008031E1"/>
    <w:rsid w:val="00834424"/>
    <w:rsid w:val="008357EC"/>
    <w:rsid w:val="00835C52"/>
    <w:rsid w:val="008467FE"/>
    <w:rsid w:val="00854C98"/>
    <w:rsid w:val="008720C7"/>
    <w:rsid w:val="00873243"/>
    <w:rsid w:val="00875CC0"/>
    <w:rsid w:val="008835BD"/>
    <w:rsid w:val="00884B0F"/>
    <w:rsid w:val="00891CC2"/>
    <w:rsid w:val="00893E8D"/>
    <w:rsid w:val="00896824"/>
    <w:rsid w:val="008A1EAD"/>
    <w:rsid w:val="008A6D8B"/>
    <w:rsid w:val="008B18D5"/>
    <w:rsid w:val="008C0E90"/>
    <w:rsid w:val="008C1AAB"/>
    <w:rsid w:val="008D7107"/>
    <w:rsid w:val="008E5F63"/>
    <w:rsid w:val="008E7074"/>
    <w:rsid w:val="008F6C00"/>
    <w:rsid w:val="00903209"/>
    <w:rsid w:val="00915633"/>
    <w:rsid w:val="009204ED"/>
    <w:rsid w:val="009208D5"/>
    <w:rsid w:val="00920A30"/>
    <w:rsid w:val="00922F37"/>
    <w:rsid w:val="009269D3"/>
    <w:rsid w:val="009348D9"/>
    <w:rsid w:val="00943545"/>
    <w:rsid w:val="00945133"/>
    <w:rsid w:val="00950B32"/>
    <w:rsid w:val="00952C7F"/>
    <w:rsid w:val="00954083"/>
    <w:rsid w:val="00955651"/>
    <w:rsid w:val="00964787"/>
    <w:rsid w:val="00965698"/>
    <w:rsid w:val="00970270"/>
    <w:rsid w:val="00970E92"/>
    <w:rsid w:val="0098790F"/>
    <w:rsid w:val="009A138D"/>
    <w:rsid w:val="009A165D"/>
    <w:rsid w:val="009B7C7E"/>
    <w:rsid w:val="009C1B15"/>
    <w:rsid w:val="009C2EC9"/>
    <w:rsid w:val="009D10F3"/>
    <w:rsid w:val="009D40A6"/>
    <w:rsid w:val="009E49D4"/>
    <w:rsid w:val="009F3080"/>
    <w:rsid w:val="009F76D9"/>
    <w:rsid w:val="00A048A0"/>
    <w:rsid w:val="00A05B35"/>
    <w:rsid w:val="00A14475"/>
    <w:rsid w:val="00A14C0B"/>
    <w:rsid w:val="00A17297"/>
    <w:rsid w:val="00A319B9"/>
    <w:rsid w:val="00A321CC"/>
    <w:rsid w:val="00A47766"/>
    <w:rsid w:val="00A53A24"/>
    <w:rsid w:val="00A558B8"/>
    <w:rsid w:val="00A61E24"/>
    <w:rsid w:val="00A61E77"/>
    <w:rsid w:val="00A6549E"/>
    <w:rsid w:val="00A71CD4"/>
    <w:rsid w:val="00A80C57"/>
    <w:rsid w:val="00A946B3"/>
    <w:rsid w:val="00AA0F7A"/>
    <w:rsid w:val="00AA4F68"/>
    <w:rsid w:val="00AB1664"/>
    <w:rsid w:val="00AB38E4"/>
    <w:rsid w:val="00AC0A60"/>
    <w:rsid w:val="00AC13FE"/>
    <w:rsid w:val="00AC29A0"/>
    <w:rsid w:val="00AC5365"/>
    <w:rsid w:val="00AD244C"/>
    <w:rsid w:val="00AF0C55"/>
    <w:rsid w:val="00B022C1"/>
    <w:rsid w:val="00B04FB0"/>
    <w:rsid w:val="00B07316"/>
    <w:rsid w:val="00B1124F"/>
    <w:rsid w:val="00B37B9F"/>
    <w:rsid w:val="00B40C34"/>
    <w:rsid w:val="00B43DB9"/>
    <w:rsid w:val="00B51433"/>
    <w:rsid w:val="00B6264C"/>
    <w:rsid w:val="00B63102"/>
    <w:rsid w:val="00B74F4B"/>
    <w:rsid w:val="00B75D0D"/>
    <w:rsid w:val="00B90A06"/>
    <w:rsid w:val="00BA0C3A"/>
    <w:rsid w:val="00BA67B6"/>
    <w:rsid w:val="00BB494E"/>
    <w:rsid w:val="00BC59EB"/>
    <w:rsid w:val="00BD117C"/>
    <w:rsid w:val="00BD40BD"/>
    <w:rsid w:val="00BE2C9C"/>
    <w:rsid w:val="00BE4E98"/>
    <w:rsid w:val="00BE67D7"/>
    <w:rsid w:val="00BE6D02"/>
    <w:rsid w:val="00C072D6"/>
    <w:rsid w:val="00C23B50"/>
    <w:rsid w:val="00C32A1B"/>
    <w:rsid w:val="00C42942"/>
    <w:rsid w:val="00C42D22"/>
    <w:rsid w:val="00C4760A"/>
    <w:rsid w:val="00C5677F"/>
    <w:rsid w:val="00C56DB0"/>
    <w:rsid w:val="00C70D4F"/>
    <w:rsid w:val="00C7258B"/>
    <w:rsid w:val="00C8435B"/>
    <w:rsid w:val="00C8558D"/>
    <w:rsid w:val="00C936AA"/>
    <w:rsid w:val="00CA0D7B"/>
    <w:rsid w:val="00CA683C"/>
    <w:rsid w:val="00CB7833"/>
    <w:rsid w:val="00CB7B2C"/>
    <w:rsid w:val="00CC7175"/>
    <w:rsid w:val="00CC7206"/>
    <w:rsid w:val="00CD4E66"/>
    <w:rsid w:val="00CD585A"/>
    <w:rsid w:val="00CD592F"/>
    <w:rsid w:val="00CD5FCD"/>
    <w:rsid w:val="00CE0FDF"/>
    <w:rsid w:val="00CE5AB2"/>
    <w:rsid w:val="00CF7B98"/>
    <w:rsid w:val="00D003B3"/>
    <w:rsid w:val="00D03B84"/>
    <w:rsid w:val="00D25FD1"/>
    <w:rsid w:val="00D277D3"/>
    <w:rsid w:val="00D31D92"/>
    <w:rsid w:val="00D55E3C"/>
    <w:rsid w:val="00D569E9"/>
    <w:rsid w:val="00D570F9"/>
    <w:rsid w:val="00D62ADA"/>
    <w:rsid w:val="00D65EBD"/>
    <w:rsid w:val="00D723CC"/>
    <w:rsid w:val="00D83133"/>
    <w:rsid w:val="00D847B9"/>
    <w:rsid w:val="00D947D0"/>
    <w:rsid w:val="00DA239F"/>
    <w:rsid w:val="00DA5218"/>
    <w:rsid w:val="00DA661B"/>
    <w:rsid w:val="00DB217D"/>
    <w:rsid w:val="00DB2E74"/>
    <w:rsid w:val="00DC1357"/>
    <w:rsid w:val="00DD47C6"/>
    <w:rsid w:val="00DE30C5"/>
    <w:rsid w:val="00DE6866"/>
    <w:rsid w:val="00DF0E82"/>
    <w:rsid w:val="00DF4DE6"/>
    <w:rsid w:val="00E04F79"/>
    <w:rsid w:val="00E06B1C"/>
    <w:rsid w:val="00E12584"/>
    <w:rsid w:val="00E13055"/>
    <w:rsid w:val="00E2023C"/>
    <w:rsid w:val="00E27978"/>
    <w:rsid w:val="00E3245E"/>
    <w:rsid w:val="00E4180B"/>
    <w:rsid w:val="00E44B06"/>
    <w:rsid w:val="00E46886"/>
    <w:rsid w:val="00E614D5"/>
    <w:rsid w:val="00E64678"/>
    <w:rsid w:val="00E65DFC"/>
    <w:rsid w:val="00E673E1"/>
    <w:rsid w:val="00E7108B"/>
    <w:rsid w:val="00E82DCC"/>
    <w:rsid w:val="00E86C98"/>
    <w:rsid w:val="00EA39F4"/>
    <w:rsid w:val="00EB4A5A"/>
    <w:rsid w:val="00ED1294"/>
    <w:rsid w:val="00ED51E4"/>
    <w:rsid w:val="00EE10EF"/>
    <w:rsid w:val="00EE1E6E"/>
    <w:rsid w:val="00EE4DB9"/>
    <w:rsid w:val="00EE6DED"/>
    <w:rsid w:val="00EE7CC1"/>
    <w:rsid w:val="00EF0801"/>
    <w:rsid w:val="00EF0EDF"/>
    <w:rsid w:val="00EF157E"/>
    <w:rsid w:val="00EF1CBA"/>
    <w:rsid w:val="00EF37D4"/>
    <w:rsid w:val="00EF6B1E"/>
    <w:rsid w:val="00F13CA5"/>
    <w:rsid w:val="00F13FEF"/>
    <w:rsid w:val="00F20EE1"/>
    <w:rsid w:val="00F34C5C"/>
    <w:rsid w:val="00F47210"/>
    <w:rsid w:val="00F50128"/>
    <w:rsid w:val="00F51181"/>
    <w:rsid w:val="00F51B07"/>
    <w:rsid w:val="00F6330A"/>
    <w:rsid w:val="00F65956"/>
    <w:rsid w:val="00F66059"/>
    <w:rsid w:val="00F67EB6"/>
    <w:rsid w:val="00F82A66"/>
    <w:rsid w:val="00F9019E"/>
    <w:rsid w:val="00F93FA0"/>
    <w:rsid w:val="00FA46D6"/>
    <w:rsid w:val="00FB0087"/>
    <w:rsid w:val="00FB053A"/>
    <w:rsid w:val="00FB1095"/>
    <w:rsid w:val="00FB3A33"/>
    <w:rsid w:val="00FC251E"/>
    <w:rsid w:val="00FC33DA"/>
    <w:rsid w:val="00FD0013"/>
    <w:rsid w:val="00FD007F"/>
    <w:rsid w:val="00FD2E43"/>
    <w:rsid w:val="00FD4597"/>
    <w:rsid w:val="00FD757E"/>
    <w:rsid w:val="00FD7EF9"/>
    <w:rsid w:val="00FF3A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C3A"/>
    <w:pPr>
      <w:spacing w:after="120"/>
    </w:pPr>
    <w:rPr>
      <w:rFonts w:ascii="Arial" w:eastAsiaTheme="minorEastAsia" w:hAnsi="Arial"/>
      <w:szCs w:val="24"/>
    </w:rPr>
  </w:style>
  <w:style w:type="paragraph" w:styleId="Heading1">
    <w:name w:val="heading 1"/>
    <w:basedOn w:val="Heading2"/>
    <w:next w:val="Normal"/>
    <w:link w:val="Heading1Char"/>
    <w:uiPriority w:val="1"/>
    <w:qFormat/>
    <w:rsid w:val="00CF7B98"/>
    <w:pPr>
      <w:numPr>
        <w:ilvl w:val="0"/>
      </w:numPr>
      <w:outlineLvl w:val="0"/>
    </w:pPr>
    <w:rPr>
      <w:sz w:val="32"/>
      <w:szCs w:val="48"/>
    </w:rPr>
  </w:style>
  <w:style w:type="paragraph" w:styleId="Heading2">
    <w:name w:val="heading 2"/>
    <w:basedOn w:val="Heading3"/>
    <w:next w:val="Normal"/>
    <w:link w:val="Heading2Char"/>
    <w:uiPriority w:val="1"/>
    <w:unhideWhenUsed/>
    <w:qFormat/>
    <w:rsid w:val="00A14475"/>
    <w:pPr>
      <w:numPr>
        <w:ilvl w:val="1"/>
      </w:numPr>
      <w:outlineLvl w:val="1"/>
    </w:pPr>
    <w:rPr>
      <w:sz w:val="26"/>
      <w:szCs w:val="40"/>
    </w:rPr>
  </w:style>
  <w:style w:type="paragraph" w:styleId="Heading3">
    <w:name w:val="heading 3"/>
    <w:basedOn w:val="Normal"/>
    <w:next w:val="Normal"/>
    <w:link w:val="Heading3Char"/>
    <w:uiPriority w:val="1"/>
    <w:unhideWhenUsed/>
    <w:qFormat/>
    <w:rsid w:val="00EE1E6E"/>
    <w:pPr>
      <w:numPr>
        <w:ilvl w:val="2"/>
        <w:numId w:val="9"/>
      </w:numPr>
      <w:spacing w:line="312" w:lineRule="auto"/>
      <w:outlineLvl w:val="2"/>
    </w:pPr>
    <w:rPr>
      <w:b/>
      <w:szCs w:val="32"/>
    </w:rPr>
  </w:style>
  <w:style w:type="paragraph" w:styleId="Heading4">
    <w:name w:val="heading 4"/>
    <w:basedOn w:val="Normal"/>
    <w:next w:val="Normal"/>
    <w:link w:val="Heading4Char"/>
    <w:uiPriority w:val="9"/>
    <w:unhideWhenUsed/>
    <w:qFormat/>
    <w:rsid w:val="00BA0C3A"/>
    <w:pPr>
      <w:keepNext/>
      <w:keepLines/>
      <w:numPr>
        <w:ilvl w:val="3"/>
        <w:numId w:val="9"/>
      </w:numPr>
      <w:spacing w:before="200"/>
      <w:outlineLvl w:val="3"/>
    </w:pPr>
    <w:rPr>
      <w:rFonts w:eastAsiaTheme="majorEastAsia" w:cs="Arial"/>
      <w:b/>
      <w:bCs/>
      <w:iCs/>
      <w:color w:val="808080" w:themeColor="background1" w:themeShade="80"/>
    </w:rPr>
  </w:style>
  <w:style w:type="paragraph" w:styleId="Heading5">
    <w:name w:val="heading 5"/>
    <w:basedOn w:val="Normal"/>
    <w:next w:val="Normal"/>
    <w:link w:val="Heading5Char"/>
    <w:uiPriority w:val="9"/>
    <w:unhideWhenUsed/>
    <w:qFormat/>
    <w:rsid w:val="00BA0C3A"/>
    <w:pPr>
      <w:keepNext/>
      <w:keepLines/>
      <w:numPr>
        <w:ilvl w:val="4"/>
        <w:numId w:val="9"/>
      </w:numPr>
      <w:spacing w:before="200"/>
      <w:outlineLvl w:val="4"/>
    </w:pPr>
    <w:rPr>
      <w:rFonts w:eastAsiaTheme="majorEastAsia" w:cstheme="majorBidi"/>
      <w:i/>
      <w:color w:val="808080" w:themeColor="background1" w:themeShade="80"/>
    </w:rPr>
  </w:style>
  <w:style w:type="paragraph" w:styleId="Heading6">
    <w:name w:val="heading 6"/>
    <w:basedOn w:val="Normal"/>
    <w:next w:val="Normal"/>
    <w:link w:val="Heading6Char"/>
    <w:uiPriority w:val="9"/>
    <w:unhideWhenUsed/>
    <w:qFormat/>
    <w:rsid w:val="00BA0C3A"/>
    <w:pPr>
      <w:keepNext/>
      <w:keepLines/>
      <w:numPr>
        <w:ilvl w:val="5"/>
        <w:numId w:val="9"/>
      </w:numPr>
      <w:spacing w:before="200"/>
      <w:outlineLvl w:val="5"/>
    </w:pPr>
    <w:rPr>
      <w:rFonts w:eastAsiaTheme="majorEastAsia" w:cstheme="majorBidi"/>
      <w:iCs/>
      <w:color w:val="808080" w:themeColor="background1" w:themeShade="80"/>
      <w:u w:val="single"/>
    </w:rPr>
  </w:style>
  <w:style w:type="paragraph" w:styleId="Heading7">
    <w:name w:val="heading 7"/>
    <w:basedOn w:val="Normal"/>
    <w:next w:val="Normal"/>
    <w:link w:val="Heading7Char"/>
    <w:uiPriority w:val="9"/>
    <w:unhideWhenUsed/>
    <w:qFormat/>
    <w:rsid w:val="00BA0C3A"/>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A0C3A"/>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A0C3A"/>
    <w:pPr>
      <w:keepNext/>
      <w:keepLines/>
      <w:numPr>
        <w:ilvl w:val="8"/>
        <w:numId w:val="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F7B98"/>
    <w:rPr>
      <w:rFonts w:ascii="Arial" w:eastAsiaTheme="minorEastAsia" w:hAnsi="Arial"/>
      <w:b/>
      <w:sz w:val="32"/>
      <w:szCs w:val="48"/>
    </w:rPr>
  </w:style>
  <w:style w:type="character" w:customStyle="1" w:styleId="Heading2Char">
    <w:name w:val="Heading 2 Char"/>
    <w:basedOn w:val="DefaultParagraphFont"/>
    <w:link w:val="Heading2"/>
    <w:uiPriority w:val="1"/>
    <w:rsid w:val="00A14475"/>
    <w:rPr>
      <w:rFonts w:ascii="Arial" w:eastAsiaTheme="minorEastAsia" w:hAnsi="Arial"/>
      <w:b/>
      <w:sz w:val="26"/>
      <w:szCs w:val="40"/>
    </w:rPr>
  </w:style>
  <w:style w:type="character" w:customStyle="1" w:styleId="Heading3Char">
    <w:name w:val="Heading 3 Char"/>
    <w:basedOn w:val="DefaultParagraphFont"/>
    <w:link w:val="Heading3"/>
    <w:uiPriority w:val="1"/>
    <w:rsid w:val="00EE1E6E"/>
    <w:rPr>
      <w:rFonts w:ascii="Arial" w:eastAsiaTheme="minorEastAsia" w:hAnsi="Arial"/>
      <w:b/>
      <w:szCs w:val="32"/>
    </w:rPr>
  </w:style>
  <w:style w:type="character" w:customStyle="1" w:styleId="Heading4Char">
    <w:name w:val="Heading 4 Char"/>
    <w:basedOn w:val="DefaultParagraphFont"/>
    <w:link w:val="Heading4"/>
    <w:uiPriority w:val="9"/>
    <w:rsid w:val="00BA0C3A"/>
    <w:rPr>
      <w:rFonts w:ascii="Arial" w:eastAsiaTheme="majorEastAsia" w:hAnsi="Arial" w:cs="Arial"/>
      <w:b/>
      <w:bCs/>
      <w:iCs/>
      <w:color w:val="808080" w:themeColor="background1" w:themeShade="80"/>
      <w:szCs w:val="24"/>
    </w:rPr>
  </w:style>
  <w:style w:type="character" w:customStyle="1" w:styleId="Heading5Char">
    <w:name w:val="Heading 5 Char"/>
    <w:basedOn w:val="DefaultParagraphFont"/>
    <w:link w:val="Heading5"/>
    <w:uiPriority w:val="9"/>
    <w:rsid w:val="00BA0C3A"/>
    <w:rPr>
      <w:rFonts w:ascii="Arial" w:eastAsiaTheme="majorEastAsia" w:hAnsi="Arial" w:cstheme="majorBidi"/>
      <w:i/>
      <w:color w:val="808080" w:themeColor="background1" w:themeShade="80"/>
      <w:szCs w:val="24"/>
    </w:rPr>
  </w:style>
  <w:style w:type="character" w:customStyle="1" w:styleId="Heading6Char">
    <w:name w:val="Heading 6 Char"/>
    <w:basedOn w:val="DefaultParagraphFont"/>
    <w:link w:val="Heading6"/>
    <w:uiPriority w:val="9"/>
    <w:rsid w:val="00BA0C3A"/>
    <w:rPr>
      <w:rFonts w:ascii="Arial" w:eastAsiaTheme="majorEastAsia" w:hAnsi="Arial" w:cstheme="majorBidi"/>
      <w:iCs/>
      <w:color w:val="808080" w:themeColor="background1" w:themeShade="80"/>
      <w:szCs w:val="24"/>
      <w:u w:val="single"/>
    </w:rPr>
  </w:style>
  <w:style w:type="character" w:customStyle="1" w:styleId="Heading7Char">
    <w:name w:val="Heading 7 Char"/>
    <w:basedOn w:val="DefaultParagraphFont"/>
    <w:link w:val="Heading7"/>
    <w:uiPriority w:val="9"/>
    <w:rsid w:val="00BA0C3A"/>
    <w:rPr>
      <w:rFonts w:asciiTheme="majorHAnsi" w:eastAsiaTheme="majorEastAsia" w:hAnsiTheme="majorHAnsi" w:cstheme="majorBidi"/>
      <w:i/>
      <w:iCs/>
      <w:color w:val="404040" w:themeColor="text1" w:themeTint="BF"/>
      <w:szCs w:val="24"/>
    </w:rPr>
  </w:style>
  <w:style w:type="character" w:customStyle="1" w:styleId="Heading8Char">
    <w:name w:val="Heading 8 Char"/>
    <w:basedOn w:val="DefaultParagraphFont"/>
    <w:link w:val="Heading8"/>
    <w:uiPriority w:val="9"/>
    <w:semiHidden/>
    <w:rsid w:val="00BA0C3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A0C3A"/>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rsid w:val="00BA0C3A"/>
    <w:pPr>
      <w:jc w:val="both"/>
    </w:pPr>
    <w:rPr>
      <w:rFonts w:ascii="Times New Roman" w:eastAsia="Times New Roman" w:hAnsi="Times New Roman" w:cs="Times New Roman"/>
      <w:sz w:val="20"/>
      <w:szCs w:val="20"/>
      <w:lang w:val="en-GB" w:eastAsia="en-AU"/>
    </w:rPr>
  </w:style>
  <w:style w:type="character" w:customStyle="1" w:styleId="FootnoteTextChar">
    <w:name w:val="Footnote Text Char"/>
    <w:basedOn w:val="DefaultParagraphFont"/>
    <w:link w:val="FootnoteText"/>
    <w:uiPriority w:val="99"/>
    <w:rsid w:val="00BA0C3A"/>
    <w:rPr>
      <w:rFonts w:ascii="Times New Roman" w:eastAsia="Times New Roman" w:hAnsi="Times New Roman" w:cs="Times New Roman"/>
      <w:sz w:val="20"/>
      <w:szCs w:val="20"/>
      <w:lang w:val="en-GB" w:eastAsia="en-AU"/>
    </w:rPr>
  </w:style>
  <w:style w:type="character" w:styleId="FootnoteReference">
    <w:name w:val="footnote reference"/>
    <w:basedOn w:val="DefaultParagraphFont"/>
    <w:rsid w:val="00BA0C3A"/>
    <w:rPr>
      <w:vertAlign w:val="superscript"/>
    </w:rPr>
  </w:style>
  <w:style w:type="paragraph" w:styleId="Caption">
    <w:name w:val="caption"/>
    <w:basedOn w:val="Normal"/>
    <w:next w:val="Normal"/>
    <w:qFormat/>
    <w:rsid w:val="00BA0C3A"/>
    <w:pPr>
      <w:keepNext/>
      <w:spacing w:before="80" w:after="60" w:line="320" w:lineRule="atLeast"/>
      <w:jc w:val="center"/>
    </w:pPr>
    <w:rPr>
      <w:rFonts w:ascii="Book Antiqua" w:eastAsia="Times New Roman" w:hAnsi="Book Antiqua" w:cs="Times New Roman"/>
      <w:b/>
      <w:bCs/>
      <w:szCs w:val="22"/>
      <w:lang w:eastAsia="en-AU"/>
    </w:rPr>
  </w:style>
  <w:style w:type="table" w:styleId="TableGrid">
    <w:name w:val="Table Grid"/>
    <w:basedOn w:val="TableNormal"/>
    <w:rsid w:val="00BA0C3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ghlightresult">
    <w:name w:val="Highlight result"/>
    <w:basedOn w:val="Normal"/>
    <w:link w:val="HighlightresultChar"/>
    <w:qFormat/>
    <w:rsid w:val="00BA0C3A"/>
    <w:pPr>
      <w:spacing w:before="240" w:line="280" w:lineRule="atLeast"/>
      <w:jc w:val="both"/>
      <w:outlineLvl w:val="5"/>
    </w:pPr>
    <w:rPr>
      <w:rFonts w:ascii="Book Antiqua" w:eastAsia="Times New Roman" w:hAnsi="Book Antiqua" w:cs="Times New Roman"/>
      <w:b/>
      <w:bCs/>
      <w:i/>
      <w:color w:val="008000"/>
      <w:sz w:val="24"/>
      <w:szCs w:val="22"/>
      <w:lang w:eastAsia="en-AU"/>
    </w:rPr>
  </w:style>
  <w:style w:type="character" w:customStyle="1" w:styleId="HighlightresultChar">
    <w:name w:val="Highlight result Char"/>
    <w:basedOn w:val="DefaultParagraphFont"/>
    <w:link w:val="Highlightresult"/>
    <w:rsid w:val="00BA0C3A"/>
    <w:rPr>
      <w:rFonts w:ascii="Book Antiqua" w:eastAsia="Times New Roman" w:hAnsi="Book Antiqua" w:cs="Times New Roman"/>
      <w:b/>
      <w:bCs/>
      <w:i/>
      <w:color w:val="008000"/>
      <w:sz w:val="24"/>
      <w:lang w:eastAsia="en-AU"/>
    </w:rPr>
  </w:style>
  <w:style w:type="character" w:styleId="Emphasis">
    <w:name w:val="Emphasis"/>
    <w:basedOn w:val="DefaultParagraphFont"/>
    <w:uiPriority w:val="20"/>
    <w:qFormat/>
    <w:rsid w:val="00BA0C3A"/>
    <w:rPr>
      <w:i/>
      <w:iCs/>
    </w:rPr>
  </w:style>
  <w:style w:type="paragraph" w:styleId="BalloonText">
    <w:name w:val="Balloon Text"/>
    <w:basedOn w:val="Normal"/>
    <w:link w:val="BalloonTextChar"/>
    <w:uiPriority w:val="99"/>
    <w:semiHidden/>
    <w:unhideWhenUsed/>
    <w:rsid w:val="00BA0C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C3A"/>
    <w:rPr>
      <w:rFonts w:ascii="Tahoma" w:eastAsiaTheme="minorEastAsia" w:hAnsi="Tahoma" w:cs="Tahoma"/>
      <w:sz w:val="16"/>
      <w:szCs w:val="16"/>
    </w:rPr>
  </w:style>
  <w:style w:type="character" w:styleId="Hyperlink">
    <w:name w:val="Hyperlink"/>
    <w:basedOn w:val="DefaultParagraphFont"/>
    <w:uiPriority w:val="99"/>
    <w:unhideWhenUsed/>
    <w:rsid w:val="0001376B"/>
    <w:rPr>
      <w:color w:val="0000FF" w:themeColor="hyperlink"/>
      <w:u w:val="single"/>
    </w:rPr>
  </w:style>
  <w:style w:type="paragraph" w:customStyle="1" w:styleId="reference">
    <w:name w:val="reference"/>
    <w:basedOn w:val="Normal"/>
    <w:rsid w:val="00633F2E"/>
    <w:pPr>
      <w:spacing w:after="0"/>
    </w:pPr>
    <w:rPr>
      <w:rFonts w:ascii="Cambria" w:eastAsia="MS Mincho" w:hAnsi="Cambria" w:cs="Times New Roman"/>
      <w:sz w:val="20"/>
      <w:lang w:val="en-GB"/>
    </w:rPr>
  </w:style>
  <w:style w:type="paragraph" w:styleId="ListParagraph">
    <w:name w:val="List Paragraph"/>
    <w:basedOn w:val="Normal"/>
    <w:uiPriority w:val="34"/>
    <w:qFormat/>
    <w:rsid w:val="00884B0F"/>
    <w:pPr>
      <w:ind w:left="720"/>
      <w:contextualSpacing/>
    </w:pPr>
  </w:style>
  <w:style w:type="paragraph" w:styleId="TOCHeading">
    <w:name w:val="TOC Heading"/>
    <w:basedOn w:val="Heading1"/>
    <w:next w:val="Normal"/>
    <w:uiPriority w:val="39"/>
    <w:semiHidden/>
    <w:unhideWhenUsed/>
    <w:qFormat/>
    <w:rsid w:val="0041431E"/>
    <w:pPr>
      <w:keepNext/>
      <w:keepLines/>
      <w:numPr>
        <w:numId w:val="0"/>
      </w:numPr>
      <w:spacing w:before="480" w:after="0" w:line="276" w:lineRule="auto"/>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41431E"/>
    <w:pPr>
      <w:spacing w:after="100"/>
    </w:pPr>
  </w:style>
  <w:style w:type="paragraph" w:styleId="TOC2">
    <w:name w:val="toc 2"/>
    <w:basedOn w:val="Normal"/>
    <w:next w:val="Normal"/>
    <w:autoRedefine/>
    <w:uiPriority w:val="39"/>
    <w:unhideWhenUsed/>
    <w:rsid w:val="0041431E"/>
    <w:pPr>
      <w:spacing w:after="100"/>
      <w:ind w:left="220"/>
    </w:pPr>
  </w:style>
  <w:style w:type="paragraph" w:styleId="TOC3">
    <w:name w:val="toc 3"/>
    <w:basedOn w:val="Normal"/>
    <w:next w:val="Normal"/>
    <w:autoRedefine/>
    <w:uiPriority w:val="39"/>
    <w:unhideWhenUsed/>
    <w:rsid w:val="0041431E"/>
    <w:pPr>
      <w:spacing w:after="100"/>
      <w:ind w:left="440"/>
    </w:pPr>
  </w:style>
  <w:style w:type="paragraph" w:styleId="Header">
    <w:name w:val="header"/>
    <w:basedOn w:val="Normal"/>
    <w:link w:val="HeaderChar"/>
    <w:uiPriority w:val="99"/>
    <w:unhideWhenUsed/>
    <w:rsid w:val="00A048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48A0"/>
    <w:rPr>
      <w:rFonts w:ascii="Arial" w:eastAsiaTheme="minorEastAsia" w:hAnsi="Arial"/>
      <w:szCs w:val="24"/>
    </w:rPr>
  </w:style>
  <w:style w:type="paragraph" w:styleId="Footer">
    <w:name w:val="footer"/>
    <w:basedOn w:val="Normal"/>
    <w:link w:val="FooterChar"/>
    <w:uiPriority w:val="99"/>
    <w:unhideWhenUsed/>
    <w:rsid w:val="00A048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48A0"/>
    <w:rPr>
      <w:rFonts w:ascii="Arial" w:eastAsiaTheme="minorEastAsia" w:hAnsi="Arial"/>
      <w:szCs w:val="24"/>
    </w:rPr>
  </w:style>
  <w:style w:type="paragraph" w:styleId="Title">
    <w:name w:val="Title"/>
    <w:basedOn w:val="Normal"/>
    <w:next w:val="Normal"/>
    <w:link w:val="TitleChar"/>
    <w:uiPriority w:val="10"/>
    <w:qFormat/>
    <w:rsid w:val="005E106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5E1065"/>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5E1065"/>
    <w:pPr>
      <w:numPr>
        <w:ilvl w:val="1"/>
      </w:numPr>
      <w:spacing w:after="200"/>
    </w:pPr>
    <w:rPr>
      <w:rFonts w:asciiTheme="majorHAnsi" w:eastAsiaTheme="majorEastAsia" w:hAnsiTheme="majorHAnsi" w:cstheme="majorBidi"/>
      <w:i/>
      <w:iCs/>
      <w:color w:val="4F81BD" w:themeColor="accent1"/>
      <w:spacing w:val="15"/>
      <w:sz w:val="24"/>
      <w:lang w:val="en-GB"/>
    </w:rPr>
  </w:style>
  <w:style w:type="character" w:customStyle="1" w:styleId="SubtitleChar">
    <w:name w:val="Subtitle Char"/>
    <w:basedOn w:val="DefaultParagraphFont"/>
    <w:link w:val="Subtitle"/>
    <w:uiPriority w:val="11"/>
    <w:rsid w:val="005E1065"/>
    <w:rPr>
      <w:rFonts w:asciiTheme="majorHAnsi" w:eastAsiaTheme="majorEastAsia" w:hAnsiTheme="majorHAnsi" w:cstheme="majorBidi"/>
      <w:i/>
      <w:iCs/>
      <w:color w:val="4F81BD" w:themeColor="accent1"/>
      <w:spacing w:val="15"/>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C3A"/>
    <w:pPr>
      <w:spacing w:after="120"/>
    </w:pPr>
    <w:rPr>
      <w:rFonts w:ascii="Arial" w:eastAsiaTheme="minorEastAsia" w:hAnsi="Arial"/>
      <w:szCs w:val="24"/>
    </w:rPr>
  </w:style>
  <w:style w:type="paragraph" w:styleId="Heading1">
    <w:name w:val="heading 1"/>
    <w:basedOn w:val="Heading2"/>
    <w:next w:val="Normal"/>
    <w:link w:val="Heading1Char"/>
    <w:uiPriority w:val="1"/>
    <w:qFormat/>
    <w:rsid w:val="00CF7B98"/>
    <w:pPr>
      <w:numPr>
        <w:ilvl w:val="0"/>
      </w:numPr>
      <w:outlineLvl w:val="0"/>
    </w:pPr>
    <w:rPr>
      <w:sz w:val="32"/>
      <w:szCs w:val="48"/>
    </w:rPr>
  </w:style>
  <w:style w:type="paragraph" w:styleId="Heading2">
    <w:name w:val="heading 2"/>
    <w:basedOn w:val="Heading3"/>
    <w:next w:val="Normal"/>
    <w:link w:val="Heading2Char"/>
    <w:uiPriority w:val="1"/>
    <w:unhideWhenUsed/>
    <w:qFormat/>
    <w:rsid w:val="00A14475"/>
    <w:pPr>
      <w:numPr>
        <w:ilvl w:val="1"/>
      </w:numPr>
      <w:outlineLvl w:val="1"/>
    </w:pPr>
    <w:rPr>
      <w:sz w:val="26"/>
      <w:szCs w:val="40"/>
    </w:rPr>
  </w:style>
  <w:style w:type="paragraph" w:styleId="Heading3">
    <w:name w:val="heading 3"/>
    <w:basedOn w:val="Normal"/>
    <w:next w:val="Normal"/>
    <w:link w:val="Heading3Char"/>
    <w:uiPriority w:val="1"/>
    <w:unhideWhenUsed/>
    <w:qFormat/>
    <w:rsid w:val="00EE1E6E"/>
    <w:pPr>
      <w:numPr>
        <w:ilvl w:val="2"/>
        <w:numId w:val="9"/>
      </w:numPr>
      <w:spacing w:line="312" w:lineRule="auto"/>
      <w:outlineLvl w:val="2"/>
    </w:pPr>
    <w:rPr>
      <w:b/>
      <w:szCs w:val="32"/>
    </w:rPr>
  </w:style>
  <w:style w:type="paragraph" w:styleId="Heading4">
    <w:name w:val="heading 4"/>
    <w:basedOn w:val="Normal"/>
    <w:next w:val="Normal"/>
    <w:link w:val="Heading4Char"/>
    <w:uiPriority w:val="9"/>
    <w:unhideWhenUsed/>
    <w:qFormat/>
    <w:rsid w:val="00BA0C3A"/>
    <w:pPr>
      <w:keepNext/>
      <w:keepLines/>
      <w:numPr>
        <w:ilvl w:val="3"/>
        <w:numId w:val="9"/>
      </w:numPr>
      <w:spacing w:before="200"/>
      <w:outlineLvl w:val="3"/>
    </w:pPr>
    <w:rPr>
      <w:rFonts w:eastAsiaTheme="majorEastAsia" w:cs="Arial"/>
      <w:b/>
      <w:bCs/>
      <w:iCs/>
      <w:color w:val="808080" w:themeColor="background1" w:themeShade="80"/>
    </w:rPr>
  </w:style>
  <w:style w:type="paragraph" w:styleId="Heading5">
    <w:name w:val="heading 5"/>
    <w:basedOn w:val="Normal"/>
    <w:next w:val="Normal"/>
    <w:link w:val="Heading5Char"/>
    <w:uiPriority w:val="9"/>
    <w:unhideWhenUsed/>
    <w:qFormat/>
    <w:rsid w:val="00BA0C3A"/>
    <w:pPr>
      <w:keepNext/>
      <w:keepLines/>
      <w:numPr>
        <w:ilvl w:val="4"/>
        <w:numId w:val="9"/>
      </w:numPr>
      <w:spacing w:before="200"/>
      <w:outlineLvl w:val="4"/>
    </w:pPr>
    <w:rPr>
      <w:rFonts w:eastAsiaTheme="majorEastAsia" w:cstheme="majorBidi"/>
      <w:i/>
      <w:color w:val="808080" w:themeColor="background1" w:themeShade="80"/>
    </w:rPr>
  </w:style>
  <w:style w:type="paragraph" w:styleId="Heading6">
    <w:name w:val="heading 6"/>
    <w:basedOn w:val="Normal"/>
    <w:next w:val="Normal"/>
    <w:link w:val="Heading6Char"/>
    <w:uiPriority w:val="9"/>
    <w:unhideWhenUsed/>
    <w:qFormat/>
    <w:rsid w:val="00BA0C3A"/>
    <w:pPr>
      <w:keepNext/>
      <w:keepLines/>
      <w:numPr>
        <w:ilvl w:val="5"/>
        <w:numId w:val="9"/>
      </w:numPr>
      <w:spacing w:before="200"/>
      <w:outlineLvl w:val="5"/>
    </w:pPr>
    <w:rPr>
      <w:rFonts w:eastAsiaTheme="majorEastAsia" w:cstheme="majorBidi"/>
      <w:iCs/>
      <w:color w:val="808080" w:themeColor="background1" w:themeShade="80"/>
      <w:u w:val="single"/>
    </w:rPr>
  </w:style>
  <w:style w:type="paragraph" w:styleId="Heading7">
    <w:name w:val="heading 7"/>
    <w:basedOn w:val="Normal"/>
    <w:next w:val="Normal"/>
    <w:link w:val="Heading7Char"/>
    <w:uiPriority w:val="9"/>
    <w:unhideWhenUsed/>
    <w:qFormat/>
    <w:rsid w:val="00BA0C3A"/>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A0C3A"/>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A0C3A"/>
    <w:pPr>
      <w:keepNext/>
      <w:keepLines/>
      <w:numPr>
        <w:ilvl w:val="8"/>
        <w:numId w:val="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F7B98"/>
    <w:rPr>
      <w:rFonts w:ascii="Arial" w:eastAsiaTheme="minorEastAsia" w:hAnsi="Arial"/>
      <w:b/>
      <w:sz w:val="32"/>
      <w:szCs w:val="48"/>
    </w:rPr>
  </w:style>
  <w:style w:type="character" w:customStyle="1" w:styleId="Heading2Char">
    <w:name w:val="Heading 2 Char"/>
    <w:basedOn w:val="DefaultParagraphFont"/>
    <w:link w:val="Heading2"/>
    <w:uiPriority w:val="1"/>
    <w:rsid w:val="00A14475"/>
    <w:rPr>
      <w:rFonts w:ascii="Arial" w:eastAsiaTheme="minorEastAsia" w:hAnsi="Arial"/>
      <w:b/>
      <w:sz w:val="26"/>
      <w:szCs w:val="40"/>
    </w:rPr>
  </w:style>
  <w:style w:type="character" w:customStyle="1" w:styleId="Heading3Char">
    <w:name w:val="Heading 3 Char"/>
    <w:basedOn w:val="DefaultParagraphFont"/>
    <w:link w:val="Heading3"/>
    <w:uiPriority w:val="1"/>
    <w:rsid w:val="00EE1E6E"/>
    <w:rPr>
      <w:rFonts w:ascii="Arial" w:eastAsiaTheme="minorEastAsia" w:hAnsi="Arial"/>
      <w:b/>
      <w:szCs w:val="32"/>
    </w:rPr>
  </w:style>
  <w:style w:type="character" w:customStyle="1" w:styleId="Heading4Char">
    <w:name w:val="Heading 4 Char"/>
    <w:basedOn w:val="DefaultParagraphFont"/>
    <w:link w:val="Heading4"/>
    <w:uiPriority w:val="9"/>
    <w:rsid w:val="00BA0C3A"/>
    <w:rPr>
      <w:rFonts w:ascii="Arial" w:eastAsiaTheme="majorEastAsia" w:hAnsi="Arial" w:cs="Arial"/>
      <w:b/>
      <w:bCs/>
      <w:iCs/>
      <w:color w:val="808080" w:themeColor="background1" w:themeShade="80"/>
      <w:szCs w:val="24"/>
    </w:rPr>
  </w:style>
  <w:style w:type="character" w:customStyle="1" w:styleId="Heading5Char">
    <w:name w:val="Heading 5 Char"/>
    <w:basedOn w:val="DefaultParagraphFont"/>
    <w:link w:val="Heading5"/>
    <w:uiPriority w:val="9"/>
    <w:rsid w:val="00BA0C3A"/>
    <w:rPr>
      <w:rFonts w:ascii="Arial" w:eastAsiaTheme="majorEastAsia" w:hAnsi="Arial" w:cstheme="majorBidi"/>
      <w:i/>
      <w:color w:val="808080" w:themeColor="background1" w:themeShade="80"/>
      <w:szCs w:val="24"/>
    </w:rPr>
  </w:style>
  <w:style w:type="character" w:customStyle="1" w:styleId="Heading6Char">
    <w:name w:val="Heading 6 Char"/>
    <w:basedOn w:val="DefaultParagraphFont"/>
    <w:link w:val="Heading6"/>
    <w:uiPriority w:val="9"/>
    <w:rsid w:val="00BA0C3A"/>
    <w:rPr>
      <w:rFonts w:ascii="Arial" w:eastAsiaTheme="majorEastAsia" w:hAnsi="Arial" w:cstheme="majorBidi"/>
      <w:iCs/>
      <w:color w:val="808080" w:themeColor="background1" w:themeShade="80"/>
      <w:szCs w:val="24"/>
      <w:u w:val="single"/>
    </w:rPr>
  </w:style>
  <w:style w:type="character" w:customStyle="1" w:styleId="Heading7Char">
    <w:name w:val="Heading 7 Char"/>
    <w:basedOn w:val="DefaultParagraphFont"/>
    <w:link w:val="Heading7"/>
    <w:uiPriority w:val="9"/>
    <w:rsid w:val="00BA0C3A"/>
    <w:rPr>
      <w:rFonts w:asciiTheme="majorHAnsi" w:eastAsiaTheme="majorEastAsia" w:hAnsiTheme="majorHAnsi" w:cstheme="majorBidi"/>
      <w:i/>
      <w:iCs/>
      <w:color w:val="404040" w:themeColor="text1" w:themeTint="BF"/>
      <w:szCs w:val="24"/>
    </w:rPr>
  </w:style>
  <w:style w:type="character" w:customStyle="1" w:styleId="Heading8Char">
    <w:name w:val="Heading 8 Char"/>
    <w:basedOn w:val="DefaultParagraphFont"/>
    <w:link w:val="Heading8"/>
    <w:uiPriority w:val="9"/>
    <w:semiHidden/>
    <w:rsid w:val="00BA0C3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A0C3A"/>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rsid w:val="00BA0C3A"/>
    <w:pPr>
      <w:jc w:val="both"/>
    </w:pPr>
    <w:rPr>
      <w:rFonts w:ascii="Times New Roman" w:eastAsia="Times New Roman" w:hAnsi="Times New Roman" w:cs="Times New Roman"/>
      <w:sz w:val="20"/>
      <w:szCs w:val="20"/>
      <w:lang w:val="en-GB" w:eastAsia="en-AU"/>
    </w:rPr>
  </w:style>
  <w:style w:type="character" w:customStyle="1" w:styleId="FootnoteTextChar">
    <w:name w:val="Footnote Text Char"/>
    <w:basedOn w:val="DefaultParagraphFont"/>
    <w:link w:val="FootnoteText"/>
    <w:uiPriority w:val="99"/>
    <w:rsid w:val="00BA0C3A"/>
    <w:rPr>
      <w:rFonts w:ascii="Times New Roman" w:eastAsia="Times New Roman" w:hAnsi="Times New Roman" w:cs="Times New Roman"/>
      <w:sz w:val="20"/>
      <w:szCs w:val="20"/>
      <w:lang w:val="en-GB" w:eastAsia="en-AU"/>
    </w:rPr>
  </w:style>
  <w:style w:type="character" w:styleId="FootnoteReference">
    <w:name w:val="footnote reference"/>
    <w:basedOn w:val="DefaultParagraphFont"/>
    <w:rsid w:val="00BA0C3A"/>
    <w:rPr>
      <w:vertAlign w:val="superscript"/>
    </w:rPr>
  </w:style>
  <w:style w:type="paragraph" w:styleId="Caption">
    <w:name w:val="caption"/>
    <w:basedOn w:val="Normal"/>
    <w:next w:val="Normal"/>
    <w:qFormat/>
    <w:rsid w:val="00BA0C3A"/>
    <w:pPr>
      <w:keepNext/>
      <w:spacing w:before="80" w:after="60" w:line="320" w:lineRule="atLeast"/>
      <w:jc w:val="center"/>
    </w:pPr>
    <w:rPr>
      <w:rFonts w:ascii="Book Antiqua" w:eastAsia="Times New Roman" w:hAnsi="Book Antiqua" w:cs="Times New Roman"/>
      <w:b/>
      <w:bCs/>
      <w:szCs w:val="22"/>
      <w:lang w:eastAsia="en-AU"/>
    </w:rPr>
  </w:style>
  <w:style w:type="table" w:styleId="TableGrid">
    <w:name w:val="Table Grid"/>
    <w:basedOn w:val="TableNormal"/>
    <w:rsid w:val="00BA0C3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ghlightresult">
    <w:name w:val="Highlight result"/>
    <w:basedOn w:val="Normal"/>
    <w:link w:val="HighlightresultChar"/>
    <w:qFormat/>
    <w:rsid w:val="00BA0C3A"/>
    <w:pPr>
      <w:spacing w:before="240" w:line="280" w:lineRule="atLeast"/>
      <w:jc w:val="both"/>
      <w:outlineLvl w:val="5"/>
    </w:pPr>
    <w:rPr>
      <w:rFonts w:ascii="Book Antiqua" w:eastAsia="Times New Roman" w:hAnsi="Book Antiqua" w:cs="Times New Roman"/>
      <w:b/>
      <w:bCs/>
      <w:i/>
      <w:color w:val="008000"/>
      <w:sz w:val="24"/>
      <w:szCs w:val="22"/>
      <w:lang w:eastAsia="en-AU"/>
    </w:rPr>
  </w:style>
  <w:style w:type="character" w:customStyle="1" w:styleId="HighlightresultChar">
    <w:name w:val="Highlight result Char"/>
    <w:basedOn w:val="DefaultParagraphFont"/>
    <w:link w:val="Highlightresult"/>
    <w:rsid w:val="00BA0C3A"/>
    <w:rPr>
      <w:rFonts w:ascii="Book Antiqua" w:eastAsia="Times New Roman" w:hAnsi="Book Antiqua" w:cs="Times New Roman"/>
      <w:b/>
      <w:bCs/>
      <w:i/>
      <w:color w:val="008000"/>
      <w:sz w:val="24"/>
      <w:lang w:eastAsia="en-AU"/>
    </w:rPr>
  </w:style>
  <w:style w:type="character" w:styleId="Emphasis">
    <w:name w:val="Emphasis"/>
    <w:basedOn w:val="DefaultParagraphFont"/>
    <w:uiPriority w:val="20"/>
    <w:qFormat/>
    <w:rsid w:val="00BA0C3A"/>
    <w:rPr>
      <w:i/>
      <w:iCs/>
    </w:rPr>
  </w:style>
  <w:style w:type="paragraph" w:styleId="BalloonText">
    <w:name w:val="Balloon Text"/>
    <w:basedOn w:val="Normal"/>
    <w:link w:val="BalloonTextChar"/>
    <w:uiPriority w:val="99"/>
    <w:semiHidden/>
    <w:unhideWhenUsed/>
    <w:rsid w:val="00BA0C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C3A"/>
    <w:rPr>
      <w:rFonts w:ascii="Tahoma" w:eastAsiaTheme="minorEastAsia" w:hAnsi="Tahoma" w:cs="Tahoma"/>
      <w:sz w:val="16"/>
      <w:szCs w:val="16"/>
    </w:rPr>
  </w:style>
  <w:style w:type="character" w:styleId="Hyperlink">
    <w:name w:val="Hyperlink"/>
    <w:basedOn w:val="DefaultParagraphFont"/>
    <w:uiPriority w:val="99"/>
    <w:unhideWhenUsed/>
    <w:rsid w:val="0001376B"/>
    <w:rPr>
      <w:color w:val="0000FF" w:themeColor="hyperlink"/>
      <w:u w:val="single"/>
    </w:rPr>
  </w:style>
  <w:style w:type="paragraph" w:customStyle="1" w:styleId="reference">
    <w:name w:val="reference"/>
    <w:basedOn w:val="Normal"/>
    <w:rsid w:val="00633F2E"/>
    <w:pPr>
      <w:spacing w:after="0"/>
    </w:pPr>
    <w:rPr>
      <w:rFonts w:ascii="Cambria" w:eastAsia="MS Mincho" w:hAnsi="Cambria" w:cs="Times New Roman"/>
      <w:sz w:val="20"/>
      <w:lang w:val="en-GB"/>
    </w:rPr>
  </w:style>
  <w:style w:type="paragraph" w:styleId="ListParagraph">
    <w:name w:val="List Paragraph"/>
    <w:basedOn w:val="Normal"/>
    <w:uiPriority w:val="34"/>
    <w:qFormat/>
    <w:rsid w:val="00884B0F"/>
    <w:pPr>
      <w:ind w:left="720"/>
      <w:contextualSpacing/>
    </w:pPr>
  </w:style>
  <w:style w:type="paragraph" w:styleId="TOCHeading">
    <w:name w:val="TOC Heading"/>
    <w:basedOn w:val="Heading1"/>
    <w:next w:val="Normal"/>
    <w:uiPriority w:val="39"/>
    <w:semiHidden/>
    <w:unhideWhenUsed/>
    <w:qFormat/>
    <w:rsid w:val="0041431E"/>
    <w:pPr>
      <w:keepNext/>
      <w:keepLines/>
      <w:numPr>
        <w:numId w:val="0"/>
      </w:numPr>
      <w:spacing w:before="480" w:after="0" w:line="276" w:lineRule="auto"/>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41431E"/>
    <w:pPr>
      <w:spacing w:after="100"/>
    </w:pPr>
  </w:style>
  <w:style w:type="paragraph" w:styleId="TOC2">
    <w:name w:val="toc 2"/>
    <w:basedOn w:val="Normal"/>
    <w:next w:val="Normal"/>
    <w:autoRedefine/>
    <w:uiPriority w:val="39"/>
    <w:unhideWhenUsed/>
    <w:rsid w:val="0041431E"/>
    <w:pPr>
      <w:spacing w:after="100"/>
      <w:ind w:left="220"/>
    </w:pPr>
  </w:style>
  <w:style w:type="paragraph" w:styleId="TOC3">
    <w:name w:val="toc 3"/>
    <w:basedOn w:val="Normal"/>
    <w:next w:val="Normal"/>
    <w:autoRedefine/>
    <w:uiPriority w:val="39"/>
    <w:unhideWhenUsed/>
    <w:rsid w:val="0041431E"/>
    <w:pPr>
      <w:spacing w:after="100"/>
      <w:ind w:left="440"/>
    </w:pPr>
  </w:style>
  <w:style w:type="paragraph" w:styleId="Header">
    <w:name w:val="header"/>
    <w:basedOn w:val="Normal"/>
    <w:link w:val="HeaderChar"/>
    <w:uiPriority w:val="99"/>
    <w:unhideWhenUsed/>
    <w:rsid w:val="00A048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48A0"/>
    <w:rPr>
      <w:rFonts w:ascii="Arial" w:eastAsiaTheme="minorEastAsia" w:hAnsi="Arial"/>
      <w:szCs w:val="24"/>
    </w:rPr>
  </w:style>
  <w:style w:type="paragraph" w:styleId="Footer">
    <w:name w:val="footer"/>
    <w:basedOn w:val="Normal"/>
    <w:link w:val="FooterChar"/>
    <w:uiPriority w:val="99"/>
    <w:unhideWhenUsed/>
    <w:rsid w:val="00A048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48A0"/>
    <w:rPr>
      <w:rFonts w:ascii="Arial" w:eastAsiaTheme="minorEastAsia" w:hAnsi="Arial"/>
      <w:szCs w:val="24"/>
    </w:rPr>
  </w:style>
  <w:style w:type="paragraph" w:styleId="Title">
    <w:name w:val="Title"/>
    <w:basedOn w:val="Normal"/>
    <w:next w:val="Normal"/>
    <w:link w:val="TitleChar"/>
    <w:uiPriority w:val="10"/>
    <w:qFormat/>
    <w:rsid w:val="005E106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5E1065"/>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5E1065"/>
    <w:pPr>
      <w:numPr>
        <w:ilvl w:val="1"/>
      </w:numPr>
      <w:spacing w:after="200"/>
    </w:pPr>
    <w:rPr>
      <w:rFonts w:asciiTheme="majorHAnsi" w:eastAsiaTheme="majorEastAsia" w:hAnsiTheme="majorHAnsi" w:cstheme="majorBidi"/>
      <w:i/>
      <w:iCs/>
      <w:color w:val="4F81BD" w:themeColor="accent1"/>
      <w:spacing w:val="15"/>
      <w:sz w:val="24"/>
      <w:lang w:val="en-GB"/>
    </w:rPr>
  </w:style>
  <w:style w:type="character" w:customStyle="1" w:styleId="SubtitleChar">
    <w:name w:val="Subtitle Char"/>
    <w:basedOn w:val="DefaultParagraphFont"/>
    <w:link w:val="Subtitle"/>
    <w:uiPriority w:val="11"/>
    <w:rsid w:val="005E1065"/>
    <w:rPr>
      <w:rFonts w:asciiTheme="majorHAnsi" w:eastAsiaTheme="majorEastAsia" w:hAnsiTheme="majorHAnsi" w:cstheme="majorBidi"/>
      <w:i/>
      <w:iCs/>
      <w:color w:val="4F81BD" w:themeColor="accent1"/>
      <w:spacing w:val="15"/>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6.bin"/><Relationship Id="rId26" Type="http://schemas.openxmlformats.org/officeDocument/2006/relationships/image" Target="media/image6.wmf"/><Relationship Id="rId39" Type="http://schemas.openxmlformats.org/officeDocument/2006/relationships/image" Target="media/image10.wmf"/><Relationship Id="rId21" Type="http://schemas.openxmlformats.org/officeDocument/2006/relationships/oleObject" Target="embeddings/oleObject8.bin"/><Relationship Id="rId34" Type="http://schemas.openxmlformats.org/officeDocument/2006/relationships/image" Target="media/image8.wmf"/><Relationship Id="rId42" Type="http://schemas.openxmlformats.org/officeDocument/2006/relationships/oleObject" Target="embeddings/oleObject28.bin"/><Relationship Id="rId47" Type="http://schemas.openxmlformats.org/officeDocument/2006/relationships/oleObject" Target="embeddings/oleObject32.bin"/><Relationship Id="rId50" Type="http://schemas.openxmlformats.org/officeDocument/2006/relationships/oleObject" Target="embeddings/oleObject34.bin"/><Relationship Id="rId55" Type="http://schemas.openxmlformats.org/officeDocument/2006/relationships/oleObject" Target="embeddings/oleObject38.bin"/><Relationship Id="rId63" Type="http://schemas.openxmlformats.org/officeDocument/2006/relationships/hyperlink" Target="http://www.worldenergyoutlook.org/media/weowebsite/energysubsidies/second_joint_report.pdf" TargetMode="Externa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oleObject" Target="embeddings/oleObject5.bin"/><Relationship Id="rId29"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oleObject" Target="embeddings/oleObject11.bin"/><Relationship Id="rId32" Type="http://schemas.openxmlformats.org/officeDocument/2006/relationships/oleObject" Target="embeddings/oleObject22.bin"/><Relationship Id="rId37" Type="http://schemas.openxmlformats.org/officeDocument/2006/relationships/oleObject" Target="embeddings/oleObject25.bin"/><Relationship Id="rId40" Type="http://schemas.openxmlformats.org/officeDocument/2006/relationships/oleObject" Target="embeddings/oleObject27.bin"/><Relationship Id="rId45" Type="http://schemas.openxmlformats.org/officeDocument/2006/relationships/oleObject" Target="embeddings/oleObject30.bin"/><Relationship Id="rId53" Type="http://schemas.openxmlformats.org/officeDocument/2006/relationships/oleObject" Target="embeddings/oleObject37.bin"/><Relationship Id="rId58" Type="http://schemas.openxmlformats.org/officeDocument/2006/relationships/chart" Target="charts/chart1.xml"/><Relationship Id="rId66" Type="http://schemas.openxmlformats.org/officeDocument/2006/relationships/hyperlink" Target="http://unstats.un.org/unsd/nationalaccount/docs/SNA2008.pdf" TargetMode="External"/><Relationship Id="rId5" Type="http://schemas.openxmlformats.org/officeDocument/2006/relationships/settings" Target="settings.xml"/><Relationship Id="rId15" Type="http://schemas.openxmlformats.org/officeDocument/2006/relationships/oleObject" Target="embeddings/oleObject4.bin"/><Relationship Id="rId23" Type="http://schemas.openxmlformats.org/officeDocument/2006/relationships/oleObject" Target="embeddings/oleObject10.bin"/><Relationship Id="rId28" Type="http://schemas.openxmlformats.org/officeDocument/2006/relationships/oleObject" Target="embeddings/oleObject19.bin"/><Relationship Id="rId36" Type="http://schemas.openxmlformats.org/officeDocument/2006/relationships/image" Target="media/image9.wmf"/><Relationship Id="rId49" Type="http://schemas.openxmlformats.org/officeDocument/2006/relationships/image" Target="media/image13.wmf"/><Relationship Id="rId57" Type="http://schemas.openxmlformats.org/officeDocument/2006/relationships/oleObject" Target="embeddings/oleObject39.bin"/><Relationship Id="rId61" Type="http://schemas.openxmlformats.org/officeDocument/2006/relationships/chart" Target="charts/chart4.xml"/><Relationship Id="rId10" Type="http://schemas.openxmlformats.org/officeDocument/2006/relationships/image" Target="media/image1.wmf"/><Relationship Id="rId19" Type="http://schemas.openxmlformats.org/officeDocument/2006/relationships/oleObject" Target="embeddings/oleObject7.bin"/><Relationship Id="rId31" Type="http://schemas.openxmlformats.org/officeDocument/2006/relationships/oleObject" Target="embeddings/oleObject21.bin"/><Relationship Id="rId44" Type="http://schemas.openxmlformats.org/officeDocument/2006/relationships/oleObject" Target="embeddings/oleObject29.bin"/><Relationship Id="rId52" Type="http://schemas.openxmlformats.org/officeDocument/2006/relationships/oleObject" Target="embeddings/oleObject36.bin"/><Relationship Id="rId60" Type="http://schemas.openxmlformats.org/officeDocument/2006/relationships/chart" Target="charts/chart3.xml"/><Relationship Id="rId65" Type="http://schemas.openxmlformats.org/officeDocument/2006/relationships/hyperlink" Target="http://oilprice.com/Energy/Energy-General/Saudi-Arabia-Cuts-Subsidies-As-Budget-Deficit-Soars.html"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oleObject" Target="embeddings/oleObject3.bin"/><Relationship Id="rId22" Type="http://schemas.openxmlformats.org/officeDocument/2006/relationships/oleObject" Target="embeddings/oleObject9.bin"/><Relationship Id="rId27" Type="http://schemas.openxmlformats.org/officeDocument/2006/relationships/oleObject" Target="embeddings/oleObject18.bin"/><Relationship Id="rId30" Type="http://schemas.openxmlformats.org/officeDocument/2006/relationships/oleObject" Target="embeddings/oleObject20.bin"/><Relationship Id="rId35" Type="http://schemas.openxmlformats.org/officeDocument/2006/relationships/oleObject" Target="embeddings/oleObject24.bin"/><Relationship Id="rId43" Type="http://schemas.openxmlformats.org/officeDocument/2006/relationships/image" Target="media/image12.wmf"/><Relationship Id="rId48" Type="http://schemas.openxmlformats.org/officeDocument/2006/relationships/oleObject" Target="embeddings/oleObject33.bin"/><Relationship Id="rId56" Type="http://schemas.openxmlformats.org/officeDocument/2006/relationships/image" Target="media/image15.wmf"/><Relationship Id="rId64" Type="http://schemas.openxmlformats.org/officeDocument/2006/relationships/hyperlink" Target="http://www.worldenergyoutlook.org/media/weowebsite/2008-1994/weo1999.pdf"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oleObject" Target="embeddings/oleObject35.bin"/><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image" Target="media/image3.wmf"/><Relationship Id="rId25" Type="http://schemas.openxmlformats.org/officeDocument/2006/relationships/oleObject" Target="embeddings/oleObject12.bin"/><Relationship Id="rId33" Type="http://schemas.openxmlformats.org/officeDocument/2006/relationships/oleObject" Target="embeddings/oleObject23.bin"/><Relationship Id="rId38" Type="http://schemas.openxmlformats.org/officeDocument/2006/relationships/oleObject" Target="embeddings/oleObject26.bin"/><Relationship Id="rId46" Type="http://schemas.openxmlformats.org/officeDocument/2006/relationships/oleObject" Target="embeddings/oleObject31.bin"/><Relationship Id="rId59" Type="http://schemas.openxmlformats.org/officeDocument/2006/relationships/chart" Target="charts/chart2.xml"/><Relationship Id="rId67" Type="http://schemas.openxmlformats.org/officeDocument/2006/relationships/hyperlink" Target="http://www.unep.org/pdf/pressreleases/reforming_energy_subsidies.pdf" TargetMode="External"/><Relationship Id="rId20" Type="http://schemas.openxmlformats.org/officeDocument/2006/relationships/image" Target="media/image4.wmf"/><Relationship Id="rId41" Type="http://schemas.openxmlformats.org/officeDocument/2006/relationships/image" Target="media/image11.wmf"/><Relationship Id="rId54" Type="http://schemas.openxmlformats.org/officeDocument/2006/relationships/image" Target="media/image14.wmf"/><Relationship Id="rId62" Type="http://schemas.openxmlformats.org/officeDocument/2006/relationships/chart" Target="charts/chart5.xml"/></Relationships>
</file>

<file path=word/_rels/footnotes.xml.rels><?xml version="1.0" encoding="UTF-8" standalone="yes"?>
<Relationships xmlns="http://schemas.openxmlformats.org/package/2006/relationships"><Relationship Id="rId3" Type="http://schemas.openxmlformats.org/officeDocument/2006/relationships/image" Target="media/image2.wmf"/><Relationship Id="rId7" Type="http://schemas.openxmlformats.org/officeDocument/2006/relationships/oleObject" Target="embeddings/oleObject17.bin"/><Relationship Id="rId2" Type="http://schemas.openxmlformats.org/officeDocument/2006/relationships/oleObject" Target="embeddings/oleObject13.bin"/><Relationship Id="rId1" Type="http://schemas.openxmlformats.org/officeDocument/2006/relationships/image" Target="media/image5.wmf"/><Relationship Id="rId6" Type="http://schemas.openxmlformats.org/officeDocument/2006/relationships/oleObject" Target="embeddings/oleObject16.bin"/><Relationship Id="rId5" Type="http://schemas.openxmlformats.org/officeDocument/2006/relationships/oleObject" Target="embeddings/oleObject15.bin"/><Relationship Id="rId4" Type="http://schemas.openxmlformats.org/officeDocument/2006/relationships/oleObject" Target="embeddings/oleObject14.bin"/></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Graphs!$A$20</c:f>
              <c:strCache>
                <c:ptCount val="1"/>
                <c:pt idx="0">
                  <c:v>Employment</c:v>
                </c:pt>
              </c:strCache>
            </c:strRef>
          </c:tx>
          <c:spPr>
            <a:ln>
              <a:prstDash val="sysDash"/>
            </a:ln>
          </c:spPr>
          <c:marker>
            <c:symbol val="none"/>
          </c:marker>
          <c:cat>
            <c:numRef>
              <c:f>Graphs!$B$19:$AC$19</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Graphs!$B$20:$AC$20</c:f>
              <c:numCache>
                <c:formatCode>General</c:formatCode>
                <c:ptCount val="28"/>
                <c:pt idx="0">
                  <c:v>0</c:v>
                </c:pt>
                <c:pt idx="1">
                  <c:v>0</c:v>
                </c:pt>
                <c:pt idx="2">
                  <c:v>-0.260459</c:v>
                </c:pt>
                <c:pt idx="3">
                  <c:v>-0.46057599999999999</c:v>
                </c:pt>
                <c:pt idx="4">
                  <c:v>-0.64957399999999998</c:v>
                </c:pt>
                <c:pt idx="5">
                  <c:v>-0.70565599999999995</c:v>
                </c:pt>
                <c:pt idx="6">
                  <c:v>-0.68046600000000002</c:v>
                </c:pt>
                <c:pt idx="7">
                  <c:v>-0.61127399999999998</c:v>
                </c:pt>
                <c:pt idx="8">
                  <c:v>-0.51836599999999999</c:v>
                </c:pt>
                <c:pt idx="9">
                  <c:v>-0.42051500000000003</c:v>
                </c:pt>
                <c:pt idx="10">
                  <c:v>-0.32983400000000002</c:v>
                </c:pt>
                <c:pt idx="11">
                  <c:v>-0.25059700000000001</c:v>
                </c:pt>
                <c:pt idx="12">
                  <c:v>-0.18526300000000001</c:v>
                </c:pt>
                <c:pt idx="13">
                  <c:v>-0.132829</c:v>
                </c:pt>
                <c:pt idx="14">
                  <c:v>-9.1572000000000001E-2</c:v>
                </c:pt>
                <c:pt idx="15">
                  <c:v>-5.9570999999999999E-2</c:v>
                </c:pt>
                <c:pt idx="16">
                  <c:v>-3.4985000000000002E-2</c:v>
                </c:pt>
                <c:pt idx="17">
                  <c:v>-1.6191000000000001E-2</c:v>
                </c:pt>
                <c:pt idx="18">
                  <c:v>-1.835E-3</c:v>
                </c:pt>
                <c:pt idx="19">
                  <c:v>9.1649999999999995E-3</c:v>
                </c:pt>
                <c:pt idx="20">
                  <c:v>1.7656000000000002E-2</c:v>
                </c:pt>
                <c:pt idx="21">
                  <c:v>2.4271999999999998E-2</c:v>
                </c:pt>
                <c:pt idx="22">
                  <c:v>2.9503999999999999E-2</c:v>
                </c:pt>
                <c:pt idx="23">
                  <c:v>3.3710999999999998E-2</c:v>
                </c:pt>
                <c:pt idx="24">
                  <c:v>3.7149000000000001E-2</c:v>
                </c:pt>
                <c:pt idx="25">
                  <c:v>4.0011999999999999E-2</c:v>
                </c:pt>
                <c:pt idx="26">
                  <c:v>4.2428E-2</c:v>
                </c:pt>
                <c:pt idx="27">
                  <c:v>4.4498999999999997E-2</c:v>
                </c:pt>
              </c:numCache>
            </c:numRef>
          </c:val>
          <c:smooth val="0"/>
        </c:ser>
        <c:ser>
          <c:idx val="1"/>
          <c:order val="1"/>
          <c:tx>
            <c:strRef>
              <c:f>Graphs!$A$21</c:f>
              <c:strCache>
                <c:ptCount val="1"/>
                <c:pt idx="0">
                  <c:v>Real wage rate</c:v>
                </c:pt>
              </c:strCache>
            </c:strRef>
          </c:tx>
          <c:marker>
            <c:symbol val="none"/>
          </c:marker>
          <c:cat>
            <c:numRef>
              <c:f>Graphs!$B$19:$AC$19</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Graphs!$B$21:$AC$21</c:f>
              <c:numCache>
                <c:formatCode>General</c:formatCode>
                <c:ptCount val="28"/>
                <c:pt idx="0">
                  <c:v>0</c:v>
                </c:pt>
                <c:pt idx="1">
                  <c:v>0</c:v>
                </c:pt>
                <c:pt idx="2">
                  <c:v>-0.234513</c:v>
                </c:pt>
                <c:pt idx="3">
                  <c:v>-0.64913699999999996</c:v>
                </c:pt>
                <c:pt idx="4">
                  <c:v>-1.2338169999999999</c:v>
                </c:pt>
                <c:pt idx="5">
                  <c:v>-1.8688210000000001</c:v>
                </c:pt>
                <c:pt idx="6">
                  <c:v>-2.4809700000000001</c:v>
                </c:pt>
                <c:pt idx="7">
                  <c:v>-3.0306920000000002</c:v>
                </c:pt>
                <c:pt idx="8">
                  <c:v>-3.4960209999999998</c:v>
                </c:pt>
                <c:pt idx="9">
                  <c:v>-3.872671</c:v>
                </c:pt>
                <c:pt idx="10">
                  <c:v>-4.1672320000000003</c:v>
                </c:pt>
                <c:pt idx="11">
                  <c:v>-4.3900790000000001</c:v>
                </c:pt>
                <c:pt idx="12">
                  <c:v>-4.5538439999999998</c:v>
                </c:pt>
                <c:pt idx="13">
                  <c:v>-4.6702240000000002</c:v>
                </c:pt>
                <c:pt idx="14">
                  <c:v>-4.7493460000000001</c:v>
                </c:pt>
                <c:pt idx="15">
                  <c:v>-4.7995710000000003</c:v>
                </c:pt>
                <c:pt idx="16">
                  <c:v>-4.8276159999999999</c:v>
                </c:pt>
                <c:pt idx="17">
                  <c:v>-4.8387029999999998</c:v>
                </c:pt>
                <c:pt idx="18">
                  <c:v>-4.8368770000000003</c:v>
                </c:pt>
                <c:pt idx="19">
                  <c:v>-4.8251809999999997</c:v>
                </c:pt>
                <c:pt idx="20">
                  <c:v>-4.8058820000000004</c:v>
                </c:pt>
                <c:pt idx="21">
                  <c:v>-4.7806410000000001</c:v>
                </c:pt>
                <c:pt idx="22">
                  <c:v>-4.7507400000000004</c:v>
                </c:pt>
                <c:pt idx="23">
                  <c:v>-4.7171110000000001</c:v>
                </c:pt>
                <c:pt idx="24">
                  <c:v>-4.6804220000000001</c:v>
                </c:pt>
                <c:pt idx="25">
                  <c:v>-4.6412199999999997</c:v>
                </c:pt>
                <c:pt idx="26">
                  <c:v>-4.5999059999999998</c:v>
                </c:pt>
                <c:pt idx="27">
                  <c:v>-4.5567989999999998</c:v>
                </c:pt>
              </c:numCache>
            </c:numRef>
          </c:val>
          <c:smooth val="0"/>
        </c:ser>
        <c:ser>
          <c:idx val="2"/>
          <c:order val="2"/>
          <c:tx>
            <c:strRef>
              <c:f>Graphs!$A$22</c:f>
              <c:strCache>
                <c:ptCount val="1"/>
                <c:pt idx="0">
                  <c:v>Real cost of labour</c:v>
                </c:pt>
              </c:strCache>
            </c:strRef>
          </c:tx>
          <c:marker>
            <c:symbol val="star"/>
            <c:size val="5"/>
            <c:spPr>
              <a:noFill/>
            </c:spPr>
          </c:marker>
          <c:cat>
            <c:numRef>
              <c:f>Graphs!$B$19:$AC$19</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Graphs!$B$22:$AC$22</c:f>
              <c:numCache>
                <c:formatCode>General</c:formatCode>
                <c:ptCount val="28"/>
                <c:pt idx="0">
                  <c:v>0</c:v>
                </c:pt>
                <c:pt idx="1">
                  <c:v>0</c:v>
                </c:pt>
                <c:pt idx="2">
                  <c:v>3.2982990000000001</c:v>
                </c:pt>
                <c:pt idx="3">
                  <c:v>5.1050440000000004</c:v>
                </c:pt>
                <c:pt idx="4">
                  <c:v>5.9494199999999999</c:v>
                </c:pt>
                <c:pt idx="5">
                  <c:v>6.0588179999999996</c:v>
                </c:pt>
                <c:pt idx="6">
                  <c:v>5.8036770000000004</c:v>
                </c:pt>
                <c:pt idx="7">
                  <c:v>5.3419119999999998</c:v>
                </c:pt>
                <c:pt idx="8">
                  <c:v>4.8252889999999997</c:v>
                </c:pt>
                <c:pt idx="9">
                  <c:v>4.3030400000000002</c:v>
                </c:pt>
                <c:pt idx="10">
                  <c:v>3.8152870000000001</c:v>
                </c:pt>
                <c:pt idx="11">
                  <c:v>3.3726479999999999</c:v>
                </c:pt>
                <c:pt idx="12">
                  <c:v>2.980102</c:v>
                </c:pt>
                <c:pt idx="13">
                  <c:v>2.6335359999999999</c:v>
                </c:pt>
                <c:pt idx="14">
                  <c:v>2.326978</c:v>
                </c:pt>
                <c:pt idx="15">
                  <c:v>2.0543070000000001</c:v>
                </c:pt>
                <c:pt idx="16">
                  <c:v>1.8099320000000001</c:v>
                </c:pt>
                <c:pt idx="17">
                  <c:v>1.589121</c:v>
                </c:pt>
                <c:pt idx="18">
                  <c:v>1.3879440000000001</c:v>
                </c:pt>
                <c:pt idx="19">
                  <c:v>1.203279</c:v>
                </c:pt>
                <c:pt idx="20">
                  <c:v>1.03267</c:v>
                </c:pt>
                <c:pt idx="21">
                  <c:v>0.87421099999999996</c:v>
                </c:pt>
                <c:pt idx="22">
                  <c:v>0.72636400000000001</c:v>
                </c:pt>
                <c:pt idx="23">
                  <c:v>0.58794299999999999</c:v>
                </c:pt>
                <c:pt idx="24">
                  <c:v>0.45802199999999998</c:v>
                </c:pt>
                <c:pt idx="25">
                  <c:v>0.33581699999999998</c:v>
                </c:pt>
                <c:pt idx="26">
                  <c:v>0.22070400000000001</c:v>
                </c:pt>
                <c:pt idx="27">
                  <c:v>0.112155</c:v>
                </c:pt>
              </c:numCache>
            </c:numRef>
          </c:val>
          <c:smooth val="0"/>
        </c:ser>
        <c:dLbls>
          <c:showLegendKey val="0"/>
          <c:showVal val="0"/>
          <c:showCatName val="0"/>
          <c:showSerName val="0"/>
          <c:showPercent val="0"/>
          <c:showBubbleSize val="0"/>
        </c:dLbls>
        <c:marker val="1"/>
        <c:smooth val="0"/>
        <c:axId val="147025920"/>
        <c:axId val="147027840"/>
      </c:lineChart>
      <c:catAx>
        <c:axId val="147025920"/>
        <c:scaling>
          <c:orientation val="minMax"/>
        </c:scaling>
        <c:delete val="0"/>
        <c:axPos val="b"/>
        <c:numFmt formatCode="General" sourceLinked="1"/>
        <c:majorTickMark val="out"/>
        <c:minorTickMark val="none"/>
        <c:tickLblPos val="nextTo"/>
        <c:txPr>
          <a:bodyPr rot="-5400000" vert="horz"/>
          <a:lstStyle/>
          <a:p>
            <a:pPr>
              <a:defRPr/>
            </a:pPr>
            <a:endParaRPr lang="en-US"/>
          </a:p>
        </c:txPr>
        <c:crossAx val="147027840"/>
        <c:crosses val="autoZero"/>
        <c:auto val="1"/>
        <c:lblAlgn val="ctr"/>
        <c:lblOffset val="100"/>
        <c:noMultiLvlLbl val="0"/>
      </c:catAx>
      <c:valAx>
        <c:axId val="147027840"/>
        <c:scaling>
          <c:orientation val="minMax"/>
          <c:max val="7"/>
        </c:scaling>
        <c:delete val="0"/>
        <c:axPos val="l"/>
        <c:majorGridlines/>
        <c:title>
          <c:tx>
            <c:rich>
              <a:bodyPr rot="-5400000" vert="horz"/>
              <a:lstStyle/>
              <a:p>
                <a:pPr>
                  <a:defRPr/>
                </a:pPr>
                <a:r>
                  <a:rPr lang="en-AU"/>
                  <a:t>% deviations from baseline values</a:t>
                </a:r>
              </a:p>
            </c:rich>
          </c:tx>
          <c:overlay val="0"/>
        </c:title>
        <c:numFmt formatCode="General" sourceLinked="1"/>
        <c:majorTickMark val="out"/>
        <c:minorTickMark val="none"/>
        <c:tickLblPos val="nextTo"/>
        <c:crossAx val="147025920"/>
        <c:crosses val="autoZero"/>
        <c:crossBetween val="between"/>
        <c:majorUnit val="2"/>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Graphs!$A$26</c:f>
              <c:strCache>
                <c:ptCount val="1"/>
                <c:pt idx="0">
                  <c:v>Employment</c:v>
                </c:pt>
              </c:strCache>
            </c:strRef>
          </c:tx>
          <c:spPr>
            <a:ln>
              <a:prstDash val="sysDash"/>
            </a:ln>
          </c:spPr>
          <c:marker>
            <c:symbol val="none"/>
          </c:marker>
          <c:cat>
            <c:numRef>
              <c:f>Graphs!$B$25:$AC$25</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Graphs!$B$26:$AC$26</c:f>
              <c:numCache>
                <c:formatCode>General</c:formatCode>
                <c:ptCount val="28"/>
                <c:pt idx="0">
                  <c:v>0</c:v>
                </c:pt>
                <c:pt idx="1">
                  <c:v>0</c:v>
                </c:pt>
                <c:pt idx="2">
                  <c:v>-0.260459</c:v>
                </c:pt>
                <c:pt idx="3">
                  <c:v>-0.46057599999999999</c:v>
                </c:pt>
                <c:pt idx="4">
                  <c:v>-0.64957399999999998</c:v>
                </c:pt>
                <c:pt idx="5">
                  <c:v>-0.70565599999999995</c:v>
                </c:pt>
                <c:pt idx="6">
                  <c:v>-0.68046600000000002</c:v>
                </c:pt>
                <c:pt idx="7">
                  <c:v>-0.61127399999999998</c:v>
                </c:pt>
                <c:pt idx="8">
                  <c:v>-0.51836599999999999</c:v>
                </c:pt>
                <c:pt idx="9">
                  <c:v>-0.42051500000000003</c:v>
                </c:pt>
                <c:pt idx="10">
                  <c:v>-0.32983400000000002</c:v>
                </c:pt>
                <c:pt idx="11">
                  <c:v>-0.25059700000000001</c:v>
                </c:pt>
                <c:pt idx="12">
                  <c:v>-0.18526300000000001</c:v>
                </c:pt>
                <c:pt idx="13">
                  <c:v>-0.132829</c:v>
                </c:pt>
                <c:pt idx="14">
                  <c:v>-9.1572000000000001E-2</c:v>
                </c:pt>
                <c:pt idx="15">
                  <c:v>-5.9570999999999999E-2</c:v>
                </c:pt>
                <c:pt idx="16">
                  <c:v>-3.4985000000000002E-2</c:v>
                </c:pt>
                <c:pt idx="17">
                  <c:v>-1.6191000000000001E-2</c:v>
                </c:pt>
                <c:pt idx="18">
                  <c:v>-1.835E-3</c:v>
                </c:pt>
                <c:pt idx="19">
                  <c:v>9.1649999999999995E-3</c:v>
                </c:pt>
                <c:pt idx="20">
                  <c:v>1.7656000000000002E-2</c:v>
                </c:pt>
                <c:pt idx="21">
                  <c:v>2.4271999999999998E-2</c:v>
                </c:pt>
                <c:pt idx="22">
                  <c:v>2.9503999999999999E-2</c:v>
                </c:pt>
                <c:pt idx="23">
                  <c:v>3.3710999999999998E-2</c:v>
                </c:pt>
                <c:pt idx="24">
                  <c:v>3.7149000000000001E-2</c:v>
                </c:pt>
                <c:pt idx="25">
                  <c:v>4.0011999999999999E-2</c:v>
                </c:pt>
                <c:pt idx="26">
                  <c:v>4.2428E-2</c:v>
                </c:pt>
                <c:pt idx="27">
                  <c:v>4.4498999999999997E-2</c:v>
                </c:pt>
              </c:numCache>
            </c:numRef>
          </c:val>
          <c:smooth val="0"/>
        </c:ser>
        <c:ser>
          <c:idx val="1"/>
          <c:order val="1"/>
          <c:tx>
            <c:strRef>
              <c:f>Graphs!$A$27</c:f>
              <c:strCache>
                <c:ptCount val="1"/>
                <c:pt idx="0">
                  <c:v>Capital</c:v>
                </c:pt>
              </c:strCache>
            </c:strRef>
          </c:tx>
          <c:marker>
            <c:symbol val="none"/>
          </c:marker>
          <c:cat>
            <c:numRef>
              <c:f>Graphs!$B$25:$AC$25</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Graphs!$B$27:$AC$27</c:f>
              <c:numCache>
                <c:formatCode>General</c:formatCode>
                <c:ptCount val="28"/>
                <c:pt idx="0">
                  <c:v>0</c:v>
                </c:pt>
                <c:pt idx="1">
                  <c:v>0</c:v>
                </c:pt>
                <c:pt idx="2">
                  <c:v>-5.9389999999999998E-3</c:v>
                </c:pt>
                <c:pt idx="3">
                  <c:v>-3.4139999999999999E-3</c:v>
                </c:pt>
                <c:pt idx="4">
                  <c:v>-1.3311E-2</c:v>
                </c:pt>
                <c:pt idx="5">
                  <c:v>-2.7427E-2</c:v>
                </c:pt>
                <c:pt idx="6">
                  <c:v>-5.0219E-2</c:v>
                </c:pt>
                <c:pt idx="7">
                  <c:v>-8.9964000000000002E-2</c:v>
                </c:pt>
                <c:pt idx="8">
                  <c:v>-0.13483700000000001</c:v>
                </c:pt>
                <c:pt idx="9">
                  <c:v>-0.18343000000000001</c:v>
                </c:pt>
                <c:pt idx="10">
                  <c:v>-0.23192499999999999</c:v>
                </c:pt>
                <c:pt idx="11">
                  <c:v>-0.278914</c:v>
                </c:pt>
                <c:pt idx="12">
                  <c:v>-0.323351</c:v>
                </c:pt>
                <c:pt idx="13">
                  <c:v>-0.36477799999999999</c:v>
                </c:pt>
                <c:pt idx="14">
                  <c:v>-0.40297100000000002</c:v>
                </c:pt>
                <c:pt idx="15">
                  <c:v>-0.437832</c:v>
                </c:pt>
                <c:pt idx="16">
                  <c:v>-0.46937600000000002</c:v>
                </c:pt>
                <c:pt idx="17">
                  <c:v>-0.49768600000000002</c:v>
                </c:pt>
                <c:pt idx="18">
                  <c:v>-0.52290000000000003</c:v>
                </c:pt>
                <c:pt idx="19">
                  <c:v>-0.54518900000000003</c:v>
                </c:pt>
                <c:pt idx="20">
                  <c:v>-0.56474299999999999</c:v>
                </c:pt>
                <c:pt idx="21">
                  <c:v>-0.58176099999999997</c:v>
                </c:pt>
                <c:pt idx="22">
                  <c:v>-0.59643800000000002</c:v>
                </c:pt>
                <c:pt idx="23">
                  <c:v>-0.60896700000000004</c:v>
                </c:pt>
                <c:pt idx="24">
                  <c:v>-0.61952200000000002</c:v>
                </c:pt>
                <c:pt idx="25">
                  <c:v>-0.62827900000000003</c:v>
                </c:pt>
                <c:pt idx="26">
                  <c:v>-0.63539100000000004</c:v>
                </c:pt>
                <c:pt idx="27">
                  <c:v>-0.64101200000000003</c:v>
                </c:pt>
              </c:numCache>
            </c:numRef>
          </c:val>
          <c:smooth val="0"/>
        </c:ser>
        <c:dLbls>
          <c:showLegendKey val="0"/>
          <c:showVal val="0"/>
          <c:showCatName val="0"/>
          <c:showSerName val="0"/>
          <c:showPercent val="0"/>
          <c:showBubbleSize val="0"/>
        </c:dLbls>
        <c:marker val="1"/>
        <c:smooth val="0"/>
        <c:axId val="147016320"/>
        <c:axId val="147288448"/>
      </c:lineChart>
      <c:catAx>
        <c:axId val="147016320"/>
        <c:scaling>
          <c:orientation val="minMax"/>
        </c:scaling>
        <c:delete val="0"/>
        <c:axPos val="b"/>
        <c:numFmt formatCode="General" sourceLinked="1"/>
        <c:majorTickMark val="out"/>
        <c:minorTickMark val="none"/>
        <c:tickLblPos val="nextTo"/>
        <c:txPr>
          <a:bodyPr rot="-5400000" vert="horz"/>
          <a:lstStyle/>
          <a:p>
            <a:pPr>
              <a:defRPr/>
            </a:pPr>
            <a:endParaRPr lang="en-US"/>
          </a:p>
        </c:txPr>
        <c:crossAx val="147288448"/>
        <c:crosses val="autoZero"/>
        <c:auto val="1"/>
        <c:lblAlgn val="ctr"/>
        <c:lblOffset val="100"/>
        <c:noMultiLvlLbl val="0"/>
      </c:catAx>
      <c:valAx>
        <c:axId val="147288448"/>
        <c:scaling>
          <c:orientation val="minMax"/>
        </c:scaling>
        <c:delete val="0"/>
        <c:axPos val="l"/>
        <c:majorGridlines/>
        <c:title>
          <c:tx>
            <c:rich>
              <a:bodyPr rot="-5400000" vert="horz"/>
              <a:lstStyle/>
              <a:p>
                <a:pPr>
                  <a:defRPr/>
                </a:pPr>
                <a:r>
                  <a:rPr lang="en-AU"/>
                  <a:t>% deviations</a:t>
                </a:r>
                <a:r>
                  <a:rPr lang="en-AU" baseline="0"/>
                  <a:t> from baseline values</a:t>
                </a:r>
                <a:endParaRPr lang="en-AU"/>
              </a:p>
            </c:rich>
          </c:tx>
          <c:overlay val="0"/>
        </c:title>
        <c:numFmt formatCode="General" sourceLinked="1"/>
        <c:majorTickMark val="out"/>
        <c:minorTickMark val="none"/>
        <c:tickLblPos val="nextTo"/>
        <c:crossAx val="147016320"/>
        <c:crosses val="autoZero"/>
        <c:crossBetween val="between"/>
      </c:val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Graphs!$A$47</c:f>
              <c:strCache>
                <c:ptCount val="1"/>
                <c:pt idx="0">
                  <c:v>Employment contribution</c:v>
                </c:pt>
              </c:strCache>
            </c:strRef>
          </c:tx>
          <c:invertIfNegative val="0"/>
          <c:cat>
            <c:numRef>
              <c:f>Graphs!$B$46:$AC$46</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Graphs!$B$47:$AC$47</c:f>
              <c:numCache>
                <c:formatCode>General</c:formatCode>
                <c:ptCount val="28"/>
                <c:pt idx="0">
                  <c:v>0</c:v>
                </c:pt>
                <c:pt idx="1">
                  <c:v>0</c:v>
                </c:pt>
                <c:pt idx="2">
                  <c:v>-5.2288967462999998E-2</c:v>
                </c:pt>
                <c:pt idx="3">
                  <c:v>-8.9411158303999996E-2</c:v>
                </c:pt>
                <c:pt idx="4">
                  <c:v>-0.12525670484599999</c:v>
                </c:pt>
                <c:pt idx="5">
                  <c:v>-0.13464339873599998</c:v>
                </c:pt>
                <c:pt idx="6">
                  <c:v>-0.13013231784000001</c:v>
                </c:pt>
                <c:pt idx="7">
                  <c:v>-0.11484554784599998</c:v>
                </c:pt>
                <c:pt idx="8">
                  <c:v>-9.6905413504000004E-2</c:v>
                </c:pt>
                <c:pt idx="9">
                  <c:v>-7.8167430775000005E-2</c:v>
                </c:pt>
                <c:pt idx="10">
                  <c:v>-6.0920009966000006E-2</c:v>
                </c:pt>
                <c:pt idx="11">
                  <c:v>-4.5999334723000003E-2</c:v>
                </c:pt>
                <c:pt idx="12">
                  <c:v>-3.3798270142000007E-2</c:v>
                </c:pt>
                <c:pt idx="13">
                  <c:v>-2.4087078030999999E-2</c:v>
                </c:pt>
                <c:pt idx="14">
                  <c:v>-1.6507501296E-2</c:v>
                </c:pt>
                <c:pt idx="15">
                  <c:v>-1.0676135906999999E-2</c:v>
                </c:pt>
                <c:pt idx="16">
                  <c:v>-6.2337322550000008E-3</c:v>
                </c:pt>
                <c:pt idx="17">
                  <c:v>-2.9143799999999998E-3</c:v>
                </c:pt>
                <c:pt idx="18">
                  <c:v>-3.3030000000000001E-4</c:v>
                </c:pt>
                <c:pt idx="19">
                  <c:v>1.6496999999999998E-3</c:v>
                </c:pt>
                <c:pt idx="20">
                  <c:v>3.1780800000000002E-3</c:v>
                </c:pt>
                <c:pt idx="21">
                  <c:v>4.3689599999999999E-3</c:v>
                </c:pt>
                <c:pt idx="22">
                  <c:v>5.3107199999999997E-3</c:v>
                </c:pt>
                <c:pt idx="23">
                  <c:v>6.0679799999999997E-3</c:v>
                </c:pt>
                <c:pt idx="24">
                  <c:v>6.6868200000000004E-3</c:v>
                </c:pt>
                <c:pt idx="25">
                  <c:v>7.2021599999999991E-3</c:v>
                </c:pt>
                <c:pt idx="26">
                  <c:v>7.6370399999999995E-3</c:v>
                </c:pt>
                <c:pt idx="27">
                  <c:v>8.0098199999999991E-3</c:v>
                </c:pt>
              </c:numCache>
            </c:numRef>
          </c:val>
        </c:ser>
        <c:ser>
          <c:idx val="1"/>
          <c:order val="1"/>
          <c:tx>
            <c:strRef>
              <c:f>Graphs!$A$48</c:f>
              <c:strCache>
                <c:ptCount val="1"/>
                <c:pt idx="0">
                  <c:v>Capital contribution</c:v>
                </c:pt>
              </c:strCache>
            </c:strRef>
          </c:tx>
          <c:invertIfNegative val="0"/>
          <c:cat>
            <c:numRef>
              <c:f>Graphs!$B$46:$AC$46</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Graphs!$B$48:$AC$48</c:f>
              <c:numCache>
                <c:formatCode>General</c:formatCode>
                <c:ptCount val="28"/>
                <c:pt idx="0">
                  <c:v>0</c:v>
                </c:pt>
                <c:pt idx="1">
                  <c:v>0</c:v>
                </c:pt>
                <c:pt idx="2">
                  <c:v>-3.628503318E-3</c:v>
                </c:pt>
                <c:pt idx="3">
                  <c:v>-2.1019622460000001E-3</c:v>
                </c:pt>
                <c:pt idx="4">
                  <c:v>-8.1586313639999998E-3</c:v>
                </c:pt>
                <c:pt idx="5">
                  <c:v>-1.6881428208000003E-2</c:v>
                </c:pt>
                <c:pt idx="6">
                  <c:v>-3.0956598607999999E-2</c:v>
                </c:pt>
                <c:pt idx="7">
                  <c:v>-5.5400011127999998E-2</c:v>
                </c:pt>
                <c:pt idx="8">
                  <c:v>-8.3013882257000016E-2</c:v>
                </c:pt>
                <c:pt idx="9">
                  <c:v>-0.11299361372000001</c:v>
                </c:pt>
                <c:pt idx="10">
                  <c:v>-0.14297364512499999</c:v>
                </c:pt>
                <c:pt idx="11">
                  <c:v>-0.17216524478</c:v>
                </c:pt>
                <c:pt idx="12">
                  <c:v>-0.19984094188099999</c:v>
                </c:pt>
                <c:pt idx="13">
                  <c:v>-0.22570383405400002</c:v>
                </c:pt>
                <c:pt idx="14">
                  <c:v>-0.24960587899400002</c:v>
                </c:pt>
                <c:pt idx="15">
                  <c:v>-0.27147729376800001</c:v>
                </c:pt>
                <c:pt idx="16">
                  <c:v>-0.29131868377600001</c:v>
                </c:pt>
                <c:pt idx="17">
                  <c:v>-0.30856532000000003</c:v>
                </c:pt>
                <c:pt idx="18">
                  <c:v>-0.32419800000000004</c:v>
                </c:pt>
                <c:pt idx="19">
                  <c:v>-0.33801718000000003</c:v>
                </c:pt>
                <c:pt idx="20">
                  <c:v>-0.35014065999999999</c:v>
                </c:pt>
                <c:pt idx="21">
                  <c:v>-0.36069182</c:v>
                </c:pt>
                <c:pt idx="22">
                  <c:v>-0.36979156000000002</c:v>
                </c:pt>
                <c:pt idx="23">
                  <c:v>-0.37755954000000003</c:v>
                </c:pt>
                <c:pt idx="24">
                  <c:v>-0.38410364000000002</c:v>
                </c:pt>
                <c:pt idx="25">
                  <c:v>-0.38953298000000003</c:v>
                </c:pt>
                <c:pt idx="26">
                  <c:v>-0.39394242000000002</c:v>
                </c:pt>
                <c:pt idx="27">
                  <c:v>-0.39742744000000002</c:v>
                </c:pt>
              </c:numCache>
            </c:numRef>
          </c:val>
        </c:ser>
        <c:ser>
          <c:idx val="2"/>
          <c:order val="2"/>
          <c:tx>
            <c:strRef>
              <c:f>Graphs!$A$49</c:f>
              <c:strCache>
                <c:ptCount val="1"/>
                <c:pt idx="0">
                  <c:v>Efficiency contricution</c:v>
                </c:pt>
              </c:strCache>
            </c:strRef>
          </c:tx>
          <c:spPr>
            <a:ln>
              <a:solidFill>
                <a:srgbClr val="92D050"/>
              </a:solidFill>
            </a:ln>
          </c:spPr>
          <c:invertIfNegative val="0"/>
          <c:cat>
            <c:numRef>
              <c:f>Graphs!$B$46:$AC$46</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Graphs!$B$49:$AC$49</c:f>
              <c:numCache>
                <c:formatCode>General</c:formatCode>
                <c:ptCount val="28"/>
                <c:pt idx="0">
                  <c:v>0</c:v>
                </c:pt>
                <c:pt idx="1">
                  <c:v>0</c:v>
                </c:pt>
                <c:pt idx="2">
                  <c:v>0.84091547078100004</c:v>
                </c:pt>
                <c:pt idx="3">
                  <c:v>1.2051101205499999</c:v>
                </c:pt>
                <c:pt idx="4">
                  <c:v>1.3250533362100001</c:v>
                </c:pt>
                <c:pt idx="5">
                  <c:v>1.3430578269440001</c:v>
                </c:pt>
                <c:pt idx="6">
                  <c:v>1.325768916448</c:v>
                </c:pt>
                <c:pt idx="7">
                  <c:v>1.3020235589739999</c:v>
                </c:pt>
                <c:pt idx="8">
                  <c:v>1.2792242957609998</c:v>
                </c:pt>
                <c:pt idx="9">
                  <c:v>1.262603044495</c:v>
                </c:pt>
                <c:pt idx="10">
                  <c:v>1.2489406550910003</c:v>
                </c:pt>
                <c:pt idx="11">
                  <c:v>1.2413295795030002</c:v>
                </c:pt>
                <c:pt idx="12">
                  <c:v>1.2366962120230003</c:v>
                </c:pt>
                <c:pt idx="13">
                  <c:v>1.2346549120850001</c:v>
                </c:pt>
                <c:pt idx="14">
                  <c:v>1.23485738029</c:v>
                </c:pt>
                <c:pt idx="15">
                  <c:v>1.237002429675</c:v>
                </c:pt>
                <c:pt idx="16">
                  <c:v>1.240848416031</c:v>
                </c:pt>
                <c:pt idx="17">
                  <c:v>1.2456227</c:v>
                </c:pt>
                <c:pt idx="18">
                  <c:v>1.2519133</c:v>
                </c:pt>
                <c:pt idx="19">
                  <c:v>1.2593504800000002</c:v>
                </c:pt>
                <c:pt idx="20">
                  <c:v>1.2678135799999999</c:v>
                </c:pt>
                <c:pt idx="21">
                  <c:v>1.2771988599999999</c:v>
                </c:pt>
                <c:pt idx="22">
                  <c:v>1.28741784</c:v>
                </c:pt>
                <c:pt idx="23">
                  <c:v>1.2983895599999999</c:v>
                </c:pt>
                <c:pt idx="24">
                  <c:v>1.3100418200000001</c:v>
                </c:pt>
                <c:pt idx="25">
                  <c:v>1.3223138200000002</c:v>
                </c:pt>
                <c:pt idx="26">
                  <c:v>1.33514438</c:v>
                </c:pt>
                <c:pt idx="27">
                  <c:v>1.3484866200000001</c:v>
                </c:pt>
              </c:numCache>
            </c:numRef>
          </c:val>
        </c:ser>
        <c:dLbls>
          <c:showLegendKey val="0"/>
          <c:showVal val="0"/>
          <c:showCatName val="0"/>
          <c:showSerName val="0"/>
          <c:showPercent val="0"/>
          <c:showBubbleSize val="0"/>
        </c:dLbls>
        <c:gapWidth val="150"/>
        <c:axId val="147418112"/>
        <c:axId val="147641088"/>
      </c:barChart>
      <c:lineChart>
        <c:grouping val="standard"/>
        <c:varyColors val="0"/>
        <c:ser>
          <c:idx val="3"/>
          <c:order val="3"/>
          <c:tx>
            <c:strRef>
              <c:f>Graphs!$A$50</c:f>
              <c:strCache>
                <c:ptCount val="1"/>
                <c:pt idx="0">
                  <c:v>Real GDP (% deviation)</c:v>
                </c:pt>
              </c:strCache>
            </c:strRef>
          </c:tx>
          <c:marker>
            <c:symbol val="none"/>
          </c:marker>
          <c:cat>
            <c:numRef>
              <c:f>Graphs!$B$46:$AC$46</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Graphs!$B$50:$AC$50</c:f>
              <c:numCache>
                <c:formatCode>General</c:formatCode>
                <c:ptCount val="28"/>
                <c:pt idx="0">
                  <c:v>0</c:v>
                </c:pt>
                <c:pt idx="1">
                  <c:v>0</c:v>
                </c:pt>
                <c:pt idx="2">
                  <c:v>0.78499799999999997</c:v>
                </c:pt>
                <c:pt idx="3">
                  <c:v>1.1135969999999999</c:v>
                </c:pt>
                <c:pt idx="4">
                  <c:v>1.191638</c:v>
                </c:pt>
                <c:pt idx="5">
                  <c:v>1.191533</c:v>
                </c:pt>
                <c:pt idx="6">
                  <c:v>1.1646799999999999</c:v>
                </c:pt>
                <c:pt idx="7">
                  <c:v>1.131778</c:v>
                </c:pt>
                <c:pt idx="8">
                  <c:v>1.099305</c:v>
                </c:pt>
                <c:pt idx="9">
                  <c:v>1.071442</c:v>
                </c:pt>
                <c:pt idx="10">
                  <c:v>1.0450470000000001</c:v>
                </c:pt>
                <c:pt idx="11">
                  <c:v>1.0231650000000001</c:v>
                </c:pt>
                <c:pt idx="12">
                  <c:v>1.0030570000000001</c:v>
                </c:pt>
                <c:pt idx="13">
                  <c:v>0.98486399999999996</c:v>
                </c:pt>
                <c:pt idx="14">
                  <c:v>0.96874400000000005</c:v>
                </c:pt>
                <c:pt idx="15">
                  <c:v>0.95484899999999995</c:v>
                </c:pt>
                <c:pt idx="16">
                  <c:v>0.94329600000000002</c:v>
                </c:pt>
                <c:pt idx="17">
                  <c:v>0.93414299999999995</c:v>
                </c:pt>
                <c:pt idx="18">
                  <c:v>0.92738500000000001</c:v>
                </c:pt>
                <c:pt idx="19">
                  <c:v>0.922983</c:v>
                </c:pt>
                <c:pt idx="20">
                  <c:v>0.92085099999999998</c:v>
                </c:pt>
                <c:pt idx="21">
                  <c:v>0.92087600000000003</c:v>
                </c:pt>
                <c:pt idx="22">
                  <c:v>0.92293700000000001</c:v>
                </c:pt>
                <c:pt idx="23">
                  <c:v>0.926898</c:v>
                </c:pt>
                <c:pt idx="24">
                  <c:v>0.93262500000000004</c:v>
                </c:pt>
                <c:pt idx="25">
                  <c:v>0.93998300000000001</c:v>
                </c:pt>
                <c:pt idx="26">
                  <c:v>0.94883899999999999</c:v>
                </c:pt>
                <c:pt idx="27">
                  <c:v>0.95906899999999995</c:v>
                </c:pt>
              </c:numCache>
            </c:numRef>
          </c:val>
          <c:smooth val="0"/>
        </c:ser>
        <c:dLbls>
          <c:showLegendKey val="0"/>
          <c:showVal val="0"/>
          <c:showCatName val="0"/>
          <c:showSerName val="0"/>
          <c:showPercent val="0"/>
          <c:showBubbleSize val="0"/>
        </c:dLbls>
        <c:marker val="1"/>
        <c:smooth val="0"/>
        <c:axId val="147418112"/>
        <c:axId val="147641088"/>
      </c:lineChart>
      <c:catAx>
        <c:axId val="147418112"/>
        <c:scaling>
          <c:orientation val="minMax"/>
        </c:scaling>
        <c:delete val="0"/>
        <c:axPos val="b"/>
        <c:numFmt formatCode="General" sourceLinked="1"/>
        <c:majorTickMark val="out"/>
        <c:minorTickMark val="none"/>
        <c:tickLblPos val="nextTo"/>
        <c:txPr>
          <a:bodyPr rot="-5400000" vert="horz"/>
          <a:lstStyle/>
          <a:p>
            <a:pPr>
              <a:defRPr/>
            </a:pPr>
            <a:endParaRPr lang="en-US"/>
          </a:p>
        </c:txPr>
        <c:crossAx val="147641088"/>
        <c:crosses val="autoZero"/>
        <c:auto val="1"/>
        <c:lblAlgn val="ctr"/>
        <c:lblOffset val="100"/>
        <c:noMultiLvlLbl val="0"/>
      </c:catAx>
      <c:valAx>
        <c:axId val="147641088"/>
        <c:scaling>
          <c:orientation val="minMax"/>
          <c:max val="1.5"/>
          <c:min val="-0.5"/>
        </c:scaling>
        <c:delete val="0"/>
        <c:axPos val="l"/>
        <c:majorGridlines/>
        <c:title>
          <c:tx>
            <c:rich>
              <a:bodyPr rot="-5400000" vert="horz"/>
              <a:lstStyle/>
              <a:p>
                <a:pPr>
                  <a:defRPr/>
                </a:pPr>
                <a:r>
                  <a:rPr lang="en-AU"/>
                  <a:t>% deviations</a:t>
                </a:r>
                <a:r>
                  <a:rPr lang="en-AU" baseline="0"/>
                  <a:t> from baseline values</a:t>
                </a:r>
                <a:endParaRPr lang="en-AU"/>
              </a:p>
            </c:rich>
          </c:tx>
          <c:overlay val="0"/>
        </c:title>
        <c:numFmt formatCode="General" sourceLinked="1"/>
        <c:majorTickMark val="out"/>
        <c:minorTickMark val="none"/>
        <c:tickLblPos val="nextTo"/>
        <c:crossAx val="147418112"/>
        <c:crosses val="autoZero"/>
        <c:crossBetween val="between"/>
        <c:majorUnit val="0.5"/>
      </c:valAx>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Graphs!$A$61</c:f>
              <c:strCache>
                <c:ptCount val="1"/>
                <c:pt idx="0">
                  <c:v>Aggregate real consumption</c:v>
                </c:pt>
              </c:strCache>
            </c:strRef>
          </c:tx>
          <c:spPr>
            <a:ln>
              <a:solidFill>
                <a:srgbClr val="C00000"/>
              </a:solidFill>
            </a:ln>
          </c:spPr>
          <c:marker>
            <c:symbol val="none"/>
          </c:marker>
          <c:cat>
            <c:numRef>
              <c:f>Graphs!$B$60:$AC$60</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Graphs!$B$61:$AC$61</c:f>
              <c:numCache>
                <c:formatCode>General</c:formatCode>
                <c:ptCount val="28"/>
                <c:pt idx="0">
                  <c:v>0</c:v>
                </c:pt>
                <c:pt idx="1">
                  <c:v>0</c:v>
                </c:pt>
                <c:pt idx="2">
                  <c:v>1.099421</c:v>
                </c:pt>
                <c:pt idx="3">
                  <c:v>1.5806880000000001</c:v>
                </c:pt>
                <c:pt idx="4">
                  <c:v>1.7896780000000001</c:v>
                </c:pt>
                <c:pt idx="5">
                  <c:v>1.789369</c:v>
                </c:pt>
                <c:pt idx="6">
                  <c:v>1.7511270000000001</c:v>
                </c:pt>
                <c:pt idx="7">
                  <c:v>1.7337720000000001</c:v>
                </c:pt>
                <c:pt idx="8">
                  <c:v>1.709319</c:v>
                </c:pt>
                <c:pt idx="9">
                  <c:v>1.6660619999999999</c:v>
                </c:pt>
                <c:pt idx="10">
                  <c:v>1.613073</c:v>
                </c:pt>
                <c:pt idx="11">
                  <c:v>1.54494</c:v>
                </c:pt>
                <c:pt idx="12">
                  <c:v>1.471036</c:v>
                </c:pt>
                <c:pt idx="13">
                  <c:v>1.3936059999999999</c:v>
                </c:pt>
                <c:pt idx="14">
                  <c:v>1.31437</c:v>
                </c:pt>
                <c:pt idx="15">
                  <c:v>1.23485</c:v>
                </c:pt>
                <c:pt idx="16">
                  <c:v>1.1562809999999999</c:v>
                </c:pt>
                <c:pt idx="17">
                  <c:v>1.079653</c:v>
                </c:pt>
                <c:pt idx="18">
                  <c:v>1.005676</c:v>
                </c:pt>
                <c:pt idx="19">
                  <c:v>0.934832</c:v>
                </c:pt>
                <c:pt idx="20">
                  <c:v>0.86742799999999998</c:v>
                </c:pt>
                <c:pt idx="21">
                  <c:v>0.80362100000000003</c:v>
                </c:pt>
                <c:pt idx="22">
                  <c:v>0.74346900000000005</c:v>
                </c:pt>
                <c:pt idx="23">
                  <c:v>0.68695300000000004</c:v>
                </c:pt>
                <c:pt idx="24">
                  <c:v>0.63399300000000003</c:v>
                </c:pt>
                <c:pt idx="25">
                  <c:v>0.58446799999999999</c:v>
                </c:pt>
                <c:pt idx="26">
                  <c:v>0.53823299999999996</c:v>
                </c:pt>
                <c:pt idx="27">
                  <c:v>0.49513000000000001</c:v>
                </c:pt>
              </c:numCache>
            </c:numRef>
          </c:val>
          <c:smooth val="0"/>
        </c:ser>
        <c:ser>
          <c:idx val="1"/>
          <c:order val="1"/>
          <c:tx>
            <c:strRef>
              <c:f>Graphs!$A$62</c:f>
              <c:strCache>
                <c:ptCount val="1"/>
                <c:pt idx="0">
                  <c:v>Real investment</c:v>
                </c:pt>
              </c:strCache>
            </c:strRef>
          </c:tx>
          <c:spPr>
            <a:ln>
              <a:solidFill>
                <a:srgbClr val="92D050"/>
              </a:solidFill>
            </a:ln>
          </c:spPr>
          <c:marker>
            <c:symbol val="triangle"/>
            <c:size val="5"/>
            <c:spPr>
              <a:solidFill>
                <a:srgbClr val="92D050"/>
              </a:solidFill>
              <a:ln>
                <a:solidFill>
                  <a:srgbClr val="92D050"/>
                </a:solidFill>
              </a:ln>
            </c:spPr>
          </c:marker>
          <c:cat>
            <c:numRef>
              <c:f>Graphs!$B$60:$AC$60</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Graphs!$B$62:$AC$62</c:f>
              <c:numCache>
                <c:formatCode>General</c:formatCode>
                <c:ptCount val="28"/>
                <c:pt idx="0">
                  <c:v>0</c:v>
                </c:pt>
                <c:pt idx="1">
                  <c:v>0</c:v>
                </c:pt>
                <c:pt idx="2">
                  <c:v>-0.60638800000000004</c:v>
                </c:pt>
                <c:pt idx="3">
                  <c:v>-1.113785</c:v>
                </c:pt>
                <c:pt idx="4">
                  <c:v>-1.50251</c:v>
                </c:pt>
                <c:pt idx="5">
                  <c:v>-1.6843060000000001</c:v>
                </c:pt>
                <c:pt idx="6">
                  <c:v>-1.8179430000000001</c:v>
                </c:pt>
                <c:pt idx="7">
                  <c:v>-1.960358</c:v>
                </c:pt>
                <c:pt idx="8">
                  <c:v>-2.0783990000000001</c:v>
                </c:pt>
                <c:pt idx="9">
                  <c:v>-2.160428</c:v>
                </c:pt>
                <c:pt idx="10">
                  <c:v>-2.2242760000000001</c:v>
                </c:pt>
                <c:pt idx="11">
                  <c:v>-2.263058</c:v>
                </c:pt>
                <c:pt idx="12">
                  <c:v>-2.290629</c:v>
                </c:pt>
                <c:pt idx="13">
                  <c:v>-2.3091520000000001</c:v>
                </c:pt>
                <c:pt idx="14">
                  <c:v>-2.3198840000000001</c:v>
                </c:pt>
                <c:pt idx="15">
                  <c:v>-2.3240069999999999</c:v>
                </c:pt>
                <c:pt idx="16">
                  <c:v>-2.3226300000000002</c:v>
                </c:pt>
                <c:pt idx="17">
                  <c:v>-2.31677</c:v>
                </c:pt>
                <c:pt idx="18">
                  <c:v>-2.307277</c:v>
                </c:pt>
                <c:pt idx="19">
                  <c:v>-2.2948909999999998</c:v>
                </c:pt>
                <c:pt idx="20">
                  <c:v>-2.2802169999999999</c:v>
                </c:pt>
                <c:pt idx="21">
                  <c:v>-2.263747</c:v>
                </c:pt>
                <c:pt idx="22">
                  <c:v>-2.2458800000000001</c:v>
                </c:pt>
                <c:pt idx="23">
                  <c:v>-2.2269350000000001</c:v>
                </c:pt>
                <c:pt idx="24">
                  <c:v>-2.2071719999999999</c:v>
                </c:pt>
                <c:pt idx="25">
                  <c:v>-2.186795</c:v>
                </c:pt>
                <c:pt idx="26">
                  <c:v>-2.1659510000000002</c:v>
                </c:pt>
                <c:pt idx="27">
                  <c:v>-2.144765</c:v>
                </c:pt>
              </c:numCache>
            </c:numRef>
          </c:val>
          <c:smooth val="0"/>
        </c:ser>
        <c:dLbls>
          <c:showLegendKey val="0"/>
          <c:showVal val="0"/>
          <c:showCatName val="0"/>
          <c:showSerName val="0"/>
          <c:showPercent val="0"/>
          <c:showBubbleSize val="0"/>
        </c:dLbls>
        <c:marker val="1"/>
        <c:smooth val="0"/>
        <c:axId val="147723392"/>
        <c:axId val="147725312"/>
      </c:lineChart>
      <c:catAx>
        <c:axId val="147723392"/>
        <c:scaling>
          <c:orientation val="minMax"/>
        </c:scaling>
        <c:delete val="0"/>
        <c:axPos val="b"/>
        <c:numFmt formatCode="General" sourceLinked="1"/>
        <c:majorTickMark val="out"/>
        <c:minorTickMark val="none"/>
        <c:tickLblPos val="nextTo"/>
        <c:txPr>
          <a:bodyPr rot="-5400000" vert="horz"/>
          <a:lstStyle/>
          <a:p>
            <a:pPr>
              <a:defRPr/>
            </a:pPr>
            <a:endParaRPr lang="en-US"/>
          </a:p>
        </c:txPr>
        <c:crossAx val="147725312"/>
        <c:crosses val="autoZero"/>
        <c:auto val="1"/>
        <c:lblAlgn val="ctr"/>
        <c:lblOffset val="100"/>
        <c:noMultiLvlLbl val="0"/>
      </c:catAx>
      <c:valAx>
        <c:axId val="147725312"/>
        <c:scaling>
          <c:orientation val="minMax"/>
          <c:min val="-2.5"/>
        </c:scaling>
        <c:delete val="0"/>
        <c:axPos val="l"/>
        <c:majorGridlines/>
        <c:title>
          <c:tx>
            <c:rich>
              <a:bodyPr rot="-5400000" vert="horz"/>
              <a:lstStyle/>
              <a:p>
                <a:pPr>
                  <a:defRPr/>
                </a:pPr>
                <a:r>
                  <a:rPr lang="en-AU"/>
                  <a:t>% deviations from the baseline</a:t>
                </a:r>
                <a:r>
                  <a:rPr lang="en-AU" baseline="0"/>
                  <a:t> values</a:t>
                </a:r>
                <a:endParaRPr lang="en-AU"/>
              </a:p>
            </c:rich>
          </c:tx>
          <c:overlay val="0"/>
        </c:title>
        <c:numFmt formatCode="General" sourceLinked="1"/>
        <c:majorTickMark val="out"/>
        <c:minorTickMark val="none"/>
        <c:tickLblPos val="nextTo"/>
        <c:crossAx val="147723392"/>
        <c:crosses val="autoZero"/>
        <c:crossBetween val="between"/>
      </c:valAx>
    </c:plotArea>
    <c:legend>
      <c:legendPos val="b"/>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Graphs!$A$66</c:f>
              <c:strCache>
                <c:ptCount val="1"/>
                <c:pt idx="0">
                  <c:v>Export volume</c:v>
                </c:pt>
              </c:strCache>
            </c:strRef>
          </c:tx>
          <c:marker>
            <c:symbol val="none"/>
          </c:marker>
          <c:cat>
            <c:numRef>
              <c:f>Graphs!$B$65:$AC$65</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Graphs!$B$66:$AC$66</c:f>
              <c:numCache>
                <c:formatCode>General</c:formatCode>
                <c:ptCount val="28"/>
                <c:pt idx="0">
                  <c:v>0</c:v>
                </c:pt>
                <c:pt idx="1">
                  <c:v>0</c:v>
                </c:pt>
                <c:pt idx="2">
                  <c:v>1.3147260000000001</c:v>
                </c:pt>
                <c:pt idx="3">
                  <c:v>1.96471</c:v>
                </c:pt>
                <c:pt idx="4">
                  <c:v>2.083018</c:v>
                </c:pt>
                <c:pt idx="5">
                  <c:v>2.1087509999999998</c:v>
                </c:pt>
                <c:pt idx="6">
                  <c:v>2.0409229999999998</c:v>
                </c:pt>
                <c:pt idx="7">
                  <c:v>1.8936869999999999</c:v>
                </c:pt>
                <c:pt idx="8">
                  <c:v>1.7295959999999999</c:v>
                </c:pt>
                <c:pt idx="9">
                  <c:v>1.5736019999999999</c:v>
                </c:pt>
                <c:pt idx="10">
                  <c:v>1.4242630000000001</c:v>
                </c:pt>
                <c:pt idx="11">
                  <c:v>1.294767</c:v>
                </c:pt>
                <c:pt idx="12">
                  <c:v>1.176787</c:v>
                </c:pt>
                <c:pt idx="13">
                  <c:v>1.0692440000000001</c:v>
                </c:pt>
                <c:pt idx="14">
                  <c:v>0.97089199999999998</c:v>
                </c:pt>
                <c:pt idx="15">
                  <c:v>0.88055399999999995</c:v>
                </c:pt>
                <c:pt idx="16">
                  <c:v>0.79717400000000005</c:v>
                </c:pt>
                <c:pt idx="17">
                  <c:v>0.71982999999999997</c:v>
                </c:pt>
                <c:pt idx="18">
                  <c:v>0.64773400000000003</c:v>
                </c:pt>
                <c:pt idx="19">
                  <c:v>0.58020700000000003</c:v>
                </c:pt>
                <c:pt idx="20">
                  <c:v>0.51667399999999997</c:v>
                </c:pt>
                <c:pt idx="21">
                  <c:v>0.45664700000000003</c:v>
                </c:pt>
                <c:pt idx="22">
                  <c:v>0.39970899999999998</c:v>
                </c:pt>
                <c:pt idx="23">
                  <c:v>0.34550500000000001</c:v>
                </c:pt>
                <c:pt idx="24">
                  <c:v>0.293736</c:v>
                </c:pt>
                <c:pt idx="25">
                  <c:v>0.24413499999999999</c:v>
                </c:pt>
                <c:pt idx="26">
                  <c:v>0.19647800000000001</c:v>
                </c:pt>
                <c:pt idx="27">
                  <c:v>0.15057499999999999</c:v>
                </c:pt>
              </c:numCache>
            </c:numRef>
          </c:val>
          <c:smooth val="0"/>
        </c:ser>
        <c:ser>
          <c:idx val="1"/>
          <c:order val="1"/>
          <c:tx>
            <c:strRef>
              <c:f>Graphs!$A$67</c:f>
              <c:strCache>
                <c:ptCount val="1"/>
                <c:pt idx="0">
                  <c:v>Import volume</c:v>
                </c:pt>
              </c:strCache>
            </c:strRef>
          </c:tx>
          <c:spPr>
            <a:ln>
              <a:prstDash val="dash"/>
            </a:ln>
          </c:spPr>
          <c:marker>
            <c:symbol val="none"/>
          </c:marker>
          <c:cat>
            <c:numRef>
              <c:f>Graphs!$B$65:$AC$65</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Graphs!$B$67:$AC$67</c:f>
              <c:numCache>
                <c:formatCode>General</c:formatCode>
                <c:ptCount val="28"/>
                <c:pt idx="0">
                  <c:v>0</c:v>
                </c:pt>
                <c:pt idx="1">
                  <c:v>0</c:v>
                </c:pt>
                <c:pt idx="2">
                  <c:v>0.66796500000000003</c:v>
                </c:pt>
                <c:pt idx="3">
                  <c:v>0.88530399999999998</c:v>
                </c:pt>
                <c:pt idx="4">
                  <c:v>0.80444199999999999</c:v>
                </c:pt>
                <c:pt idx="5">
                  <c:v>0.71004900000000004</c:v>
                </c:pt>
                <c:pt idx="6">
                  <c:v>0.588395</c:v>
                </c:pt>
                <c:pt idx="7">
                  <c:v>0.43222300000000002</c:v>
                </c:pt>
                <c:pt idx="8">
                  <c:v>0.27989999999999998</c:v>
                </c:pt>
                <c:pt idx="9">
                  <c:v>0.14508199999999999</c:v>
                </c:pt>
                <c:pt idx="10">
                  <c:v>2.4094000000000001E-2</c:v>
                </c:pt>
                <c:pt idx="11">
                  <c:v>-7.5720999999999997E-2</c:v>
                </c:pt>
                <c:pt idx="12">
                  <c:v>-0.16178000000000001</c:v>
                </c:pt>
                <c:pt idx="13">
                  <c:v>-0.23588200000000001</c:v>
                </c:pt>
                <c:pt idx="14">
                  <c:v>-0.299707</c:v>
                </c:pt>
                <c:pt idx="15">
                  <c:v>-0.35469400000000001</c:v>
                </c:pt>
                <c:pt idx="16">
                  <c:v>-0.40206399999999998</c:v>
                </c:pt>
                <c:pt idx="17">
                  <c:v>-0.44286300000000001</c:v>
                </c:pt>
                <c:pt idx="18">
                  <c:v>-0.47797600000000001</c:v>
                </c:pt>
                <c:pt idx="19">
                  <c:v>-0.50816499999999998</c:v>
                </c:pt>
                <c:pt idx="20">
                  <c:v>-0.53407899999999997</c:v>
                </c:pt>
                <c:pt idx="21">
                  <c:v>-0.55627199999999999</c:v>
                </c:pt>
                <c:pt idx="22">
                  <c:v>-0.57521999999999995</c:v>
                </c:pt>
                <c:pt idx="23">
                  <c:v>-0.591333</c:v>
                </c:pt>
                <c:pt idx="24">
                  <c:v>-0.60496300000000003</c:v>
                </c:pt>
                <c:pt idx="25">
                  <c:v>-0.61640600000000001</c:v>
                </c:pt>
                <c:pt idx="26">
                  <c:v>-0.62593500000000002</c:v>
                </c:pt>
                <c:pt idx="27">
                  <c:v>-0.633772</c:v>
                </c:pt>
              </c:numCache>
            </c:numRef>
          </c:val>
          <c:smooth val="0"/>
        </c:ser>
        <c:ser>
          <c:idx val="2"/>
          <c:order val="2"/>
          <c:tx>
            <c:strRef>
              <c:f>Graphs!$A$68</c:f>
              <c:strCache>
                <c:ptCount val="1"/>
                <c:pt idx="0">
                  <c:v>Real exchange rate</c:v>
                </c:pt>
              </c:strCache>
            </c:strRef>
          </c:tx>
          <c:marker>
            <c:symbol val="star"/>
            <c:size val="5"/>
            <c:spPr>
              <a:noFill/>
            </c:spPr>
          </c:marker>
          <c:cat>
            <c:numRef>
              <c:f>Graphs!$B$65:$AC$65</c:f>
              <c:numCache>
                <c:formatCode>General</c:formatCode>
                <c:ptCount val="2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pt idx="18">
                  <c:v>2031</c:v>
                </c:pt>
                <c:pt idx="19">
                  <c:v>2032</c:v>
                </c:pt>
                <c:pt idx="20">
                  <c:v>2033</c:v>
                </c:pt>
                <c:pt idx="21">
                  <c:v>2034</c:v>
                </c:pt>
                <c:pt idx="22">
                  <c:v>2035</c:v>
                </c:pt>
                <c:pt idx="23">
                  <c:v>2036</c:v>
                </c:pt>
                <c:pt idx="24">
                  <c:v>2037</c:v>
                </c:pt>
                <c:pt idx="25">
                  <c:v>2038</c:v>
                </c:pt>
                <c:pt idx="26">
                  <c:v>2039</c:v>
                </c:pt>
                <c:pt idx="27">
                  <c:v>2040</c:v>
                </c:pt>
              </c:numCache>
            </c:numRef>
          </c:cat>
          <c:val>
            <c:numRef>
              <c:f>Graphs!$B$68:$AC$68</c:f>
              <c:numCache>
                <c:formatCode>General</c:formatCode>
                <c:ptCount val="28"/>
                <c:pt idx="0">
                  <c:v>0</c:v>
                </c:pt>
                <c:pt idx="1">
                  <c:v>0</c:v>
                </c:pt>
                <c:pt idx="2">
                  <c:v>-0.58414299999999997</c:v>
                </c:pt>
                <c:pt idx="3">
                  <c:v>-0.80556899999999998</c:v>
                </c:pt>
                <c:pt idx="4">
                  <c:v>-0.94576400000000005</c:v>
                </c:pt>
                <c:pt idx="5">
                  <c:v>-1.103909</c:v>
                </c:pt>
                <c:pt idx="6">
                  <c:v>-1.241466</c:v>
                </c:pt>
                <c:pt idx="7">
                  <c:v>-1.3148850000000001</c:v>
                </c:pt>
                <c:pt idx="8">
                  <c:v>-1.386458</c:v>
                </c:pt>
                <c:pt idx="9">
                  <c:v>-1.4340839999999999</c:v>
                </c:pt>
                <c:pt idx="10">
                  <c:v>-1.4580759999999999</c:v>
                </c:pt>
                <c:pt idx="11">
                  <c:v>-1.463357</c:v>
                </c:pt>
                <c:pt idx="12">
                  <c:v>-1.4523900000000001</c:v>
                </c:pt>
                <c:pt idx="13">
                  <c:v>-1.429457</c:v>
                </c:pt>
                <c:pt idx="14">
                  <c:v>-1.3978889999999999</c:v>
                </c:pt>
                <c:pt idx="15">
                  <c:v>-1.360322</c:v>
                </c:pt>
                <c:pt idx="16">
                  <c:v>-1.318794</c:v>
                </c:pt>
                <c:pt idx="17">
                  <c:v>-1.2748269999999999</c:v>
                </c:pt>
                <c:pt idx="18">
                  <c:v>-1.2295309999999999</c:v>
                </c:pt>
                <c:pt idx="19">
                  <c:v>-1.1836960000000001</c:v>
                </c:pt>
                <c:pt idx="20">
                  <c:v>-1.137853</c:v>
                </c:pt>
                <c:pt idx="21">
                  <c:v>-1.0923560000000001</c:v>
                </c:pt>
                <c:pt idx="22">
                  <c:v>-1.047445</c:v>
                </c:pt>
                <c:pt idx="23">
                  <c:v>-1.003252</c:v>
                </c:pt>
                <c:pt idx="24">
                  <c:v>-0.95984999999999998</c:v>
                </c:pt>
                <c:pt idx="25">
                  <c:v>-0.91727300000000001</c:v>
                </c:pt>
                <c:pt idx="26">
                  <c:v>-0.87553000000000003</c:v>
                </c:pt>
                <c:pt idx="27">
                  <c:v>-0.83460999999999996</c:v>
                </c:pt>
              </c:numCache>
            </c:numRef>
          </c:val>
          <c:smooth val="0"/>
        </c:ser>
        <c:dLbls>
          <c:showLegendKey val="0"/>
          <c:showVal val="0"/>
          <c:showCatName val="0"/>
          <c:showSerName val="0"/>
          <c:showPercent val="0"/>
          <c:showBubbleSize val="0"/>
        </c:dLbls>
        <c:marker val="1"/>
        <c:smooth val="0"/>
        <c:axId val="171782528"/>
        <c:axId val="171784448"/>
      </c:lineChart>
      <c:catAx>
        <c:axId val="171782528"/>
        <c:scaling>
          <c:orientation val="minMax"/>
        </c:scaling>
        <c:delete val="0"/>
        <c:axPos val="b"/>
        <c:numFmt formatCode="General" sourceLinked="1"/>
        <c:majorTickMark val="out"/>
        <c:minorTickMark val="none"/>
        <c:tickLblPos val="nextTo"/>
        <c:txPr>
          <a:bodyPr rot="-5400000" vert="horz"/>
          <a:lstStyle/>
          <a:p>
            <a:pPr>
              <a:defRPr/>
            </a:pPr>
            <a:endParaRPr lang="en-US"/>
          </a:p>
        </c:txPr>
        <c:crossAx val="171784448"/>
        <c:crosses val="autoZero"/>
        <c:auto val="1"/>
        <c:lblAlgn val="ctr"/>
        <c:lblOffset val="100"/>
        <c:noMultiLvlLbl val="0"/>
      </c:catAx>
      <c:valAx>
        <c:axId val="171784448"/>
        <c:scaling>
          <c:orientation val="minMax"/>
          <c:max val="2.5"/>
          <c:min val="-2"/>
        </c:scaling>
        <c:delete val="0"/>
        <c:axPos val="l"/>
        <c:majorGridlines/>
        <c:title>
          <c:tx>
            <c:rich>
              <a:bodyPr rot="-5400000" vert="horz"/>
              <a:lstStyle/>
              <a:p>
                <a:pPr>
                  <a:defRPr/>
                </a:pPr>
                <a:r>
                  <a:rPr lang="en-AU"/>
                  <a:t>% deviations from baseline values</a:t>
                </a:r>
              </a:p>
            </c:rich>
          </c:tx>
          <c:overlay val="0"/>
        </c:title>
        <c:numFmt formatCode="General" sourceLinked="1"/>
        <c:majorTickMark val="out"/>
        <c:minorTickMark val="none"/>
        <c:tickLblPos val="nextTo"/>
        <c:crossAx val="171782528"/>
        <c:crosses val="autoZero"/>
        <c:crossBetween val="between"/>
        <c:majorUnit val="0.5"/>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49FA0-2FB7-400D-B467-153F4061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21</Pages>
  <Words>7339</Words>
  <Characters>41835</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Victoria University</Company>
  <LinksUpToDate>false</LinksUpToDate>
  <CharactersWithSpaces>49076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lroos</dc:creator>
  <cp:lastModifiedBy>Philip Adams</cp:lastModifiedBy>
  <cp:revision>5</cp:revision>
  <dcterms:created xsi:type="dcterms:W3CDTF">2016-04-15T07:32:00Z</dcterms:created>
  <dcterms:modified xsi:type="dcterms:W3CDTF">2016-04-15T07:45:00Z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