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E71072" w14:textId="5214270A" w:rsidR="006323BB" w:rsidRDefault="006323BB" w:rsidP="002E3B50">
      <w:pPr>
        <w:spacing w:after="0"/>
        <w:jc w:val="center"/>
      </w:pPr>
      <w:r>
        <w:t>Prepared for the Nineteenth Annual Conference on Global Economic Analysis,</w:t>
      </w:r>
    </w:p>
    <w:p w14:paraId="256ED476" w14:textId="6A2A8CDD" w:rsidR="006323BB" w:rsidRDefault="006323BB" w:rsidP="002E3B50">
      <w:pPr>
        <w:spacing w:after="0"/>
        <w:jc w:val="center"/>
      </w:pPr>
      <w:r>
        <w:t>Washington, DC, June 15-17, 2016</w:t>
      </w:r>
    </w:p>
    <w:p w14:paraId="27D96DD6" w14:textId="77777777" w:rsidR="006323BB" w:rsidRDefault="006323BB" w:rsidP="006323BB">
      <w:pPr>
        <w:spacing w:after="0"/>
        <w:jc w:val="left"/>
      </w:pPr>
    </w:p>
    <w:p w14:paraId="5B5782B5" w14:textId="77777777" w:rsidR="006323BB" w:rsidRDefault="006323BB" w:rsidP="006323BB">
      <w:pPr>
        <w:spacing w:after="0"/>
        <w:jc w:val="left"/>
      </w:pPr>
    </w:p>
    <w:p w14:paraId="473E3D09" w14:textId="77777777" w:rsidR="006323BB" w:rsidRDefault="006323BB" w:rsidP="006323BB">
      <w:pPr>
        <w:spacing w:after="0"/>
        <w:jc w:val="left"/>
      </w:pPr>
    </w:p>
    <w:p w14:paraId="39B84F99" w14:textId="77777777" w:rsidR="006323BB" w:rsidRDefault="006323BB" w:rsidP="006323BB">
      <w:pPr>
        <w:spacing w:after="0"/>
        <w:jc w:val="left"/>
      </w:pPr>
    </w:p>
    <w:p w14:paraId="6980053E" w14:textId="77777777" w:rsidR="002E3B50" w:rsidRDefault="002E3B50" w:rsidP="006323BB">
      <w:pPr>
        <w:spacing w:after="0"/>
        <w:jc w:val="left"/>
      </w:pPr>
    </w:p>
    <w:p w14:paraId="7D6AD924" w14:textId="77777777" w:rsidR="002E3B50" w:rsidRDefault="002E3B50" w:rsidP="006323BB">
      <w:pPr>
        <w:spacing w:after="0"/>
        <w:jc w:val="left"/>
      </w:pPr>
    </w:p>
    <w:p w14:paraId="6ED26570" w14:textId="77777777" w:rsidR="006323BB" w:rsidRDefault="006323BB" w:rsidP="006323BB">
      <w:pPr>
        <w:spacing w:after="0"/>
        <w:jc w:val="left"/>
      </w:pPr>
    </w:p>
    <w:p w14:paraId="47296D46" w14:textId="1B51E961" w:rsidR="002E3B50" w:rsidRPr="002E3B50" w:rsidRDefault="002E3B50" w:rsidP="002E3B50">
      <w:pPr>
        <w:spacing w:line="276" w:lineRule="auto"/>
        <w:jc w:val="center"/>
      </w:pPr>
      <w:r w:rsidRPr="002E3B50">
        <w:rPr>
          <w:b/>
          <w:sz w:val="28"/>
          <w:szCs w:val="28"/>
        </w:rPr>
        <w:t>Key Issues and Challenges in Representing Non-Price Environmental Policies in an Applied General Equilibrium Framework</w:t>
      </w:r>
    </w:p>
    <w:p w14:paraId="4B8006AD" w14:textId="77777777" w:rsidR="006323BB" w:rsidRDefault="006323BB" w:rsidP="006323BB">
      <w:pPr>
        <w:spacing w:after="0"/>
        <w:jc w:val="left"/>
      </w:pPr>
    </w:p>
    <w:p w14:paraId="098CF956" w14:textId="77777777" w:rsidR="006323BB" w:rsidRDefault="006323BB" w:rsidP="006323BB">
      <w:pPr>
        <w:spacing w:after="0"/>
        <w:jc w:val="left"/>
      </w:pPr>
    </w:p>
    <w:p w14:paraId="00460D98" w14:textId="3D678A3E" w:rsidR="006323BB" w:rsidRDefault="006323BB" w:rsidP="006323BB">
      <w:pPr>
        <w:spacing w:after="0"/>
        <w:jc w:val="center"/>
      </w:pPr>
      <w:r>
        <w:t xml:space="preserve">Richard Garbaccio, </w:t>
      </w:r>
      <w:r w:rsidRPr="00274F9C">
        <w:t>Alex L. Marten, and Ann Wolverton</w:t>
      </w:r>
      <w:r w:rsidR="001A2665">
        <w:t>, et al.</w:t>
      </w:r>
      <w:bookmarkStart w:id="0" w:name="_GoBack"/>
      <w:bookmarkEnd w:id="0"/>
    </w:p>
    <w:p w14:paraId="1A844049" w14:textId="77777777" w:rsidR="006323BB" w:rsidRDefault="006323BB" w:rsidP="006323BB">
      <w:pPr>
        <w:spacing w:after="0"/>
        <w:jc w:val="left"/>
      </w:pPr>
    </w:p>
    <w:p w14:paraId="5EA2EF9C" w14:textId="77777777" w:rsidR="006323BB" w:rsidRDefault="006323BB" w:rsidP="006323BB">
      <w:pPr>
        <w:spacing w:after="0"/>
        <w:jc w:val="left"/>
      </w:pPr>
    </w:p>
    <w:p w14:paraId="2BCF19A2" w14:textId="77777777" w:rsidR="006323BB" w:rsidRDefault="006323BB" w:rsidP="006323BB">
      <w:pPr>
        <w:spacing w:after="0"/>
        <w:jc w:val="left"/>
      </w:pPr>
    </w:p>
    <w:p w14:paraId="43171F5D" w14:textId="77777777" w:rsidR="006323BB" w:rsidRDefault="006323BB" w:rsidP="006323BB">
      <w:pPr>
        <w:spacing w:after="0"/>
        <w:jc w:val="center"/>
      </w:pPr>
      <w:r>
        <w:t>National Center for Environmental Economics</w:t>
      </w:r>
    </w:p>
    <w:p w14:paraId="691AFF82" w14:textId="77777777" w:rsidR="006323BB" w:rsidRDefault="006323BB" w:rsidP="006323BB">
      <w:pPr>
        <w:spacing w:after="0"/>
        <w:jc w:val="center"/>
      </w:pPr>
      <w:r>
        <w:t>U.S. Environmental Protection Agency</w:t>
      </w:r>
    </w:p>
    <w:p w14:paraId="4BC91E6E" w14:textId="77777777" w:rsidR="006323BB" w:rsidRDefault="006323BB" w:rsidP="006323BB">
      <w:pPr>
        <w:spacing w:after="0"/>
        <w:jc w:val="center"/>
      </w:pPr>
      <w:r>
        <w:t>1200 Pennsylvania Avenue, N.W. (MC 1809T)</w:t>
      </w:r>
    </w:p>
    <w:p w14:paraId="7DA133A1" w14:textId="77777777" w:rsidR="006323BB" w:rsidRDefault="006323BB" w:rsidP="006323BB">
      <w:pPr>
        <w:spacing w:after="0"/>
        <w:jc w:val="center"/>
      </w:pPr>
      <w:r>
        <w:t>Washington, D.C. 20460</w:t>
      </w:r>
    </w:p>
    <w:p w14:paraId="2C46A73E" w14:textId="77777777" w:rsidR="006323BB" w:rsidRDefault="006323BB" w:rsidP="006323BB">
      <w:pPr>
        <w:spacing w:after="0"/>
        <w:jc w:val="left"/>
      </w:pPr>
    </w:p>
    <w:p w14:paraId="2D8AC3D3" w14:textId="77777777" w:rsidR="006323BB" w:rsidRDefault="006323BB" w:rsidP="006323BB">
      <w:pPr>
        <w:spacing w:after="0"/>
        <w:jc w:val="left"/>
      </w:pPr>
    </w:p>
    <w:p w14:paraId="3F874860" w14:textId="77777777" w:rsidR="006323BB" w:rsidRDefault="006323BB" w:rsidP="006323BB">
      <w:pPr>
        <w:spacing w:after="0"/>
        <w:jc w:val="center"/>
      </w:pPr>
      <w:r>
        <w:t>June 15, 2016</w:t>
      </w:r>
    </w:p>
    <w:p w14:paraId="72C5A88E" w14:textId="77777777" w:rsidR="002E3B50" w:rsidRDefault="002E3B50" w:rsidP="006323BB">
      <w:pPr>
        <w:spacing w:after="0"/>
        <w:jc w:val="center"/>
      </w:pPr>
    </w:p>
    <w:p w14:paraId="23E0351E" w14:textId="77777777" w:rsidR="002E3B50" w:rsidRDefault="002E3B50" w:rsidP="006323BB">
      <w:pPr>
        <w:spacing w:after="0"/>
        <w:jc w:val="center"/>
      </w:pPr>
    </w:p>
    <w:p w14:paraId="6B62782B" w14:textId="77777777" w:rsidR="002E3B50" w:rsidRDefault="002E3B50" w:rsidP="006323BB">
      <w:pPr>
        <w:spacing w:after="0"/>
        <w:jc w:val="center"/>
      </w:pPr>
    </w:p>
    <w:p w14:paraId="3BA8F345" w14:textId="77777777" w:rsidR="002E3B50" w:rsidRDefault="002E3B50" w:rsidP="006323BB">
      <w:pPr>
        <w:spacing w:after="0"/>
        <w:jc w:val="center"/>
      </w:pPr>
    </w:p>
    <w:p w14:paraId="5B897C66" w14:textId="77777777" w:rsidR="002E3B50" w:rsidRDefault="002E3B50" w:rsidP="006323BB">
      <w:pPr>
        <w:spacing w:after="0"/>
        <w:jc w:val="center"/>
      </w:pPr>
    </w:p>
    <w:p w14:paraId="44764932" w14:textId="77777777" w:rsidR="002E3B50" w:rsidRDefault="002E3B50" w:rsidP="006323BB">
      <w:pPr>
        <w:spacing w:after="0"/>
        <w:jc w:val="center"/>
      </w:pPr>
    </w:p>
    <w:p w14:paraId="08E2CB79" w14:textId="77777777" w:rsidR="002E3B50" w:rsidRDefault="002E3B50" w:rsidP="006323BB">
      <w:pPr>
        <w:spacing w:after="0"/>
        <w:jc w:val="center"/>
      </w:pPr>
    </w:p>
    <w:p w14:paraId="7FA49F4B" w14:textId="77777777" w:rsidR="002E3B50" w:rsidRDefault="002E3B50" w:rsidP="006323BB">
      <w:pPr>
        <w:spacing w:after="0"/>
        <w:jc w:val="center"/>
      </w:pPr>
    </w:p>
    <w:p w14:paraId="43F052BB" w14:textId="77777777" w:rsidR="006323BB" w:rsidRDefault="006323BB" w:rsidP="006323BB">
      <w:pPr>
        <w:spacing w:after="0"/>
        <w:jc w:val="left"/>
      </w:pPr>
    </w:p>
    <w:p w14:paraId="14DE337F" w14:textId="2B6A3F9E" w:rsidR="002E3B50" w:rsidRDefault="002E3B50" w:rsidP="002E3B50">
      <w:pPr>
        <w:spacing w:line="276" w:lineRule="auto"/>
        <w:jc w:val="center"/>
        <w:rPr>
          <w:sz w:val="26"/>
          <w:szCs w:val="26"/>
        </w:rPr>
      </w:pPr>
      <w:r w:rsidRPr="00A237E7">
        <w:rPr>
          <w:i/>
        </w:rPr>
        <w:t>The views expressed in this paper are those of the authors and should not be interpreted as representing those of the U.S. Environmental Protection Agency.</w:t>
      </w:r>
    </w:p>
    <w:p w14:paraId="3326D9DF" w14:textId="7481065E" w:rsidR="002E3B50" w:rsidRDefault="002E3B50">
      <w:pPr>
        <w:jc w:val="left"/>
      </w:pPr>
    </w:p>
    <w:p w14:paraId="68933784" w14:textId="77777777" w:rsidR="002E3B50" w:rsidRDefault="002E3B50">
      <w:pPr>
        <w:jc w:val="left"/>
        <w:rPr>
          <w:b/>
        </w:rPr>
      </w:pPr>
      <w:r>
        <w:rPr>
          <w:b/>
        </w:rPr>
        <w:br w:type="page"/>
      </w:r>
    </w:p>
    <w:p w14:paraId="26737A52" w14:textId="261757E2" w:rsidR="002E3B50" w:rsidRPr="002E3B50" w:rsidRDefault="002E3B50" w:rsidP="002E3B50">
      <w:pPr>
        <w:spacing w:line="276" w:lineRule="auto"/>
      </w:pPr>
      <w:r w:rsidRPr="002E3B50">
        <w:rPr>
          <w:b/>
        </w:rPr>
        <w:lastRenderedPageBreak/>
        <w:t>Abstract:</w:t>
      </w:r>
      <w:r>
        <w:t xml:space="preserve"> </w:t>
      </w:r>
      <w:r w:rsidRPr="002E3B50">
        <w:t>There has been extensive use of CGE models to analyze the costs of policies designed to mitigate climate change through reductions in greenhouse gas (GHG) emissions. In contrast, CGE analyses of the costs of mitigating non-GHG air pollutants have been exceedingly rare since the pioneering work of Hazilla and Kopp (1990) and Jorgenson and Wilcoxen (1990), despite the fact that policies to mitigate non-GHG air pollutants are far more common in practice. In addition, while economy-wide analyses of tax and trade policies typically consider the benefits and costs of those interventions simultaneously to capture potentially important interactions between the two, it is relatively rare to represent the benefits of air quality improvement policies in a CGE framework in order to more fully capture the economy-wide effects (via potential interactions with the costs or other distortions in the economy).</w:t>
      </w:r>
    </w:p>
    <w:p w14:paraId="3728625F" w14:textId="77777777" w:rsidR="002E3B50" w:rsidRPr="002E3B50" w:rsidRDefault="002E3B50" w:rsidP="002E3B50">
      <w:pPr>
        <w:spacing w:line="276" w:lineRule="auto"/>
      </w:pPr>
      <w:r w:rsidRPr="002E3B50">
        <w:t xml:space="preserve">This dearth of analyses may be in part due to challenges in modeling the costs and benefits of conventional air pollutant policies in computable general equilibrium (CGE) models. First, traditional air pollution policies are often non-price-based, such as direct constraints on emissions rates (pollution per unit of output) or requirements for the use of specific pollution control equipment or production processes. Second, the non-market nature of the benefits derived from improvements in air quality may make it challenging to introduce them into an economic framework. </w:t>
      </w:r>
    </w:p>
    <w:p w14:paraId="2352B466" w14:textId="77777777" w:rsidR="002E3B50" w:rsidRPr="002E3B50" w:rsidRDefault="002E3B50" w:rsidP="002E3B50">
      <w:pPr>
        <w:spacing w:line="276" w:lineRule="auto"/>
      </w:pPr>
      <w:r w:rsidRPr="002E3B50">
        <w:t xml:space="preserve">This paper begins by describing the current process used to analyze air pollution policies in the United States as well as the typical analytical tools used to support decision making. We explore the steps involved, key assumptions, challenges, and options available for potentially extending the analytical toolset to include estimates of both the social cost and benefits of non-price policies to reduce air pollution in a CGE model. This paper develops a typology to represent the range and complexity of U.S. non-GHG air regulations and describes the typical approaches used to evaluate their costs and benefits. We divide U.S. air regulations into four broad categories: single sector emission rate limits; regional or state-implemented emission targets; multi-sector boiler or engine-level emission limits; and federal product standards. For each of the four categories of air regulations, we characterize several key attributes that may be important to consider when evaluating the relative merits of various modeling approaches, including CGE models. </w:t>
      </w:r>
    </w:p>
    <w:p w14:paraId="1A9D7A8F" w14:textId="36DF7762" w:rsidR="002E3B50" w:rsidRDefault="002E3B50" w:rsidP="002E3B50">
      <w:pPr>
        <w:spacing w:line="276" w:lineRule="auto"/>
      </w:pPr>
      <w:r w:rsidRPr="002E3B50">
        <w:t>This typology provides an important tool for understanding the main challenges that may be encountered when attempting to represent non-price air regulations in a CGE model. For instance, detailed information on what polluting entities are affected and how they comply may not map in clear cut ways to a more aggregate representation in a CGE model and thus may miss important components of social cost. Likewise, using the typical CGE modeling assumption of a representative agent may miss important differences in health effects across sub-populations (e.g., children and the elderly) that are highly relevant when contemplating how benefits interact with the rest of the economy. Working within this typology we explore the current options for and research needs for improving economy-wide models for use in environmental policy analysis.</w:t>
      </w:r>
    </w:p>
    <w:p w14:paraId="35F3CBA2" w14:textId="77777777" w:rsidR="002E3B50" w:rsidRDefault="002E3B50" w:rsidP="002E3B50">
      <w:pPr>
        <w:spacing w:line="276" w:lineRule="auto"/>
        <w:jc w:val="center"/>
        <w:rPr>
          <w:sz w:val="26"/>
          <w:szCs w:val="26"/>
        </w:rPr>
      </w:pPr>
    </w:p>
    <w:p w14:paraId="4E683097" w14:textId="77777777" w:rsidR="00811281" w:rsidRDefault="00811281" w:rsidP="00275FAF">
      <w:pPr>
        <w:spacing w:line="276" w:lineRule="auto"/>
        <w:jc w:val="center"/>
        <w:rPr>
          <w:sz w:val="26"/>
          <w:szCs w:val="26"/>
        </w:rPr>
      </w:pPr>
    </w:p>
    <w:p w14:paraId="340D7F12" w14:textId="77EF024A" w:rsidR="00CD31E1" w:rsidRPr="00811281" w:rsidRDefault="00CD31E1" w:rsidP="00CD31E1">
      <w:pPr>
        <w:jc w:val="left"/>
      </w:pPr>
      <w:r>
        <w:br w:type="page"/>
      </w:r>
    </w:p>
    <w:sdt>
      <w:sdtPr>
        <w:rPr>
          <w:rFonts w:asciiTheme="minorHAnsi" w:eastAsiaTheme="minorHAnsi" w:hAnsiTheme="minorHAnsi" w:cstheme="minorBidi"/>
          <w:color w:val="auto"/>
          <w:sz w:val="22"/>
          <w:szCs w:val="22"/>
        </w:rPr>
        <w:id w:val="-395666700"/>
        <w:docPartObj>
          <w:docPartGallery w:val="Table of Contents"/>
          <w:docPartUnique/>
        </w:docPartObj>
      </w:sdtPr>
      <w:sdtEndPr>
        <w:rPr>
          <w:b/>
          <w:bCs/>
          <w:noProof/>
        </w:rPr>
      </w:sdtEndPr>
      <w:sdtContent>
        <w:p w14:paraId="6496FBCE" w14:textId="5EEE3A0C" w:rsidR="008A2A36" w:rsidRPr="00713B93" w:rsidRDefault="008A2A36" w:rsidP="003A0138">
          <w:pPr>
            <w:pStyle w:val="TOCHeading"/>
          </w:pPr>
          <w:r w:rsidRPr="00713B93">
            <w:t>Contents</w:t>
          </w:r>
        </w:p>
        <w:p w14:paraId="1A33C4D5" w14:textId="77777777" w:rsidR="00562633" w:rsidRDefault="008A2A36">
          <w:pPr>
            <w:pStyle w:val="TOC1"/>
            <w:rPr>
              <w:rFonts w:eastAsiaTheme="minorEastAsia"/>
              <w:noProof/>
            </w:rPr>
          </w:pPr>
          <w:r w:rsidRPr="00713B93">
            <w:fldChar w:fldCharType="begin"/>
          </w:r>
          <w:r w:rsidRPr="00713B93">
            <w:instrText xml:space="preserve"> TOC \o "1-3" \h \z \u </w:instrText>
          </w:r>
          <w:r w:rsidRPr="00713B93">
            <w:fldChar w:fldCharType="separate"/>
          </w:r>
          <w:hyperlink w:anchor="_Toc448481292" w:history="1">
            <w:r w:rsidR="00562633" w:rsidRPr="00523CA4">
              <w:rPr>
                <w:rStyle w:val="Hyperlink"/>
                <w:noProof/>
              </w:rPr>
              <w:t>1.</w:t>
            </w:r>
            <w:r w:rsidR="00562633">
              <w:rPr>
                <w:rFonts w:eastAsiaTheme="minorEastAsia"/>
                <w:noProof/>
              </w:rPr>
              <w:tab/>
            </w:r>
            <w:r w:rsidR="00562633" w:rsidRPr="00523CA4">
              <w:rPr>
                <w:rStyle w:val="Hyperlink"/>
                <w:noProof/>
              </w:rPr>
              <w:t>Introduction</w:t>
            </w:r>
            <w:r w:rsidR="00562633">
              <w:rPr>
                <w:noProof/>
                <w:webHidden/>
              </w:rPr>
              <w:tab/>
            </w:r>
            <w:r w:rsidR="00562633">
              <w:rPr>
                <w:noProof/>
                <w:webHidden/>
              </w:rPr>
              <w:fldChar w:fldCharType="begin"/>
            </w:r>
            <w:r w:rsidR="00562633">
              <w:rPr>
                <w:noProof/>
                <w:webHidden/>
              </w:rPr>
              <w:instrText xml:space="preserve"> PAGEREF _Toc448481292 \h </w:instrText>
            </w:r>
            <w:r w:rsidR="00562633">
              <w:rPr>
                <w:noProof/>
                <w:webHidden/>
              </w:rPr>
            </w:r>
            <w:r w:rsidR="00562633">
              <w:rPr>
                <w:noProof/>
                <w:webHidden/>
              </w:rPr>
              <w:fldChar w:fldCharType="separate"/>
            </w:r>
            <w:r w:rsidR="00562633">
              <w:rPr>
                <w:noProof/>
                <w:webHidden/>
              </w:rPr>
              <w:t>4</w:t>
            </w:r>
            <w:r w:rsidR="00562633">
              <w:rPr>
                <w:noProof/>
                <w:webHidden/>
              </w:rPr>
              <w:fldChar w:fldCharType="end"/>
            </w:r>
          </w:hyperlink>
        </w:p>
        <w:p w14:paraId="4F12CCB6" w14:textId="77777777" w:rsidR="00562633" w:rsidRDefault="008B3A3D">
          <w:pPr>
            <w:pStyle w:val="TOC1"/>
            <w:rPr>
              <w:rFonts w:eastAsiaTheme="minorEastAsia"/>
              <w:noProof/>
            </w:rPr>
          </w:pPr>
          <w:hyperlink w:anchor="_Toc448481293" w:history="1">
            <w:r w:rsidR="00562633" w:rsidRPr="00523CA4">
              <w:rPr>
                <w:rStyle w:val="Hyperlink"/>
                <w:noProof/>
              </w:rPr>
              <w:t>2.</w:t>
            </w:r>
            <w:r w:rsidR="00562633">
              <w:rPr>
                <w:rFonts w:eastAsiaTheme="minorEastAsia"/>
                <w:noProof/>
              </w:rPr>
              <w:tab/>
            </w:r>
            <w:r w:rsidR="00562633" w:rsidRPr="00523CA4">
              <w:rPr>
                <w:rStyle w:val="Hyperlink"/>
                <w:noProof/>
              </w:rPr>
              <w:t>Overview of Social Cost Framework in a Regulatory Setting</w:t>
            </w:r>
            <w:r w:rsidR="00562633">
              <w:rPr>
                <w:noProof/>
                <w:webHidden/>
              </w:rPr>
              <w:tab/>
            </w:r>
            <w:r w:rsidR="00562633">
              <w:rPr>
                <w:noProof/>
                <w:webHidden/>
              </w:rPr>
              <w:fldChar w:fldCharType="begin"/>
            </w:r>
            <w:r w:rsidR="00562633">
              <w:rPr>
                <w:noProof/>
                <w:webHidden/>
              </w:rPr>
              <w:instrText xml:space="preserve"> PAGEREF _Toc448481293 \h </w:instrText>
            </w:r>
            <w:r w:rsidR="00562633">
              <w:rPr>
                <w:noProof/>
                <w:webHidden/>
              </w:rPr>
            </w:r>
            <w:r w:rsidR="00562633">
              <w:rPr>
                <w:noProof/>
                <w:webHidden/>
              </w:rPr>
              <w:fldChar w:fldCharType="separate"/>
            </w:r>
            <w:r w:rsidR="00562633">
              <w:rPr>
                <w:noProof/>
                <w:webHidden/>
              </w:rPr>
              <w:t>6</w:t>
            </w:r>
            <w:r w:rsidR="00562633">
              <w:rPr>
                <w:noProof/>
                <w:webHidden/>
              </w:rPr>
              <w:fldChar w:fldCharType="end"/>
            </w:r>
          </w:hyperlink>
        </w:p>
        <w:p w14:paraId="1F4437D6" w14:textId="77777777" w:rsidR="00562633" w:rsidRDefault="008B3A3D">
          <w:pPr>
            <w:pStyle w:val="TOC2"/>
            <w:tabs>
              <w:tab w:val="left" w:pos="880"/>
              <w:tab w:val="right" w:leader="dot" w:pos="9350"/>
            </w:tabs>
            <w:rPr>
              <w:rFonts w:eastAsiaTheme="minorEastAsia"/>
              <w:noProof/>
            </w:rPr>
          </w:pPr>
          <w:hyperlink w:anchor="_Toc448481294" w:history="1">
            <w:r w:rsidR="00562633" w:rsidRPr="00523CA4">
              <w:rPr>
                <w:rStyle w:val="Hyperlink"/>
                <w:noProof/>
              </w:rPr>
              <w:t>2.1</w:t>
            </w:r>
            <w:r w:rsidR="00562633">
              <w:rPr>
                <w:rFonts w:eastAsiaTheme="minorEastAsia"/>
                <w:noProof/>
              </w:rPr>
              <w:tab/>
            </w:r>
            <w:r w:rsidR="00562633" w:rsidRPr="00523CA4">
              <w:rPr>
                <w:rStyle w:val="Hyperlink"/>
                <w:noProof/>
              </w:rPr>
              <w:t>Benefit-Cost Analysis for Air Quality Regulations</w:t>
            </w:r>
            <w:r w:rsidR="00562633">
              <w:rPr>
                <w:noProof/>
                <w:webHidden/>
              </w:rPr>
              <w:tab/>
            </w:r>
            <w:r w:rsidR="00562633">
              <w:rPr>
                <w:noProof/>
                <w:webHidden/>
              </w:rPr>
              <w:fldChar w:fldCharType="begin"/>
            </w:r>
            <w:r w:rsidR="00562633">
              <w:rPr>
                <w:noProof/>
                <w:webHidden/>
              </w:rPr>
              <w:instrText xml:space="preserve"> PAGEREF _Toc448481294 \h </w:instrText>
            </w:r>
            <w:r w:rsidR="00562633">
              <w:rPr>
                <w:noProof/>
                <w:webHidden/>
              </w:rPr>
            </w:r>
            <w:r w:rsidR="00562633">
              <w:rPr>
                <w:noProof/>
                <w:webHidden/>
              </w:rPr>
              <w:fldChar w:fldCharType="separate"/>
            </w:r>
            <w:r w:rsidR="00562633">
              <w:rPr>
                <w:noProof/>
                <w:webHidden/>
              </w:rPr>
              <w:t>6</w:t>
            </w:r>
            <w:r w:rsidR="00562633">
              <w:rPr>
                <w:noProof/>
                <w:webHidden/>
              </w:rPr>
              <w:fldChar w:fldCharType="end"/>
            </w:r>
          </w:hyperlink>
        </w:p>
        <w:p w14:paraId="171EDECB" w14:textId="77777777" w:rsidR="00562633" w:rsidRDefault="008B3A3D">
          <w:pPr>
            <w:pStyle w:val="TOC2"/>
            <w:tabs>
              <w:tab w:val="left" w:pos="880"/>
              <w:tab w:val="right" w:leader="dot" w:pos="9350"/>
            </w:tabs>
            <w:rPr>
              <w:rFonts w:eastAsiaTheme="minorEastAsia"/>
              <w:noProof/>
            </w:rPr>
          </w:pPr>
          <w:hyperlink w:anchor="_Toc448481295" w:history="1">
            <w:r w:rsidR="00562633" w:rsidRPr="00523CA4">
              <w:rPr>
                <w:rStyle w:val="Hyperlink"/>
                <w:noProof/>
              </w:rPr>
              <w:t>2.2</w:t>
            </w:r>
            <w:r w:rsidR="00562633">
              <w:rPr>
                <w:rFonts w:eastAsiaTheme="minorEastAsia"/>
                <w:noProof/>
              </w:rPr>
              <w:tab/>
            </w:r>
            <w:r w:rsidR="00562633" w:rsidRPr="00523CA4">
              <w:rPr>
                <w:rStyle w:val="Hyperlink"/>
                <w:noProof/>
              </w:rPr>
              <w:t>Air Quality Benefits</w:t>
            </w:r>
            <w:r w:rsidR="00562633">
              <w:rPr>
                <w:noProof/>
                <w:webHidden/>
              </w:rPr>
              <w:tab/>
            </w:r>
            <w:r w:rsidR="00562633">
              <w:rPr>
                <w:noProof/>
                <w:webHidden/>
              </w:rPr>
              <w:fldChar w:fldCharType="begin"/>
            </w:r>
            <w:r w:rsidR="00562633">
              <w:rPr>
                <w:noProof/>
                <w:webHidden/>
              </w:rPr>
              <w:instrText xml:space="preserve"> PAGEREF _Toc448481295 \h </w:instrText>
            </w:r>
            <w:r w:rsidR="00562633">
              <w:rPr>
                <w:noProof/>
                <w:webHidden/>
              </w:rPr>
            </w:r>
            <w:r w:rsidR="00562633">
              <w:rPr>
                <w:noProof/>
                <w:webHidden/>
              </w:rPr>
              <w:fldChar w:fldCharType="separate"/>
            </w:r>
            <w:r w:rsidR="00562633">
              <w:rPr>
                <w:noProof/>
                <w:webHidden/>
              </w:rPr>
              <w:t>7</w:t>
            </w:r>
            <w:r w:rsidR="00562633">
              <w:rPr>
                <w:noProof/>
                <w:webHidden/>
              </w:rPr>
              <w:fldChar w:fldCharType="end"/>
            </w:r>
          </w:hyperlink>
        </w:p>
        <w:p w14:paraId="1655C141" w14:textId="77777777" w:rsidR="00562633" w:rsidRDefault="008B3A3D">
          <w:pPr>
            <w:pStyle w:val="TOC2"/>
            <w:tabs>
              <w:tab w:val="left" w:pos="1100"/>
              <w:tab w:val="right" w:leader="dot" w:pos="9350"/>
            </w:tabs>
            <w:rPr>
              <w:rFonts w:eastAsiaTheme="minorEastAsia"/>
              <w:noProof/>
            </w:rPr>
          </w:pPr>
          <w:hyperlink w:anchor="_Toc448481296" w:history="1">
            <w:r w:rsidR="00562633" w:rsidRPr="00523CA4">
              <w:rPr>
                <w:rStyle w:val="Hyperlink"/>
                <w:rFonts w:eastAsiaTheme="majorEastAsia" w:cstheme="majorBidi"/>
                <w:b/>
                <w:noProof/>
              </w:rPr>
              <w:t>2.2.1</w:t>
            </w:r>
            <w:r w:rsidR="00562633">
              <w:rPr>
                <w:rFonts w:eastAsiaTheme="minorEastAsia"/>
                <w:noProof/>
              </w:rPr>
              <w:tab/>
            </w:r>
            <w:r w:rsidR="00562633" w:rsidRPr="00523CA4">
              <w:rPr>
                <w:rStyle w:val="Hyperlink"/>
                <w:rFonts w:eastAsiaTheme="majorEastAsia" w:cstheme="majorBidi"/>
                <w:b/>
                <w:noProof/>
              </w:rPr>
              <w:t>Air Quality Benefits Traditionally Included in Benefit-Cost Analyses</w:t>
            </w:r>
            <w:r w:rsidR="00562633">
              <w:rPr>
                <w:noProof/>
                <w:webHidden/>
              </w:rPr>
              <w:tab/>
            </w:r>
            <w:r w:rsidR="00562633">
              <w:rPr>
                <w:noProof/>
                <w:webHidden/>
              </w:rPr>
              <w:fldChar w:fldCharType="begin"/>
            </w:r>
            <w:r w:rsidR="00562633">
              <w:rPr>
                <w:noProof/>
                <w:webHidden/>
              </w:rPr>
              <w:instrText xml:space="preserve"> PAGEREF _Toc448481296 \h </w:instrText>
            </w:r>
            <w:r w:rsidR="00562633">
              <w:rPr>
                <w:noProof/>
                <w:webHidden/>
              </w:rPr>
            </w:r>
            <w:r w:rsidR="00562633">
              <w:rPr>
                <w:noProof/>
                <w:webHidden/>
              </w:rPr>
              <w:fldChar w:fldCharType="separate"/>
            </w:r>
            <w:r w:rsidR="00562633">
              <w:rPr>
                <w:noProof/>
                <w:webHidden/>
              </w:rPr>
              <w:t>7</w:t>
            </w:r>
            <w:r w:rsidR="00562633">
              <w:rPr>
                <w:noProof/>
                <w:webHidden/>
              </w:rPr>
              <w:fldChar w:fldCharType="end"/>
            </w:r>
          </w:hyperlink>
        </w:p>
        <w:p w14:paraId="72E3943B" w14:textId="77777777" w:rsidR="00562633" w:rsidRDefault="008B3A3D">
          <w:pPr>
            <w:pStyle w:val="TOC2"/>
            <w:tabs>
              <w:tab w:val="left" w:pos="1100"/>
              <w:tab w:val="right" w:leader="dot" w:pos="9350"/>
            </w:tabs>
            <w:rPr>
              <w:rFonts w:eastAsiaTheme="minorEastAsia"/>
              <w:noProof/>
            </w:rPr>
          </w:pPr>
          <w:hyperlink w:anchor="_Toc448481297" w:history="1">
            <w:r w:rsidR="00562633" w:rsidRPr="00523CA4">
              <w:rPr>
                <w:rStyle w:val="Hyperlink"/>
                <w:rFonts w:eastAsiaTheme="majorEastAsia" w:cstheme="majorBidi"/>
                <w:b/>
                <w:noProof/>
              </w:rPr>
              <w:t>2.2.2</w:t>
            </w:r>
            <w:r w:rsidR="00562633">
              <w:rPr>
                <w:rFonts w:eastAsiaTheme="minorEastAsia"/>
                <w:noProof/>
              </w:rPr>
              <w:tab/>
            </w:r>
            <w:r w:rsidR="00562633" w:rsidRPr="00523CA4">
              <w:rPr>
                <w:rStyle w:val="Hyperlink"/>
                <w:rFonts w:eastAsiaTheme="majorEastAsia" w:cstheme="majorBidi"/>
                <w:b/>
                <w:noProof/>
              </w:rPr>
              <w:t>General Framework for Benefits Valuation</w:t>
            </w:r>
            <w:r w:rsidR="00562633">
              <w:rPr>
                <w:noProof/>
                <w:webHidden/>
              </w:rPr>
              <w:tab/>
            </w:r>
            <w:r w:rsidR="00562633">
              <w:rPr>
                <w:noProof/>
                <w:webHidden/>
              </w:rPr>
              <w:fldChar w:fldCharType="begin"/>
            </w:r>
            <w:r w:rsidR="00562633">
              <w:rPr>
                <w:noProof/>
                <w:webHidden/>
              </w:rPr>
              <w:instrText xml:space="preserve"> PAGEREF _Toc448481297 \h </w:instrText>
            </w:r>
            <w:r w:rsidR="00562633">
              <w:rPr>
                <w:noProof/>
                <w:webHidden/>
              </w:rPr>
            </w:r>
            <w:r w:rsidR="00562633">
              <w:rPr>
                <w:noProof/>
                <w:webHidden/>
              </w:rPr>
              <w:fldChar w:fldCharType="separate"/>
            </w:r>
            <w:r w:rsidR="00562633">
              <w:rPr>
                <w:noProof/>
                <w:webHidden/>
              </w:rPr>
              <w:t>8</w:t>
            </w:r>
            <w:r w:rsidR="00562633">
              <w:rPr>
                <w:noProof/>
                <w:webHidden/>
              </w:rPr>
              <w:fldChar w:fldCharType="end"/>
            </w:r>
          </w:hyperlink>
        </w:p>
        <w:p w14:paraId="1FBA8F6D" w14:textId="77777777" w:rsidR="00562633" w:rsidRDefault="008B3A3D">
          <w:pPr>
            <w:pStyle w:val="TOC3"/>
            <w:tabs>
              <w:tab w:val="left" w:pos="880"/>
              <w:tab w:val="right" w:leader="dot" w:pos="9350"/>
            </w:tabs>
            <w:rPr>
              <w:rFonts w:eastAsiaTheme="minorEastAsia"/>
              <w:noProof/>
            </w:rPr>
          </w:pPr>
          <w:hyperlink w:anchor="_Toc448481298" w:history="1">
            <w:r w:rsidR="00562633" w:rsidRPr="00523CA4">
              <w:rPr>
                <w:rStyle w:val="Hyperlink"/>
                <w:rFonts w:eastAsiaTheme="majorEastAsia" w:cstheme="majorBidi"/>
                <w:b/>
                <w:noProof/>
              </w:rPr>
              <w:t>i.</w:t>
            </w:r>
            <w:r w:rsidR="00562633">
              <w:rPr>
                <w:rFonts w:eastAsiaTheme="minorEastAsia"/>
                <w:noProof/>
              </w:rPr>
              <w:tab/>
            </w:r>
            <w:r w:rsidR="00562633" w:rsidRPr="00523CA4">
              <w:rPr>
                <w:rStyle w:val="Hyperlink"/>
                <w:rFonts w:eastAsiaTheme="majorEastAsia" w:cstheme="majorBidi"/>
                <w:b/>
                <w:noProof/>
              </w:rPr>
              <w:t>Temporal Dynamics of Health Impacts</w:t>
            </w:r>
            <w:r w:rsidR="00562633">
              <w:rPr>
                <w:noProof/>
                <w:webHidden/>
              </w:rPr>
              <w:tab/>
            </w:r>
            <w:r w:rsidR="00562633">
              <w:rPr>
                <w:noProof/>
                <w:webHidden/>
              </w:rPr>
              <w:fldChar w:fldCharType="begin"/>
            </w:r>
            <w:r w:rsidR="00562633">
              <w:rPr>
                <w:noProof/>
                <w:webHidden/>
              </w:rPr>
              <w:instrText xml:space="preserve"> PAGEREF _Toc448481298 \h </w:instrText>
            </w:r>
            <w:r w:rsidR="00562633">
              <w:rPr>
                <w:noProof/>
                <w:webHidden/>
              </w:rPr>
            </w:r>
            <w:r w:rsidR="00562633">
              <w:rPr>
                <w:noProof/>
                <w:webHidden/>
              </w:rPr>
              <w:fldChar w:fldCharType="separate"/>
            </w:r>
            <w:r w:rsidR="00562633">
              <w:rPr>
                <w:noProof/>
                <w:webHidden/>
              </w:rPr>
              <w:t>14</w:t>
            </w:r>
            <w:r w:rsidR="00562633">
              <w:rPr>
                <w:noProof/>
                <w:webHidden/>
              </w:rPr>
              <w:fldChar w:fldCharType="end"/>
            </w:r>
          </w:hyperlink>
        </w:p>
        <w:p w14:paraId="531D02F7" w14:textId="77777777" w:rsidR="00562633" w:rsidRDefault="008B3A3D">
          <w:pPr>
            <w:pStyle w:val="TOC3"/>
            <w:tabs>
              <w:tab w:val="left" w:pos="880"/>
              <w:tab w:val="right" w:leader="dot" w:pos="9350"/>
            </w:tabs>
            <w:rPr>
              <w:rFonts w:eastAsiaTheme="minorEastAsia"/>
              <w:noProof/>
            </w:rPr>
          </w:pPr>
          <w:hyperlink w:anchor="_Toc448481299" w:history="1">
            <w:r w:rsidR="00562633" w:rsidRPr="00523CA4">
              <w:rPr>
                <w:rStyle w:val="Hyperlink"/>
                <w:rFonts w:eastAsiaTheme="majorEastAsia" w:cstheme="majorBidi"/>
                <w:b/>
                <w:noProof/>
              </w:rPr>
              <w:t>ii.</w:t>
            </w:r>
            <w:r w:rsidR="00562633">
              <w:rPr>
                <w:rFonts w:eastAsiaTheme="minorEastAsia"/>
                <w:noProof/>
              </w:rPr>
              <w:tab/>
            </w:r>
            <w:r w:rsidR="00562633" w:rsidRPr="00523CA4">
              <w:rPr>
                <w:rStyle w:val="Hyperlink"/>
                <w:rFonts w:eastAsiaTheme="majorEastAsia" w:cstheme="majorBidi"/>
                <w:b/>
                <w:noProof/>
              </w:rPr>
              <w:t>Income adjustments</w:t>
            </w:r>
            <w:r w:rsidR="00562633">
              <w:rPr>
                <w:noProof/>
                <w:webHidden/>
              </w:rPr>
              <w:tab/>
            </w:r>
            <w:r w:rsidR="00562633">
              <w:rPr>
                <w:noProof/>
                <w:webHidden/>
              </w:rPr>
              <w:fldChar w:fldCharType="begin"/>
            </w:r>
            <w:r w:rsidR="00562633">
              <w:rPr>
                <w:noProof/>
                <w:webHidden/>
              </w:rPr>
              <w:instrText xml:space="preserve"> PAGEREF _Toc448481299 \h </w:instrText>
            </w:r>
            <w:r w:rsidR="00562633">
              <w:rPr>
                <w:noProof/>
                <w:webHidden/>
              </w:rPr>
            </w:r>
            <w:r w:rsidR="00562633">
              <w:rPr>
                <w:noProof/>
                <w:webHidden/>
              </w:rPr>
              <w:fldChar w:fldCharType="separate"/>
            </w:r>
            <w:r w:rsidR="00562633">
              <w:rPr>
                <w:noProof/>
                <w:webHidden/>
              </w:rPr>
              <w:t>14</w:t>
            </w:r>
            <w:r w:rsidR="00562633">
              <w:rPr>
                <w:noProof/>
                <w:webHidden/>
              </w:rPr>
              <w:fldChar w:fldCharType="end"/>
            </w:r>
          </w:hyperlink>
        </w:p>
        <w:p w14:paraId="1B07AAAE" w14:textId="77777777" w:rsidR="00562633" w:rsidRDefault="008B3A3D">
          <w:pPr>
            <w:pStyle w:val="TOC2"/>
            <w:tabs>
              <w:tab w:val="left" w:pos="1100"/>
              <w:tab w:val="right" w:leader="dot" w:pos="9350"/>
            </w:tabs>
            <w:rPr>
              <w:rFonts w:eastAsiaTheme="minorEastAsia"/>
              <w:noProof/>
            </w:rPr>
          </w:pPr>
          <w:hyperlink w:anchor="_Toc448481300" w:history="1">
            <w:r w:rsidR="00562633" w:rsidRPr="00523CA4">
              <w:rPr>
                <w:rStyle w:val="Hyperlink"/>
                <w:rFonts w:eastAsiaTheme="majorEastAsia" w:cstheme="majorBidi"/>
                <w:b/>
                <w:noProof/>
              </w:rPr>
              <w:t>2.2.3</w:t>
            </w:r>
            <w:r w:rsidR="00562633">
              <w:rPr>
                <w:rFonts w:eastAsiaTheme="minorEastAsia"/>
                <w:noProof/>
              </w:rPr>
              <w:tab/>
            </w:r>
            <w:r w:rsidR="00562633" w:rsidRPr="00523CA4">
              <w:rPr>
                <w:rStyle w:val="Hyperlink"/>
                <w:rFonts w:eastAsiaTheme="majorEastAsia" w:cstheme="majorBidi"/>
                <w:b/>
                <w:noProof/>
              </w:rPr>
              <w:t>Conducting and Presenting the Benefits Analysis</w:t>
            </w:r>
            <w:r w:rsidR="00562633">
              <w:rPr>
                <w:noProof/>
                <w:webHidden/>
              </w:rPr>
              <w:tab/>
            </w:r>
            <w:r w:rsidR="00562633">
              <w:rPr>
                <w:noProof/>
                <w:webHidden/>
              </w:rPr>
              <w:fldChar w:fldCharType="begin"/>
            </w:r>
            <w:r w:rsidR="00562633">
              <w:rPr>
                <w:noProof/>
                <w:webHidden/>
              </w:rPr>
              <w:instrText xml:space="preserve"> PAGEREF _Toc448481300 \h </w:instrText>
            </w:r>
            <w:r w:rsidR="00562633">
              <w:rPr>
                <w:noProof/>
                <w:webHidden/>
              </w:rPr>
            </w:r>
            <w:r w:rsidR="00562633">
              <w:rPr>
                <w:noProof/>
                <w:webHidden/>
              </w:rPr>
              <w:fldChar w:fldCharType="separate"/>
            </w:r>
            <w:r w:rsidR="00562633">
              <w:rPr>
                <w:noProof/>
                <w:webHidden/>
              </w:rPr>
              <w:t>14</w:t>
            </w:r>
            <w:r w:rsidR="00562633">
              <w:rPr>
                <w:noProof/>
                <w:webHidden/>
              </w:rPr>
              <w:fldChar w:fldCharType="end"/>
            </w:r>
          </w:hyperlink>
        </w:p>
        <w:p w14:paraId="102B8CBC" w14:textId="77777777" w:rsidR="00562633" w:rsidRDefault="008B3A3D">
          <w:pPr>
            <w:pStyle w:val="TOC2"/>
            <w:tabs>
              <w:tab w:val="left" w:pos="880"/>
              <w:tab w:val="right" w:leader="dot" w:pos="9350"/>
            </w:tabs>
            <w:rPr>
              <w:rFonts w:eastAsiaTheme="minorEastAsia"/>
              <w:noProof/>
            </w:rPr>
          </w:pPr>
          <w:hyperlink w:anchor="_Toc448481301" w:history="1">
            <w:r w:rsidR="00562633" w:rsidRPr="00523CA4">
              <w:rPr>
                <w:rStyle w:val="Hyperlink"/>
                <w:noProof/>
              </w:rPr>
              <w:t>2.3</w:t>
            </w:r>
            <w:r w:rsidR="00562633">
              <w:rPr>
                <w:rFonts w:eastAsiaTheme="minorEastAsia"/>
                <w:noProof/>
              </w:rPr>
              <w:tab/>
            </w:r>
            <w:r w:rsidR="00562633" w:rsidRPr="00523CA4">
              <w:rPr>
                <w:rStyle w:val="Hyperlink"/>
                <w:noProof/>
              </w:rPr>
              <w:t>Measuring Social Cost</w:t>
            </w:r>
            <w:r w:rsidR="00562633">
              <w:rPr>
                <w:noProof/>
                <w:webHidden/>
              </w:rPr>
              <w:tab/>
            </w:r>
            <w:r w:rsidR="00562633">
              <w:rPr>
                <w:noProof/>
                <w:webHidden/>
              </w:rPr>
              <w:fldChar w:fldCharType="begin"/>
            </w:r>
            <w:r w:rsidR="00562633">
              <w:rPr>
                <w:noProof/>
                <w:webHidden/>
              </w:rPr>
              <w:instrText xml:space="preserve"> PAGEREF _Toc448481301 \h </w:instrText>
            </w:r>
            <w:r w:rsidR="00562633">
              <w:rPr>
                <w:noProof/>
                <w:webHidden/>
              </w:rPr>
            </w:r>
            <w:r w:rsidR="00562633">
              <w:rPr>
                <w:noProof/>
                <w:webHidden/>
              </w:rPr>
              <w:fldChar w:fldCharType="separate"/>
            </w:r>
            <w:r w:rsidR="00562633">
              <w:rPr>
                <w:noProof/>
                <w:webHidden/>
              </w:rPr>
              <w:t>16</w:t>
            </w:r>
            <w:r w:rsidR="00562633">
              <w:rPr>
                <w:noProof/>
                <w:webHidden/>
              </w:rPr>
              <w:fldChar w:fldCharType="end"/>
            </w:r>
          </w:hyperlink>
        </w:p>
        <w:p w14:paraId="71C2D29F" w14:textId="77777777" w:rsidR="00562633" w:rsidRDefault="008B3A3D">
          <w:pPr>
            <w:pStyle w:val="TOC2"/>
            <w:tabs>
              <w:tab w:val="left" w:pos="1100"/>
              <w:tab w:val="right" w:leader="dot" w:pos="9350"/>
            </w:tabs>
            <w:rPr>
              <w:rFonts w:eastAsiaTheme="minorEastAsia"/>
              <w:noProof/>
            </w:rPr>
          </w:pPr>
          <w:hyperlink w:anchor="_Toc448481302" w:history="1">
            <w:r w:rsidR="00562633" w:rsidRPr="00523CA4">
              <w:rPr>
                <w:rStyle w:val="Hyperlink"/>
                <w:noProof/>
              </w:rPr>
              <w:t>2.3.1</w:t>
            </w:r>
            <w:r w:rsidR="00562633">
              <w:rPr>
                <w:rFonts w:eastAsiaTheme="minorEastAsia"/>
                <w:noProof/>
              </w:rPr>
              <w:tab/>
            </w:r>
            <w:r w:rsidR="00562633" w:rsidRPr="00523CA4">
              <w:rPr>
                <w:rStyle w:val="Hyperlink"/>
                <w:noProof/>
              </w:rPr>
              <w:t>Engineering and Partial Equilibrium Approaches to Estimating Cost</w:t>
            </w:r>
            <w:r w:rsidR="00562633">
              <w:rPr>
                <w:noProof/>
                <w:webHidden/>
              </w:rPr>
              <w:tab/>
            </w:r>
            <w:r w:rsidR="00562633">
              <w:rPr>
                <w:noProof/>
                <w:webHidden/>
              </w:rPr>
              <w:fldChar w:fldCharType="begin"/>
            </w:r>
            <w:r w:rsidR="00562633">
              <w:rPr>
                <w:noProof/>
                <w:webHidden/>
              </w:rPr>
              <w:instrText xml:space="preserve"> PAGEREF _Toc448481302 \h </w:instrText>
            </w:r>
            <w:r w:rsidR="00562633">
              <w:rPr>
                <w:noProof/>
                <w:webHidden/>
              </w:rPr>
            </w:r>
            <w:r w:rsidR="00562633">
              <w:rPr>
                <w:noProof/>
                <w:webHidden/>
              </w:rPr>
              <w:fldChar w:fldCharType="separate"/>
            </w:r>
            <w:r w:rsidR="00562633">
              <w:rPr>
                <w:noProof/>
                <w:webHidden/>
              </w:rPr>
              <w:t>20</w:t>
            </w:r>
            <w:r w:rsidR="00562633">
              <w:rPr>
                <w:noProof/>
                <w:webHidden/>
              </w:rPr>
              <w:fldChar w:fldCharType="end"/>
            </w:r>
          </w:hyperlink>
        </w:p>
        <w:p w14:paraId="5A172528" w14:textId="77777777" w:rsidR="00562633" w:rsidRDefault="008B3A3D">
          <w:pPr>
            <w:pStyle w:val="TOC2"/>
            <w:tabs>
              <w:tab w:val="left" w:pos="1100"/>
              <w:tab w:val="right" w:leader="dot" w:pos="9350"/>
            </w:tabs>
            <w:rPr>
              <w:rFonts w:eastAsiaTheme="minorEastAsia"/>
              <w:noProof/>
            </w:rPr>
          </w:pPr>
          <w:hyperlink w:anchor="_Toc448481303" w:history="1">
            <w:r w:rsidR="00562633" w:rsidRPr="00523CA4">
              <w:rPr>
                <w:rStyle w:val="Hyperlink"/>
                <w:noProof/>
              </w:rPr>
              <w:t>2.3.2</w:t>
            </w:r>
            <w:r w:rsidR="00562633">
              <w:rPr>
                <w:rFonts w:eastAsiaTheme="minorEastAsia"/>
                <w:noProof/>
              </w:rPr>
              <w:tab/>
            </w:r>
            <w:r w:rsidR="00562633" w:rsidRPr="00523CA4">
              <w:rPr>
                <w:rStyle w:val="Hyperlink"/>
                <w:noProof/>
              </w:rPr>
              <w:t>General Equilibrium Approaches to Estimating Social Cost</w:t>
            </w:r>
            <w:r w:rsidR="00562633">
              <w:rPr>
                <w:noProof/>
                <w:webHidden/>
              </w:rPr>
              <w:tab/>
            </w:r>
            <w:r w:rsidR="00562633">
              <w:rPr>
                <w:noProof/>
                <w:webHidden/>
              </w:rPr>
              <w:fldChar w:fldCharType="begin"/>
            </w:r>
            <w:r w:rsidR="00562633">
              <w:rPr>
                <w:noProof/>
                <w:webHidden/>
              </w:rPr>
              <w:instrText xml:space="preserve"> PAGEREF _Toc448481303 \h </w:instrText>
            </w:r>
            <w:r w:rsidR="00562633">
              <w:rPr>
                <w:noProof/>
                <w:webHidden/>
              </w:rPr>
            </w:r>
            <w:r w:rsidR="00562633">
              <w:rPr>
                <w:noProof/>
                <w:webHidden/>
              </w:rPr>
              <w:fldChar w:fldCharType="separate"/>
            </w:r>
            <w:r w:rsidR="00562633">
              <w:rPr>
                <w:noProof/>
                <w:webHidden/>
              </w:rPr>
              <w:t>21</w:t>
            </w:r>
            <w:r w:rsidR="00562633">
              <w:rPr>
                <w:noProof/>
                <w:webHidden/>
              </w:rPr>
              <w:fldChar w:fldCharType="end"/>
            </w:r>
          </w:hyperlink>
        </w:p>
        <w:p w14:paraId="44F95210" w14:textId="77777777" w:rsidR="00562633" w:rsidRDefault="008B3A3D">
          <w:pPr>
            <w:pStyle w:val="TOC1"/>
            <w:rPr>
              <w:rFonts w:eastAsiaTheme="minorEastAsia"/>
              <w:noProof/>
            </w:rPr>
          </w:pPr>
          <w:hyperlink w:anchor="_Toc448481304" w:history="1">
            <w:r w:rsidR="00562633" w:rsidRPr="00523CA4">
              <w:rPr>
                <w:rStyle w:val="Hyperlink"/>
                <w:noProof/>
              </w:rPr>
              <w:t>3.</w:t>
            </w:r>
            <w:r w:rsidR="00562633">
              <w:rPr>
                <w:rFonts w:eastAsiaTheme="minorEastAsia"/>
                <w:noProof/>
              </w:rPr>
              <w:tab/>
            </w:r>
            <w:r w:rsidR="00562633" w:rsidRPr="00523CA4">
              <w:rPr>
                <w:rStyle w:val="Hyperlink"/>
                <w:noProof/>
              </w:rPr>
              <w:t>Representing an Air Regulation in a CGE Model</w:t>
            </w:r>
            <w:r w:rsidR="00562633">
              <w:rPr>
                <w:noProof/>
                <w:webHidden/>
              </w:rPr>
              <w:tab/>
            </w:r>
            <w:r w:rsidR="00562633">
              <w:rPr>
                <w:noProof/>
                <w:webHidden/>
              </w:rPr>
              <w:fldChar w:fldCharType="begin"/>
            </w:r>
            <w:r w:rsidR="00562633">
              <w:rPr>
                <w:noProof/>
                <w:webHidden/>
              </w:rPr>
              <w:instrText xml:space="preserve"> PAGEREF _Toc448481304 \h </w:instrText>
            </w:r>
            <w:r w:rsidR="00562633">
              <w:rPr>
                <w:noProof/>
                <w:webHidden/>
              </w:rPr>
            </w:r>
            <w:r w:rsidR="00562633">
              <w:rPr>
                <w:noProof/>
                <w:webHidden/>
              </w:rPr>
              <w:fldChar w:fldCharType="separate"/>
            </w:r>
            <w:r w:rsidR="00562633">
              <w:rPr>
                <w:noProof/>
                <w:webHidden/>
              </w:rPr>
              <w:t>25</w:t>
            </w:r>
            <w:r w:rsidR="00562633">
              <w:rPr>
                <w:noProof/>
                <w:webHidden/>
              </w:rPr>
              <w:fldChar w:fldCharType="end"/>
            </w:r>
          </w:hyperlink>
        </w:p>
        <w:p w14:paraId="2BCE042F" w14:textId="77777777" w:rsidR="00562633" w:rsidRDefault="008B3A3D">
          <w:pPr>
            <w:pStyle w:val="TOC2"/>
            <w:tabs>
              <w:tab w:val="left" w:pos="880"/>
              <w:tab w:val="right" w:leader="dot" w:pos="9350"/>
            </w:tabs>
            <w:rPr>
              <w:rFonts w:eastAsiaTheme="minorEastAsia"/>
              <w:noProof/>
            </w:rPr>
          </w:pPr>
          <w:hyperlink w:anchor="_Toc448481305" w:history="1">
            <w:r w:rsidR="00562633" w:rsidRPr="00523CA4">
              <w:rPr>
                <w:rStyle w:val="Hyperlink"/>
                <w:noProof/>
              </w:rPr>
              <w:t>3.1</w:t>
            </w:r>
            <w:r w:rsidR="00562633">
              <w:rPr>
                <w:rFonts w:eastAsiaTheme="minorEastAsia"/>
                <w:noProof/>
              </w:rPr>
              <w:tab/>
            </w:r>
            <w:r w:rsidR="00562633" w:rsidRPr="00523CA4">
              <w:rPr>
                <w:rStyle w:val="Hyperlink"/>
                <w:noProof/>
              </w:rPr>
              <w:t>Overview of Air Regulations</w:t>
            </w:r>
            <w:r w:rsidR="00562633">
              <w:rPr>
                <w:noProof/>
                <w:webHidden/>
              </w:rPr>
              <w:tab/>
            </w:r>
            <w:r w:rsidR="00562633">
              <w:rPr>
                <w:noProof/>
                <w:webHidden/>
              </w:rPr>
              <w:fldChar w:fldCharType="begin"/>
            </w:r>
            <w:r w:rsidR="00562633">
              <w:rPr>
                <w:noProof/>
                <w:webHidden/>
              </w:rPr>
              <w:instrText xml:space="preserve"> PAGEREF _Toc448481305 \h </w:instrText>
            </w:r>
            <w:r w:rsidR="00562633">
              <w:rPr>
                <w:noProof/>
                <w:webHidden/>
              </w:rPr>
            </w:r>
            <w:r w:rsidR="00562633">
              <w:rPr>
                <w:noProof/>
                <w:webHidden/>
              </w:rPr>
              <w:fldChar w:fldCharType="separate"/>
            </w:r>
            <w:r w:rsidR="00562633">
              <w:rPr>
                <w:noProof/>
                <w:webHidden/>
              </w:rPr>
              <w:t>26</w:t>
            </w:r>
            <w:r w:rsidR="00562633">
              <w:rPr>
                <w:noProof/>
                <w:webHidden/>
              </w:rPr>
              <w:fldChar w:fldCharType="end"/>
            </w:r>
          </w:hyperlink>
        </w:p>
        <w:p w14:paraId="198346C9" w14:textId="77777777" w:rsidR="00562633" w:rsidRDefault="008B3A3D">
          <w:pPr>
            <w:pStyle w:val="TOC1"/>
            <w:rPr>
              <w:rFonts w:eastAsiaTheme="minorEastAsia"/>
              <w:noProof/>
            </w:rPr>
          </w:pPr>
          <w:hyperlink w:anchor="_Toc448481306" w:history="1">
            <w:r w:rsidR="00562633" w:rsidRPr="00523CA4">
              <w:rPr>
                <w:rStyle w:val="Hyperlink"/>
                <w:noProof/>
              </w:rPr>
              <w:t>4.</w:t>
            </w:r>
            <w:r w:rsidR="00562633">
              <w:rPr>
                <w:rFonts w:eastAsiaTheme="minorEastAsia"/>
                <w:noProof/>
              </w:rPr>
              <w:tab/>
            </w:r>
            <w:r w:rsidR="00562633" w:rsidRPr="00523CA4">
              <w:rPr>
                <w:rStyle w:val="Hyperlink"/>
                <w:noProof/>
              </w:rPr>
              <w:t>Challenges in Representing an Air Regulation in a CGE Model For Estimating Social Cost</w:t>
            </w:r>
            <w:r w:rsidR="00562633">
              <w:rPr>
                <w:noProof/>
                <w:webHidden/>
              </w:rPr>
              <w:tab/>
            </w:r>
            <w:r w:rsidR="00562633">
              <w:rPr>
                <w:noProof/>
                <w:webHidden/>
              </w:rPr>
              <w:fldChar w:fldCharType="begin"/>
            </w:r>
            <w:r w:rsidR="00562633">
              <w:rPr>
                <w:noProof/>
                <w:webHidden/>
              </w:rPr>
              <w:instrText xml:space="preserve"> PAGEREF _Toc448481306 \h </w:instrText>
            </w:r>
            <w:r w:rsidR="00562633">
              <w:rPr>
                <w:noProof/>
                <w:webHidden/>
              </w:rPr>
            </w:r>
            <w:r w:rsidR="00562633">
              <w:rPr>
                <w:noProof/>
                <w:webHidden/>
              </w:rPr>
              <w:fldChar w:fldCharType="separate"/>
            </w:r>
            <w:r w:rsidR="00562633">
              <w:rPr>
                <w:noProof/>
                <w:webHidden/>
              </w:rPr>
              <w:t>32</w:t>
            </w:r>
            <w:r w:rsidR="00562633">
              <w:rPr>
                <w:noProof/>
                <w:webHidden/>
              </w:rPr>
              <w:fldChar w:fldCharType="end"/>
            </w:r>
          </w:hyperlink>
        </w:p>
        <w:p w14:paraId="5C3F39FA" w14:textId="77777777" w:rsidR="00562633" w:rsidRDefault="008B3A3D">
          <w:pPr>
            <w:pStyle w:val="TOC1"/>
            <w:rPr>
              <w:rFonts w:eastAsiaTheme="minorEastAsia"/>
              <w:noProof/>
            </w:rPr>
          </w:pPr>
          <w:hyperlink w:anchor="_Toc448481307" w:history="1">
            <w:r w:rsidR="00562633" w:rsidRPr="00523CA4">
              <w:rPr>
                <w:rStyle w:val="Hyperlink"/>
                <w:rFonts w:eastAsiaTheme="majorEastAsia" w:cstheme="majorBidi"/>
                <w:b/>
                <w:noProof/>
              </w:rPr>
              <w:t>5.</w:t>
            </w:r>
            <w:r w:rsidR="00562633">
              <w:rPr>
                <w:rFonts w:eastAsiaTheme="minorEastAsia"/>
                <w:noProof/>
              </w:rPr>
              <w:tab/>
            </w:r>
            <w:r w:rsidR="00562633" w:rsidRPr="00523CA4">
              <w:rPr>
                <w:rStyle w:val="Hyperlink"/>
                <w:rFonts w:eastAsiaTheme="majorEastAsia" w:cstheme="majorBidi"/>
                <w:b/>
                <w:noProof/>
              </w:rPr>
              <w:t>Incorporating Benefits of Air Quality Improvements into CGE Models</w:t>
            </w:r>
            <w:r w:rsidR="00562633">
              <w:rPr>
                <w:noProof/>
                <w:webHidden/>
              </w:rPr>
              <w:tab/>
            </w:r>
            <w:r w:rsidR="00562633">
              <w:rPr>
                <w:noProof/>
                <w:webHidden/>
              </w:rPr>
              <w:fldChar w:fldCharType="begin"/>
            </w:r>
            <w:r w:rsidR="00562633">
              <w:rPr>
                <w:noProof/>
                <w:webHidden/>
              </w:rPr>
              <w:instrText xml:space="preserve"> PAGEREF _Toc448481307 \h </w:instrText>
            </w:r>
            <w:r w:rsidR="00562633">
              <w:rPr>
                <w:noProof/>
                <w:webHidden/>
              </w:rPr>
            </w:r>
            <w:r w:rsidR="00562633">
              <w:rPr>
                <w:noProof/>
                <w:webHidden/>
              </w:rPr>
              <w:fldChar w:fldCharType="separate"/>
            </w:r>
            <w:r w:rsidR="00562633">
              <w:rPr>
                <w:noProof/>
                <w:webHidden/>
              </w:rPr>
              <w:t>35</w:t>
            </w:r>
            <w:r w:rsidR="00562633">
              <w:rPr>
                <w:noProof/>
                <w:webHidden/>
              </w:rPr>
              <w:fldChar w:fldCharType="end"/>
            </w:r>
          </w:hyperlink>
        </w:p>
        <w:p w14:paraId="00A00510" w14:textId="77777777" w:rsidR="00562633" w:rsidRDefault="008B3A3D">
          <w:pPr>
            <w:pStyle w:val="TOC2"/>
            <w:tabs>
              <w:tab w:val="left" w:pos="880"/>
              <w:tab w:val="right" w:leader="dot" w:pos="9350"/>
            </w:tabs>
            <w:rPr>
              <w:rFonts w:eastAsiaTheme="minorEastAsia"/>
              <w:noProof/>
            </w:rPr>
          </w:pPr>
          <w:hyperlink w:anchor="_Toc448481308" w:history="1">
            <w:r w:rsidR="00562633" w:rsidRPr="00523CA4">
              <w:rPr>
                <w:rStyle w:val="Hyperlink"/>
                <w:noProof/>
              </w:rPr>
              <w:t>5.1</w:t>
            </w:r>
            <w:r w:rsidR="00562633">
              <w:rPr>
                <w:rFonts w:eastAsiaTheme="minorEastAsia"/>
                <w:noProof/>
              </w:rPr>
              <w:tab/>
            </w:r>
            <w:r w:rsidR="00562633" w:rsidRPr="00523CA4">
              <w:rPr>
                <w:rStyle w:val="Hyperlink"/>
                <w:noProof/>
              </w:rPr>
              <w:t>Benefits and Costs of the Clean Air Act from 1990 to 2020</w:t>
            </w:r>
            <w:r w:rsidR="00562633">
              <w:rPr>
                <w:noProof/>
                <w:webHidden/>
              </w:rPr>
              <w:tab/>
            </w:r>
            <w:r w:rsidR="00562633">
              <w:rPr>
                <w:noProof/>
                <w:webHidden/>
              </w:rPr>
              <w:fldChar w:fldCharType="begin"/>
            </w:r>
            <w:r w:rsidR="00562633">
              <w:rPr>
                <w:noProof/>
                <w:webHidden/>
              </w:rPr>
              <w:instrText xml:space="preserve"> PAGEREF _Toc448481308 \h </w:instrText>
            </w:r>
            <w:r w:rsidR="00562633">
              <w:rPr>
                <w:noProof/>
                <w:webHidden/>
              </w:rPr>
            </w:r>
            <w:r w:rsidR="00562633">
              <w:rPr>
                <w:noProof/>
                <w:webHidden/>
              </w:rPr>
              <w:fldChar w:fldCharType="separate"/>
            </w:r>
            <w:r w:rsidR="00562633">
              <w:rPr>
                <w:noProof/>
                <w:webHidden/>
              </w:rPr>
              <w:t>35</w:t>
            </w:r>
            <w:r w:rsidR="00562633">
              <w:rPr>
                <w:noProof/>
                <w:webHidden/>
              </w:rPr>
              <w:fldChar w:fldCharType="end"/>
            </w:r>
          </w:hyperlink>
        </w:p>
        <w:p w14:paraId="15EEF71B" w14:textId="77777777" w:rsidR="00562633" w:rsidRDefault="008B3A3D">
          <w:pPr>
            <w:pStyle w:val="TOC3"/>
            <w:tabs>
              <w:tab w:val="right" w:leader="dot" w:pos="9350"/>
            </w:tabs>
            <w:rPr>
              <w:rFonts w:eastAsiaTheme="minorEastAsia"/>
              <w:noProof/>
            </w:rPr>
          </w:pPr>
          <w:hyperlink w:anchor="_Toc448481309" w:history="1">
            <w:r w:rsidR="00562633" w:rsidRPr="00523CA4">
              <w:rPr>
                <w:rStyle w:val="Hyperlink"/>
                <w:rFonts w:eastAsiaTheme="majorEastAsia" w:cstheme="majorBidi"/>
                <w:i/>
                <w:noProof/>
              </w:rPr>
              <w:t>Changes in Medical Expenditures</w:t>
            </w:r>
            <w:r w:rsidR="00562633">
              <w:rPr>
                <w:noProof/>
                <w:webHidden/>
              </w:rPr>
              <w:tab/>
            </w:r>
            <w:r w:rsidR="00562633">
              <w:rPr>
                <w:noProof/>
                <w:webHidden/>
              </w:rPr>
              <w:fldChar w:fldCharType="begin"/>
            </w:r>
            <w:r w:rsidR="00562633">
              <w:rPr>
                <w:noProof/>
                <w:webHidden/>
              </w:rPr>
              <w:instrText xml:space="preserve"> PAGEREF _Toc448481309 \h </w:instrText>
            </w:r>
            <w:r w:rsidR="00562633">
              <w:rPr>
                <w:noProof/>
                <w:webHidden/>
              </w:rPr>
            </w:r>
            <w:r w:rsidR="00562633">
              <w:rPr>
                <w:noProof/>
                <w:webHidden/>
              </w:rPr>
              <w:fldChar w:fldCharType="separate"/>
            </w:r>
            <w:r w:rsidR="00562633">
              <w:rPr>
                <w:noProof/>
                <w:webHidden/>
              </w:rPr>
              <w:t>36</w:t>
            </w:r>
            <w:r w:rsidR="00562633">
              <w:rPr>
                <w:noProof/>
                <w:webHidden/>
              </w:rPr>
              <w:fldChar w:fldCharType="end"/>
            </w:r>
          </w:hyperlink>
        </w:p>
        <w:p w14:paraId="0B8A7472" w14:textId="77777777" w:rsidR="00562633" w:rsidRDefault="008B3A3D">
          <w:pPr>
            <w:pStyle w:val="TOC3"/>
            <w:tabs>
              <w:tab w:val="right" w:leader="dot" w:pos="9350"/>
            </w:tabs>
            <w:rPr>
              <w:rFonts w:eastAsiaTheme="minorEastAsia"/>
              <w:noProof/>
            </w:rPr>
          </w:pPr>
          <w:hyperlink w:anchor="_Toc448481310" w:history="1">
            <w:r w:rsidR="00562633" w:rsidRPr="00523CA4">
              <w:rPr>
                <w:rStyle w:val="Hyperlink"/>
                <w:rFonts w:eastAsiaTheme="majorEastAsia" w:cstheme="majorBidi"/>
                <w:i/>
                <w:noProof/>
              </w:rPr>
              <w:t>Effects on the Labor Force</w:t>
            </w:r>
            <w:r w:rsidR="00562633">
              <w:rPr>
                <w:noProof/>
                <w:webHidden/>
              </w:rPr>
              <w:tab/>
            </w:r>
            <w:r w:rsidR="00562633">
              <w:rPr>
                <w:noProof/>
                <w:webHidden/>
              </w:rPr>
              <w:fldChar w:fldCharType="begin"/>
            </w:r>
            <w:r w:rsidR="00562633">
              <w:rPr>
                <w:noProof/>
                <w:webHidden/>
              </w:rPr>
              <w:instrText xml:space="preserve"> PAGEREF _Toc448481310 \h </w:instrText>
            </w:r>
            <w:r w:rsidR="00562633">
              <w:rPr>
                <w:noProof/>
                <w:webHidden/>
              </w:rPr>
            </w:r>
            <w:r w:rsidR="00562633">
              <w:rPr>
                <w:noProof/>
                <w:webHidden/>
              </w:rPr>
              <w:fldChar w:fldCharType="separate"/>
            </w:r>
            <w:r w:rsidR="00562633">
              <w:rPr>
                <w:noProof/>
                <w:webHidden/>
              </w:rPr>
              <w:t>37</w:t>
            </w:r>
            <w:r w:rsidR="00562633">
              <w:rPr>
                <w:noProof/>
                <w:webHidden/>
              </w:rPr>
              <w:fldChar w:fldCharType="end"/>
            </w:r>
          </w:hyperlink>
        </w:p>
        <w:p w14:paraId="59A1E9C7" w14:textId="77777777" w:rsidR="00562633" w:rsidRDefault="008B3A3D">
          <w:pPr>
            <w:pStyle w:val="TOC3"/>
            <w:tabs>
              <w:tab w:val="right" w:leader="dot" w:pos="9350"/>
            </w:tabs>
            <w:rPr>
              <w:rFonts w:eastAsiaTheme="minorEastAsia"/>
              <w:noProof/>
            </w:rPr>
          </w:pPr>
          <w:hyperlink w:anchor="_Toc448481311" w:history="1">
            <w:r w:rsidR="00562633" w:rsidRPr="00523CA4">
              <w:rPr>
                <w:rStyle w:val="Hyperlink"/>
                <w:rFonts w:eastAsiaTheme="majorEastAsia" w:cstheme="majorBidi"/>
                <w:i/>
                <w:noProof/>
              </w:rPr>
              <w:t>Potential Analytical Limitations</w:t>
            </w:r>
            <w:r w:rsidR="00562633">
              <w:rPr>
                <w:noProof/>
                <w:webHidden/>
              </w:rPr>
              <w:tab/>
            </w:r>
            <w:r w:rsidR="00562633">
              <w:rPr>
                <w:noProof/>
                <w:webHidden/>
              </w:rPr>
              <w:fldChar w:fldCharType="begin"/>
            </w:r>
            <w:r w:rsidR="00562633">
              <w:rPr>
                <w:noProof/>
                <w:webHidden/>
              </w:rPr>
              <w:instrText xml:space="preserve"> PAGEREF _Toc448481311 \h </w:instrText>
            </w:r>
            <w:r w:rsidR="00562633">
              <w:rPr>
                <w:noProof/>
                <w:webHidden/>
              </w:rPr>
            </w:r>
            <w:r w:rsidR="00562633">
              <w:rPr>
                <w:noProof/>
                <w:webHidden/>
              </w:rPr>
              <w:fldChar w:fldCharType="separate"/>
            </w:r>
            <w:r w:rsidR="00562633">
              <w:rPr>
                <w:noProof/>
                <w:webHidden/>
              </w:rPr>
              <w:t>38</w:t>
            </w:r>
            <w:r w:rsidR="00562633">
              <w:rPr>
                <w:noProof/>
                <w:webHidden/>
              </w:rPr>
              <w:fldChar w:fldCharType="end"/>
            </w:r>
          </w:hyperlink>
        </w:p>
        <w:p w14:paraId="33926DDE" w14:textId="77777777" w:rsidR="00562633" w:rsidRDefault="008B3A3D">
          <w:pPr>
            <w:pStyle w:val="TOC2"/>
            <w:tabs>
              <w:tab w:val="left" w:pos="880"/>
              <w:tab w:val="right" w:leader="dot" w:pos="9350"/>
            </w:tabs>
            <w:rPr>
              <w:rFonts w:eastAsiaTheme="minorEastAsia"/>
              <w:noProof/>
            </w:rPr>
          </w:pPr>
          <w:hyperlink w:anchor="_Toc448481312" w:history="1">
            <w:r w:rsidR="00562633" w:rsidRPr="00523CA4">
              <w:rPr>
                <w:rStyle w:val="Hyperlink"/>
                <w:rFonts w:eastAsiaTheme="majorEastAsia" w:cstheme="majorBidi"/>
                <w:b/>
                <w:noProof/>
              </w:rPr>
              <w:t>5.2</w:t>
            </w:r>
            <w:r w:rsidR="00562633">
              <w:rPr>
                <w:rFonts w:eastAsiaTheme="minorEastAsia"/>
                <w:noProof/>
              </w:rPr>
              <w:tab/>
            </w:r>
            <w:r w:rsidR="00562633" w:rsidRPr="00523CA4">
              <w:rPr>
                <w:rStyle w:val="Hyperlink"/>
                <w:rFonts w:eastAsiaTheme="majorEastAsia" w:cstheme="majorBidi"/>
                <w:b/>
                <w:noProof/>
              </w:rPr>
              <w:t>Outside Studies Modeling Direct Health Impacts of Air Pollution in CGE Models</w:t>
            </w:r>
            <w:r w:rsidR="00562633">
              <w:rPr>
                <w:noProof/>
                <w:webHidden/>
              </w:rPr>
              <w:tab/>
            </w:r>
            <w:r w:rsidR="00562633">
              <w:rPr>
                <w:noProof/>
                <w:webHidden/>
              </w:rPr>
              <w:fldChar w:fldCharType="begin"/>
            </w:r>
            <w:r w:rsidR="00562633">
              <w:rPr>
                <w:noProof/>
                <w:webHidden/>
              </w:rPr>
              <w:instrText xml:space="preserve"> PAGEREF _Toc448481312 \h </w:instrText>
            </w:r>
            <w:r w:rsidR="00562633">
              <w:rPr>
                <w:noProof/>
                <w:webHidden/>
              </w:rPr>
            </w:r>
            <w:r w:rsidR="00562633">
              <w:rPr>
                <w:noProof/>
                <w:webHidden/>
              </w:rPr>
              <w:fldChar w:fldCharType="separate"/>
            </w:r>
            <w:r w:rsidR="00562633">
              <w:rPr>
                <w:noProof/>
                <w:webHidden/>
              </w:rPr>
              <w:t>40</w:t>
            </w:r>
            <w:r w:rsidR="00562633">
              <w:rPr>
                <w:noProof/>
                <w:webHidden/>
              </w:rPr>
              <w:fldChar w:fldCharType="end"/>
            </w:r>
          </w:hyperlink>
        </w:p>
        <w:p w14:paraId="138DB578" w14:textId="77777777" w:rsidR="00562633" w:rsidRDefault="008B3A3D">
          <w:pPr>
            <w:pStyle w:val="TOC3"/>
            <w:tabs>
              <w:tab w:val="right" w:leader="dot" w:pos="9350"/>
            </w:tabs>
            <w:rPr>
              <w:rFonts w:eastAsiaTheme="minorEastAsia"/>
              <w:noProof/>
            </w:rPr>
          </w:pPr>
          <w:hyperlink w:anchor="_Toc448481313" w:history="1">
            <w:r w:rsidR="00562633" w:rsidRPr="00523CA4">
              <w:rPr>
                <w:rStyle w:val="Hyperlink"/>
                <w:rFonts w:eastAsiaTheme="majorEastAsia" w:cstheme="majorBidi"/>
                <w:i/>
                <w:noProof/>
              </w:rPr>
              <w:t>Potential Analytical Limitations</w:t>
            </w:r>
            <w:r w:rsidR="00562633">
              <w:rPr>
                <w:noProof/>
                <w:webHidden/>
              </w:rPr>
              <w:tab/>
            </w:r>
            <w:r w:rsidR="00562633">
              <w:rPr>
                <w:noProof/>
                <w:webHidden/>
              </w:rPr>
              <w:fldChar w:fldCharType="begin"/>
            </w:r>
            <w:r w:rsidR="00562633">
              <w:rPr>
                <w:noProof/>
                <w:webHidden/>
              </w:rPr>
              <w:instrText xml:space="preserve"> PAGEREF _Toc448481313 \h </w:instrText>
            </w:r>
            <w:r w:rsidR="00562633">
              <w:rPr>
                <w:noProof/>
                <w:webHidden/>
              </w:rPr>
            </w:r>
            <w:r w:rsidR="00562633">
              <w:rPr>
                <w:noProof/>
                <w:webHidden/>
              </w:rPr>
              <w:fldChar w:fldCharType="separate"/>
            </w:r>
            <w:r w:rsidR="00562633">
              <w:rPr>
                <w:noProof/>
                <w:webHidden/>
              </w:rPr>
              <w:t>46</w:t>
            </w:r>
            <w:r w:rsidR="00562633">
              <w:rPr>
                <w:noProof/>
                <w:webHidden/>
              </w:rPr>
              <w:fldChar w:fldCharType="end"/>
            </w:r>
          </w:hyperlink>
        </w:p>
        <w:p w14:paraId="3E776B93" w14:textId="77777777" w:rsidR="00562633" w:rsidRDefault="008B3A3D">
          <w:pPr>
            <w:pStyle w:val="TOC2"/>
            <w:tabs>
              <w:tab w:val="left" w:pos="880"/>
              <w:tab w:val="right" w:leader="dot" w:pos="9350"/>
            </w:tabs>
            <w:rPr>
              <w:rFonts w:eastAsiaTheme="minorEastAsia"/>
              <w:noProof/>
            </w:rPr>
          </w:pPr>
          <w:hyperlink w:anchor="_Toc448481314" w:history="1">
            <w:r w:rsidR="00562633" w:rsidRPr="00523CA4">
              <w:rPr>
                <w:rStyle w:val="Hyperlink"/>
                <w:rFonts w:eastAsiaTheme="majorEastAsia" w:cstheme="majorBidi"/>
                <w:b/>
                <w:noProof/>
              </w:rPr>
              <w:t>5.3</w:t>
            </w:r>
            <w:r w:rsidR="00562633">
              <w:rPr>
                <w:rFonts w:eastAsiaTheme="minorEastAsia"/>
                <w:noProof/>
              </w:rPr>
              <w:tab/>
            </w:r>
            <w:r w:rsidR="00562633" w:rsidRPr="00523CA4">
              <w:rPr>
                <w:rStyle w:val="Hyperlink"/>
                <w:rFonts w:eastAsiaTheme="majorEastAsia" w:cstheme="majorBidi"/>
                <w:b/>
                <w:noProof/>
              </w:rPr>
              <w:t>Non-Health Environmental Feedbacks in CGE Models</w:t>
            </w:r>
            <w:r w:rsidR="00562633">
              <w:rPr>
                <w:noProof/>
                <w:webHidden/>
              </w:rPr>
              <w:tab/>
            </w:r>
            <w:r w:rsidR="00562633">
              <w:rPr>
                <w:noProof/>
                <w:webHidden/>
              </w:rPr>
              <w:fldChar w:fldCharType="begin"/>
            </w:r>
            <w:r w:rsidR="00562633">
              <w:rPr>
                <w:noProof/>
                <w:webHidden/>
              </w:rPr>
              <w:instrText xml:space="preserve"> PAGEREF _Toc448481314 \h </w:instrText>
            </w:r>
            <w:r w:rsidR="00562633">
              <w:rPr>
                <w:noProof/>
                <w:webHidden/>
              </w:rPr>
            </w:r>
            <w:r w:rsidR="00562633">
              <w:rPr>
                <w:noProof/>
                <w:webHidden/>
              </w:rPr>
              <w:fldChar w:fldCharType="separate"/>
            </w:r>
            <w:r w:rsidR="00562633">
              <w:rPr>
                <w:noProof/>
                <w:webHidden/>
              </w:rPr>
              <w:t>46</w:t>
            </w:r>
            <w:r w:rsidR="00562633">
              <w:rPr>
                <w:noProof/>
                <w:webHidden/>
              </w:rPr>
              <w:fldChar w:fldCharType="end"/>
            </w:r>
          </w:hyperlink>
        </w:p>
        <w:p w14:paraId="0666BBF9" w14:textId="77777777" w:rsidR="00562633" w:rsidRDefault="008B3A3D">
          <w:pPr>
            <w:pStyle w:val="TOC2"/>
            <w:tabs>
              <w:tab w:val="left" w:pos="880"/>
              <w:tab w:val="right" w:leader="dot" w:pos="9350"/>
            </w:tabs>
            <w:rPr>
              <w:rFonts w:eastAsiaTheme="minorEastAsia"/>
              <w:noProof/>
            </w:rPr>
          </w:pPr>
          <w:hyperlink w:anchor="_Toc448481315" w:history="1">
            <w:r w:rsidR="00562633" w:rsidRPr="00523CA4">
              <w:rPr>
                <w:rStyle w:val="Hyperlink"/>
                <w:rFonts w:eastAsiaTheme="majorEastAsia" w:cstheme="majorBidi"/>
                <w:b/>
                <w:noProof/>
              </w:rPr>
              <w:t>5.4</w:t>
            </w:r>
            <w:r w:rsidR="00562633">
              <w:rPr>
                <w:rFonts w:eastAsiaTheme="minorEastAsia"/>
                <w:noProof/>
              </w:rPr>
              <w:tab/>
            </w:r>
            <w:r w:rsidR="00562633" w:rsidRPr="00523CA4">
              <w:rPr>
                <w:rStyle w:val="Hyperlink"/>
                <w:rFonts w:eastAsiaTheme="majorEastAsia" w:cstheme="majorBidi"/>
                <w:b/>
                <w:noProof/>
              </w:rPr>
              <w:t>Benefit-Side Tax Interaction Effects</w:t>
            </w:r>
            <w:r w:rsidR="00562633">
              <w:rPr>
                <w:noProof/>
                <w:webHidden/>
              </w:rPr>
              <w:tab/>
            </w:r>
            <w:r w:rsidR="00562633">
              <w:rPr>
                <w:noProof/>
                <w:webHidden/>
              </w:rPr>
              <w:fldChar w:fldCharType="begin"/>
            </w:r>
            <w:r w:rsidR="00562633">
              <w:rPr>
                <w:noProof/>
                <w:webHidden/>
              </w:rPr>
              <w:instrText xml:space="preserve"> PAGEREF _Toc448481315 \h </w:instrText>
            </w:r>
            <w:r w:rsidR="00562633">
              <w:rPr>
                <w:noProof/>
                <w:webHidden/>
              </w:rPr>
            </w:r>
            <w:r w:rsidR="00562633">
              <w:rPr>
                <w:noProof/>
                <w:webHidden/>
              </w:rPr>
              <w:fldChar w:fldCharType="separate"/>
            </w:r>
            <w:r w:rsidR="00562633">
              <w:rPr>
                <w:noProof/>
                <w:webHidden/>
              </w:rPr>
              <w:t>51</w:t>
            </w:r>
            <w:r w:rsidR="00562633">
              <w:rPr>
                <w:noProof/>
                <w:webHidden/>
              </w:rPr>
              <w:fldChar w:fldCharType="end"/>
            </w:r>
          </w:hyperlink>
        </w:p>
        <w:p w14:paraId="2E460391" w14:textId="77777777" w:rsidR="00562633" w:rsidRDefault="008B3A3D">
          <w:pPr>
            <w:pStyle w:val="TOC1"/>
            <w:rPr>
              <w:rFonts w:eastAsiaTheme="minorEastAsia"/>
              <w:noProof/>
            </w:rPr>
          </w:pPr>
          <w:hyperlink w:anchor="_Toc448481316" w:history="1">
            <w:r w:rsidR="00562633" w:rsidRPr="00523CA4">
              <w:rPr>
                <w:rStyle w:val="Hyperlink"/>
                <w:noProof/>
              </w:rPr>
              <w:t>6.</w:t>
            </w:r>
            <w:r w:rsidR="00562633">
              <w:rPr>
                <w:rFonts w:eastAsiaTheme="minorEastAsia"/>
                <w:noProof/>
              </w:rPr>
              <w:tab/>
            </w:r>
            <w:r w:rsidR="00562633" w:rsidRPr="00523CA4">
              <w:rPr>
                <w:rStyle w:val="Hyperlink"/>
                <w:noProof/>
              </w:rPr>
              <w:t>Concluding Remarks</w:t>
            </w:r>
            <w:r w:rsidR="00562633">
              <w:rPr>
                <w:noProof/>
                <w:webHidden/>
              </w:rPr>
              <w:tab/>
            </w:r>
            <w:r w:rsidR="00562633">
              <w:rPr>
                <w:noProof/>
                <w:webHidden/>
              </w:rPr>
              <w:fldChar w:fldCharType="begin"/>
            </w:r>
            <w:r w:rsidR="00562633">
              <w:rPr>
                <w:noProof/>
                <w:webHidden/>
              </w:rPr>
              <w:instrText xml:space="preserve"> PAGEREF _Toc448481316 \h </w:instrText>
            </w:r>
            <w:r w:rsidR="00562633">
              <w:rPr>
                <w:noProof/>
                <w:webHidden/>
              </w:rPr>
            </w:r>
            <w:r w:rsidR="00562633">
              <w:rPr>
                <w:noProof/>
                <w:webHidden/>
              </w:rPr>
              <w:fldChar w:fldCharType="separate"/>
            </w:r>
            <w:r w:rsidR="00562633">
              <w:rPr>
                <w:noProof/>
                <w:webHidden/>
              </w:rPr>
              <w:t>53</w:t>
            </w:r>
            <w:r w:rsidR="00562633">
              <w:rPr>
                <w:noProof/>
                <w:webHidden/>
              </w:rPr>
              <w:fldChar w:fldCharType="end"/>
            </w:r>
          </w:hyperlink>
        </w:p>
        <w:p w14:paraId="4F03AFC9" w14:textId="77777777" w:rsidR="00562633" w:rsidRDefault="008B3A3D">
          <w:pPr>
            <w:pStyle w:val="TOC1"/>
            <w:rPr>
              <w:rFonts w:eastAsiaTheme="minorEastAsia"/>
              <w:noProof/>
            </w:rPr>
          </w:pPr>
          <w:hyperlink w:anchor="_Toc448481317" w:history="1">
            <w:r w:rsidR="00562633" w:rsidRPr="00523CA4">
              <w:rPr>
                <w:rStyle w:val="Hyperlink"/>
                <w:noProof/>
              </w:rPr>
              <w:t>7.</w:t>
            </w:r>
            <w:r w:rsidR="00562633">
              <w:rPr>
                <w:rFonts w:eastAsiaTheme="minorEastAsia"/>
                <w:noProof/>
              </w:rPr>
              <w:tab/>
            </w:r>
            <w:r w:rsidR="00562633" w:rsidRPr="00523CA4">
              <w:rPr>
                <w:rStyle w:val="Hyperlink"/>
                <w:noProof/>
              </w:rPr>
              <w:t>References</w:t>
            </w:r>
            <w:r w:rsidR="00562633">
              <w:rPr>
                <w:noProof/>
                <w:webHidden/>
              </w:rPr>
              <w:tab/>
            </w:r>
            <w:r w:rsidR="00562633">
              <w:rPr>
                <w:noProof/>
                <w:webHidden/>
              </w:rPr>
              <w:fldChar w:fldCharType="begin"/>
            </w:r>
            <w:r w:rsidR="00562633">
              <w:rPr>
                <w:noProof/>
                <w:webHidden/>
              </w:rPr>
              <w:instrText xml:space="preserve"> PAGEREF _Toc448481317 \h </w:instrText>
            </w:r>
            <w:r w:rsidR="00562633">
              <w:rPr>
                <w:noProof/>
                <w:webHidden/>
              </w:rPr>
            </w:r>
            <w:r w:rsidR="00562633">
              <w:rPr>
                <w:noProof/>
                <w:webHidden/>
              </w:rPr>
              <w:fldChar w:fldCharType="separate"/>
            </w:r>
            <w:r w:rsidR="00562633">
              <w:rPr>
                <w:noProof/>
                <w:webHidden/>
              </w:rPr>
              <w:t>54</w:t>
            </w:r>
            <w:r w:rsidR="00562633">
              <w:rPr>
                <w:noProof/>
                <w:webHidden/>
              </w:rPr>
              <w:fldChar w:fldCharType="end"/>
            </w:r>
          </w:hyperlink>
        </w:p>
        <w:p w14:paraId="0A4F297F" w14:textId="1DF23902" w:rsidR="007140BD" w:rsidRDefault="008A2A36" w:rsidP="00111BE1">
          <w:pPr>
            <w:spacing w:line="240" w:lineRule="auto"/>
            <w:rPr>
              <w:rFonts w:eastAsiaTheme="majorEastAsia" w:cstheme="majorBidi"/>
              <w:b/>
              <w:sz w:val="32"/>
              <w:szCs w:val="32"/>
            </w:rPr>
          </w:pPr>
          <w:r w:rsidRPr="00713B93">
            <w:rPr>
              <w:b/>
              <w:bCs/>
              <w:noProof/>
            </w:rPr>
            <w:fldChar w:fldCharType="end"/>
          </w:r>
        </w:p>
      </w:sdtContent>
    </w:sdt>
    <w:bookmarkStart w:id="1" w:name="_Toc427324746" w:displacedByCustomXml="prev"/>
    <w:p w14:paraId="23D00591" w14:textId="77777777" w:rsidR="002E3B50" w:rsidRDefault="002E3B50">
      <w:pPr>
        <w:jc w:val="left"/>
        <w:rPr>
          <w:rFonts w:eastAsiaTheme="majorEastAsia" w:cstheme="majorBidi"/>
          <w:b/>
          <w:sz w:val="32"/>
          <w:szCs w:val="32"/>
        </w:rPr>
      </w:pPr>
      <w:r>
        <w:br w:type="page"/>
      </w:r>
    </w:p>
    <w:p w14:paraId="43C03C6E" w14:textId="2737D416" w:rsidR="0045251C" w:rsidRPr="00713B93" w:rsidRDefault="00EA6BEA" w:rsidP="003A0138">
      <w:pPr>
        <w:pStyle w:val="Heading1"/>
      </w:pPr>
      <w:bookmarkStart w:id="2" w:name="_Toc448481292"/>
      <w:r w:rsidRPr="00713B93">
        <w:lastRenderedPageBreak/>
        <w:t>Introduction</w:t>
      </w:r>
      <w:bookmarkEnd w:id="1"/>
      <w:bookmarkEnd w:id="2"/>
    </w:p>
    <w:p w14:paraId="647590F9" w14:textId="77777777" w:rsidR="00E05927" w:rsidRPr="00713B93" w:rsidRDefault="00E05927" w:rsidP="00C04050">
      <w:pPr>
        <w:spacing w:line="276" w:lineRule="auto"/>
      </w:pPr>
    </w:p>
    <w:p w14:paraId="47EED53F" w14:textId="09700434" w:rsidR="00911C35" w:rsidRPr="00713B93" w:rsidRDefault="00283E3F" w:rsidP="00C04050">
      <w:pPr>
        <w:spacing w:line="276" w:lineRule="auto"/>
      </w:pPr>
      <w:r w:rsidRPr="00713B93">
        <w:t xml:space="preserve">Executive Order 12866 advises each agency to “assess both the costs and the benefits of the intended regulation and, recognizing that some costs and benefits are difficult to quantify, propose or adopt a regulation only upon a reasoned determination that the benefits of the intended regulation justify its costs.” In addition, it directs agencies to “select those approaches that maximize net benefits (including potential economic, environmental, public health and safety, and other advantages; distributive impacts; and equity), unless a statute requires another regulatory approach.” </w:t>
      </w:r>
      <w:r w:rsidR="003D2511" w:rsidRPr="00713B93">
        <w:t>This objective,</w:t>
      </w:r>
      <w:r w:rsidRPr="00713B93">
        <w:t xml:space="preserve"> that a policy’s net benefits be positive</w:t>
      </w:r>
      <w:r w:rsidR="003D2511" w:rsidRPr="00713B93">
        <w:t>,</w:t>
      </w:r>
      <w:r w:rsidRPr="00713B93">
        <w:t xml:space="preserve"> is referred to as</w:t>
      </w:r>
      <w:r w:rsidR="00EA46E4" w:rsidRPr="00713B93">
        <w:t xml:space="preserve"> the Potential Pareto criterion.  </w:t>
      </w:r>
    </w:p>
    <w:p w14:paraId="4974D15C" w14:textId="7081BFD7" w:rsidR="009D7539" w:rsidRPr="00713B93" w:rsidRDefault="00283E3F" w:rsidP="00C04050">
      <w:pPr>
        <w:spacing w:line="276" w:lineRule="auto"/>
      </w:pPr>
      <w:r w:rsidRPr="00713B93">
        <w:t xml:space="preserve">According </w:t>
      </w:r>
      <w:r w:rsidR="00EE4270" w:rsidRPr="00713B93">
        <w:t xml:space="preserve">to </w:t>
      </w:r>
      <w:r w:rsidRPr="00713B93">
        <w:t>the EPA’s</w:t>
      </w:r>
      <w:r w:rsidR="00F639CE" w:rsidRPr="00713B93">
        <w:rPr>
          <w:i/>
          <w:iCs/>
        </w:rPr>
        <w:t xml:space="preserve"> Guidelines for Preparing Economic Analyses</w:t>
      </w:r>
      <w:r w:rsidR="00F639CE" w:rsidRPr="00713B93">
        <w:t xml:space="preserve"> (from here forward, referred to as EPA’s</w:t>
      </w:r>
      <w:r w:rsidRPr="00713B93">
        <w:t xml:space="preserve"> Economic Guidelines</w:t>
      </w:r>
      <w:r w:rsidR="00F639CE" w:rsidRPr="00713B93">
        <w:t>)</w:t>
      </w:r>
      <w:r w:rsidRPr="00713B93">
        <w:t xml:space="preserve">, “in conducting a BCA, the correct measure to use is the social </w:t>
      </w:r>
      <w:r w:rsidR="00D42F1A" w:rsidRPr="00713B93">
        <w:t>cost”</w:t>
      </w:r>
      <w:r w:rsidR="00EE60D1" w:rsidRPr="00713B93">
        <w:t xml:space="preserve"> (</w:t>
      </w:r>
      <w:r w:rsidR="00D159E3">
        <w:t xml:space="preserve">U.S. </w:t>
      </w:r>
      <w:r w:rsidR="00EE60D1" w:rsidRPr="00713B93">
        <w:t>EPA</w:t>
      </w:r>
      <w:r w:rsidR="00197E3A" w:rsidRPr="00713B93">
        <w:t>,</w:t>
      </w:r>
      <w:r w:rsidR="00EE60D1" w:rsidRPr="00713B93">
        <w:t xml:space="preserve"> 2010a).</w:t>
      </w:r>
      <w:r w:rsidRPr="00713B93">
        <w:t xml:space="preserve"> Social cost represents the total burden that a regulation will impose on the economy. It is defined as the sum of all opportunity costs incurred as a result of a regulation</w:t>
      </w:r>
      <w:r w:rsidR="003D2511" w:rsidRPr="00713B93">
        <w:t>,</w:t>
      </w:r>
      <w:r w:rsidRPr="00713B93">
        <w:t xml:space="preserve"> where an opportunity cost is the value lost to society of </w:t>
      </w:r>
      <w:r w:rsidR="00EA46E4" w:rsidRPr="00713B93">
        <w:t xml:space="preserve">all the goods and services that will not be produced and consumed </w:t>
      </w:r>
      <w:r w:rsidR="00213D08" w:rsidRPr="00713B93">
        <w:t>in the presence of regulation as resources are</w:t>
      </w:r>
      <w:r w:rsidR="00EA46E4" w:rsidRPr="00713B93">
        <w:t xml:space="preserve"> reallocat</w:t>
      </w:r>
      <w:r w:rsidR="00213D08" w:rsidRPr="00713B93">
        <w:t>ed</w:t>
      </w:r>
      <w:r w:rsidR="00EA46E4" w:rsidRPr="00713B93">
        <w:t xml:space="preserve"> away from </w:t>
      </w:r>
      <w:r w:rsidR="00213D08" w:rsidRPr="00713B93">
        <w:t xml:space="preserve">consumption and </w:t>
      </w:r>
      <w:r w:rsidR="00EA46E4" w:rsidRPr="00713B93">
        <w:t xml:space="preserve">production activities towards pollution abatement. To be complete, an estimate of social cost should include both the opportunity cost of current consumption that will be foregone as a result of the regulation, and the loss that may result if the regulation reduces capital investment and thus future consumption. </w:t>
      </w:r>
    </w:p>
    <w:p w14:paraId="1A1280DF" w14:textId="4C9402EF" w:rsidR="009D7539" w:rsidRPr="00713B93" w:rsidRDefault="009D7539" w:rsidP="00C04050">
      <w:pPr>
        <w:spacing w:line="276" w:lineRule="auto"/>
      </w:pPr>
      <w:r w:rsidRPr="00713B93">
        <w:t xml:space="preserve">The imposition of a new regulation </w:t>
      </w:r>
      <w:r w:rsidR="00C32785" w:rsidRPr="00713B93">
        <w:t xml:space="preserve">on firms </w:t>
      </w:r>
      <w:r w:rsidRPr="00713B93">
        <w:t xml:space="preserve">raises </w:t>
      </w:r>
      <w:r w:rsidR="00C32785" w:rsidRPr="00713B93">
        <w:t xml:space="preserve">their </w:t>
      </w:r>
      <w:r w:rsidRPr="00713B93">
        <w:t>production costs. Each unit of output is more costly to produce than before because of expenditures incurred to comply with the regulation</w:t>
      </w:r>
      <w:r w:rsidR="00B53023">
        <w:t xml:space="preserve">, </w:t>
      </w:r>
      <w:r w:rsidR="008F37DF" w:rsidRPr="00713B93">
        <w:t>referred to as compliance costs</w:t>
      </w:r>
      <w:r w:rsidRPr="00713B93">
        <w:t>. For the industry, this is represented as an upward shift in the supply curve, which</w:t>
      </w:r>
      <w:r w:rsidR="00CA3522" w:rsidRPr="00713B93">
        <w:t xml:space="preserve"> (assuming an unchanging </w:t>
      </w:r>
      <w:r w:rsidR="009651C8" w:rsidRPr="00713B93">
        <w:t xml:space="preserve">and downward-sloping </w:t>
      </w:r>
      <w:r w:rsidR="00CA3522" w:rsidRPr="00713B93">
        <w:t>demand schedule)</w:t>
      </w:r>
      <w:r w:rsidRPr="00713B93">
        <w:t xml:space="preserve"> results in a higher equilibrium price and causes a reduction in consumption of the good</w:t>
      </w:r>
      <w:r w:rsidR="00CA3522" w:rsidRPr="00713B93">
        <w:t>.</w:t>
      </w:r>
    </w:p>
    <w:p w14:paraId="6AB961DF" w14:textId="2C72F801" w:rsidR="00B16ACA" w:rsidRPr="00713B93" w:rsidRDefault="00B466B4" w:rsidP="007E16F9">
      <w:pPr>
        <w:spacing w:line="276" w:lineRule="auto"/>
        <w:rPr>
          <w:b/>
        </w:rPr>
      </w:pPr>
      <w:r w:rsidRPr="00713B93">
        <w:t xml:space="preserve">When </w:t>
      </w:r>
      <w:r w:rsidR="00277337">
        <w:t xml:space="preserve">impacts outside of </w:t>
      </w:r>
      <w:r w:rsidRPr="00713B93">
        <w:t>the regulated sector are not expected to be significant,</w:t>
      </w:r>
      <w:r w:rsidR="009D7539" w:rsidRPr="00713B93">
        <w:t xml:space="preserve"> the social cost of the regulation </w:t>
      </w:r>
      <w:r w:rsidR="008F37DF" w:rsidRPr="00713B93">
        <w:t>can be approximated by</w:t>
      </w:r>
      <w:r w:rsidR="00277337">
        <w:t xml:space="preserve"> the sum of </w:t>
      </w:r>
      <w:r w:rsidR="009D7539" w:rsidRPr="00713B93">
        <w:t xml:space="preserve">compliance costs </w:t>
      </w:r>
      <w:r w:rsidR="0079101D" w:rsidRPr="00713B93">
        <w:t xml:space="preserve">(the white </w:t>
      </w:r>
      <w:r w:rsidR="00DF6AC0" w:rsidRPr="00713B93">
        <w:t xml:space="preserve">area </w:t>
      </w:r>
      <w:r w:rsidR="0079101D" w:rsidRPr="00713B93">
        <w:t xml:space="preserve">in Figure 1) </w:t>
      </w:r>
      <w:r w:rsidR="009D7539" w:rsidRPr="00713B93">
        <w:t xml:space="preserve">and the opportunity cost of the reduction in output </w:t>
      </w:r>
      <w:r w:rsidR="0079101D" w:rsidRPr="00713B93">
        <w:t>(the black triangle in Figure 1</w:t>
      </w:r>
      <w:r w:rsidR="009D7539" w:rsidRPr="00713B93">
        <w:t>)</w:t>
      </w:r>
      <w:r w:rsidR="001C7FD9" w:rsidRPr="00713B93">
        <w:t xml:space="preserve"> in the directly affected market</w:t>
      </w:r>
      <w:r w:rsidR="00277337">
        <w:t>,</w:t>
      </w:r>
      <w:r w:rsidR="001919F9" w:rsidRPr="00713B93">
        <w:t xml:space="preserve"> </w:t>
      </w:r>
      <w:r w:rsidR="00203FE0" w:rsidRPr="00713B93">
        <w:t>a</w:t>
      </w:r>
      <w:r w:rsidR="001919F9" w:rsidRPr="00713B93">
        <w:t>ssuming few transition costs</w:t>
      </w:r>
      <w:r w:rsidR="009D7539" w:rsidRPr="00713B93">
        <w:t xml:space="preserve">. </w:t>
      </w:r>
      <w:r w:rsidR="0079101D" w:rsidRPr="00713B93">
        <w:t xml:space="preserve">Together, these two effects are captured by measuring the change in consumer and producer surplus </w:t>
      </w:r>
      <w:r w:rsidR="000946B0" w:rsidRPr="00713B93">
        <w:t xml:space="preserve">in that market </w:t>
      </w:r>
      <w:r w:rsidR="0079101D" w:rsidRPr="00713B93">
        <w:t xml:space="preserve">after the regulation compared to before it is in place.  </w:t>
      </w:r>
      <w:r w:rsidR="00B16ACA" w:rsidRPr="00713B93">
        <w:rPr>
          <w:b/>
          <w:bCs/>
        </w:rPr>
        <w:br w:type="page"/>
      </w:r>
    </w:p>
    <w:p w14:paraId="1C8C2401" w14:textId="4F898B7F" w:rsidR="00496FE3" w:rsidRPr="00713B93" w:rsidRDefault="00496FE3" w:rsidP="001919F9">
      <w:pPr>
        <w:spacing w:line="276" w:lineRule="auto"/>
        <w:jc w:val="center"/>
        <w:rPr>
          <w:b/>
        </w:rPr>
      </w:pPr>
      <w:r w:rsidRPr="00713B93">
        <w:rPr>
          <w:b/>
        </w:rPr>
        <w:lastRenderedPageBreak/>
        <w:t xml:space="preserve">Figure 1. </w:t>
      </w:r>
      <w:r w:rsidR="0079101D" w:rsidRPr="00713B93">
        <w:rPr>
          <w:b/>
        </w:rPr>
        <w:t>Effects of a</w:t>
      </w:r>
      <w:r w:rsidRPr="00713B93">
        <w:rPr>
          <w:b/>
        </w:rPr>
        <w:t xml:space="preserve"> Regulation </w:t>
      </w:r>
      <w:r w:rsidR="0079101D" w:rsidRPr="00713B93">
        <w:rPr>
          <w:b/>
        </w:rPr>
        <w:t>on a Directly Regulated Competitive Market</w:t>
      </w:r>
    </w:p>
    <w:p w14:paraId="183C0E25" w14:textId="2885E71F" w:rsidR="00496FE3" w:rsidRPr="00713B93" w:rsidRDefault="00496FE3" w:rsidP="00C04050">
      <w:pPr>
        <w:spacing w:line="276" w:lineRule="auto"/>
        <w:jc w:val="center"/>
      </w:pPr>
      <w:r w:rsidRPr="00713B93">
        <w:rPr>
          <w:noProof/>
        </w:rPr>
        <w:drawing>
          <wp:inline distT="0" distB="0" distL="0" distR="0" wp14:anchorId="4CB2C8AD" wp14:editId="37112A06">
            <wp:extent cx="3114675" cy="24288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14675" cy="2428875"/>
                    </a:xfrm>
                    <a:prstGeom prst="rect">
                      <a:avLst/>
                    </a:prstGeom>
                    <a:noFill/>
                    <a:ln>
                      <a:noFill/>
                    </a:ln>
                  </pic:spPr>
                </pic:pic>
              </a:graphicData>
            </a:graphic>
          </wp:inline>
        </w:drawing>
      </w:r>
    </w:p>
    <w:p w14:paraId="340059EB" w14:textId="7A6E6231" w:rsidR="00496FE3" w:rsidRPr="00713B93" w:rsidRDefault="0079101D" w:rsidP="00C04050">
      <w:pPr>
        <w:spacing w:line="276" w:lineRule="auto"/>
      </w:pPr>
      <w:r w:rsidRPr="00713B93">
        <w:tab/>
      </w:r>
      <w:r w:rsidRPr="00713B93">
        <w:tab/>
      </w:r>
      <w:r w:rsidRPr="00713B93">
        <w:tab/>
      </w:r>
      <w:r w:rsidRPr="00713B93">
        <w:tab/>
      </w:r>
      <w:r w:rsidRPr="00713B93">
        <w:tab/>
      </w:r>
      <w:r w:rsidRPr="00713B93">
        <w:tab/>
      </w:r>
      <w:r w:rsidRPr="00713B93">
        <w:tab/>
      </w:r>
      <w:r w:rsidRPr="00713B93">
        <w:tab/>
        <w:t xml:space="preserve">Source: </w:t>
      </w:r>
      <w:r w:rsidR="004C6E84" w:rsidRPr="00713B93">
        <w:t xml:space="preserve">U.S. </w:t>
      </w:r>
      <w:r w:rsidRPr="00713B93">
        <w:t>EPA (2010a)</w:t>
      </w:r>
    </w:p>
    <w:p w14:paraId="1495AC95" w14:textId="7FCD94A1" w:rsidR="00130058" w:rsidRPr="00713B93" w:rsidRDefault="00793CC2" w:rsidP="00C04050">
      <w:pPr>
        <w:spacing w:line="276" w:lineRule="auto"/>
      </w:pPr>
      <w:r w:rsidRPr="00713B93">
        <w:t>However, w</w:t>
      </w:r>
      <w:r w:rsidR="0079101D" w:rsidRPr="00713B93">
        <w:t xml:space="preserve">hen many sectors are expected to experience significant impacts due to the regulation, either directly or indirectly, a BCA that </w:t>
      </w:r>
      <w:r w:rsidR="000946B0" w:rsidRPr="00713B93">
        <w:t xml:space="preserve">focuses only on </w:t>
      </w:r>
      <w:r w:rsidRPr="00713B93">
        <w:t>effects in</w:t>
      </w:r>
      <w:r w:rsidR="000946B0" w:rsidRPr="00713B93">
        <w:t xml:space="preserve"> the directly regulated sector</w:t>
      </w:r>
      <w:r w:rsidR="0079101D" w:rsidRPr="00713B93">
        <w:t xml:space="preserve"> may substantially misestimate the social cost of the regulation.</w:t>
      </w:r>
      <w:r w:rsidR="00D53BF9" w:rsidRPr="00713B93">
        <w:t xml:space="preserve"> Kokoski and Smith (1987) suggest that</w:t>
      </w:r>
      <w:r w:rsidR="009651C8" w:rsidRPr="00713B93">
        <w:t>,</w:t>
      </w:r>
      <w:r w:rsidR="00D53BF9" w:rsidRPr="00713B93">
        <w:t xml:space="preserve"> even </w:t>
      </w:r>
      <w:r w:rsidR="00692932" w:rsidRPr="00713B93">
        <w:t xml:space="preserve">for </w:t>
      </w:r>
      <w:r w:rsidR="00D53BF9" w:rsidRPr="00713B93">
        <w:t>relatively small multi-sector policy shocks</w:t>
      </w:r>
      <w:r w:rsidR="009651C8" w:rsidRPr="00713B93">
        <w:t>,</w:t>
      </w:r>
      <w:r w:rsidR="00D53BF9" w:rsidRPr="00713B93">
        <w:t xml:space="preserve"> partial equilibrium approaches result in large errors in welfare estimation. Hazilla and Kopp (1990) note the importance of secondary effects in sectors facing no regulatory requirements under the Clean Air or Water Acts. Pizer et al. (2006) find that pre-existing tax distortions result in a significant divergence between partial and general equilibrium estimates of economic welfare costs from carbon pricing policies for the commercial building, industrial, transportation, and electricity sectors. Thus, </w:t>
      </w:r>
      <w:r w:rsidR="00130058" w:rsidRPr="00713B93">
        <w:t>as s</w:t>
      </w:r>
      <w:r w:rsidR="00D53BF9" w:rsidRPr="00713B93">
        <w:t>tated by Hahn and Hird (1990)</w:t>
      </w:r>
      <w:r w:rsidR="00130058" w:rsidRPr="00713B93">
        <w:t>,</w:t>
      </w:r>
      <w:r w:rsidR="00B53023" w:rsidRPr="00B53023">
        <w:t xml:space="preserve"> </w:t>
      </w:r>
      <w:r w:rsidR="00B53023" w:rsidRPr="00713B93">
        <w:t>a</w:t>
      </w:r>
      <w:r w:rsidR="00B53023">
        <w:t xml:space="preserve"> key question</w:t>
      </w:r>
      <w:r w:rsidR="00130058" w:rsidRPr="00713B93">
        <w:t xml:space="preserve"> </w:t>
      </w:r>
      <w:r w:rsidR="00836DD6" w:rsidRPr="00713B93">
        <w:t xml:space="preserve">is: </w:t>
      </w:r>
      <w:r w:rsidR="00130058" w:rsidRPr="00713B93">
        <w:t>when is it reasonable to assume away these “second-order effects?” They note the difficulty in answering this question as it likely varies across industries and regulations.</w:t>
      </w:r>
    </w:p>
    <w:p w14:paraId="3EF13699" w14:textId="56D67D82" w:rsidR="00EF124E" w:rsidRPr="00713B93" w:rsidRDefault="00EF124E" w:rsidP="007974D1">
      <w:pPr>
        <w:spacing w:line="276" w:lineRule="auto"/>
      </w:pPr>
      <w:r w:rsidRPr="00713B93">
        <w:t>It is also important to note that benefit-cost analyses of air regulations typically focus on long-run effects.</w:t>
      </w:r>
      <w:r w:rsidR="00E367A1" w:rsidRPr="00713B93">
        <w:rPr>
          <w:rStyle w:val="FootnoteReference"/>
        </w:rPr>
        <w:footnoteReference w:id="2"/>
      </w:r>
      <w:r w:rsidRPr="00713B93">
        <w:t xml:space="preserve">  </w:t>
      </w:r>
      <w:r w:rsidR="00D3633E">
        <w:t>Compliance costs</w:t>
      </w:r>
      <w:r w:rsidR="006955BD" w:rsidRPr="00713B93">
        <w:t xml:space="preserve"> are </w:t>
      </w:r>
      <w:r w:rsidR="00E402C8" w:rsidRPr="00713B93">
        <w:t>treated as</w:t>
      </w:r>
      <w:r w:rsidR="006955BD" w:rsidRPr="00713B93">
        <w:t xml:space="preserve"> permanent additions to the cost of production for a firm, while effects in other sectors outside of those directly regulated by the EPA are incurred once the economy adjusts to a new equilibrium (e.g., in response to changes in prices that result from additional compliance expenditures incurred in the regulated sectors). However, it is possible in some contexts that firms and/or consumers incur additional short-term costs during the period when the economy is adjusting to the new equilibrium</w:t>
      </w:r>
      <w:r w:rsidR="006901F0" w:rsidRPr="00713B93">
        <w:t xml:space="preserve"> (</w:t>
      </w:r>
      <w:r w:rsidR="00D3633E">
        <w:t>i.e.,</w:t>
      </w:r>
      <w:r w:rsidR="006955BD" w:rsidRPr="00713B93">
        <w:t xml:space="preserve"> transition or adjustment costs</w:t>
      </w:r>
      <w:r w:rsidR="006A4D96" w:rsidRPr="00713B93">
        <w:t xml:space="preserve"> – see Box 1</w:t>
      </w:r>
      <w:r w:rsidR="006901F0" w:rsidRPr="00713B93">
        <w:t>)</w:t>
      </w:r>
      <w:r w:rsidR="006955BD" w:rsidRPr="00713B93">
        <w:t>. Examples include costs to train workers to use new equipment</w:t>
      </w:r>
      <w:r w:rsidR="00815737" w:rsidRPr="00713B93">
        <w:t>,</w:t>
      </w:r>
      <w:r w:rsidR="006955BD" w:rsidRPr="00713B93">
        <w:t xml:space="preserve"> </w:t>
      </w:r>
      <w:r w:rsidR="00815737" w:rsidRPr="00713B93">
        <w:t xml:space="preserve">search costs as some workers seek employment in other sectors, </w:t>
      </w:r>
      <w:r w:rsidR="00FD12B8" w:rsidRPr="00713B93">
        <w:t>and additional costs associated with initially limited availability of new monitoring or abatement equipment</w:t>
      </w:r>
      <w:r w:rsidR="00815737" w:rsidRPr="00713B93">
        <w:t xml:space="preserve">. </w:t>
      </w:r>
      <w:r w:rsidR="00B81004" w:rsidRPr="00713B93">
        <w:t xml:space="preserve">It is also possible that at least some factors of production are fixed initially, limiting the ability of firms to respond quickly to new regulatory requirements. For instance, contractual or technological constraints may prevent firms </w:t>
      </w:r>
      <w:r w:rsidR="00B81004" w:rsidRPr="00713B93">
        <w:lastRenderedPageBreak/>
        <w:t>from fully adjusting their input mix or output decisions until those contracts expire or technology is ready to be replaced.</w:t>
      </w:r>
      <w:r w:rsidR="00B81004" w:rsidRPr="00713B93">
        <w:rPr>
          <w:rStyle w:val="FootnoteReference"/>
        </w:rPr>
        <w:footnoteReference w:id="3"/>
      </w:r>
      <w:r w:rsidR="00B81004" w:rsidRPr="00713B93">
        <w:t xml:space="preserve"> </w:t>
      </w:r>
      <w:r w:rsidR="006901F0" w:rsidRPr="00713B93">
        <w:t xml:space="preserve">If </w:t>
      </w:r>
      <w:r w:rsidR="00B81004" w:rsidRPr="00713B93">
        <w:t xml:space="preserve">these types of adjustment </w:t>
      </w:r>
      <w:r w:rsidR="006901F0" w:rsidRPr="00713B93">
        <w:t xml:space="preserve">costs are substantial, </w:t>
      </w:r>
      <w:r w:rsidR="006D60D8" w:rsidRPr="00713B93">
        <w:t>sole focus on</w:t>
      </w:r>
      <w:r w:rsidR="006901F0" w:rsidRPr="00713B93">
        <w:t xml:space="preserve"> long run</w:t>
      </w:r>
      <w:r w:rsidR="006D60D8" w:rsidRPr="00713B93">
        <w:t xml:space="preserve"> costs</w:t>
      </w:r>
      <w:r w:rsidR="006901F0" w:rsidRPr="00713B93">
        <w:t xml:space="preserve"> may unde</w:t>
      </w:r>
      <w:r w:rsidR="006A4D96" w:rsidRPr="00713B93">
        <w:t xml:space="preserve">restimate the total social cost of </w:t>
      </w:r>
      <w:r w:rsidR="006901F0" w:rsidRPr="00713B93">
        <w:t>regulation.</w:t>
      </w:r>
      <w:r w:rsidR="008A622B" w:rsidRPr="00713B93">
        <w:t xml:space="preserve"> </w:t>
      </w:r>
    </w:p>
    <w:p w14:paraId="2534F6ED" w14:textId="0FB8715B" w:rsidR="008A622B" w:rsidRDefault="00B466B4" w:rsidP="00C04050">
      <w:pPr>
        <w:spacing w:line="276" w:lineRule="auto"/>
      </w:pPr>
      <w:r w:rsidRPr="00713B93">
        <w:t xml:space="preserve">It is in this context that we discuss an analyst’s choice of models </w:t>
      </w:r>
      <w:r w:rsidR="00EA6BEA" w:rsidRPr="00713B93">
        <w:t>and</w:t>
      </w:r>
      <w:r w:rsidRPr="00713B93">
        <w:t>, in particular,</w:t>
      </w:r>
      <w:r w:rsidR="00EA6BEA" w:rsidRPr="00713B93">
        <w:t xml:space="preserve"> </w:t>
      </w:r>
      <w:r w:rsidR="00BB4F63" w:rsidRPr="00713B93">
        <w:t>when</w:t>
      </w:r>
      <w:r w:rsidR="00EA6BEA" w:rsidRPr="00713B93">
        <w:t xml:space="preserve"> an economy-wide </w:t>
      </w:r>
      <w:r w:rsidR="00955FE8" w:rsidRPr="00713B93">
        <w:t xml:space="preserve">or general equilibrium (GE) </w:t>
      </w:r>
      <w:r w:rsidR="00EA6BEA" w:rsidRPr="00713B93">
        <w:t xml:space="preserve">approach to evaluate the </w:t>
      </w:r>
      <w:r w:rsidR="002D5042">
        <w:t>social cost</w:t>
      </w:r>
      <w:r w:rsidR="00EA6BEA" w:rsidRPr="00713B93">
        <w:t xml:space="preserve"> of </w:t>
      </w:r>
      <w:r w:rsidR="002D5042">
        <w:t xml:space="preserve">regulatory </w:t>
      </w:r>
      <w:r w:rsidR="00EA6BEA" w:rsidRPr="00713B93">
        <w:t xml:space="preserve">policy </w:t>
      </w:r>
      <w:r w:rsidR="00793CC2" w:rsidRPr="00713B93">
        <w:t xml:space="preserve">adds </w:t>
      </w:r>
      <w:r w:rsidR="009651C8" w:rsidRPr="00713B93">
        <w:t xml:space="preserve">significant </w:t>
      </w:r>
      <w:r w:rsidR="00793CC2" w:rsidRPr="00713B93">
        <w:t>value</w:t>
      </w:r>
      <w:r w:rsidR="00EA6BEA" w:rsidRPr="00713B93">
        <w:t>. This white paper document</w:t>
      </w:r>
      <w:r w:rsidR="00A066F5" w:rsidRPr="00713B93">
        <w:t>s</w:t>
      </w:r>
      <w:r w:rsidR="00EA6BEA" w:rsidRPr="00713B93">
        <w:t xml:space="preserve"> the steps involved, key assumptions, and challenges that may arise when estimating </w:t>
      </w:r>
      <w:r w:rsidR="0004003A" w:rsidRPr="00713B93">
        <w:t xml:space="preserve">the </w:t>
      </w:r>
      <w:r w:rsidR="00EA6BEA" w:rsidRPr="00713B93">
        <w:t xml:space="preserve">social cost of an air regulation </w:t>
      </w:r>
      <w:r w:rsidR="00BB4F63" w:rsidRPr="00713B93">
        <w:t>using</w:t>
      </w:r>
      <w:r w:rsidR="00EA6BEA" w:rsidRPr="00713B93">
        <w:t xml:space="preserve"> a </w:t>
      </w:r>
      <w:r w:rsidR="00955FE8" w:rsidRPr="00713B93">
        <w:t>computable general equilibrium (</w:t>
      </w:r>
      <w:r w:rsidR="00EA6BEA" w:rsidRPr="00713B93">
        <w:t>CGE</w:t>
      </w:r>
      <w:r w:rsidR="00955FE8" w:rsidRPr="00713B93">
        <w:t>)</w:t>
      </w:r>
      <w:r w:rsidR="00EA6BEA" w:rsidRPr="00713B93">
        <w:t xml:space="preserve"> model. </w:t>
      </w:r>
      <w:r w:rsidR="002D5042">
        <w:t>In particular, section 2</w:t>
      </w:r>
      <w:r w:rsidR="002D5042" w:rsidRPr="002D5042">
        <w:t xml:space="preserve"> </w:t>
      </w:r>
      <w:r w:rsidR="002D5042">
        <w:t>reviews h</w:t>
      </w:r>
      <w:r w:rsidR="002D5042" w:rsidRPr="00B3444D">
        <w:t xml:space="preserve">ow </w:t>
      </w:r>
      <w:r w:rsidR="002D5042">
        <w:t>the EPA typically estimates the social cost</w:t>
      </w:r>
      <w:r w:rsidR="002D5042" w:rsidRPr="00B3444D">
        <w:t xml:space="preserve"> of </w:t>
      </w:r>
      <w:r w:rsidR="002D5042">
        <w:t>an air regulation</w:t>
      </w:r>
      <w:r w:rsidR="002D5042" w:rsidRPr="00B3444D">
        <w:t xml:space="preserve">, </w:t>
      </w:r>
      <w:r w:rsidR="00D3633E">
        <w:t xml:space="preserve">ranging from </w:t>
      </w:r>
      <w:r w:rsidR="002D5042" w:rsidRPr="00B3444D">
        <w:t>engineering to partial equilibrium to general equilibrium approaches</w:t>
      </w:r>
      <w:r w:rsidR="002D5042">
        <w:t>. Section 3 gives an overview of air regulations and discusses potential challenges in representing them in a CGE framework. Section</w:t>
      </w:r>
      <w:r w:rsidR="007974D1">
        <w:t>s</w:t>
      </w:r>
      <w:r w:rsidR="002D5042">
        <w:t xml:space="preserve"> 4 </w:t>
      </w:r>
      <w:r w:rsidR="007974D1">
        <w:t xml:space="preserve">and 5 describe how the choice of model may be affected by </w:t>
      </w:r>
      <w:r w:rsidR="002D5042" w:rsidRPr="00B3444D">
        <w:t xml:space="preserve">particular attributes of an air regulation </w:t>
      </w:r>
      <w:r w:rsidR="007974D1">
        <w:t>and</w:t>
      </w:r>
      <w:r w:rsidR="002D5042" w:rsidRPr="00B3444D">
        <w:t xml:space="preserve"> the structure and ass</w:t>
      </w:r>
      <w:r w:rsidR="007974D1">
        <w:t xml:space="preserve">umptions underlying a CGE model, respectively. Section 6 discusses potential metrics for measuring social cost and briefly describes available U.S. CGE models. Section 7 discusses linking CGE models with detailed sector models </w:t>
      </w:r>
      <w:r w:rsidR="002D5042" w:rsidRPr="00B3444D">
        <w:t xml:space="preserve">and </w:t>
      </w:r>
      <w:r w:rsidR="00D3633E">
        <w:t xml:space="preserve">the </w:t>
      </w:r>
      <w:r w:rsidR="002D5042">
        <w:t xml:space="preserve">practical </w:t>
      </w:r>
      <w:r w:rsidR="002D5042" w:rsidRPr="00B3444D">
        <w:t xml:space="preserve">challenges </w:t>
      </w:r>
      <w:r w:rsidR="002D5042">
        <w:t xml:space="preserve">EPA has </w:t>
      </w:r>
      <w:r w:rsidR="002D5042" w:rsidRPr="00B3444D">
        <w:t>encountered</w:t>
      </w:r>
      <w:r w:rsidR="002D5042">
        <w:t xml:space="preserve"> when attempting to link models in the past</w:t>
      </w:r>
      <w:r w:rsidR="002D5042" w:rsidRPr="00B3444D">
        <w:t>.</w:t>
      </w:r>
      <w:r w:rsidR="007974D1">
        <w:t xml:space="preserve"> Finally, section 8 offers concluding remarks.</w:t>
      </w:r>
      <w:r w:rsidR="00130058" w:rsidRPr="00713B93">
        <w:t xml:space="preserve"> </w:t>
      </w:r>
      <w:r w:rsidR="00A527F1" w:rsidRPr="00713B93">
        <w:t xml:space="preserve"> </w:t>
      </w:r>
    </w:p>
    <w:p w14:paraId="110C08B8" w14:textId="702D6CF6" w:rsidR="00EA6BEA" w:rsidRPr="00713B93" w:rsidRDefault="00EA6BEA" w:rsidP="003A0138">
      <w:pPr>
        <w:pStyle w:val="Heading1"/>
      </w:pPr>
      <w:bookmarkStart w:id="3" w:name="_Toc427324747"/>
      <w:bookmarkStart w:id="4" w:name="_Toc448481293"/>
      <w:r w:rsidRPr="00713B93">
        <w:t>Overview of Social Cost Framework in a Regulatory Setting</w:t>
      </w:r>
      <w:bookmarkEnd w:id="3"/>
      <w:bookmarkEnd w:id="4"/>
    </w:p>
    <w:p w14:paraId="0C62B890" w14:textId="77777777" w:rsidR="000838CF" w:rsidRPr="00713B93" w:rsidRDefault="000838CF" w:rsidP="00C04050"/>
    <w:p w14:paraId="15B73A29" w14:textId="40750D37" w:rsidR="00EA6BEA" w:rsidRPr="00713B93" w:rsidRDefault="00EA6BEA" w:rsidP="00C04050">
      <w:pPr>
        <w:spacing w:line="276" w:lineRule="auto"/>
      </w:pPr>
      <w:r w:rsidRPr="00713B93">
        <w:t xml:space="preserve">This section describes the basic aspects of BCA as conducted by </w:t>
      </w:r>
      <w:r w:rsidR="004C6E84" w:rsidRPr="00713B93">
        <w:t xml:space="preserve">the </w:t>
      </w:r>
      <w:r w:rsidRPr="00713B93">
        <w:t xml:space="preserve">EPA to estimate the </w:t>
      </w:r>
      <w:r w:rsidR="0004003A" w:rsidRPr="00713B93">
        <w:t xml:space="preserve">social </w:t>
      </w:r>
      <w:r w:rsidRPr="00713B93">
        <w:t xml:space="preserve">costs of air quality regulations, </w:t>
      </w:r>
      <w:r w:rsidR="0004003A" w:rsidRPr="00713B93">
        <w:t>including the distinction between</w:t>
      </w:r>
      <w:r w:rsidRPr="00713B93">
        <w:t xml:space="preserve"> social costs </w:t>
      </w:r>
      <w:r w:rsidR="0004003A" w:rsidRPr="00713B93">
        <w:t>and</w:t>
      </w:r>
      <w:r w:rsidRPr="00713B93">
        <w:t xml:space="preserve"> compliance costs</w:t>
      </w:r>
      <w:r w:rsidR="00A20696" w:rsidRPr="00713B93">
        <w:t>, existing guidance on the choice of modeling approach, and</w:t>
      </w:r>
      <w:r w:rsidRPr="00713B93">
        <w:t xml:space="preserve"> how social costs </w:t>
      </w:r>
      <w:r w:rsidR="0004003A" w:rsidRPr="00713B93">
        <w:t xml:space="preserve">of air regulations </w:t>
      </w:r>
      <w:r w:rsidRPr="00713B93">
        <w:t xml:space="preserve">are typically analyzed by </w:t>
      </w:r>
      <w:r w:rsidR="004C6E84" w:rsidRPr="00713B93">
        <w:t xml:space="preserve">the </w:t>
      </w:r>
      <w:r w:rsidRPr="00713B93">
        <w:t>EPA</w:t>
      </w:r>
      <w:r w:rsidR="0004003A" w:rsidRPr="00713B93">
        <w:t>, ranging from engineering to partial equilibrium to general equilibrium approaches</w:t>
      </w:r>
      <w:r w:rsidRPr="00713B93">
        <w:t>.</w:t>
      </w:r>
    </w:p>
    <w:p w14:paraId="313EFD07" w14:textId="7D6DA654" w:rsidR="00EA6BEA" w:rsidRPr="00713B93" w:rsidRDefault="00EA6BEA" w:rsidP="00083C21">
      <w:pPr>
        <w:pStyle w:val="Heading2"/>
        <w:numPr>
          <w:ilvl w:val="1"/>
          <w:numId w:val="5"/>
        </w:numPr>
      </w:pPr>
      <w:bookmarkStart w:id="5" w:name="_Toc427324748"/>
      <w:bookmarkStart w:id="6" w:name="_Toc448481294"/>
      <w:r w:rsidRPr="00713B93">
        <w:t>Benefit-Cost Analysis for Air Quality Regulations</w:t>
      </w:r>
      <w:bookmarkEnd w:id="5"/>
      <w:bookmarkEnd w:id="6"/>
    </w:p>
    <w:p w14:paraId="587DCFFB" w14:textId="6588BD09" w:rsidR="00F32730" w:rsidRPr="00713B93" w:rsidRDefault="004C6E84" w:rsidP="00C04050">
      <w:pPr>
        <w:spacing w:line="276" w:lineRule="auto"/>
      </w:pPr>
      <w:r w:rsidRPr="009B1C39">
        <w:t xml:space="preserve">The </w:t>
      </w:r>
      <w:r w:rsidR="00EA6BEA" w:rsidRPr="009B1C39">
        <w:t xml:space="preserve">EPA conducts benefit-cost </w:t>
      </w:r>
      <w:r w:rsidR="00EA6BEA" w:rsidRPr="00713B93">
        <w:t>analysis for all rules deemed economically significant</w:t>
      </w:r>
      <w:r w:rsidR="00D955E9" w:rsidRPr="00713B93">
        <w:t xml:space="preserve"> or particularly novel</w:t>
      </w:r>
      <w:r w:rsidR="00EA6BEA" w:rsidRPr="00713B93">
        <w:t xml:space="preserve">. Economically significant rules are defined by Executive Order 12866 as </w:t>
      </w:r>
      <w:r w:rsidR="00D955E9" w:rsidRPr="00713B93">
        <w:t xml:space="preserve">those </w:t>
      </w:r>
      <w:r w:rsidR="00EA6BEA" w:rsidRPr="00713B93">
        <w:t>with costs and/or benefits of at least $100 million</w:t>
      </w:r>
      <w:r w:rsidR="00D955E9" w:rsidRPr="00713B93">
        <w:t xml:space="preserve"> (nominal)</w:t>
      </w:r>
      <w:r w:rsidR="00EA6BEA" w:rsidRPr="00713B93">
        <w:t xml:space="preserve"> in a single year. The purpose of </w:t>
      </w:r>
      <w:r w:rsidR="004505B2" w:rsidRPr="00713B93">
        <w:t>the</w:t>
      </w:r>
      <w:r w:rsidR="00EA6BEA" w:rsidRPr="00713B93">
        <w:t xml:space="preserve"> BCA </w:t>
      </w:r>
      <w:r w:rsidR="004505B2" w:rsidRPr="00713B93">
        <w:t xml:space="preserve">is </w:t>
      </w:r>
      <w:r w:rsidR="00D955E9" w:rsidRPr="00713B93">
        <w:t>to inform the policy process</w:t>
      </w:r>
      <w:r w:rsidR="00EA6BEA" w:rsidRPr="00713B93">
        <w:t xml:space="preserve"> </w:t>
      </w:r>
      <w:r w:rsidR="004505B2" w:rsidRPr="00713B93">
        <w:t xml:space="preserve">by </w:t>
      </w:r>
      <w:r w:rsidR="00EA6BEA" w:rsidRPr="00713B93">
        <w:t>quantify</w:t>
      </w:r>
      <w:r w:rsidR="004505B2" w:rsidRPr="00713B93">
        <w:t>ing</w:t>
      </w:r>
      <w:r w:rsidR="00EA6BEA" w:rsidRPr="00713B93">
        <w:t xml:space="preserve"> the expected </w:t>
      </w:r>
      <w:r w:rsidR="0004003A" w:rsidRPr="00713B93">
        <w:t xml:space="preserve">social </w:t>
      </w:r>
      <w:r w:rsidR="00EA6BEA" w:rsidRPr="00713B93">
        <w:t xml:space="preserve">benefits and costs of </w:t>
      </w:r>
      <w:r w:rsidR="004505B2" w:rsidRPr="00713B93">
        <w:t xml:space="preserve">alternative regulatory </w:t>
      </w:r>
      <w:r w:rsidR="00EA6BEA" w:rsidRPr="00713B93">
        <w:t xml:space="preserve">options relative to a baseline </w:t>
      </w:r>
      <w:r w:rsidR="002F7DB4" w:rsidRPr="00713B93">
        <w:t xml:space="preserve">representation </w:t>
      </w:r>
      <w:r w:rsidR="004505B2" w:rsidRPr="00713B93">
        <w:t xml:space="preserve">of </w:t>
      </w:r>
      <w:r w:rsidR="00EA6BEA" w:rsidRPr="00713B93">
        <w:t xml:space="preserve">what </w:t>
      </w:r>
      <w:r w:rsidR="004505B2" w:rsidRPr="00713B93">
        <w:t>is expected to</w:t>
      </w:r>
      <w:r w:rsidR="00EA6BEA" w:rsidRPr="00713B93">
        <w:t xml:space="preserve"> occur in the absence of the regulation</w:t>
      </w:r>
      <w:r w:rsidR="004505B2" w:rsidRPr="00713B93">
        <w:t>.</w:t>
      </w:r>
      <w:r w:rsidR="00EA6BEA" w:rsidRPr="00713B93">
        <w:t xml:space="preserve"> The Office of Management and Budget (OMB) advises agencies to </w:t>
      </w:r>
      <w:r w:rsidR="00364C55" w:rsidRPr="00713B93">
        <w:t>account for</w:t>
      </w:r>
      <w:r w:rsidR="00EA6BEA" w:rsidRPr="00713B93">
        <w:t xml:space="preserve"> the following, “where relevant, in their analysis and provide estimates of their monetary values: private-sector compliance costs and savings; government administrative costs and savings; gains or losses in consumers' or producers' surpluses; discomfort or inconvenience benefits and costs; and gains or losses of time in work, leisure, and/or commuting/travel settings” (OMB</w:t>
      </w:r>
      <w:r w:rsidR="00197E3A" w:rsidRPr="00713B93">
        <w:t>,</w:t>
      </w:r>
      <w:r w:rsidR="00EA6BEA" w:rsidRPr="00713B93">
        <w:t xml:space="preserve"> 2003).</w:t>
      </w:r>
    </w:p>
    <w:p w14:paraId="7FC4A686" w14:textId="50089917" w:rsidR="00F32730" w:rsidRDefault="00364C55" w:rsidP="00C04050">
      <w:pPr>
        <w:spacing w:line="276" w:lineRule="auto"/>
      </w:pPr>
      <w:r w:rsidRPr="00713B93">
        <w:t>In addition to challenges related to</w:t>
      </w:r>
      <w:r w:rsidR="004505B2" w:rsidRPr="00713B93">
        <w:t xml:space="preserve"> specifying the </w:t>
      </w:r>
      <w:r w:rsidRPr="00713B93">
        <w:t>baseline</w:t>
      </w:r>
      <w:r w:rsidR="003B57B7" w:rsidRPr="00713B93">
        <w:t xml:space="preserve">, </w:t>
      </w:r>
      <w:r w:rsidRPr="00713B93">
        <w:t>analysts may have to grapple with</w:t>
      </w:r>
      <w:r w:rsidR="00D64D9E" w:rsidRPr="00713B93">
        <w:t xml:space="preserve"> </w:t>
      </w:r>
      <w:r w:rsidRPr="00713B93">
        <w:t xml:space="preserve">substantial </w:t>
      </w:r>
      <w:r w:rsidR="00EA6BEA" w:rsidRPr="00713B93">
        <w:t xml:space="preserve">uncertainty </w:t>
      </w:r>
      <w:r w:rsidRPr="00713B93">
        <w:t>when</w:t>
      </w:r>
      <w:r w:rsidR="00EA6BEA" w:rsidRPr="00713B93">
        <w:t xml:space="preserve"> </w:t>
      </w:r>
      <w:r w:rsidR="00AC6216" w:rsidRPr="00713B93">
        <w:t>estimating social costs</w:t>
      </w:r>
      <w:r w:rsidR="003A0138">
        <w:t xml:space="preserve"> and benefits</w:t>
      </w:r>
      <w:r w:rsidR="00AC6216" w:rsidRPr="00713B93">
        <w:t xml:space="preserve">: for example, in </w:t>
      </w:r>
      <w:r w:rsidR="00EA6BEA" w:rsidRPr="00713B93">
        <w:t>identify</w:t>
      </w:r>
      <w:r w:rsidR="00D64D9E" w:rsidRPr="00713B93">
        <w:t>ing</w:t>
      </w:r>
      <w:r w:rsidR="00EA6BEA" w:rsidRPr="00713B93">
        <w:t xml:space="preserve"> </w:t>
      </w:r>
      <w:r w:rsidR="00D64D9E" w:rsidRPr="00713B93">
        <w:t xml:space="preserve">affected </w:t>
      </w:r>
      <w:r w:rsidR="00EA6BEA" w:rsidRPr="00713B93">
        <w:t xml:space="preserve">entities, the methods of compliance they may pursue, the </w:t>
      </w:r>
      <w:r w:rsidR="00816050" w:rsidRPr="00713B93">
        <w:t>expenditures</w:t>
      </w:r>
      <w:r w:rsidR="00EA6BEA" w:rsidRPr="00713B93">
        <w:t xml:space="preserve"> associated with </w:t>
      </w:r>
      <w:r w:rsidR="00D64D9E" w:rsidRPr="00713B93">
        <w:t>possible</w:t>
      </w:r>
      <w:r w:rsidR="00EA6BEA" w:rsidRPr="00713B93">
        <w:t xml:space="preserve"> control strategies, </w:t>
      </w:r>
      <w:r w:rsidR="00EA6BEA" w:rsidRPr="00713B93">
        <w:lastRenderedPageBreak/>
        <w:t>and whether costs</w:t>
      </w:r>
      <w:r w:rsidR="00D64D9E" w:rsidRPr="00713B93">
        <w:t xml:space="preserve"> borne by firms</w:t>
      </w:r>
      <w:r w:rsidR="00EA6BEA" w:rsidRPr="00713B93">
        <w:t xml:space="preserve"> in one sector </w:t>
      </w:r>
      <w:r w:rsidR="00D64D9E" w:rsidRPr="00713B93">
        <w:t>will</w:t>
      </w:r>
      <w:r w:rsidR="00EA6BEA" w:rsidRPr="00713B93">
        <w:t xml:space="preserve"> result in </w:t>
      </w:r>
      <w:r w:rsidR="00D64D9E" w:rsidRPr="00713B93">
        <w:t xml:space="preserve">notable </w:t>
      </w:r>
      <w:r w:rsidR="00EA6BEA" w:rsidRPr="00713B93">
        <w:t xml:space="preserve">price changes that </w:t>
      </w:r>
      <w:r w:rsidR="00D64D9E" w:rsidRPr="00713B93">
        <w:t xml:space="preserve">could </w:t>
      </w:r>
      <w:r w:rsidR="00EA6BEA" w:rsidRPr="00713B93">
        <w:t xml:space="preserve">affect sectors not </w:t>
      </w:r>
      <w:r w:rsidR="003143EB" w:rsidRPr="00713B93">
        <w:t xml:space="preserve">subject to the </w:t>
      </w:r>
      <w:r w:rsidR="00D64D9E" w:rsidRPr="00713B93">
        <w:t>regulat</w:t>
      </w:r>
      <w:r w:rsidR="003143EB" w:rsidRPr="00713B93">
        <w:t>ion</w:t>
      </w:r>
      <w:r w:rsidR="003A0138">
        <w:t xml:space="preserve"> or behavioral change on the part of consumers</w:t>
      </w:r>
      <w:r w:rsidR="00EA6BEA" w:rsidRPr="00713B93">
        <w:t xml:space="preserve">. Another key challenge for </w:t>
      </w:r>
      <w:r w:rsidR="004C6E84" w:rsidRPr="00713B93">
        <w:t xml:space="preserve">the </w:t>
      </w:r>
      <w:r w:rsidR="00EA6BEA" w:rsidRPr="00713B93">
        <w:t xml:space="preserve">EPA when </w:t>
      </w:r>
      <w:r w:rsidR="00D64D9E" w:rsidRPr="00713B93">
        <w:t>conducting analysis is the complex structure of most regulations</w:t>
      </w:r>
      <w:r w:rsidR="00EA6BEA" w:rsidRPr="00713B93">
        <w:t xml:space="preserve"> compared </w:t>
      </w:r>
      <w:r w:rsidR="00D64D9E" w:rsidRPr="00713B93">
        <w:t xml:space="preserve">to </w:t>
      </w:r>
      <w:r w:rsidR="003C611F" w:rsidRPr="00713B93">
        <w:t xml:space="preserve">the </w:t>
      </w:r>
      <w:r w:rsidR="00EA6BEA" w:rsidRPr="00713B93">
        <w:t xml:space="preserve">market-based </w:t>
      </w:r>
      <w:r w:rsidR="00D64D9E" w:rsidRPr="00713B93">
        <w:t xml:space="preserve">policies </w:t>
      </w:r>
      <w:r w:rsidR="003C611F" w:rsidRPr="00713B93">
        <w:t xml:space="preserve">that are primarily </w:t>
      </w:r>
      <w:r w:rsidR="00D64D9E" w:rsidRPr="00713B93">
        <w:t>considered by the economics literature.</w:t>
      </w:r>
      <w:r w:rsidR="00EA6BEA" w:rsidRPr="00713B93">
        <w:t xml:space="preserve"> </w:t>
      </w:r>
      <w:r w:rsidR="00AF3E8D" w:rsidRPr="00713B93">
        <w:t>One</w:t>
      </w:r>
      <w:r w:rsidR="00D64D9E" w:rsidRPr="00713B93">
        <w:t xml:space="preserve"> common form of air quality regulation is an emissions rate standard that </w:t>
      </w:r>
      <w:r w:rsidR="00AC6216" w:rsidRPr="00713B93">
        <w:t>is</w:t>
      </w:r>
      <w:r w:rsidR="00D64D9E" w:rsidRPr="00713B93">
        <w:t xml:space="preserve"> met by a facility or sub-unit of a facility (e.g., a boiler), where affected</w:t>
      </w:r>
      <w:r w:rsidR="00EA6BEA" w:rsidRPr="00713B93">
        <w:t xml:space="preserve"> entities</w:t>
      </w:r>
      <w:r w:rsidR="00D64D9E" w:rsidRPr="00713B93">
        <w:t xml:space="preserve"> have</w:t>
      </w:r>
      <w:r w:rsidR="00EA6BEA" w:rsidRPr="00713B93">
        <w:t xml:space="preserve"> discretion </w:t>
      </w:r>
      <w:r w:rsidR="00D64D9E" w:rsidRPr="00713B93">
        <w:t>with regard to the compliance</w:t>
      </w:r>
      <w:r w:rsidR="00EA6BEA" w:rsidRPr="00713B93">
        <w:t xml:space="preserve"> method they use to </w:t>
      </w:r>
      <w:r w:rsidR="00D64D9E" w:rsidRPr="00713B93">
        <w:t xml:space="preserve">achieve the standard. </w:t>
      </w:r>
      <w:r w:rsidR="003C611F" w:rsidRPr="00713B93">
        <w:t xml:space="preserve">Another type of </w:t>
      </w:r>
      <w:r w:rsidR="00003AF6" w:rsidRPr="00713B93">
        <w:t>air regulation</w:t>
      </w:r>
      <w:r w:rsidR="00EA6BEA" w:rsidRPr="00713B93">
        <w:t xml:space="preserve"> is </w:t>
      </w:r>
      <w:r w:rsidR="00003AF6" w:rsidRPr="00713B93">
        <w:t>a</w:t>
      </w:r>
      <w:r w:rsidR="00EA6BEA" w:rsidRPr="00713B93">
        <w:t xml:space="preserve"> standard </w:t>
      </w:r>
      <w:r w:rsidR="00003AF6" w:rsidRPr="00713B93">
        <w:t xml:space="preserve">on either the rate of emissions of </w:t>
      </w:r>
      <w:r w:rsidR="00EA6BEA" w:rsidRPr="00713B93">
        <w:t>a particular product</w:t>
      </w:r>
      <w:r w:rsidR="00003AF6" w:rsidRPr="00713B93">
        <w:t xml:space="preserve"> when in use</w:t>
      </w:r>
      <w:r w:rsidR="00EA6BEA" w:rsidRPr="00713B93">
        <w:t xml:space="preserve"> (e.g., lawnmowers, boat engines) </w:t>
      </w:r>
      <w:r w:rsidR="00003AF6" w:rsidRPr="00713B93">
        <w:t xml:space="preserve">or on the product content </w:t>
      </w:r>
      <w:r w:rsidR="00EA6BEA" w:rsidRPr="00713B93">
        <w:t>that applies to the manufacturer. Often</w:t>
      </w:r>
      <w:r w:rsidR="00D64D9E" w:rsidRPr="00713B93">
        <w:t xml:space="preserve"> </w:t>
      </w:r>
      <w:r w:rsidR="00EA6BEA" w:rsidRPr="00713B93">
        <w:t xml:space="preserve">standards </w:t>
      </w:r>
      <w:r w:rsidR="00D64D9E" w:rsidRPr="00713B93">
        <w:t xml:space="preserve">in air regulations </w:t>
      </w:r>
      <w:r w:rsidR="00EA6BEA" w:rsidRPr="00713B93">
        <w:t>are differentiated by vintage</w:t>
      </w:r>
      <w:r w:rsidR="00D64D9E" w:rsidRPr="00713B93">
        <w:t>, such that</w:t>
      </w:r>
      <w:r w:rsidR="00EA6BEA" w:rsidRPr="00713B93">
        <w:t xml:space="preserve"> new and existing facilities or products are treated differently</w:t>
      </w:r>
      <w:r w:rsidR="00D64D9E" w:rsidRPr="00713B93">
        <w:t xml:space="preserve">. Standards </w:t>
      </w:r>
      <w:r w:rsidR="00EA6BEA" w:rsidRPr="00713B93">
        <w:t xml:space="preserve">may </w:t>
      </w:r>
      <w:r w:rsidR="00D64D9E" w:rsidRPr="00713B93">
        <w:t xml:space="preserve">be </w:t>
      </w:r>
      <w:r w:rsidR="00EA6BEA" w:rsidRPr="00713B93">
        <w:t xml:space="preserve">further differentiated by fuel type, industrial process, </w:t>
      </w:r>
      <w:r w:rsidR="00003AF6" w:rsidRPr="00713B93">
        <w:t xml:space="preserve">product, </w:t>
      </w:r>
      <w:r w:rsidR="00EA6BEA" w:rsidRPr="00713B93">
        <w:t xml:space="preserve">or other factors associated with the degree to which certain entities </w:t>
      </w:r>
      <w:r w:rsidR="00003AF6" w:rsidRPr="00713B93">
        <w:t xml:space="preserve">contribute to a particular air pollution problem </w:t>
      </w:r>
      <w:r w:rsidR="00EA6BEA" w:rsidRPr="00713B93">
        <w:t xml:space="preserve">or the cost of abatement. Section </w:t>
      </w:r>
      <w:r w:rsidR="003143EB" w:rsidRPr="00713B93">
        <w:t>3</w:t>
      </w:r>
      <w:r w:rsidR="00EA6BEA" w:rsidRPr="00713B93">
        <w:t xml:space="preserve"> of this paper discusses the nuances of U.S. air quality regulations in greater detail.</w:t>
      </w:r>
    </w:p>
    <w:p w14:paraId="07F5E2EE" w14:textId="0E764F81" w:rsidR="003A0138" w:rsidRDefault="003A0138" w:rsidP="00083C21">
      <w:pPr>
        <w:pStyle w:val="Heading2"/>
        <w:numPr>
          <w:ilvl w:val="1"/>
          <w:numId w:val="5"/>
        </w:numPr>
      </w:pPr>
      <w:bookmarkStart w:id="7" w:name="_Toc448481295"/>
      <w:r>
        <w:t>Air Quality Benefits</w:t>
      </w:r>
      <w:bookmarkEnd w:id="7"/>
    </w:p>
    <w:p w14:paraId="74E5EFE1" w14:textId="7F0F7131" w:rsidR="003A0138" w:rsidRPr="00713B93" w:rsidRDefault="003A0138" w:rsidP="00C04050">
      <w:pPr>
        <w:spacing w:line="276" w:lineRule="auto"/>
      </w:pPr>
      <w:r>
        <w:t>T</w:t>
      </w:r>
      <w:r w:rsidRPr="003A0138">
        <w:t>his section provides a basic overview of the beneficial impacts of improved air quality and the methods that EPA typically uses to estimate the social benefits of improvements in air quality for a regulatory analysis. It begins by summarizing the general categories of benefits associated with improving air quality, including effects that are typically quantified in contemporary benefit cost analyses (BCAs) and those that are not quantified but potentially could be if improved data and methods are developed in the future. The section then provides a general overview of the typical valuation framework that EPA employs, the methods it uses in performing benefits analysis, and an example illustrating how results are often presented, including the characterization of uncertainties.</w:t>
      </w:r>
    </w:p>
    <w:p w14:paraId="768BD53D" w14:textId="77777777" w:rsidR="003A0138" w:rsidRPr="003A0138" w:rsidRDefault="003A0138" w:rsidP="00083C21">
      <w:pPr>
        <w:keepNext/>
        <w:keepLines/>
        <w:numPr>
          <w:ilvl w:val="2"/>
          <w:numId w:val="3"/>
        </w:numPr>
        <w:spacing w:before="40" w:line="276" w:lineRule="auto"/>
        <w:outlineLvl w:val="1"/>
        <w:rPr>
          <w:rFonts w:eastAsiaTheme="majorEastAsia" w:cstheme="majorBidi"/>
          <w:b/>
          <w:sz w:val="24"/>
          <w:szCs w:val="26"/>
        </w:rPr>
      </w:pPr>
      <w:bookmarkStart w:id="8" w:name="_Ref417982060"/>
      <w:bookmarkStart w:id="9" w:name="_Toc428797288"/>
      <w:bookmarkStart w:id="10" w:name="_Toc430675919"/>
      <w:bookmarkStart w:id="11" w:name="_Toc448481296"/>
      <w:r w:rsidRPr="003A0138">
        <w:rPr>
          <w:rFonts w:eastAsiaTheme="majorEastAsia" w:cstheme="majorBidi"/>
          <w:b/>
          <w:sz w:val="24"/>
          <w:szCs w:val="26"/>
        </w:rPr>
        <w:t>Air Quality Benefits Traditionally Included in Benefit-Cost Analyses</w:t>
      </w:r>
      <w:bookmarkEnd w:id="8"/>
      <w:bookmarkEnd w:id="9"/>
      <w:bookmarkEnd w:id="10"/>
      <w:bookmarkEnd w:id="11"/>
    </w:p>
    <w:p w14:paraId="6D806F08" w14:textId="77777777" w:rsidR="003A0138" w:rsidRPr="003A0138" w:rsidRDefault="003A0138" w:rsidP="003A0138">
      <w:pPr>
        <w:spacing w:line="276" w:lineRule="auto"/>
      </w:pPr>
      <w:r w:rsidRPr="003A0138">
        <w:t xml:space="preserve">Improvements in air quality may affect a wide variety of endpoints, including those related to human health and others such as visibility, materials damage, and agricultural productivity. In recent EPA regulatory analyses (US EPA, 2012) and its analysis of the benefits and costs of the Clean Air Act from 1990 - 2020 (US EPA, 2011), EPA typically quantifies and monetizes a number of health effects, listed in </w:t>
      </w:r>
      <w:r w:rsidRPr="003A0138">
        <w:fldChar w:fldCharType="begin"/>
      </w:r>
      <w:r w:rsidRPr="003A0138">
        <w:instrText xml:space="preserve"> REF _Ref417378925 \h  \* MERGEFORMAT </w:instrText>
      </w:r>
      <w:r w:rsidRPr="003A0138">
        <w:fldChar w:fldCharType="separate"/>
      </w:r>
      <w:r w:rsidRPr="003A0138">
        <w:t xml:space="preserve">Table </w:t>
      </w:r>
      <w:r w:rsidRPr="003A0138">
        <w:rPr>
          <w:noProof/>
        </w:rPr>
        <w:t>1</w:t>
      </w:r>
      <w:r w:rsidRPr="003A0138">
        <w:fldChar w:fldCharType="end"/>
      </w:r>
      <w:r w:rsidRPr="003A0138">
        <w:t xml:space="preserve">. </w:t>
      </w:r>
      <w:r w:rsidRPr="003A0138">
        <w:fldChar w:fldCharType="begin"/>
      </w:r>
      <w:r w:rsidRPr="003A0138">
        <w:instrText xml:space="preserve"> REF _Ref417378925 \h  \* MERGEFORMAT </w:instrText>
      </w:r>
      <w:r w:rsidRPr="003A0138">
        <w:fldChar w:fldCharType="separate"/>
      </w:r>
      <w:r w:rsidRPr="003A0138">
        <w:t xml:space="preserve">Table </w:t>
      </w:r>
      <w:r w:rsidRPr="003A0138">
        <w:rPr>
          <w:noProof/>
        </w:rPr>
        <w:t>1</w:t>
      </w:r>
      <w:r w:rsidRPr="003A0138">
        <w:fldChar w:fldCharType="end"/>
      </w:r>
      <w:r w:rsidRPr="003A0138">
        <w:t xml:space="preserve"> also lists health effects that, while potential benefits of air regulations, are not yet quantified in EPA regulatory analyses. </w:t>
      </w:r>
      <w:r w:rsidRPr="003A0138">
        <w:fldChar w:fldCharType="begin"/>
      </w:r>
      <w:r w:rsidRPr="003A0138">
        <w:instrText xml:space="preserve"> REF _Ref417379924 \h  \* MERGEFORMAT </w:instrText>
      </w:r>
      <w:r w:rsidRPr="003A0138">
        <w:fldChar w:fldCharType="separate"/>
      </w:r>
      <w:r w:rsidRPr="003A0138">
        <w:t xml:space="preserve">Table </w:t>
      </w:r>
      <w:r w:rsidRPr="003A0138">
        <w:rPr>
          <w:noProof/>
        </w:rPr>
        <w:t>2</w:t>
      </w:r>
      <w:r w:rsidRPr="003A0138">
        <w:fldChar w:fldCharType="end"/>
      </w:r>
      <w:r w:rsidRPr="003A0138">
        <w:t xml:space="preserve"> provides an analogous table of quantified/monetized and unquantified non-health benefits.</w:t>
      </w:r>
    </w:p>
    <w:p w14:paraId="73307911" w14:textId="77777777" w:rsidR="003A0138" w:rsidRPr="003A0138" w:rsidRDefault="003A0138" w:rsidP="003A0138">
      <w:pPr>
        <w:spacing w:line="276" w:lineRule="auto"/>
      </w:pPr>
      <w:r w:rsidRPr="003A0138">
        <w:t>Some categories of human health benefits, such as changes in the incidence of adult or infant mortality or of heart attacks, are more easily quantified and monetized due to the availability of scientifically defensible concentration-response functions relating health outcomes to ambient pollution concentrations and estimates of the monetized value for marginal changes in health outcomes. The effects of other health outcomes, for instance changes in labor productivity due to a change in health status, are more difficult to quantify. Depending on the endpoint, limited assessments may be available for some subsets of affected populations (e.g., outdoor fruit pickers).</w:t>
      </w:r>
    </w:p>
    <w:p w14:paraId="25A1886C" w14:textId="77777777" w:rsidR="003A0138" w:rsidRPr="003A0138" w:rsidRDefault="003A0138" w:rsidP="003A0138">
      <w:pPr>
        <w:spacing w:line="276" w:lineRule="auto"/>
      </w:pPr>
      <w:r w:rsidRPr="003A0138">
        <w:lastRenderedPageBreak/>
        <w:t>The monetized benefits of non-health impacts are typically</w:t>
      </w:r>
      <w:r w:rsidRPr="003A0138" w:rsidDel="00C37FBF">
        <w:t xml:space="preserve"> </w:t>
      </w:r>
      <w:r w:rsidRPr="003A0138">
        <w:t>more difficult to quantify due to several factors including: 1) lack of available concentration- or deposition-response functions; 2) complexity of ecosystem responses to pollutants; 3) heterogeneity in responses and dependence of responses to numerous geographically varying factors; 4) lack of functions to translate changes in ecological endpoints into changes in ecosystem services; and 5) lack of willingness-to-pay or other economic valuation estimates for many types of ecosystem services. In past regulatory analyses, EPA has estimated the willingness to pay for changes in visibility impairment and materials damages from reductions in PM</w:t>
      </w:r>
      <w:r w:rsidRPr="003A0138">
        <w:rPr>
          <w:vertAlign w:val="subscript"/>
        </w:rPr>
        <w:t>2.5</w:t>
      </w:r>
      <w:r w:rsidRPr="003A0138">
        <w:t xml:space="preserve"> and foliar damage related to NO</w:t>
      </w:r>
      <w:r w:rsidRPr="003A0138">
        <w:rPr>
          <w:vertAlign w:val="subscript"/>
        </w:rPr>
        <w:t>x</w:t>
      </w:r>
      <w:r w:rsidRPr="003A0138">
        <w:t xml:space="preserve"> emissions. In some cases, such as acidification of streams, EPA has been able to quantify changes in stream chemistry and certain measures of fish health, but has not been able to monetize those changes.</w:t>
      </w:r>
    </w:p>
    <w:p w14:paraId="40FB6BD4" w14:textId="77777777" w:rsidR="003A0138" w:rsidRPr="003A0138" w:rsidRDefault="003A0138" w:rsidP="00083C21">
      <w:pPr>
        <w:keepNext/>
        <w:keepLines/>
        <w:numPr>
          <w:ilvl w:val="2"/>
          <w:numId w:val="3"/>
        </w:numPr>
        <w:spacing w:before="40" w:line="276" w:lineRule="auto"/>
        <w:outlineLvl w:val="1"/>
        <w:rPr>
          <w:rFonts w:eastAsiaTheme="majorEastAsia" w:cstheme="majorBidi"/>
          <w:b/>
          <w:sz w:val="24"/>
          <w:szCs w:val="26"/>
        </w:rPr>
      </w:pPr>
      <w:bookmarkStart w:id="12" w:name="_Toc430675920"/>
      <w:bookmarkStart w:id="13" w:name="_Toc448481297"/>
      <w:r w:rsidRPr="003A0138">
        <w:rPr>
          <w:rFonts w:eastAsiaTheme="majorEastAsia" w:cstheme="majorBidi"/>
          <w:b/>
          <w:sz w:val="24"/>
          <w:szCs w:val="26"/>
        </w:rPr>
        <w:t>General Framework for Benefits Valuation</w:t>
      </w:r>
      <w:bookmarkEnd w:id="12"/>
      <w:bookmarkEnd w:id="13"/>
    </w:p>
    <w:p w14:paraId="086480A1" w14:textId="77777777" w:rsidR="003A0138" w:rsidRPr="003A0138" w:rsidRDefault="003A0138" w:rsidP="003A0138">
      <w:pPr>
        <w:spacing w:line="276" w:lineRule="auto"/>
      </w:pPr>
      <w:r w:rsidRPr="003A0138">
        <w:t>EPA typically follows a “damage-function” or “effect-by-effect” approach to estimate total benefits of modeled changes in environmental quality when analyzing the effects of an air regulation (see for example Levy et al., 2009; Fann et al., 2012; and Tagaris et al., 2009).</w:t>
      </w:r>
      <w:r w:rsidRPr="003A0138">
        <w:rPr>
          <w:vertAlign w:val="superscript"/>
        </w:rPr>
        <w:footnoteReference w:id="4"/>
      </w:r>
      <w:r w:rsidRPr="003A0138">
        <w:t xml:space="preserve"> In this approach, changes in individual endpoints (specific effects that can be associated with changes in air quality) are estimated and dollar values reflective of households’ willingness to pay (WTP) are assigned to those changes. Total benefits are then calculated as the sum of the benefit estimates for all non-overlapping endpoints. </w:t>
      </w:r>
    </w:p>
    <w:p w14:paraId="12A76773" w14:textId="77777777" w:rsidR="003A0138" w:rsidRPr="003A0138" w:rsidRDefault="003A0138" w:rsidP="003A0138">
      <w:pPr>
        <w:spacing w:line="276" w:lineRule="auto"/>
      </w:pPr>
      <w:r w:rsidRPr="003A0138">
        <w:t>In some cases, the changes in environmental quality that are anticipated to result from an air regulation are associated with endpoints that are valued directly by individuals, such as visibility in scenic national parks. For such changes, it is relatively straightforward, at least conceptually, to link the pollution externality to human welfare.</w:t>
      </w:r>
    </w:p>
    <w:p w14:paraId="3B385AC7" w14:textId="77777777" w:rsidR="003A0138" w:rsidRPr="003A0138" w:rsidRDefault="003A0138" w:rsidP="003A0138">
      <w:pPr>
        <w:spacing w:line="276" w:lineRule="auto"/>
        <w:rPr>
          <w:rFonts w:eastAsiaTheme="majorEastAsia" w:cstheme="majorBidi"/>
          <w:b/>
          <w:spacing w:val="-10"/>
          <w:kern w:val="28"/>
          <w:szCs w:val="56"/>
        </w:rPr>
      </w:pPr>
      <w:r w:rsidRPr="003A0138">
        <w:t>In other cases, additional analysis must first be conducted to map changes in air quality to changes in endpoints more directly associated with human welfare. For example, EPA estimates how changes in ozone and particulate matter (PM) concentrations affect health conditions that people value directly, with health impact functions based on effect estimates in the epidemiology literature. Specifically, a health impact function measures the change in a particular health endpoint (e.g., hospital admissions, mortality rates) for a given change in air quality. A standard health impact function has four components: 1) an effect estimate or risk coefficient from a particular epidemiological study; 2) a baseline incidence rate for the health effect (obtained from either the epidemiology study or a source of public health statistics such as the Centers for Disease Control); 3) the affected population; and 4) the estimated change in the relevant air quality metric (e.g. annual mean PM</w:t>
      </w:r>
      <w:r w:rsidRPr="003A0138">
        <w:rPr>
          <w:vertAlign w:val="subscript"/>
        </w:rPr>
        <w:t>2.5</w:t>
      </w:r>
      <w:r w:rsidRPr="003A0138">
        <w:t xml:space="preserve">). </w:t>
      </w:r>
    </w:p>
    <w:p w14:paraId="2300974C" w14:textId="77777777" w:rsidR="003A0138" w:rsidRDefault="003A0138">
      <w:pPr>
        <w:jc w:val="left"/>
        <w:rPr>
          <w:b/>
        </w:rPr>
      </w:pPr>
      <w:bookmarkStart w:id="14" w:name="_Ref417378925"/>
      <w:r>
        <w:rPr>
          <w:b/>
        </w:rPr>
        <w:br w:type="page"/>
      </w:r>
    </w:p>
    <w:p w14:paraId="7BFF6060" w14:textId="174DE96C" w:rsidR="003A0138" w:rsidRPr="003A0138" w:rsidRDefault="003A0138" w:rsidP="003A0138">
      <w:pPr>
        <w:spacing w:line="276" w:lineRule="auto"/>
        <w:jc w:val="center"/>
        <w:rPr>
          <w:b/>
        </w:rPr>
      </w:pPr>
      <w:r w:rsidRPr="003A0138">
        <w:rPr>
          <w:b/>
        </w:rPr>
        <w:lastRenderedPageBreak/>
        <w:t xml:space="preserve">Table </w:t>
      </w:r>
      <w:r w:rsidRPr="003A0138">
        <w:rPr>
          <w:b/>
        </w:rPr>
        <w:fldChar w:fldCharType="begin"/>
      </w:r>
      <w:r w:rsidRPr="003A0138">
        <w:rPr>
          <w:b/>
        </w:rPr>
        <w:instrText xml:space="preserve"> SEQ Table \* ARABIC </w:instrText>
      </w:r>
      <w:r w:rsidRPr="003A0138">
        <w:rPr>
          <w:b/>
        </w:rPr>
        <w:fldChar w:fldCharType="separate"/>
      </w:r>
      <w:r w:rsidRPr="003A0138">
        <w:rPr>
          <w:b/>
          <w:noProof/>
        </w:rPr>
        <w:t>1</w:t>
      </w:r>
      <w:r w:rsidRPr="003A0138">
        <w:rPr>
          <w:b/>
        </w:rPr>
        <w:fldChar w:fldCharType="end"/>
      </w:r>
      <w:bookmarkEnd w:id="14"/>
      <w:r w:rsidRPr="003A0138">
        <w:rPr>
          <w:b/>
        </w:rPr>
        <w:t>: Human Health Effects of Air Pollutants Regulated by EPA</w:t>
      </w:r>
    </w:p>
    <w:tbl>
      <w:tblPr>
        <w:tblStyle w:val="format2"/>
        <w:tblW w:w="8319" w:type="dxa"/>
        <w:jc w:val="center"/>
        <w:tblLook w:val="05E0" w:firstRow="1" w:lastRow="1" w:firstColumn="1" w:lastColumn="1" w:noHBand="0" w:noVBand="1"/>
      </w:tblPr>
      <w:tblGrid>
        <w:gridCol w:w="2250"/>
        <w:gridCol w:w="3839"/>
        <w:gridCol w:w="11"/>
        <w:gridCol w:w="1095"/>
        <w:gridCol w:w="11"/>
        <w:gridCol w:w="1102"/>
        <w:gridCol w:w="11"/>
      </w:tblGrid>
      <w:tr w:rsidR="003A0138" w:rsidRPr="003A0138" w14:paraId="4AFEE9AD" w14:textId="77777777" w:rsidTr="003A0138">
        <w:trPr>
          <w:cnfStyle w:val="100000000000" w:firstRow="1" w:lastRow="0" w:firstColumn="0" w:lastColumn="0" w:oddVBand="0" w:evenVBand="0" w:oddHBand="0" w:evenHBand="0" w:firstRowFirstColumn="0" w:firstRowLastColumn="0" w:lastRowFirstColumn="0" w:lastRowLastColumn="0"/>
          <w:trHeight w:val="765"/>
          <w:jc w:val="center"/>
        </w:trPr>
        <w:tc>
          <w:tcPr>
            <w:tcW w:w="2250" w:type="dxa"/>
            <w:tcBorders>
              <w:top w:val="single" w:sz="12" w:space="0" w:color="auto"/>
              <w:bottom w:val="single" w:sz="12" w:space="0" w:color="auto"/>
            </w:tcBorders>
            <w:vAlign w:val="top"/>
          </w:tcPr>
          <w:p w14:paraId="0F214C26" w14:textId="77777777" w:rsidR="003A0138" w:rsidRPr="003A0138" w:rsidRDefault="003A0138" w:rsidP="003A0138">
            <w:pPr>
              <w:keepNext/>
              <w:keepLines/>
              <w:spacing w:before="80" w:after="80" w:line="240" w:lineRule="auto"/>
              <w:jc w:val="center"/>
              <w:rPr>
                <w:b/>
                <w:sz w:val="20"/>
                <w:szCs w:val="20"/>
              </w:rPr>
            </w:pPr>
            <w:r w:rsidRPr="003A0138">
              <w:rPr>
                <w:b/>
                <w:sz w:val="20"/>
                <w:szCs w:val="20"/>
              </w:rPr>
              <w:t>Benefits Category</w:t>
            </w:r>
          </w:p>
        </w:tc>
        <w:tc>
          <w:tcPr>
            <w:tcW w:w="3850" w:type="dxa"/>
            <w:gridSpan w:val="2"/>
            <w:tcBorders>
              <w:top w:val="single" w:sz="12" w:space="0" w:color="auto"/>
              <w:bottom w:val="single" w:sz="12" w:space="0" w:color="auto"/>
            </w:tcBorders>
            <w:vAlign w:val="top"/>
          </w:tcPr>
          <w:p w14:paraId="0B72F84B" w14:textId="77777777" w:rsidR="003A0138" w:rsidRPr="003A0138" w:rsidRDefault="003A0138" w:rsidP="003A0138">
            <w:pPr>
              <w:keepNext/>
              <w:keepLines/>
              <w:spacing w:before="80" w:after="80" w:line="240" w:lineRule="auto"/>
              <w:jc w:val="center"/>
              <w:rPr>
                <w:b/>
                <w:sz w:val="20"/>
                <w:szCs w:val="20"/>
              </w:rPr>
            </w:pPr>
            <w:r w:rsidRPr="003A0138">
              <w:rPr>
                <w:b/>
                <w:sz w:val="20"/>
                <w:szCs w:val="20"/>
              </w:rPr>
              <w:t>Specific Effect</w:t>
            </w:r>
          </w:p>
        </w:tc>
        <w:tc>
          <w:tcPr>
            <w:tcW w:w="1106" w:type="dxa"/>
            <w:gridSpan w:val="2"/>
            <w:tcBorders>
              <w:top w:val="single" w:sz="12" w:space="0" w:color="auto"/>
              <w:bottom w:val="single" w:sz="12" w:space="0" w:color="auto"/>
            </w:tcBorders>
            <w:vAlign w:val="top"/>
          </w:tcPr>
          <w:p w14:paraId="54AC0859" w14:textId="77777777" w:rsidR="003A0138" w:rsidRPr="003A0138" w:rsidRDefault="003A0138" w:rsidP="003A0138">
            <w:pPr>
              <w:keepNext/>
              <w:keepLines/>
              <w:spacing w:before="80" w:after="80" w:line="240" w:lineRule="auto"/>
              <w:jc w:val="center"/>
              <w:rPr>
                <w:b/>
                <w:sz w:val="20"/>
                <w:szCs w:val="20"/>
              </w:rPr>
            </w:pPr>
            <w:r w:rsidRPr="003A0138">
              <w:rPr>
                <w:b/>
                <w:sz w:val="20"/>
                <w:szCs w:val="20"/>
              </w:rPr>
              <w:t>Effect Has Been Quantified</w:t>
            </w:r>
          </w:p>
        </w:tc>
        <w:tc>
          <w:tcPr>
            <w:tcW w:w="1113" w:type="dxa"/>
            <w:gridSpan w:val="2"/>
            <w:tcBorders>
              <w:top w:val="single" w:sz="12" w:space="0" w:color="auto"/>
              <w:bottom w:val="single" w:sz="12" w:space="0" w:color="auto"/>
            </w:tcBorders>
            <w:vAlign w:val="top"/>
          </w:tcPr>
          <w:p w14:paraId="66C91386" w14:textId="77777777" w:rsidR="003A0138" w:rsidRPr="003A0138" w:rsidRDefault="003A0138" w:rsidP="003A0138">
            <w:pPr>
              <w:keepNext/>
              <w:keepLines/>
              <w:spacing w:before="80" w:after="80" w:line="240" w:lineRule="auto"/>
              <w:jc w:val="center"/>
              <w:rPr>
                <w:b/>
                <w:sz w:val="20"/>
                <w:szCs w:val="20"/>
              </w:rPr>
            </w:pPr>
            <w:r w:rsidRPr="003A0138">
              <w:rPr>
                <w:b/>
                <w:sz w:val="20"/>
                <w:szCs w:val="20"/>
              </w:rPr>
              <w:t>Effect Has Been Monetized</w:t>
            </w:r>
          </w:p>
        </w:tc>
      </w:tr>
      <w:tr w:rsidR="003A0138" w:rsidRPr="003A0138" w14:paraId="4B18DBC8" w14:textId="77777777" w:rsidTr="003A0138">
        <w:trPr>
          <w:trHeight w:val="555"/>
          <w:jc w:val="center"/>
        </w:trPr>
        <w:tc>
          <w:tcPr>
            <w:tcW w:w="2250" w:type="dxa"/>
            <w:vMerge w:val="restart"/>
            <w:tcBorders>
              <w:top w:val="single" w:sz="12" w:space="0" w:color="auto"/>
            </w:tcBorders>
          </w:tcPr>
          <w:p w14:paraId="30575E33" w14:textId="77777777" w:rsidR="003A0138" w:rsidRPr="003A0138" w:rsidRDefault="003A0138" w:rsidP="003A0138">
            <w:pPr>
              <w:keepNext/>
              <w:keepLines/>
              <w:spacing w:before="80" w:after="80" w:line="240" w:lineRule="auto"/>
              <w:jc w:val="left"/>
              <w:rPr>
                <w:rFonts w:cs="Calibri"/>
                <w:color w:val="000000"/>
                <w:sz w:val="20"/>
                <w:szCs w:val="20"/>
              </w:rPr>
            </w:pPr>
            <w:r w:rsidRPr="003A0138">
              <w:rPr>
                <w:rFonts w:cs="Calibri"/>
                <w:color w:val="000000"/>
                <w:sz w:val="20"/>
                <w:szCs w:val="20"/>
              </w:rPr>
              <w:t xml:space="preserve">Reduced incidence of premature mortality and morbidity from exposure to </w:t>
            </w:r>
            <w:r w:rsidRPr="003A0138">
              <w:rPr>
                <w:rFonts w:cs="Calibri"/>
                <w:b/>
                <w:color w:val="000000"/>
                <w:sz w:val="20"/>
                <w:szCs w:val="20"/>
              </w:rPr>
              <w:t>PM</w:t>
            </w:r>
            <w:r w:rsidRPr="003A0138">
              <w:rPr>
                <w:rFonts w:cs="Calibri"/>
                <w:b/>
                <w:color w:val="000000"/>
                <w:sz w:val="20"/>
                <w:szCs w:val="20"/>
                <w:vertAlign w:val="subscript"/>
              </w:rPr>
              <w:t>2.5</w:t>
            </w:r>
          </w:p>
          <w:p w14:paraId="22C5A7E4" w14:textId="77777777" w:rsidR="003A0138" w:rsidRPr="003A0138" w:rsidRDefault="003A0138" w:rsidP="003A0138">
            <w:pPr>
              <w:keepNext/>
              <w:keepLines/>
              <w:spacing w:before="80" w:after="80" w:line="240" w:lineRule="auto"/>
              <w:jc w:val="left"/>
              <w:rPr>
                <w:rFonts w:cs="Calibri"/>
                <w:color w:val="000000"/>
                <w:sz w:val="20"/>
                <w:szCs w:val="20"/>
              </w:rPr>
            </w:pPr>
          </w:p>
        </w:tc>
        <w:tc>
          <w:tcPr>
            <w:tcW w:w="3850" w:type="dxa"/>
            <w:gridSpan w:val="2"/>
            <w:tcBorders>
              <w:top w:val="single" w:sz="12" w:space="0" w:color="auto"/>
            </w:tcBorders>
          </w:tcPr>
          <w:p w14:paraId="13C695BF" w14:textId="77777777" w:rsidR="003A0138" w:rsidRPr="003A0138" w:rsidRDefault="003A0138" w:rsidP="003A0138">
            <w:pPr>
              <w:keepNext/>
              <w:keepLines/>
              <w:spacing w:before="80" w:after="80" w:line="240" w:lineRule="auto"/>
              <w:jc w:val="left"/>
              <w:rPr>
                <w:rFonts w:cs="Calibri"/>
                <w:color w:val="000000"/>
                <w:sz w:val="20"/>
                <w:szCs w:val="20"/>
              </w:rPr>
            </w:pPr>
            <w:r w:rsidRPr="003A0138">
              <w:rPr>
                <w:rFonts w:cs="Calibri"/>
                <w:color w:val="000000"/>
                <w:sz w:val="20"/>
                <w:szCs w:val="20"/>
              </w:rPr>
              <w:t>Adult premature mortality based on cohort study estimates</w:t>
            </w:r>
            <w:r w:rsidRPr="003A0138">
              <w:rPr>
                <w:rFonts w:cs="Calibri"/>
                <w:color w:val="000000"/>
                <w:sz w:val="20"/>
                <w:szCs w:val="20"/>
                <w:vertAlign w:val="superscript"/>
              </w:rPr>
              <w:t xml:space="preserve"> </w:t>
            </w:r>
            <w:r w:rsidRPr="003A0138">
              <w:rPr>
                <w:rFonts w:cs="Calibri"/>
                <w:color w:val="000000"/>
                <w:sz w:val="20"/>
                <w:szCs w:val="20"/>
              </w:rPr>
              <w:t>and expert elicitation estimates (age &gt;25 or age &gt;30)</w:t>
            </w:r>
          </w:p>
        </w:tc>
        <w:tc>
          <w:tcPr>
            <w:tcW w:w="1106" w:type="dxa"/>
            <w:gridSpan w:val="2"/>
            <w:tcBorders>
              <w:top w:val="single" w:sz="12" w:space="0" w:color="auto"/>
            </w:tcBorders>
          </w:tcPr>
          <w:p w14:paraId="446B718A" w14:textId="77777777" w:rsidR="003A0138" w:rsidRPr="003A0138" w:rsidRDefault="003A0138" w:rsidP="003A0138">
            <w:pPr>
              <w:keepNext/>
              <w:keepLines/>
              <w:spacing w:before="80" w:after="80" w:line="240" w:lineRule="auto"/>
              <w:jc w:val="center"/>
              <w:rPr>
                <w:sz w:val="20"/>
                <w:szCs w:val="20"/>
              </w:rPr>
            </w:pPr>
            <w:r w:rsidRPr="003A0138">
              <w:rPr>
                <w:rFonts w:cs="Calibri"/>
                <w:b/>
                <w:bCs/>
                <w:color w:val="FF0000"/>
                <w:sz w:val="20"/>
                <w:szCs w:val="20"/>
              </w:rPr>
              <w:sym w:font="Wingdings" w:char="F0FC"/>
            </w:r>
          </w:p>
        </w:tc>
        <w:tc>
          <w:tcPr>
            <w:tcW w:w="1113" w:type="dxa"/>
            <w:gridSpan w:val="2"/>
            <w:tcBorders>
              <w:top w:val="single" w:sz="12" w:space="0" w:color="auto"/>
            </w:tcBorders>
          </w:tcPr>
          <w:p w14:paraId="68EF9AF7" w14:textId="77777777" w:rsidR="003A0138" w:rsidRPr="003A0138" w:rsidRDefault="003A0138" w:rsidP="003A0138">
            <w:pPr>
              <w:keepNext/>
              <w:keepLines/>
              <w:spacing w:before="80" w:after="80" w:line="240" w:lineRule="auto"/>
              <w:jc w:val="center"/>
              <w:rPr>
                <w:sz w:val="20"/>
                <w:szCs w:val="20"/>
              </w:rPr>
            </w:pPr>
            <w:r w:rsidRPr="003A0138">
              <w:rPr>
                <w:rFonts w:cs="Calibri"/>
                <w:b/>
                <w:bCs/>
                <w:color w:val="FF0000"/>
                <w:sz w:val="20"/>
                <w:szCs w:val="20"/>
              </w:rPr>
              <w:sym w:font="Wingdings" w:char="F0FC"/>
            </w:r>
          </w:p>
        </w:tc>
      </w:tr>
      <w:tr w:rsidR="003A0138" w:rsidRPr="003A0138" w14:paraId="5C1BF0EB" w14:textId="77777777" w:rsidTr="003A0138">
        <w:trPr>
          <w:trHeight w:val="255"/>
          <w:jc w:val="center"/>
        </w:trPr>
        <w:tc>
          <w:tcPr>
            <w:tcW w:w="2250" w:type="dxa"/>
            <w:vMerge/>
          </w:tcPr>
          <w:p w14:paraId="13B470A2" w14:textId="77777777" w:rsidR="003A0138" w:rsidRPr="003A0138" w:rsidRDefault="003A0138" w:rsidP="003A0138">
            <w:pPr>
              <w:keepNext/>
              <w:keepLines/>
              <w:spacing w:before="80" w:after="80" w:line="240" w:lineRule="auto"/>
              <w:jc w:val="left"/>
              <w:rPr>
                <w:rFonts w:cs="Calibri"/>
                <w:color w:val="000000"/>
                <w:sz w:val="20"/>
                <w:szCs w:val="20"/>
              </w:rPr>
            </w:pPr>
          </w:p>
        </w:tc>
        <w:tc>
          <w:tcPr>
            <w:tcW w:w="3850" w:type="dxa"/>
            <w:gridSpan w:val="2"/>
            <w:tcBorders>
              <w:bottom w:val="single" w:sz="4" w:space="0" w:color="auto"/>
            </w:tcBorders>
          </w:tcPr>
          <w:p w14:paraId="0C51BCB0" w14:textId="77777777" w:rsidR="003A0138" w:rsidRPr="003A0138" w:rsidRDefault="003A0138" w:rsidP="003A0138">
            <w:pPr>
              <w:keepNext/>
              <w:keepLines/>
              <w:spacing w:before="80" w:after="80" w:line="240" w:lineRule="auto"/>
              <w:jc w:val="left"/>
              <w:rPr>
                <w:rFonts w:cs="Calibri"/>
                <w:color w:val="000000"/>
                <w:sz w:val="20"/>
                <w:szCs w:val="20"/>
              </w:rPr>
            </w:pPr>
            <w:r w:rsidRPr="003A0138">
              <w:rPr>
                <w:rFonts w:cs="Calibri"/>
                <w:color w:val="000000"/>
                <w:sz w:val="20"/>
                <w:szCs w:val="20"/>
              </w:rPr>
              <w:t>Infant mortality (age &lt;1)</w:t>
            </w:r>
          </w:p>
        </w:tc>
        <w:tc>
          <w:tcPr>
            <w:tcW w:w="1106" w:type="dxa"/>
            <w:gridSpan w:val="2"/>
            <w:tcBorders>
              <w:bottom w:val="single" w:sz="4" w:space="0" w:color="auto"/>
            </w:tcBorders>
          </w:tcPr>
          <w:p w14:paraId="36C06A81" w14:textId="77777777" w:rsidR="003A0138" w:rsidRPr="003A0138" w:rsidRDefault="003A0138" w:rsidP="003A0138">
            <w:pPr>
              <w:keepNext/>
              <w:keepLines/>
              <w:spacing w:before="80" w:after="80" w:line="240" w:lineRule="auto"/>
              <w:jc w:val="center"/>
              <w:rPr>
                <w:sz w:val="20"/>
                <w:szCs w:val="20"/>
              </w:rPr>
            </w:pPr>
            <w:r w:rsidRPr="003A0138">
              <w:rPr>
                <w:rFonts w:cs="Calibri"/>
                <w:b/>
                <w:bCs/>
                <w:color w:val="FF0000"/>
                <w:sz w:val="20"/>
                <w:szCs w:val="20"/>
              </w:rPr>
              <w:sym w:font="Wingdings" w:char="F0FC"/>
            </w:r>
          </w:p>
        </w:tc>
        <w:tc>
          <w:tcPr>
            <w:tcW w:w="1113" w:type="dxa"/>
            <w:gridSpan w:val="2"/>
            <w:tcBorders>
              <w:bottom w:val="single" w:sz="4" w:space="0" w:color="auto"/>
            </w:tcBorders>
          </w:tcPr>
          <w:p w14:paraId="0EC2A40B" w14:textId="77777777" w:rsidR="003A0138" w:rsidRPr="003A0138" w:rsidRDefault="003A0138" w:rsidP="003A0138">
            <w:pPr>
              <w:keepNext/>
              <w:keepLines/>
              <w:spacing w:before="80" w:after="80" w:line="240" w:lineRule="auto"/>
              <w:jc w:val="center"/>
              <w:rPr>
                <w:sz w:val="20"/>
                <w:szCs w:val="20"/>
              </w:rPr>
            </w:pPr>
            <w:r w:rsidRPr="003A0138">
              <w:rPr>
                <w:rFonts w:cs="Calibri"/>
                <w:b/>
                <w:bCs/>
                <w:color w:val="FF0000"/>
                <w:sz w:val="20"/>
                <w:szCs w:val="20"/>
              </w:rPr>
              <w:sym w:font="Wingdings" w:char="F0FC"/>
            </w:r>
          </w:p>
        </w:tc>
      </w:tr>
      <w:tr w:rsidR="003A0138" w:rsidRPr="003A0138" w14:paraId="4939AFCC" w14:textId="77777777" w:rsidTr="003A0138">
        <w:trPr>
          <w:trHeight w:val="278"/>
          <w:jc w:val="center"/>
        </w:trPr>
        <w:tc>
          <w:tcPr>
            <w:tcW w:w="2250" w:type="dxa"/>
            <w:vMerge/>
          </w:tcPr>
          <w:p w14:paraId="36F646AE" w14:textId="77777777" w:rsidR="003A0138" w:rsidRPr="003A0138" w:rsidRDefault="003A0138" w:rsidP="003A0138">
            <w:pPr>
              <w:keepNext/>
              <w:keepLines/>
              <w:spacing w:before="80" w:after="80" w:line="240" w:lineRule="auto"/>
              <w:jc w:val="left"/>
              <w:rPr>
                <w:rFonts w:cs="Calibri"/>
                <w:color w:val="000000"/>
                <w:sz w:val="20"/>
                <w:szCs w:val="20"/>
                <w:vertAlign w:val="subscript"/>
              </w:rPr>
            </w:pPr>
          </w:p>
        </w:tc>
        <w:tc>
          <w:tcPr>
            <w:tcW w:w="3850" w:type="dxa"/>
            <w:gridSpan w:val="2"/>
            <w:tcBorders>
              <w:top w:val="single" w:sz="4" w:space="0" w:color="auto"/>
            </w:tcBorders>
          </w:tcPr>
          <w:p w14:paraId="21025CDA" w14:textId="77777777" w:rsidR="003A0138" w:rsidRPr="003A0138" w:rsidRDefault="003A0138" w:rsidP="003A0138">
            <w:pPr>
              <w:keepNext/>
              <w:keepLines/>
              <w:spacing w:before="80" w:after="80" w:line="240" w:lineRule="auto"/>
              <w:jc w:val="left"/>
              <w:rPr>
                <w:rFonts w:cs="Calibri"/>
                <w:color w:val="000000"/>
                <w:sz w:val="20"/>
                <w:szCs w:val="20"/>
              </w:rPr>
            </w:pPr>
            <w:r w:rsidRPr="003A0138">
              <w:rPr>
                <w:rFonts w:cs="Calibri"/>
                <w:color w:val="000000"/>
                <w:sz w:val="20"/>
                <w:szCs w:val="20"/>
              </w:rPr>
              <w:t>Non-fatal heart attacks (age &gt; 18)</w:t>
            </w:r>
          </w:p>
        </w:tc>
        <w:tc>
          <w:tcPr>
            <w:tcW w:w="1106" w:type="dxa"/>
            <w:gridSpan w:val="2"/>
            <w:tcBorders>
              <w:top w:val="single" w:sz="4" w:space="0" w:color="auto"/>
            </w:tcBorders>
          </w:tcPr>
          <w:p w14:paraId="72B0D04A" w14:textId="77777777" w:rsidR="003A0138" w:rsidRPr="003A0138" w:rsidRDefault="003A0138" w:rsidP="003A0138">
            <w:pPr>
              <w:keepNext/>
              <w:keepLines/>
              <w:spacing w:before="80" w:after="80" w:line="240" w:lineRule="auto"/>
              <w:jc w:val="center"/>
              <w:rPr>
                <w:sz w:val="20"/>
                <w:szCs w:val="20"/>
              </w:rPr>
            </w:pPr>
            <w:r w:rsidRPr="003A0138">
              <w:rPr>
                <w:rFonts w:cs="Calibri"/>
                <w:b/>
                <w:bCs/>
                <w:color w:val="FF0000"/>
                <w:sz w:val="20"/>
                <w:szCs w:val="20"/>
              </w:rPr>
              <w:sym w:font="Wingdings" w:char="F0FC"/>
            </w:r>
          </w:p>
        </w:tc>
        <w:tc>
          <w:tcPr>
            <w:tcW w:w="1113" w:type="dxa"/>
            <w:gridSpan w:val="2"/>
            <w:tcBorders>
              <w:top w:val="single" w:sz="4" w:space="0" w:color="auto"/>
            </w:tcBorders>
          </w:tcPr>
          <w:p w14:paraId="04339076" w14:textId="77777777" w:rsidR="003A0138" w:rsidRPr="003A0138" w:rsidRDefault="003A0138" w:rsidP="003A0138">
            <w:pPr>
              <w:keepNext/>
              <w:keepLines/>
              <w:spacing w:before="80" w:after="80" w:line="240" w:lineRule="auto"/>
              <w:jc w:val="center"/>
              <w:rPr>
                <w:sz w:val="20"/>
                <w:szCs w:val="20"/>
              </w:rPr>
            </w:pPr>
            <w:r w:rsidRPr="003A0138">
              <w:rPr>
                <w:rFonts w:cs="Calibri"/>
                <w:b/>
                <w:bCs/>
                <w:color w:val="FF0000"/>
                <w:sz w:val="20"/>
                <w:szCs w:val="20"/>
              </w:rPr>
              <w:sym w:font="Wingdings" w:char="F0FC"/>
            </w:r>
          </w:p>
        </w:tc>
      </w:tr>
      <w:tr w:rsidR="003A0138" w:rsidRPr="003A0138" w14:paraId="78F9CDA7" w14:textId="77777777" w:rsidTr="003A0138">
        <w:trPr>
          <w:trHeight w:val="255"/>
          <w:jc w:val="center"/>
        </w:trPr>
        <w:tc>
          <w:tcPr>
            <w:tcW w:w="2250" w:type="dxa"/>
            <w:vMerge/>
          </w:tcPr>
          <w:p w14:paraId="4519F00A" w14:textId="77777777" w:rsidR="003A0138" w:rsidRPr="003A0138" w:rsidRDefault="003A0138" w:rsidP="003A0138">
            <w:pPr>
              <w:keepNext/>
              <w:keepLines/>
              <w:spacing w:before="80" w:after="80" w:line="240" w:lineRule="auto"/>
              <w:jc w:val="left"/>
              <w:rPr>
                <w:rFonts w:cs="Calibri"/>
                <w:color w:val="000000"/>
                <w:sz w:val="20"/>
                <w:szCs w:val="20"/>
              </w:rPr>
            </w:pPr>
          </w:p>
        </w:tc>
        <w:tc>
          <w:tcPr>
            <w:tcW w:w="3850" w:type="dxa"/>
            <w:gridSpan w:val="2"/>
          </w:tcPr>
          <w:p w14:paraId="0F1A7BB0" w14:textId="77777777" w:rsidR="003A0138" w:rsidRPr="003A0138" w:rsidRDefault="003A0138" w:rsidP="003A0138">
            <w:pPr>
              <w:keepNext/>
              <w:keepLines/>
              <w:spacing w:before="80" w:after="80" w:line="240" w:lineRule="auto"/>
              <w:jc w:val="left"/>
              <w:rPr>
                <w:rFonts w:cs="Calibri"/>
                <w:color w:val="000000"/>
                <w:sz w:val="20"/>
                <w:szCs w:val="20"/>
              </w:rPr>
            </w:pPr>
            <w:r w:rsidRPr="003A0138">
              <w:rPr>
                <w:rFonts w:cs="Calibri"/>
                <w:color w:val="000000"/>
                <w:sz w:val="20"/>
                <w:szCs w:val="20"/>
              </w:rPr>
              <w:t>Hospital admissions—respiratory (all ages)</w:t>
            </w:r>
          </w:p>
        </w:tc>
        <w:tc>
          <w:tcPr>
            <w:tcW w:w="1106" w:type="dxa"/>
            <w:gridSpan w:val="2"/>
          </w:tcPr>
          <w:p w14:paraId="0607D06E" w14:textId="77777777" w:rsidR="003A0138" w:rsidRPr="003A0138" w:rsidRDefault="003A0138" w:rsidP="003A0138">
            <w:pPr>
              <w:keepNext/>
              <w:keepLines/>
              <w:spacing w:before="80" w:after="80" w:line="240" w:lineRule="auto"/>
              <w:jc w:val="center"/>
              <w:rPr>
                <w:sz w:val="20"/>
                <w:szCs w:val="20"/>
              </w:rPr>
            </w:pPr>
            <w:r w:rsidRPr="003A0138">
              <w:rPr>
                <w:rFonts w:cs="Calibri"/>
                <w:b/>
                <w:bCs/>
                <w:color w:val="FF0000"/>
                <w:sz w:val="20"/>
                <w:szCs w:val="20"/>
              </w:rPr>
              <w:sym w:font="Wingdings" w:char="F0FC"/>
            </w:r>
          </w:p>
        </w:tc>
        <w:tc>
          <w:tcPr>
            <w:tcW w:w="1113" w:type="dxa"/>
            <w:gridSpan w:val="2"/>
          </w:tcPr>
          <w:p w14:paraId="74D3B5FE" w14:textId="77777777" w:rsidR="003A0138" w:rsidRPr="003A0138" w:rsidRDefault="003A0138" w:rsidP="003A0138">
            <w:pPr>
              <w:keepNext/>
              <w:keepLines/>
              <w:spacing w:before="80" w:after="80" w:line="240" w:lineRule="auto"/>
              <w:jc w:val="center"/>
              <w:rPr>
                <w:sz w:val="20"/>
                <w:szCs w:val="20"/>
              </w:rPr>
            </w:pPr>
            <w:r w:rsidRPr="003A0138">
              <w:rPr>
                <w:rFonts w:cs="Calibri"/>
                <w:b/>
                <w:bCs/>
                <w:color w:val="FF0000"/>
                <w:sz w:val="20"/>
                <w:szCs w:val="20"/>
              </w:rPr>
              <w:sym w:font="Wingdings" w:char="F0FC"/>
            </w:r>
          </w:p>
        </w:tc>
      </w:tr>
      <w:tr w:rsidR="003A0138" w:rsidRPr="003A0138" w14:paraId="445736AA" w14:textId="77777777" w:rsidTr="003A0138">
        <w:trPr>
          <w:trHeight w:val="255"/>
          <w:jc w:val="center"/>
        </w:trPr>
        <w:tc>
          <w:tcPr>
            <w:tcW w:w="2250" w:type="dxa"/>
            <w:vMerge/>
          </w:tcPr>
          <w:p w14:paraId="22536D97" w14:textId="77777777" w:rsidR="003A0138" w:rsidRPr="003A0138" w:rsidRDefault="003A0138" w:rsidP="003A0138">
            <w:pPr>
              <w:keepNext/>
              <w:keepLines/>
              <w:spacing w:before="80" w:after="80" w:line="240" w:lineRule="auto"/>
              <w:jc w:val="left"/>
              <w:rPr>
                <w:rFonts w:cs="Calibri"/>
                <w:color w:val="000000"/>
                <w:sz w:val="20"/>
                <w:szCs w:val="20"/>
              </w:rPr>
            </w:pPr>
          </w:p>
        </w:tc>
        <w:tc>
          <w:tcPr>
            <w:tcW w:w="3850" w:type="dxa"/>
            <w:gridSpan w:val="2"/>
          </w:tcPr>
          <w:p w14:paraId="759FFF50" w14:textId="77777777" w:rsidR="003A0138" w:rsidRPr="003A0138" w:rsidRDefault="003A0138" w:rsidP="003A0138">
            <w:pPr>
              <w:keepNext/>
              <w:keepLines/>
              <w:spacing w:before="80" w:after="80" w:line="240" w:lineRule="auto"/>
              <w:jc w:val="left"/>
              <w:rPr>
                <w:rFonts w:cs="Calibri"/>
                <w:sz w:val="20"/>
                <w:szCs w:val="20"/>
              </w:rPr>
            </w:pPr>
            <w:r w:rsidRPr="003A0138">
              <w:rPr>
                <w:rFonts w:cs="Calibri"/>
                <w:sz w:val="20"/>
                <w:szCs w:val="20"/>
              </w:rPr>
              <w:t>Hospital admissions—cardiovascular (age &gt;20)</w:t>
            </w:r>
          </w:p>
        </w:tc>
        <w:tc>
          <w:tcPr>
            <w:tcW w:w="1106" w:type="dxa"/>
            <w:gridSpan w:val="2"/>
          </w:tcPr>
          <w:p w14:paraId="16128884" w14:textId="77777777" w:rsidR="003A0138" w:rsidRPr="003A0138" w:rsidRDefault="003A0138" w:rsidP="003A0138">
            <w:pPr>
              <w:keepNext/>
              <w:keepLines/>
              <w:spacing w:before="80" w:after="80" w:line="240" w:lineRule="auto"/>
              <w:jc w:val="center"/>
              <w:rPr>
                <w:sz w:val="20"/>
                <w:szCs w:val="20"/>
              </w:rPr>
            </w:pPr>
            <w:r w:rsidRPr="003A0138">
              <w:rPr>
                <w:rFonts w:cs="Calibri"/>
                <w:b/>
                <w:bCs/>
                <w:color w:val="FF0000"/>
                <w:sz w:val="20"/>
                <w:szCs w:val="20"/>
              </w:rPr>
              <w:sym w:font="Wingdings" w:char="F0FC"/>
            </w:r>
          </w:p>
        </w:tc>
        <w:tc>
          <w:tcPr>
            <w:tcW w:w="1113" w:type="dxa"/>
            <w:gridSpan w:val="2"/>
          </w:tcPr>
          <w:p w14:paraId="600BEB85" w14:textId="77777777" w:rsidR="003A0138" w:rsidRPr="003A0138" w:rsidRDefault="003A0138" w:rsidP="003A0138">
            <w:pPr>
              <w:keepNext/>
              <w:keepLines/>
              <w:spacing w:before="80" w:after="80" w:line="240" w:lineRule="auto"/>
              <w:jc w:val="center"/>
              <w:rPr>
                <w:sz w:val="20"/>
                <w:szCs w:val="20"/>
              </w:rPr>
            </w:pPr>
            <w:r w:rsidRPr="003A0138">
              <w:rPr>
                <w:rFonts w:cs="Calibri"/>
                <w:b/>
                <w:bCs/>
                <w:color w:val="FF0000"/>
                <w:sz w:val="20"/>
                <w:szCs w:val="20"/>
              </w:rPr>
              <w:sym w:font="Wingdings" w:char="F0FC"/>
            </w:r>
          </w:p>
        </w:tc>
      </w:tr>
      <w:tr w:rsidR="003A0138" w:rsidRPr="003A0138" w14:paraId="72AF8E89" w14:textId="77777777" w:rsidTr="003A0138">
        <w:trPr>
          <w:trHeight w:val="255"/>
          <w:jc w:val="center"/>
        </w:trPr>
        <w:tc>
          <w:tcPr>
            <w:tcW w:w="2250" w:type="dxa"/>
            <w:vMerge/>
          </w:tcPr>
          <w:p w14:paraId="60D9006E" w14:textId="77777777" w:rsidR="003A0138" w:rsidRPr="003A0138" w:rsidRDefault="003A0138" w:rsidP="003A0138">
            <w:pPr>
              <w:keepNext/>
              <w:keepLines/>
              <w:spacing w:before="80" w:after="80" w:line="240" w:lineRule="auto"/>
              <w:jc w:val="left"/>
              <w:rPr>
                <w:rFonts w:cs="Calibri"/>
                <w:color w:val="000000"/>
                <w:sz w:val="20"/>
                <w:szCs w:val="20"/>
              </w:rPr>
            </w:pPr>
          </w:p>
        </w:tc>
        <w:tc>
          <w:tcPr>
            <w:tcW w:w="3850" w:type="dxa"/>
            <w:gridSpan w:val="2"/>
          </w:tcPr>
          <w:p w14:paraId="7FF272A5" w14:textId="77777777" w:rsidR="003A0138" w:rsidRPr="003A0138" w:rsidRDefault="003A0138" w:rsidP="003A0138">
            <w:pPr>
              <w:keepNext/>
              <w:keepLines/>
              <w:spacing w:before="80" w:after="80" w:line="240" w:lineRule="auto"/>
              <w:jc w:val="left"/>
              <w:rPr>
                <w:rFonts w:cs="Calibri"/>
                <w:sz w:val="20"/>
                <w:szCs w:val="20"/>
              </w:rPr>
            </w:pPr>
            <w:r w:rsidRPr="003A0138">
              <w:rPr>
                <w:rFonts w:cs="Calibri"/>
                <w:sz w:val="20"/>
                <w:szCs w:val="20"/>
              </w:rPr>
              <w:t>Emergency department visits for asthma (all ages)</w:t>
            </w:r>
          </w:p>
        </w:tc>
        <w:tc>
          <w:tcPr>
            <w:tcW w:w="1106" w:type="dxa"/>
            <w:gridSpan w:val="2"/>
          </w:tcPr>
          <w:p w14:paraId="1325195B" w14:textId="77777777" w:rsidR="003A0138" w:rsidRPr="003A0138" w:rsidRDefault="003A0138" w:rsidP="003A0138">
            <w:pPr>
              <w:keepNext/>
              <w:keepLines/>
              <w:spacing w:before="80" w:after="80" w:line="240" w:lineRule="auto"/>
              <w:jc w:val="center"/>
              <w:rPr>
                <w:sz w:val="20"/>
                <w:szCs w:val="20"/>
              </w:rPr>
            </w:pPr>
            <w:r w:rsidRPr="003A0138">
              <w:rPr>
                <w:rFonts w:cs="Calibri"/>
                <w:b/>
                <w:bCs/>
                <w:color w:val="FF0000"/>
                <w:sz w:val="20"/>
                <w:szCs w:val="20"/>
              </w:rPr>
              <w:sym w:font="Wingdings" w:char="F0FC"/>
            </w:r>
          </w:p>
        </w:tc>
        <w:tc>
          <w:tcPr>
            <w:tcW w:w="1113" w:type="dxa"/>
            <w:gridSpan w:val="2"/>
          </w:tcPr>
          <w:p w14:paraId="114A83D0" w14:textId="77777777" w:rsidR="003A0138" w:rsidRPr="003A0138" w:rsidRDefault="003A0138" w:rsidP="003A0138">
            <w:pPr>
              <w:keepNext/>
              <w:keepLines/>
              <w:spacing w:before="80" w:after="80" w:line="240" w:lineRule="auto"/>
              <w:jc w:val="center"/>
              <w:rPr>
                <w:sz w:val="20"/>
                <w:szCs w:val="20"/>
              </w:rPr>
            </w:pPr>
            <w:r w:rsidRPr="003A0138">
              <w:rPr>
                <w:rFonts w:cs="Calibri"/>
                <w:b/>
                <w:bCs/>
                <w:color w:val="FF0000"/>
                <w:sz w:val="20"/>
                <w:szCs w:val="20"/>
              </w:rPr>
              <w:sym w:font="Wingdings" w:char="F0FC"/>
            </w:r>
          </w:p>
        </w:tc>
      </w:tr>
      <w:tr w:rsidR="003A0138" w:rsidRPr="003A0138" w14:paraId="27335AE0" w14:textId="77777777" w:rsidTr="003A0138">
        <w:trPr>
          <w:trHeight w:val="255"/>
          <w:jc w:val="center"/>
        </w:trPr>
        <w:tc>
          <w:tcPr>
            <w:tcW w:w="2250" w:type="dxa"/>
            <w:vMerge/>
          </w:tcPr>
          <w:p w14:paraId="53FC2504" w14:textId="77777777" w:rsidR="003A0138" w:rsidRPr="003A0138" w:rsidRDefault="003A0138" w:rsidP="003A0138">
            <w:pPr>
              <w:keepNext/>
              <w:keepLines/>
              <w:spacing w:before="80" w:after="80" w:line="240" w:lineRule="auto"/>
              <w:jc w:val="left"/>
              <w:rPr>
                <w:rFonts w:cs="Calibri"/>
                <w:color w:val="000000"/>
                <w:sz w:val="20"/>
                <w:szCs w:val="20"/>
              </w:rPr>
            </w:pPr>
          </w:p>
        </w:tc>
        <w:tc>
          <w:tcPr>
            <w:tcW w:w="3850" w:type="dxa"/>
            <w:gridSpan w:val="2"/>
          </w:tcPr>
          <w:p w14:paraId="0B24DF0D" w14:textId="77777777" w:rsidR="003A0138" w:rsidRPr="003A0138" w:rsidRDefault="003A0138" w:rsidP="003A0138">
            <w:pPr>
              <w:keepNext/>
              <w:keepLines/>
              <w:spacing w:before="80" w:after="80" w:line="240" w:lineRule="auto"/>
              <w:jc w:val="left"/>
              <w:rPr>
                <w:rFonts w:cs="Calibri"/>
                <w:sz w:val="20"/>
                <w:szCs w:val="20"/>
              </w:rPr>
            </w:pPr>
            <w:r w:rsidRPr="003A0138">
              <w:rPr>
                <w:rFonts w:cs="Calibri"/>
                <w:sz w:val="20"/>
                <w:szCs w:val="20"/>
              </w:rPr>
              <w:t>Acute bronchitis (age 8</w:t>
            </w:r>
            <w:r w:rsidRPr="003A0138">
              <w:rPr>
                <w:rFonts w:cs="Calibri"/>
                <w:color w:val="000000"/>
                <w:sz w:val="20"/>
                <w:szCs w:val="20"/>
              </w:rPr>
              <w:t>–</w:t>
            </w:r>
            <w:r w:rsidRPr="003A0138">
              <w:rPr>
                <w:rFonts w:cs="Calibri"/>
                <w:sz w:val="20"/>
                <w:szCs w:val="20"/>
              </w:rPr>
              <w:t>12)</w:t>
            </w:r>
          </w:p>
        </w:tc>
        <w:tc>
          <w:tcPr>
            <w:tcW w:w="1106" w:type="dxa"/>
            <w:gridSpan w:val="2"/>
          </w:tcPr>
          <w:p w14:paraId="208DABF9" w14:textId="77777777" w:rsidR="003A0138" w:rsidRPr="003A0138" w:rsidRDefault="003A0138" w:rsidP="003A0138">
            <w:pPr>
              <w:keepNext/>
              <w:keepLines/>
              <w:spacing w:before="80" w:after="80" w:line="240" w:lineRule="auto"/>
              <w:jc w:val="center"/>
              <w:rPr>
                <w:sz w:val="20"/>
                <w:szCs w:val="20"/>
              </w:rPr>
            </w:pPr>
            <w:r w:rsidRPr="003A0138">
              <w:rPr>
                <w:rFonts w:cs="Calibri"/>
                <w:b/>
                <w:bCs/>
                <w:color w:val="FF0000"/>
                <w:sz w:val="20"/>
                <w:szCs w:val="20"/>
              </w:rPr>
              <w:sym w:font="Wingdings" w:char="F0FC"/>
            </w:r>
          </w:p>
        </w:tc>
        <w:tc>
          <w:tcPr>
            <w:tcW w:w="1113" w:type="dxa"/>
            <w:gridSpan w:val="2"/>
          </w:tcPr>
          <w:p w14:paraId="760B3669" w14:textId="77777777" w:rsidR="003A0138" w:rsidRPr="003A0138" w:rsidRDefault="003A0138" w:rsidP="003A0138">
            <w:pPr>
              <w:keepNext/>
              <w:keepLines/>
              <w:spacing w:before="80" w:after="80" w:line="240" w:lineRule="auto"/>
              <w:jc w:val="center"/>
              <w:rPr>
                <w:sz w:val="20"/>
                <w:szCs w:val="20"/>
              </w:rPr>
            </w:pPr>
            <w:r w:rsidRPr="003A0138">
              <w:rPr>
                <w:rFonts w:cs="Calibri"/>
                <w:b/>
                <w:bCs/>
                <w:color w:val="FF0000"/>
                <w:sz w:val="20"/>
                <w:szCs w:val="20"/>
              </w:rPr>
              <w:sym w:font="Wingdings" w:char="F0FC"/>
            </w:r>
          </w:p>
        </w:tc>
      </w:tr>
      <w:tr w:rsidR="003A0138" w:rsidRPr="003A0138" w14:paraId="44584C43" w14:textId="77777777" w:rsidTr="003A0138">
        <w:trPr>
          <w:trHeight w:val="255"/>
          <w:jc w:val="center"/>
        </w:trPr>
        <w:tc>
          <w:tcPr>
            <w:tcW w:w="2250" w:type="dxa"/>
            <w:vMerge/>
          </w:tcPr>
          <w:p w14:paraId="7831F93F" w14:textId="77777777" w:rsidR="003A0138" w:rsidRPr="003A0138" w:rsidRDefault="003A0138" w:rsidP="003A0138">
            <w:pPr>
              <w:keepNext/>
              <w:keepLines/>
              <w:spacing w:before="80" w:after="80" w:line="240" w:lineRule="auto"/>
              <w:jc w:val="left"/>
              <w:rPr>
                <w:rFonts w:cs="Calibri"/>
                <w:color w:val="000000"/>
                <w:sz w:val="20"/>
                <w:szCs w:val="20"/>
              </w:rPr>
            </w:pPr>
          </w:p>
        </w:tc>
        <w:tc>
          <w:tcPr>
            <w:tcW w:w="3850" w:type="dxa"/>
            <w:gridSpan w:val="2"/>
            <w:tcBorders>
              <w:bottom w:val="single" w:sz="4" w:space="0" w:color="auto"/>
            </w:tcBorders>
          </w:tcPr>
          <w:p w14:paraId="3033D6BB" w14:textId="77777777" w:rsidR="003A0138" w:rsidRPr="003A0138" w:rsidRDefault="003A0138" w:rsidP="003A0138">
            <w:pPr>
              <w:keepNext/>
              <w:keepLines/>
              <w:spacing w:before="80" w:after="80" w:line="240" w:lineRule="auto"/>
              <w:jc w:val="left"/>
              <w:rPr>
                <w:rFonts w:cs="Calibri"/>
                <w:sz w:val="20"/>
                <w:szCs w:val="20"/>
              </w:rPr>
            </w:pPr>
            <w:r w:rsidRPr="003A0138">
              <w:rPr>
                <w:rFonts w:cs="Calibri"/>
                <w:sz w:val="20"/>
                <w:szCs w:val="20"/>
              </w:rPr>
              <w:t>Lower respiratory symptoms (age 7</w:t>
            </w:r>
            <w:r w:rsidRPr="003A0138">
              <w:rPr>
                <w:rFonts w:cs="Calibri"/>
                <w:color w:val="000000"/>
                <w:sz w:val="20"/>
                <w:szCs w:val="20"/>
              </w:rPr>
              <w:t>–</w:t>
            </w:r>
            <w:r w:rsidRPr="003A0138">
              <w:rPr>
                <w:rFonts w:cs="Calibri"/>
                <w:sz w:val="20"/>
                <w:szCs w:val="20"/>
              </w:rPr>
              <w:t>14)</w:t>
            </w:r>
          </w:p>
        </w:tc>
        <w:tc>
          <w:tcPr>
            <w:tcW w:w="1106" w:type="dxa"/>
            <w:gridSpan w:val="2"/>
            <w:tcBorders>
              <w:bottom w:val="single" w:sz="4" w:space="0" w:color="auto"/>
            </w:tcBorders>
          </w:tcPr>
          <w:p w14:paraId="4FC18CB0" w14:textId="77777777" w:rsidR="003A0138" w:rsidRPr="003A0138" w:rsidRDefault="003A0138" w:rsidP="003A0138">
            <w:pPr>
              <w:keepNext/>
              <w:keepLines/>
              <w:spacing w:before="80" w:after="80" w:line="240" w:lineRule="auto"/>
              <w:jc w:val="center"/>
              <w:rPr>
                <w:sz w:val="20"/>
                <w:szCs w:val="20"/>
              </w:rPr>
            </w:pPr>
            <w:r w:rsidRPr="003A0138">
              <w:rPr>
                <w:rFonts w:cs="Calibri"/>
                <w:b/>
                <w:bCs/>
                <w:color w:val="FF0000"/>
                <w:sz w:val="20"/>
                <w:szCs w:val="20"/>
              </w:rPr>
              <w:sym w:font="Wingdings" w:char="F0FC"/>
            </w:r>
          </w:p>
        </w:tc>
        <w:tc>
          <w:tcPr>
            <w:tcW w:w="1113" w:type="dxa"/>
            <w:gridSpan w:val="2"/>
            <w:tcBorders>
              <w:bottom w:val="single" w:sz="4" w:space="0" w:color="auto"/>
            </w:tcBorders>
          </w:tcPr>
          <w:p w14:paraId="4F3F2416" w14:textId="77777777" w:rsidR="003A0138" w:rsidRPr="003A0138" w:rsidRDefault="003A0138" w:rsidP="003A0138">
            <w:pPr>
              <w:keepNext/>
              <w:keepLines/>
              <w:spacing w:before="80" w:after="80" w:line="240" w:lineRule="auto"/>
              <w:jc w:val="center"/>
              <w:rPr>
                <w:sz w:val="20"/>
                <w:szCs w:val="20"/>
              </w:rPr>
            </w:pPr>
            <w:r w:rsidRPr="003A0138">
              <w:rPr>
                <w:rFonts w:cs="Calibri"/>
                <w:b/>
                <w:bCs/>
                <w:color w:val="FF0000"/>
                <w:sz w:val="20"/>
                <w:szCs w:val="20"/>
              </w:rPr>
              <w:sym w:font="Wingdings" w:char="F0FC"/>
            </w:r>
          </w:p>
        </w:tc>
      </w:tr>
      <w:tr w:rsidR="003A0138" w:rsidRPr="003A0138" w14:paraId="638C3641" w14:textId="77777777" w:rsidTr="003A0138">
        <w:trPr>
          <w:trHeight w:val="255"/>
          <w:jc w:val="center"/>
        </w:trPr>
        <w:tc>
          <w:tcPr>
            <w:tcW w:w="2250" w:type="dxa"/>
            <w:vMerge/>
          </w:tcPr>
          <w:p w14:paraId="0A72923D" w14:textId="77777777" w:rsidR="003A0138" w:rsidRPr="003A0138" w:rsidRDefault="003A0138" w:rsidP="003A0138">
            <w:pPr>
              <w:keepNext/>
              <w:keepLines/>
              <w:spacing w:before="80" w:after="80" w:line="240" w:lineRule="auto"/>
              <w:jc w:val="left"/>
              <w:rPr>
                <w:rFonts w:cs="Calibri"/>
                <w:color w:val="000000"/>
                <w:sz w:val="20"/>
                <w:szCs w:val="20"/>
              </w:rPr>
            </w:pPr>
          </w:p>
        </w:tc>
        <w:tc>
          <w:tcPr>
            <w:tcW w:w="3850" w:type="dxa"/>
            <w:gridSpan w:val="2"/>
          </w:tcPr>
          <w:p w14:paraId="6860F737" w14:textId="77777777" w:rsidR="003A0138" w:rsidRPr="003A0138" w:rsidRDefault="003A0138" w:rsidP="003A0138">
            <w:pPr>
              <w:keepNext/>
              <w:keepLines/>
              <w:spacing w:before="80" w:after="80" w:line="240" w:lineRule="auto"/>
              <w:jc w:val="left"/>
              <w:rPr>
                <w:rFonts w:cs="Calibri"/>
                <w:sz w:val="20"/>
                <w:szCs w:val="20"/>
              </w:rPr>
            </w:pPr>
            <w:r w:rsidRPr="003A0138">
              <w:rPr>
                <w:rFonts w:cs="Calibri"/>
                <w:sz w:val="20"/>
                <w:szCs w:val="20"/>
              </w:rPr>
              <w:t>Upper respiratory symptoms (asthmatics age 9–11)</w:t>
            </w:r>
          </w:p>
        </w:tc>
        <w:tc>
          <w:tcPr>
            <w:tcW w:w="1106" w:type="dxa"/>
            <w:gridSpan w:val="2"/>
          </w:tcPr>
          <w:p w14:paraId="6AF8D6A3" w14:textId="77777777" w:rsidR="003A0138" w:rsidRPr="003A0138" w:rsidRDefault="003A0138" w:rsidP="003A0138">
            <w:pPr>
              <w:keepNext/>
              <w:keepLines/>
              <w:spacing w:before="80" w:after="80" w:line="240" w:lineRule="auto"/>
              <w:jc w:val="center"/>
              <w:rPr>
                <w:sz w:val="20"/>
                <w:szCs w:val="20"/>
              </w:rPr>
            </w:pPr>
            <w:r w:rsidRPr="003A0138">
              <w:rPr>
                <w:rFonts w:cs="Calibri"/>
                <w:b/>
                <w:bCs/>
                <w:color w:val="FF0000"/>
                <w:sz w:val="20"/>
                <w:szCs w:val="20"/>
              </w:rPr>
              <w:sym w:font="Wingdings" w:char="F0FC"/>
            </w:r>
          </w:p>
        </w:tc>
        <w:tc>
          <w:tcPr>
            <w:tcW w:w="1113" w:type="dxa"/>
            <w:gridSpan w:val="2"/>
          </w:tcPr>
          <w:p w14:paraId="674F2D5D" w14:textId="77777777" w:rsidR="003A0138" w:rsidRPr="003A0138" w:rsidRDefault="003A0138" w:rsidP="003A0138">
            <w:pPr>
              <w:keepNext/>
              <w:keepLines/>
              <w:spacing w:before="80" w:after="80" w:line="240" w:lineRule="auto"/>
              <w:jc w:val="center"/>
              <w:rPr>
                <w:sz w:val="20"/>
                <w:szCs w:val="20"/>
              </w:rPr>
            </w:pPr>
            <w:r w:rsidRPr="003A0138">
              <w:rPr>
                <w:rFonts w:cs="Calibri"/>
                <w:b/>
                <w:bCs/>
                <w:color w:val="FF0000"/>
                <w:sz w:val="20"/>
                <w:szCs w:val="20"/>
              </w:rPr>
              <w:sym w:font="Wingdings" w:char="F0FC"/>
            </w:r>
          </w:p>
        </w:tc>
      </w:tr>
      <w:tr w:rsidR="003A0138" w:rsidRPr="003A0138" w14:paraId="30EDFC9E" w14:textId="77777777" w:rsidTr="003A0138">
        <w:trPr>
          <w:trHeight w:val="300"/>
          <w:jc w:val="center"/>
        </w:trPr>
        <w:tc>
          <w:tcPr>
            <w:tcW w:w="2250" w:type="dxa"/>
            <w:vMerge/>
          </w:tcPr>
          <w:p w14:paraId="150A43EB" w14:textId="77777777" w:rsidR="003A0138" w:rsidRPr="003A0138" w:rsidRDefault="003A0138" w:rsidP="003A0138">
            <w:pPr>
              <w:keepNext/>
              <w:keepLines/>
              <w:spacing w:before="80" w:after="80" w:line="240" w:lineRule="auto"/>
              <w:jc w:val="left"/>
              <w:rPr>
                <w:rFonts w:cs="Calibri"/>
                <w:color w:val="000000"/>
                <w:sz w:val="20"/>
                <w:szCs w:val="20"/>
              </w:rPr>
            </w:pPr>
          </w:p>
        </w:tc>
        <w:tc>
          <w:tcPr>
            <w:tcW w:w="3850" w:type="dxa"/>
            <w:gridSpan w:val="2"/>
          </w:tcPr>
          <w:p w14:paraId="45DC3BDA" w14:textId="77777777" w:rsidR="003A0138" w:rsidRPr="003A0138" w:rsidRDefault="003A0138" w:rsidP="003A0138">
            <w:pPr>
              <w:keepNext/>
              <w:keepLines/>
              <w:spacing w:before="80" w:after="80" w:line="240" w:lineRule="auto"/>
              <w:jc w:val="left"/>
              <w:rPr>
                <w:rFonts w:cs="Calibri"/>
                <w:sz w:val="20"/>
                <w:szCs w:val="20"/>
              </w:rPr>
            </w:pPr>
            <w:r w:rsidRPr="003A0138">
              <w:rPr>
                <w:rFonts w:cs="Calibri"/>
                <w:sz w:val="20"/>
                <w:szCs w:val="20"/>
              </w:rPr>
              <w:t>Asthma exacerbation (asthmatics age 6–18)</w:t>
            </w:r>
          </w:p>
        </w:tc>
        <w:tc>
          <w:tcPr>
            <w:tcW w:w="1106" w:type="dxa"/>
            <w:gridSpan w:val="2"/>
          </w:tcPr>
          <w:p w14:paraId="2CF0FDDA" w14:textId="77777777" w:rsidR="003A0138" w:rsidRPr="003A0138" w:rsidRDefault="003A0138" w:rsidP="003A0138">
            <w:pPr>
              <w:keepNext/>
              <w:keepLines/>
              <w:spacing w:before="80" w:after="80" w:line="240" w:lineRule="auto"/>
              <w:jc w:val="center"/>
              <w:rPr>
                <w:rFonts w:cs="Calibri"/>
                <w:b/>
                <w:bCs/>
                <w:color w:val="FF0000"/>
                <w:sz w:val="20"/>
                <w:szCs w:val="20"/>
              </w:rPr>
            </w:pPr>
            <w:r w:rsidRPr="003A0138">
              <w:rPr>
                <w:rFonts w:cs="Calibri"/>
                <w:b/>
                <w:bCs/>
                <w:color w:val="FF0000"/>
                <w:sz w:val="20"/>
                <w:szCs w:val="20"/>
              </w:rPr>
              <w:sym w:font="Wingdings" w:char="F0FC"/>
            </w:r>
          </w:p>
        </w:tc>
        <w:tc>
          <w:tcPr>
            <w:tcW w:w="1113" w:type="dxa"/>
            <w:gridSpan w:val="2"/>
          </w:tcPr>
          <w:p w14:paraId="34475E00" w14:textId="77777777" w:rsidR="003A0138" w:rsidRPr="003A0138" w:rsidRDefault="003A0138" w:rsidP="003A0138">
            <w:pPr>
              <w:keepNext/>
              <w:keepLines/>
              <w:spacing w:before="80" w:after="80" w:line="240" w:lineRule="auto"/>
              <w:jc w:val="center"/>
              <w:rPr>
                <w:rFonts w:cs="Calibri"/>
                <w:b/>
                <w:bCs/>
                <w:color w:val="FF0000"/>
                <w:sz w:val="20"/>
                <w:szCs w:val="20"/>
              </w:rPr>
            </w:pPr>
            <w:r w:rsidRPr="003A0138">
              <w:rPr>
                <w:rFonts w:cs="Calibri"/>
                <w:b/>
                <w:bCs/>
                <w:color w:val="FF0000"/>
                <w:sz w:val="20"/>
                <w:szCs w:val="20"/>
              </w:rPr>
              <w:sym w:font="Wingdings" w:char="F0FC"/>
            </w:r>
          </w:p>
        </w:tc>
      </w:tr>
      <w:tr w:rsidR="003A0138" w:rsidRPr="003A0138" w14:paraId="43887612" w14:textId="77777777" w:rsidTr="003A0138">
        <w:trPr>
          <w:trHeight w:val="300"/>
          <w:jc w:val="center"/>
        </w:trPr>
        <w:tc>
          <w:tcPr>
            <w:tcW w:w="2250" w:type="dxa"/>
            <w:vMerge/>
          </w:tcPr>
          <w:p w14:paraId="35011257" w14:textId="77777777" w:rsidR="003A0138" w:rsidRPr="003A0138" w:rsidRDefault="003A0138" w:rsidP="003A0138">
            <w:pPr>
              <w:keepNext/>
              <w:keepLines/>
              <w:spacing w:before="80" w:after="80" w:line="240" w:lineRule="auto"/>
              <w:jc w:val="left"/>
              <w:rPr>
                <w:rFonts w:cs="Calibri"/>
                <w:color w:val="000000"/>
                <w:sz w:val="20"/>
                <w:szCs w:val="20"/>
              </w:rPr>
            </w:pPr>
          </w:p>
        </w:tc>
        <w:tc>
          <w:tcPr>
            <w:tcW w:w="3850" w:type="dxa"/>
            <w:gridSpan w:val="2"/>
          </w:tcPr>
          <w:p w14:paraId="05295E63" w14:textId="77777777" w:rsidR="003A0138" w:rsidRPr="003A0138" w:rsidRDefault="003A0138" w:rsidP="003A0138">
            <w:pPr>
              <w:keepNext/>
              <w:keepLines/>
              <w:spacing w:before="80" w:after="80" w:line="240" w:lineRule="auto"/>
              <w:jc w:val="left"/>
              <w:rPr>
                <w:rFonts w:cs="Calibri"/>
                <w:sz w:val="20"/>
                <w:szCs w:val="20"/>
              </w:rPr>
            </w:pPr>
            <w:r w:rsidRPr="003A0138">
              <w:rPr>
                <w:rFonts w:cs="Calibri"/>
                <w:sz w:val="20"/>
                <w:szCs w:val="20"/>
              </w:rPr>
              <w:t>Lost work days (age 18–65)</w:t>
            </w:r>
          </w:p>
        </w:tc>
        <w:tc>
          <w:tcPr>
            <w:tcW w:w="1106" w:type="dxa"/>
            <w:gridSpan w:val="2"/>
          </w:tcPr>
          <w:p w14:paraId="1F16BA15" w14:textId="77777777" w:rsidR="003A0138" w:rsidRPr="003A0138" w:rsidRDefault="003A0138" w:rsidP="003A0138">
            <w:pPr>
              <w:keepNext/>
              <w:keepLines/>
              <w:spacing w:before="80" w:after="80" w:line="240" w:lineRule="auto"/>
              <w:jc w:val="center"/>
              <w:rPr>
                <w:rFonts w:cs="Calibri"/>
                <w:b/>
                <w:bCs/>
                <w:color w:val="FF0000"/>
                <w:sz w:val="20"/>
                <w:szCs w:val="20"/>
              </w:rPr>
            </w:pPr>
            <w:r w:rsidRPr="003A0138">
              <w:rPr>
                <w:rFonts w:cs="Calibri"/>
                <w:b/>
                <w:bCs/>
                <w:color w:val="FF0000"/>
                <w:sz w:val="20"/>
                <w:szCs w:val="20"/>
              </w:rPr>
              <w:sym w:font="Wingdings" w:char="F0FC"/>
            </w:r>
          </w:p>
        </w:tc>
        <w:tc>
          <w:tcPr>
            <w:tcW w:w="1113" w:type="dxa"/>
            <w:gridSpan w:val="2"/>
          </w:tcPr>
          <w:p w14:paraId="45ED815C" w14:textId="77777777" w:rsidR="003A0138" w:rsidRPr="003A0138" w:rsidRDefault="003A0138" w:rsidP="003A0138">
            <w:pPr>
              <w:keepNext/>
              <w:keepLines/>
              <w:spacing w:before="80" w:after="80" w:line="240" w:lineRule="auto"/>
              <w:jc w:val="center"/>
              <w:rPr>
                <w:rFonts w:cs="Calibri"/>
                <w:b/>
                <w:bCs/>
                <w:color w:val="FF0000"/>
                <w:sz w:val="20"/>
                <w:szCs w:val="20"/>
              </w:rPr>
            </w:pPr>
            <w:r w:rsidRPr="003A0138">
              <w:rPr>
                <w:rFonts w:cs="Calibri"/>
                <w:b/>
                <w:bCs/>
                <w:color w:val="FF0000"/>
                <w:sz w:val="20"/>
                <w:szCs w:val="20"/>
              </w:rPr>
              <w:sym w:font="Wingdings" w:char="F0FC"/>
            </w:r>
          </w:p>
        </w:tc>
      </w:tr>
      <w:tr w:rsidR="003A0138" w:rsidRPr="003A0138" w14:paraId="5B225BC1" w14:textId="77777777" w:rsidTr="003A0138">
        <w:trPr>
          <w:trHeight w:val="300"/>
          <w:jc w:val="center"/>
        </w:trPr>
        <w:tc>
          <w:tcPr>
            <w:tcW w:w="2250" w:type="dxa"/>
            <w:vMerge/>
          </w:tcPr>
          <w:p w14:paraId="65266D99" w14:textId="77777777" w:rsidR="003A0138" w:rsidRPr="003A0138" w:rsidRDefault="003A0138" w:rsidP="003A0138">
            <w:pPr>
              <w:keepNext/>
              <w:keepLines/>
              <w:spacing w:before="80" w:after="80" w:line="240" w:lineRule="auto"/>
              <w:jc w:val="left"/>
              <w:rPr>
                <w:rFonts w:cs="Calibri"/>
                <w:color w:val="000000"/>
                <w:sz w:val="20"/>
                <w:szCs w:val="20"/>
              </w:rPr>
            </w:pPr>
          </w:p>
        </w:tc>
        <w:tc>
          <w:tcPr>
            <w:tcW w:w="3850" w:type="dxa"/>
            <w:gridSpan w:val="2"/>
          </w:tcPr>
          <w:p w14:paraId="0E47775A" w14:textId="77777777" w:rsidR="003A0138" w:rsidRPr="003A0138" w:rsidRDefault="003A0138" w:rsidP="003A0138">
            <w:pPr>
              <w:keepNext/>
              <w:keepLines/>
              <w:spacing w:before="80" w:after="80" w:line="240" w:lineRule="auto"/>
              <w:jc w:val="left"/>
              <w:rPr>
                <w:rFonts w:cs="Calibri"/>
                <w:sz w:val="20"/>
                <w:szCs w:val="20"/>
              </w:rPr>
            </w:pPr>
            <w:r w:rsidRPr="003A0138">
              <w:rPr>
                <w:rFonts w:cs="Calibri"/>
                <w:sz w:val="20"/>
                <w:szCs w:val="20"/>
              </w:rPr>
              <w:t>Minor restricted-activity days (age 18–65)</w:t>
            </w:r>
          </w:p>
        </w:tc>
        <w:tc>
          <w:tcPr>
            <w:tcW w:w="1106" w:type="dxa"/>
            <w:gridSpan w:val="2"/>
          </w:tcPr>
          <w:p w14:paraId="66BA7955" w14:textId="77777777" w:rsidR="003A0138" w:rsidRPr="003A0138" w:rsidRDefault="003A0138" w:rsidP="003A0138">
            <w:pPr>
              <w:keepNext/>
              <w:keepLines/>
              <w:spacing w:before="80" w:after="80" w:line="240" w:lineRule="auto"/>
              <w:jc w:val="center"/>
              <w:rPr>
                <w:sz w:val="20"/>
                <w:szCs w:val="20"/>
              </w:rPr>
            </w:pPr>
            <w:r w:rsidRPr="003A0138">
              <w:rPr>
                <w:rFonts w:cs="Calibri"/>
                <w:b/>
                <w:bCs/>
                <w:color w:val="FF0000"/>
                <w:sz w:val="20"/>
                <w:szCs w:val="20"/>
              </w:rPr>
              <w:sym w:font="Wingdings" w:char="F0FC"/>
            </w:r>
          </w:p>
        </w:tc>
        <w:tc>
          <w:tcPr>
            <w:tcW w:w="1113" w:type="dxa"/>
            <w:gridSpan w:val="2"/>
          </w:tcPr>
          <w:p w14:paraId="1ACD9037" w14:textId="77777777" w:rsidR="003A0138" w:rsidRPr="003A0138" w:rsidRDefault="003A0138" w:rsidP="003A0138">
            <w:pPr>
              <w:keepNext/>
              <w:keepLines/>
              <w:spacing w:before="80" w:after="80" w:line="240" w:lineRule="auto"/>
              <w:jc w:val="center"/>
              <w:rPr>
                <w:sz w:val="20"/>
                <w:szCs w:val="20"/>
              </w:rPr>
            </w:pPr>
            <w:r w:rsidRPr="003A0138">
              <w:rPr>
                <w:rFonts w:cs="Calibri"/>
                <w:b/>
                <w:bCs/>
                <w:color w:val="FF0000"/>
                <w:sz w:val="20"/>
                <w:szCs w:val="20"/>
              </w:rPr>
              <w:sym w:font="Wingdings" w:char="F0FC"/>
            </w:r>
          </w:p>
        </w:tc>
      </w:tr>
      <w:tr w:rsidR="003A0138" w:rsidRPr="003A0138" w14:paraId="5AE3165A" w14:textId="77777777" w:rsidTr="003A0138">
        <w:trPr>
          <w:trHeight w:val="300"/>
          <w:jc w:val="center"/>
        </w:trPr>
        <w:tc>
          <w:tcPr>
            <w:tcW w:w="2250" w:type="dxa"/>
            <w:vMerge/>
          </w:tcPr>
          <w:p w14:paraId="5026E9C8" w14:textId="77777777" w:rsidR="003A0138" w:rsidRPr="003A0138" w:rsidRDefault="003A0138" w:rsidP="003A0138">
            <w:pPr>
              <w:keepNext/>
              <w:keepLines/>
              <w:spacing w:before="80" w:after="80" w:line="240" w:lineRule="auto"/>
              <w:jc w:val="left"/>
              <w:rPr>
                <w:rFonts w:cs="Calibri"/>
                <w:color w:val="000000"/>
                <w:sz w:val="20"/>
                <w:szCs w:val="20"/>
              </w:rPr>
            </w:pPr>
          </w:p>
        </w:tc>
        <w:tc>
          <w:tcPr>
            <w:tcW w:w="3850" w:type="dxa"/>
            <w:gridSpan w:val="2"/>
          </w:tcPr>
          <w:p w14:paraId="7FE3825B" w14:textId="77777777" w:rsidR="003A0138" w:rsidRPr="003A0138" w:rsidRDefault="003A0138" w:rsidP="003A0138">
            <w:pPr>
              <w:keepNext/>
              <w:keepLines/>
              <w:spacing w:before="80" w:after="80" w:line="240" w:lineRule="auto"/>
              <w:jc w:val="left"/>
              <w:rPr>
                <w:rFonts w:cs="Calibri"/>
                <w:sz w:val="20"/>
                <w:szCs w:val="20"/>
              </w:rPr>
            </w:pPr>
            <w:r w:rsidRPr="003A0138">
              <w:rPr>
                <w:rFonts w:cs="Calibri"/>
                <w:sz w:val="20"/>
                <w:szCs w:val="20"/>
              </w:rPr>
              <w:t>Chronic Bronchitis (age &gt;26)</w:t>
            </w:r>
          </w:p>
        </w:tc>
        <w:tc>
          <w:tcPr>
            <w:tcW w:w="1106" w:type="dxa"/>
            <w:gridSpan w:val="2"/>
          </w:tcPr>
          <w:p w14:paraId="560CE20E" w14:textId="77777777" w:rsidR="003A0138" w:rsidRPr="003A0138" w:rsidRDefault="003A0138" w:rsidP="003A0138">
            <w:pPr>
              <w:keepNext/>
              <w:keepLines/>
              <w:spacing w:before="80" w:after="80" w:line="240" w:lineRule="auto"/>
              <w:jc w:val="center"/>
              <w:rPr>
                <w:rFonts w:cs="Calibri"/>
                <w:sz w:val="20"/>
                <w:szCs w:val="20"/>
              </w:rPr>
            </w:pPr>
            <w:r w:rsidRPr="003A0138">
              <w:rPr>
                <w:rFonts w:cs="Calibri"/>
                <w:sz w:val="20"/>
                <w:szCs w:val="20"/>
              </w:rPr>
              <w:t>—</w:t>
            </w:r>
          </w:p>
        </w:tc>
        <w:tc>
          <w:tcPr>
            <w:tcW w:w="1113" w:type="dxa"/>
            <w:gridSpan w:val="2"/>
          </w:tcPr>
          <w:p w14:paraId="47491CCF" w14:textId="77777777" w:rsidR="003A0138" w:rsidRPr="003A0138" w:rsidRDefault="003A0138" w:rsidP="003A0138">
            <w:pPr>
              <w:keepNext/>
              <w:keepLines/>
              <w:spacing w:before="80" w:after="80" w:line="240" w:lineRule="auto"/>
              <w:jc w:val="center"/>
              <w:rPr>
                <w:rFonts w:cs="Calibri"/>
                <w:sz w:val="20"/>
                <w:szCs w:val="20"/>
              </w:rPr>
            </w:pPr>
            <w:r w:rsidRPr="003A0138">
              <w:rPr>
                <w:rFonts w:cs="Calibri"/>
                <w:sz w:val="20"/>
                <w:szCs w:val="20"/>
              </w:rPr>
              <w:t>—</w:t>
            </w:r>
          </w:p>
        </w:tc>
      </w:tr>
      <w:tr w:rsidR="003A0138" w:rsidRPr="003A0138" w14:paraId="7CC5FC22" w14:textId="77777777" w:rsidTr="003A0138">
        <w:trPr>
          <w:trHeight w:val="300"/>
          <w:jc w:val="center"/>
        </w:trPr>
        <w:tc>
          <w:tcPr>
            <w:tcW w:w="2250" w:type="dxa"/>
            <w:vMerge/>
          </w:tcPr>
          <w:p w14:paraId="54DD5CC7" w14:textId="77777777" w:rsidR="003A0138" w:rsidRPr="003A0138" w:rsidRDefault="003A0138" w:rsidP="003A0138">
            <w:pPr>
              <w:keepNext/>
              <w:keepLines/>
              <w:spacing w:before="80" w:after="80" w:line="240" w:lineRule="auto"/>
              <w:jc w:val="left"/>
              <w:rPr>
                <w:rFonts w:cs="Calibri"/>
                <w:color w:val="000000"/>
                <w:sz w:val="20"/>
                <w:szCs w:val="20"/>
              </w:rPr>
            </w:pPr>
          </w:p>
        </w:tc>
        <w:tc>
          <w:tcPr>
            <w:tcW w:w="3850" w:type="dxa"/>
            <w:gridSpan w:val="2"/>
          </w:tcPr>
          <w:p w14:paraId="4B3D0F37" w14:textId="77777777" w:rsidR="003A0138" w:rsidRPr="003A0138" w:rsidRDefault="003A0138" w:rsidP="003A0138">
            <w:pPr>
              <w:keepNext/>
              <w:keepLines/>
              <w:spacing w:before="80" w:after="80" w:line="240" w:lineRule="auto"/>
              <w:jc w:val="left"/>
              <w:rPr>
                <w:rFonts w:cs="Calibri"/>
                <w:sz w:val="20"/>
                <w:szCs w:val="20"/>
              </w:rPr>
            </w:pPr>
            <w:r w:rsidRPr="003A0138">
              <w:rPr>
                <w:rFonts w:cs="Calibri"/>
                <w:sz w:val="20"/>
                <w:szCs w:val="20"/>
              </w:rPr>
              <w:t>Emergency department visits for cardiovascular effects (all ages)</w:t>
            </w:r>
          </w:p>
        </w:tc>
        <w:tc>
          <w:tcPr>
            <w:tcW w:w="1106" w:type="dxa"/>
            <w:gridSpan w:val="2"/>
          </w:tcPr>
          <w:p w14:paraId="007D916B" w14:textId="77777777" w:rsidR="003A0138" w:rsidRPr="003A0138" w:rsidRDefault="003A0138" w:rsidP="003A0138">
            <w:pPr>
              <w:keepNext/>
              <w:keepLines/>
              <w:spacing w:before="80" w:after="80" w:line="240" w:lineRule="auto"/>
              <w:jc w:val="center"/>
              <w:rPr>
                <w:rFonts w:cs="Calibri"/>
                <w:sz w:val="20"/>
                <w:szCs w:val="20"/>
              </w:rPr>
            </w:pPr>
            <w:r w:rsidRPr="003A0138">
              <w:rPr>
                <w:rFonts w:cs="Calibri"/>
                <w:sz w:val="20"/>
                <w:szCs w:val="20"/>
              </w:rPr>
              <w:t>—</w:t>
            </w:r>
          </w:p>
        </w:tc>
        <w:tc>
          <w:tcPr>
            <w:tcW w:w="1113" w:type="dxa"/>
            <w:gridSpan w:val="2"/>
          </w:tcPr>
          <w:p w14:paraId="6C406094" w14:textId="77777777" w:rsidR="003A0138" w:rsidRPr="003A0138" w:rsidRDefault="003A0138" w:rsidP="003A0138">
            <w:pPr>
              <w:keepNext/>
              <w:keepLines/>
              <w:spacing w:before="80" w:after="80" w:line="240" w:lineRule="auto"/>
              <w:jc w:val="center"/>
              <w:rPr>
                <w:rFonts w:cs="Calibri"/>
                <w:sz w:val="20"/>
                <w:szCs w:val="20"/>
              </w:rPr>
            </w:pPr>
            <w:r w:rsidRPr="003A0138">
              <w:rPr>
                <w:rFonts w:cs="Calibri"/>
                <w:sz w:val="20"/>
                <w:szCs w:val="20"/>
              </w:rPr>
              <w:t>—</w:t>
            </w:r>
          </w:p>
        </w:tc>
      </w:tr>
      <w:tr w:rsidR="003A0138" w:rsidRPr="003A0138" w14:paraId="01258644" w14:textId="77777777" w:rsidTr="003A0138">
        <w:trPr>
          <w:trHeight w:val="300"/>
          <w:jc w:val="center"/>
        </w:trPr>
        <w:tc>
          <w:tcPr>
            <w:tcW w:w="2250" w:type="dxa"/>
            <w:vMerge/>
          </w:tcPr>
          <w:p w14:paraId="52669F29" w14:textId="77777777" w:rsidR="003A0138" w:rsidRPr="003A0138" w:rsidRDefault="003A0138" w:rsidP="003A0138">
            <w:pPr>
              <w:keepNext/>
              <w:keepLines/>
              <w:spacing w:before="80" w:after="80" w:line="240" w:lineRule="auto"/>
              <w:jc w:val="left"/>
              <w:rPr>
                <w:rFonts w:cs="Calibri"/>
                <w:color w:val="000000"/>
                <w:sz w:val="20"/>
                <w:szCs w:val="20"/>
              </w:rPr>
            </w:pPr>
          </w:p>
        </w:tc>
        <w:tc>
          <w:tcPr>
            <w:tcW w:w="3850" w:type="dxa"/>
            <w:gridSpan w:val="2"/>
          </w:tcPr>
          <w:p w14:paraId="45F4B6A5" w14:textId="77777777" w:rsidR="003A0138" w:rsidRPr="003A0138" w:rsidRDefault="003A0138" w:rsidP="003A0138">
            <w:pPr>
              <w:keepNext/>
              <w:keepLines/>
              <w:spacing w:before="80" w:after="80" w:line="240" w:lineRule="auto"/>
              <w:jc w:val="left"/>
              <w:rPr>
                <w:rFonts w:cs="Calibri"/>
                <w:sz w:val="20"/>
                <w:szCs w:val="20"/>
              </w:rPr>
            </w:pPr>
            <w:r w:rsidRPr="003A0138">
              <w:rPr>
                <w:rFonts w:cs="Calibri"/>
                <w:sz w:val="20"/>
                <w:szCs w:val="20"/>
              </w:rPr>
              <w:t>Strokes and cerebrovascular disease (age 50–79)</w:t>
            </w:r>
          </w:p>
        </w:tc>
        <w:tc>
          <w:tcPr>
            <w:tcW w:w="1106" w:type="dxa"/>
            <w:gridSpan w:val="2"/>
          </w:tcPr>
          <w:p w14:paraId="580FAE1C" w14:textId="77777777" w:rsidR="003A0138" w:rsidRPr="003A0138" w:rsidRDefault="003A0138" w:rsidP="003A0138">
            <w:pPr>
              <w:keepNext/>
              <w:keepLines/>
              <w:spacing w:before="80" w:after="80" w:line="240" w:lineRule="auto"/>
              <w:jc w:val="center"/>
              <w:rPr>
                <w:rFonts w:cs="Calibri"/>
                <w:sz w:val="20"/>
                <w:szCs w:val="20"/>
              </w:rPr>
            </w:pPr>
            <w:r w:rsidRPr="003A0138">
              <w:rPr>
                <w:rFonts w:cs="Calibri"/>
                <w:sz w:val="20"/>
                <w:szCs w:val="20"/>
              </w:rPr>
              <w:t>—</w:t>
            </w:r>
          </w:p>
        </w:tc>
        <w:tc>
          <w:tcPr>
            <w:tcW w:w="1113" w:type="dxa"/>
            <w:gridSpan w:val="2"/>
          </w:tcPr>
          <w:p w14:paraId="6C973DAA" w14:textId="77777777" w:rsidR="003A0138" w:rsidRPr="003A0138" w:rsidRDefault="003A0138" w:rsidP="003A0138">
            <w:pPr>
              <w:keepNext/>
              <w:keepLines/>
              <w:spacing w:before="80" w:after="80" w:line="240" w:lineRule="auto"/>
              <w:jc w:val="center"/>
              <w:rPr>
                <w:rFonts w:cs="Calibri"/>
                <w:sz w:val="20"/>
                <w:szCs w:val="20"/>
              </w:rPr>
            </w:pPr>
            <w:r w:rsidRPr="003A0138">
              <w:rPr>
                <w:rFonts w:cs="Calibri"/>
                <w:sz w:val="20"/>
                <w:szCs w:val="20"/>
              </w:rPr>
              <w:t>—</w:t>
            </w:r>
          </w:p>
        </w:tc>
      </w:tr>
      <w:tr w:rsidR="003A0138" w:rsidRPr="003A0138" w14:paraId="18532F9B" w14:textId="77777777" w:rsidTr="003A0138">
        <w:trPr>
          <w:trHeight w:val="300"/>
          <w:jc w:val="center"/>
        </w:trPr>
        <w:tc>
          <w:tcPr>
            <w:tcW w:w="2250" w:type="dxa"/>
            <w:vMerge/>
          </w:tcPr>
          <w:p w14:paraId="179C9A93" w14:textId="77777777" w:rsidR="003A0138" w:rsidRPr="003A0138" w:rsidRDefault="003A0138" w:rsidP="003A0138">
            <w:pPr>
              <w:keepNext/>
              <w:keepLines/>
              <w:spacing w:before="80" w:after="80" w:line="240" w:lineRule="auto"/>
              <w:jc w:val="left"/>
              <w:rPr>
                <w:rFonts w:cs="Calibri"/>
                <w:color w:val="000000"/>
                <w:sz w:val="20"/>
                <w:szCs w:val="20"/>
              </w:rPr>
            </w:pPr>
          </w:p>
        </w:tc>
        <w:tc>
          <w:tcPr>
            <w:tcW w:w="3850" w:type="dxa"/>
            <w:gridSpan w:val="2"/>
          </w:tcPr>
          <w:p w14:paraId="6DE2B1E6" w14:textId="77777777" w:rsidR="003A0138" w:rsidRPr="003A0138" w:rsidRDefault="003A0138" w:rsidP="003A0138">
            <w:pPr>
              <w:keepNext/>
              <w:keepLines/>
              <w:spacing w:before="80" w:after="80" w:line="240" w:lineRule="auto"/>
              <w:jc w:val="left"/>
              <w:rPr>
                <w:rFonts w:cs="Calibri"/>
                <w:sz w:val="20"/>
                <w:szCs w:val="20"/>
              </w:rPr>
            </w:pPr>
            <w:r w:rsidRPr="003A0138">
              <w:rPr>
                <w:rFonts w:cs="Calibri"/>
                <w:sz w:val="20"/>
                <w:szCs w:val="20"/>
              </w:rPr>
              <w:t>Other cardiovascular effects (e.g., other ages)</w:t>
            </w:r>
          </w:p>
        </w:tc>
        <w:tc>
          <w:tcPr>
            <w:tcW w:w="1106" w:type="dxa"/>
            <w:gridSpan w:val="2"/>
          </w:tcPr>
          <w:p w14:paraId="2CCFA840" w14:textId="77777777" w:rsidR="003A0138" w:rsidRPr="003A0138" w:rsidRDefault="003A0138" w:rsidP="003A0138">
            <w:pPr>
              <w:keepNext/>
              <w:keepLines/>
              <w:spacing w:before="80" w:after="80" w:line="240" w:lineRule="auto"/>
              <w:jc w:val="center"/>
              <w:rPr>
                <w:rFonts w:cs="Calibri"/>
                <w:color w:val="000000"/>
                <w:sz w:val="20"/>
                <w:szCs w:val="20"/>
              </w:rPr>
            </w:pPr>
            <w:r w:rsidRPr="003A0138">
              <w:rPr>
                <w:rFonts w:cs="Calibri"/>
                <w:color w:val="000000"/>
                <w:sz w:val="20"/>
                <w:szCs w:val="20"/>
              </w:rPr>
              <w:t>—</w:t>
            </w:r>
          </w:p>
        </w:tc>
        <w:tc>
          <w:tcPr>
            <w:tcW w:w="1113" w:type="dxa"/>
            <w:gridSpan w:val="2"/>
          </w:tcPr>
          <w:p w14:paraId="35765978" w14:textId="77777777" w:rsidR="003A0138" w:rsidRPr="003A0138" w:rsidRDefault="003A0138" w:rsidP="003A0138">
            <w:pPr>
              <w:keepNext/>
              <w:keepLines/>
              <w:spacing w:before="80" w:after="80" w:line="240" w:lineRule="auto"/>
              <w:jc w:val="center"/>
              <w:rPr>
                <w:rFonts w:cs="Calibri"/>
                <w:color w:val="000000"/>
                <w:sz w:val="20"/>
                <w:szCs w:val="20"/>
              </w:rPr>
            </w:pPr>
            <w:r w:rsidRPr="003A0138">
              <w:rPr>
                <w:rFonts w:cs="Calibri"/>
                <w:color w:val="000000"/>
                <w:sz w:val="20"/>
                <w:szCs w:val="20"/>
              </w:rPr>
              <w:t>—</w:t>
            </w:r>
          </w:p>
        </w:tc>
      </w:tr>
      <w:tr w:rsidR="003A0138" w:rsidRPr="003A0138" w14:paraId="7F85CA4F" w14:textId="77777777" w:rsidTr="003A0138">
        <w:tblPrEx>
          <w:tblLook w:val="04A0" w:firstRow="1" w:lastRow="0" w:firstColumn="1" w:lastColumn="0" w:noHBand="0" w:noVBand="1"/>
        </w:tblPrEx>
        <w:trPr>
          <w:gridAfter w:val="1"/>
          <w:wAfter w:w="11" w:type="dxa"/>
          <w:trHeight w:val="300"/>
          <w:jc w:val="center"/>
        </w:trPr>
        <w:tc>
          <w:tcPr>
            <w:tcW w:w="2250" w:type="dxa"/>
            <w:vMerge/>
          </w:tcPr>
          <w:p w14:paraId="4A560D13" w14:textId="77777777" w:rsidR="003A0138" w:rsidRPr="003A0138" w:rsidRDefault="003A0138" w:rsidP="003A0138">
            <w:pPr>
              <w:keepNext/>
              <w:keepLines/>
              <w:spacing w:before="80" w:after="80" w:line="240" w:lineRule="auto"/>
              <w:jc w:val="left"/>
              <w:rPr>
                <w:rFonts w:cs="Calibri"/>
                <w:color w:val="000000"/>
                <w:sz w:val="20"/>
                <w:szCs w:val="20"/>
              </w:rPr>
            </w:pPr>
          </w:p>
        </w:tc>
        <w:tc>
          <w:tcPr>
            <w:tcW w:w="3839" w:type="dxa"/>
          </w:tcPr>
          <w:p w14:paraId="62405B7B" w14:textId="77777777" w:rsidR="003A0138" w:rsidRPr="003A0138" w:rsidRDefault="003A0138" w:rsidP="003A0138">
            <w:pPr>
              <w:keepNext/>
              <w:keepLines/>
              <w:spacing w:before="80" w:after="80" w:line="240" w:lineRule="auto"/>
              <w:jc w:val="left"/>
              <w:rPr>
                <w:rFonts w:cs="Calibri"/>
                <w:sz w:val="20"/>
                <w:szCs w:val="20"/>
              </w:rPr>
            </w:pPr>
            <w:r w:rsidRPr="003A0138">
              <w:rPr>
                <w:rFonts w:cs="Calibri"/>
                <w:sz w:val="20"/>
                <w:szCs w:val="20"/>
              </w:rPr>
              <w:t>Other respiratory effects (e.g., pulmonary function, non-asthma ER visits, non-bronchitis chronic diseases, other ages and populations)</w:t>
            </w:r>
          </w:p>
        </w:tc>
        <w:tc>
          <w:tcPr>
            <w:tcW w:w="1106" w:type="dxa"/>
            <w:gridSpan w:val="2"/>
          </w:tcPr>
          <w:p w14:paraId="5A0265C2" w14:textId="77777777" w:rsidR="003A0138" w:rsidRPr="003A0138" w:rsidRDefault="003A0138" w:rsidP="003A0138">
            <w:pPr>
              <w:keepNext/>
              <w:keepLines/>
              <w:spacing w:before="80" w:after="80" w:line="240" w:lineRule="auto"/>
              <w:jc w:val="center"/>
              <w:rPr>
                <w:rFonts w:cs="Calibri"/>
                <w:color w:val="000000"/>
                <w:sz w:val="20"/>
                <w:szCs w:val="20"/>
              </w:rPr>
            </w:pPr>
            <w:r w:rsidRPr="003A0138">
              <w:rPr>
                <w:rFonts w:cs="Calibri"/>
                <w:color w:val="000000"/>
                <w:sz w:val="20"/>
                <w:szCs w:val="20"/>
              </w:rPr>
              <w:t>—</w:t>
            </w:r>
          </w:p>
        </w:tc>
        <w:tc>
          <w:tcPr>
            <w:tcW w:w="1113" w:type="dxa"/>
            <w:gridSpan w:val="2"/>
          </w:tcPr>
          <w:p w14:paraId="2906A8C8" w14:textId="77777777" w:rsidR="003A0138" w:rsidRPr="003A0138" w:rsidRDefault="003A0138" w:rsidP="003A0138">
            <w:pPr>
              <w:keepNext/>
              <w:keepLines/>
              <w:spacing w:before="80" w:after="80" w:line="240" w:lineRule="auto"/>
              <w:jc w:val="center"/>
              <w:rPr>
                <w:rFonts w:cs="Calibri"/>
                <w:color w:val="000000"/>
                <w:sz w:val="20"/>
                <w:szCs w:val="20"/>
              </w:rPr>
            </w:pPr>
            <w:r w:rsidRPr="003A0138">
              <w:rPr>
                <w:rFonts w:cs="Calibri"/>
                <w:color w:val="000000"/>
                <w:sz w:val="20"/>
                <w:szCs w:val="20"/>
              </w:rPr>
              <w:t>—</w:t>
            </w:r>
          </w:p>
        </w:tc>
      </w:tr>
      <w:tr w:rsidR="003A0138" w:rsidRPr="003A0138" w14:paraId="6A5EAD31" w14:textId="77777777" w:rsidTr="003A0138">
        <w:tblPrEx>
          <w:tblLook w:val="04A0" w:firstRow="1" w:lastRow="0" w:firstColumn="1" w:lastColumn="0" w:noHBand="0" w:noVBand="1"/>
        </w:tblPrEx>
        <w:trPr>
          <w:gridAfter w:val="1"/>
          <w:wAfter w:w="11" w:type="dxa"/>
          <w:trHeight w:val="300"/>
          <w:jc w:val="center"/>
        </w:trPr>
        <w:tc>
          <w:tcPr>
            <w:tcW w:w="2250" w:type="dxa"/>
            <w:vMerge/>
          </w:tcPr>
          <w:p w14:paraId="4AAF27BE" w14:textId="77777777" w:rsidR="003A0138" w:rsidRPr="003A0138" w:rsidRDefault="003A0138" w:rsidP="003A0138">
            <w:pPr>
              <w:keepNext/>
              <w:keepLines/>
              <w:spacing w:before="80" w:after="80" w:line="240" w:lineRule="auto"/>
              <w:jc w:val="left"/>
              <w:rPr>
                <w:rFonts w:cs="Calibri"/>
                <w:color w:val="000000"/>
                <w:sz w:val="20"/>
                <w:szCs w:val="20"/>
              </w:rPr>
            </w:pPr>
          </w:p>
        </w:tc>
        <w:tc>
          <w:tcPr>
            <w:tcW w:w="3839" w:type="dxa"/>
          </w:tcPr>
          <w:p w14:paraId="3C94855B" w14:textId="77777777" w:rsidR="003A0138" w:rsidRPr="003A0138" w:rsidRDefault="003A0138" w:rsidP="003A0138">
            <w:pPr>
              <w:keepNext/>
              <w:keepLines/>
              <w:spacing w:before="80" w:after="80" w:line="240" w:lineRule="auto"/>
              <w:jc w:val="left"/>
              <w:rPr>
                <w:rFonts w:cs="Calibri"/>
                <w:sz w:val="20"/>
                <w:szCs w:val="20"/>
              </w:rPr>
            </w:pPr>
            <w:r w:rsidRPr="003A0138">
              <w:rPr>
                <w:rFonts w:cs="Calibri"/>
                <w:sz w:val="20"/>
                <w:szCs w:val="20"/>
              </w:rPr>
              <w:t>Reproductive and developmental effects (e.g., low birth weight, pre-term births, etc.)</w:t>
            </w:r>
          </w:p>
        </w:tc>
        <w:tc>
          <w:tcPr>
            <w:tcW w:w="1106" w:type="dxa"/>
            <w:gridSpan w:val="2"/>
          </w:tcPr>
          <w:p w14:paraId="28CCCC07" w14:textId="77777777" w:rsidR="003A0138" w:rsidRPr="003A0138" w:rsidRDefault="003A0138" w:rsidP="003A0138">
            <w:pPr>
              <w:keepNext/>
              <w:keepLines/>
              <w:spacing w:before="80" w:after="80" w:line="240" w:lineRule="auto"/>
              <w:jc w:val="center"/>
              <w:rPr>
                <w:rFonts w:cs="Calibri"/>
                <w:color w:val="000000"/>
                <w:sz w:val="20"/>
                <w:szCs w:val="20"/>
              </w:rPr>
            </w:pPr>
            <w:r w:rsidRPr="003A0138">
              <w:rPr>
                <w:rFonts w:cs="Calibri"/>
                <w:color w:val="000000"/>
                <w:sz w:val="20"/>
                <w:szCs w:val="20"/>
              </w:rPr>
              <w:t>—</w:t>
            </w:r>
          </w:p>
        </w:tc>
        <w:tc>
          <w:tcPr>
            <w:tcW w:w="1113" w:type="dxa"/>
            <w:gridSpan w:val="2"/>
          </w:tcPr>
          <w:p w14:paraId="53BBE575" w14:textId="77777777" w:rsidR="003A0138" w:rsidRPr="003A0138" w:rsidRDefault="003A0138" w:rsidP="003A0138">
            <w:pPr>
              <w:keepNext/>
              <w:keepLines/>
              <w:spacing w:before="80" w:after="80" w:line="240" w:lineRule="auto"/>
              <w:jc w:val="center"/>
              <w:rPr>
                <w:rFonts w:cs="Calibri"/>
                <w:color w:val="000000"/>
                <w:sz w:val="20"/>
                <w:szCs w:val="20"/>
              </w:rPr>
            </w:pPr>
            <w:r w:rsidRPr="003A0138">
              <w:rPr>
                <w:rFonts w:cs="Calibri"/>
                <w:color w:val="000000"/>
                <w:sz w:val="20"/>
                <w:szCs w:val="20"/>
              </w:rPr>
              <w:t>—</w:t>
            </w:r>
          </w:p>
        </w:tc>
      </w:tr>
      <w:tr w:rsidR="003A0138" w:rsidRPr="003A0138" w14:paraId="5AC20811" w14:textId="77777777" w:rsidTr="003A0138">
        <w:tblPrEx>
          <w:tblLook w:val="04A0" w:firstRow="1" w:lastRow="0" w:firstColumn="1" w:lastColumn="0" w:noHBand="0" w:noVBand="1"/>
        </w:tblPrEx>
        <w:trPr>
          <w:gridAfter w:val="1"/>
          <w:wAfter w:w="11" w:type="dxa"/>
          <w:trHeight w:val="300"/>
          <w:jc w:val="center"/>
        </w:trPr>
        <w:tc>
          <w:tcPr>
            <w:tcW w:w="2250" w:type="dxa"/>
            <w:vMerge/>
            <w:tcBorders>
              <w:bottom w:val="single" w:sz="12" w:space="0" w:color="auto"/>
            </w:tcBorders>
          </w:tcPr>
          <w:p w14:paraId="4D271C06" w14:textId="77777777" w:rsidR="003A0138" w:rsidRPr="003A0138" w:rsidRDefault="003A0138" w:rsidP="003A0138">
            <w:pPr>
              <w:keepNext/>
              <w:keepLines/>
              <w:spacing w:before="80" w:after="80" w:line="240" w:lineRule="auto"/>
              <w:jc w:val="left"/>
              <w:rPr>
                <w:rFonts w:cs="Calibri"/>
                <w:color w:val="000000"/>
                <w:sz w:val="20"/>
                <w:szCs w:val="20"/>
              </w:rPr>
            </w:pPr>
          </w:p>
        </w:tc>
        <w:tc>
          <w:tcPr>
            <w:tcW w:w="3839" w:type="dxa"/>
            <w:tcBorders>
              <w:bottom w:val="single" w:sz="12" w:space="0" w:color="auto"/>
            </w:tcBorders>
          </w:tcPr>
          <w:p w14:paraId="706AE93E" w14:textId="77777777" w:rsidR="003A0138" w:rsidRPr="003A0138" w:rsidRDefault="003A0138" w:rsidP="003A0138">
            <w:pPr>
              <w:keepNext/>
              <w:keepLines/>
              <w:spacing w:before="80" w:after="80" w:line="240" w:lineRule="auto"/>
              <w:jc w:val="left"/>
              <w:rPr>
                <w:rFonts w:cs="Calibri"/>
                <w:color w:val="000000"/>
                <w:sz w:val="20"/>
                <w:szCs w:val="20"/>
              </w:rPr>
            </w:pPr>
            <w:r w:rsidRPr="003A0138">
              <w:rPr>
                <w:rFonts w:cs="Calibri"/>
                <w:color w:val="000000"/>
                <w:sz w:val="20"/>
                <w:szCs w:val="20"/>
              </w:rPr>
              <w:t>Cancer, mutagenicity, and genotoxicity effects</w:t>
            </w:r>
          </w:p>
        </w:tc>
        <w:tc>
          <w:tcPr>
            <w:tcW w:w="1106" w:type="dxa"/>
            <w:gridSpan w:val="2"/>
            <w:tcBorders>
              <w:bottom w:val="single" w:sz="12" w:space="0" w:color="auto"/>
            </w:tcBorders>
          </w:tcPr>
          <w:p w14:paraId="5082F246" w14:textId="77777777" w:rsidR="003A0138" w:rsidRPr="003A0138" w:rsidRDefault="003A0138" w:rsidP="003A0138">
            <w:pPr>
              <w:keepNext/>
              <w:keepLines/>
              <w:spacing w:before="80" w:after="80" w:line="240" w:lineRule="auto"/>
              <w:jc w:val="center"/>
              <w:rPr>
                <w:rFonts w:cs="Calibri"/>
                <w:color w:val="000000"/>
                <w:sz w:val="20"/>
                <w:szCs w:val="20"/>
              </w:rPr>
            </w:pPr>
            <w:r w:rsidRPr="003A0138">
              <w:rPr>
                <w:rFonts w:cs="Calibri"/>
                <w:color w:val="000000"/>
                <w:sz w:val="20"/>
                <w:szCs w:val="20"/>
              </w:rPr>
              <w:t>—</w:t>
            </w:r>
          </w:p>
        </w:tc>
        <w:tc>
          <w:tcPr>
            <w:tcW w:w="1113" w:type="dxa"/>
            <w:gridSpan w:val="2"/>
            <w:tcBorders>
              <w:bottom w:val="single" w:sz="12" w:space="0" w:color="auto"/>
            </w:tcBorders>
          </w:tcPr>
          <w:p w14:paraId="4A953FEB" w14:textId="77777777" w:rsidR="003A0138" w:rsidRPr="003A0138" w:rsidRDefault="003A0138" w:rsidP="003A0138">
            <w:pPr>
              <w:keepNext/>
              <w:keepLines/>
              <w:spacing w:before="80" w:after="80" w:line="240" w:lineRule="auto"/>
              <w:jc w:val="center"/>
              <w:rPr>
                <w:rFonts w:cs="Calibri"/>
                <w:color w:val="000000"/>
                <w:sz w:val="20"/>
                <w:szCs w:val="20"/>
              </w:rPr>
            </w:pPr>
            <w:r w:rsidRPr="003A0138">
              <w:rPr>
                <w:rFonts w:cs="Calibri"/>
                <w:color w:val="000000"/>
                <w:sz w:val="20"/>
                <w:szCs w:val="20"/>
              </w:rPr>
              <w:t>—</w:t>
            </w:r>
          </w:p>
        </w:tc>
      </w:tr>
    </w:tbl>
    <w:p w14:paraId="60BC4B04" w14:textId="77777777" w:rsidR="003A0138" w:rsidRPr="003A0138" w:rsidRDefault="003A0138" w:rsidP="003A0138">
      <w:pPr>
        <w:spacing w:line="276" w:lineRule="auto"/>
        <w:jc w:val="center"/>
        <w:rPr>
          <w:b/>
        </w:rPr>
      </w:pPr>
      <w:r w:rsidRPr="003A0138">
        <w:br w:type="page"/>
      </w:r>
      <w:r w:rsidRPr="003A0138">
        <w:rPr>
          <w:b/>
        </w:rPr>
        <w:lastRenderedPageBreak/>
        <w:t xml:space="preserve"> </w:t>
      </w:r>
      <w:r w:rsidRPr="003A0138">
        <w:rPr>
          <w:b/>
        </w:rPr>
        <w:fldChar w:fldCharType="begin"/>
      </w:r>
      <w:r w:rsidRPr="003A0138">
        <w:rPr>
          <w:b/>
        </w:rPr>
        <w:instrText xml:space="preserve"> REF _Ref417378925 \h </w:instrText>
      </w:r>
      <w:r w:rsidRPr="003A0138">
        <w:rPr>
          <w:b/>
        </w:rPr>
      </w:r>
      <w:r w:rsidRPr="003A0138">
        <w:rPr>
          <w:b/>
        </w:rPr>
        <w:fldChar w:fldCharType="separate"/>
      </w:r>
      <w:r w:rsidRPr="003A0138">
        <w:rPr>
          <w:b/>
        </w:rPr>
        <w:t xml:space="preserve">Table </w:t>
      </w:r>
      <w:r w:rsidRPr="003A0138">
        <w:rPr>
          <w:b/>
          <w:noProof/>
        </w:rPr>
        <w:t>1</w:t>
      </w:r>
      <w:r w:rsidRPr="003A0138">
        <w:rPr>
          <w:b/>
        </w:rPr>
        <w:fldChar w:fldCharType="end"/>
      </w:r>
      <w:r w:rsidRPr="003A0138">
        <w:rPr>
          <w:b/>
        </w:rPr>
        <w:t>: Human Health Effects of Air Pollutants [continued]</w:t>
      </w:r>
    </w:p>
    <w:tbl>
      <w:tblPr>
        <w:tblStyle w:val="format2"/>
        <w:tblW w:w="8312" w:type="dxa"/>
        <w:jc w:val="center"/>
        <w:tblLook w:val="05E0" w:firstRow="1" w:lastRow="1" w:firstColumn="1" w:lastColumn="1" w:noHBand="0" w:noVBand="1"/>
      </w:tblPr>
      <w:tblGrid>
        <w:gridCol w:w="2250"/>
        <w:gridCol w:w="3839"/>
        <w:gridCol w:w="11"/>
        <w:gridCol w:w="1095"/>
        <w:gridCol w:w="11"/>
        <w:gridCol w:w="22"/>
        <w:gridCol w:w="1084"/>
      </w:tblGrid>
      <w:tr w:rsidR="003A0138" w:rsidRPr="003A0138" w14:paraId="6FB8AA73" w14:textId="77777777" w:rsidTr="003A0138">
        <w:trPr>
          <w:cnfStyle w:val="100000000000" w:firstRow="1" w:lastRow="0" w:firstColumn="0" w:lastColumn="0" w:oddVBand="0" w:evenVBand="0" w:oddHBand="0" w:evenHBand="0" w:firstRowFirstColumn="0" w:firstRowLastColumn="0" w:lastRowFirstColumn="0" w:lastRowLastColumn="0"/>
          <w:trHeight w:val="765"/>
          <w:jc w:val="center"/>
        </w:trPr>
        <w:tc>
          <w:tcPr>
            <w:tcW w:w="2250" w:type="dxa"/>
            <w:tcBorders>
              <w:top w:val="single" w:sz="12" w:space="0" w:color="auto"/>
              <w:bottom w:val="single" w:sz="12" w:space="0" w:color="auto"/>
            </w:tcBorders>
            <w:vAlign w:val="top"/>
          </w:tcPr>
          <w:p w14:paraId="3296C64D" w14:textId="77777777" w:rsidR="003A0138" w:rsidRPr="003A0138" w:rsidRDefault="003A0138" w:rsidP="003A0138">
            <w:pPr>
              <w:keepNext/>
              <w:keepLines/>
              <w:spacing w:before="80" w:after="80" w:line="240" w:lineRule="auto"/>
              <w:jc w:val="center"/>
              <w:rPr>
                <w:b/>
                <w:sz w:val="20"/>
                <w:szCs w:val="20"/>
              </w:rPr>
            </w:pPr>
            <w:r w:rsidRPr="003A0138">
              <w:rPr>
                <w:b/>
                <w:sz w:val="20"/>
                <w:szCs w:val="20"/>
              </w:rPr>
              <w:t>Benefits Category</w:t>
            </w:r>
          </w:p>
        </w:tc>
        <w:tc>
          <w:tcPr>
            <w:tcW w:w="3850" w:type="dxa"/>
            <w:gridSpan w:val="2"/>
            <w:tcBorders>
              <w:top w:val="single" w:sz="12" w:space="0" w:color="auto"/>
              <w:bottom w:val="single" w:sz="12" w:space="0" w:color="auto"/>
            </w:tcBorders>
            <w:vAlign w:val="top"/>
          </w:tcPr>
          <w:p w14:paraId="5D423663" w14:textId="77777777" w:rsidR="003A0138" w:rsidRPr="003A0138" w:rsidRDefault="003A0138" w:rsidP="003A0138">
            <w:pPr>
              <w:keepNext/>
              <w:keepLines/>
              <w:spacing w:before="80" w:after="80" w:line="240" w:lineRule="auto"/>
              <w:jc w:val="center"/>
              <w:rPr>
                <w:b/>
                <w:sz w:val="20"/>
                <w:szCs w:val="20"/>
              </w:rPr>
            </w:pPr>
            <w:r w:rsidRPr="003A0138">
              <w:rPr>
                <w:b/>
                <w:sz w:val="20"/>
                <w:szCs w:val="20"/>
              </w:rPr>
              <w:t>Specific Effect</w:t>
            </w:r>
          </w:p>
        </w:tc>
        <w:tc>
          <w:tcPr>
            <w:tcW w:w="1106" w:type="dxa"/>
            <w:gridSpan w:val="2"/>
            <w:tcBorders>
              <w:top w:val="single" w:sz="12" w:space="0" w:color="auto"/>
              <w:bottom w:val="single" w:sz="12" w:space="0" w:color="auto"/>
            </w:tcBorders>
            <w:vAlign w:val="top"/>
          </w:tcPr>
          <w:p w14:paraId="502D5991" w14:textId="77777777" w:rsidR="003A0138" w:rsidRPr="003A0138" w:rsidRDefault="003A0138" w:rsidP="003A0138">
            <w:pPr>
              <w:keepNext/>
              <w:keepLines/>
              <w:spacing w:before="80" w:after="80" w:line="240" w:lineRule="auto"/>
              <w:jc w:val="center"/>
              <w:rPr>
                <w:b/>
                <w:sz w:val="20"/>
                <w:szCs w:val="20"/>
              </w:rPr>
            </w:pPr>
            <w:r w:rsidRPr="003A0138">
              <w:rPr>
                <w:b/>
                <w:sz w:val="20"/>
                <w:szCs w:val="20"/>
              </w:rPr>
              <w:t>Effect Has Been Quantified</w:t>
            </w:r>
          </w:p>
        </w:tc>
        <w:tc>
          <w:tcPr>
            <w:tcW w:w="1106" w:type="dxa"/>
            <w:gridSpan w:val="2"/>
            <w:tcBorders>
              <w:top w:val="single" w:sz="12" w:space="0" w:color="auto"/>
              <w:bottom w:val="single" w:sz="12" w:space="0" w:color="auto"/>
            </w:tcBorders>
            <w:vAlign w:val="top"/>
          </w:tcPr>
          <w:p w14:paraId="76D1F533" w14:textId="77777777" w:rsidR="003A0138" w:rsidRPr="003A0138" w:rsidRDefault="003A0138" w:rsidP="003A0138">
            <w:pPr>
              <w:keepNext/>
              <w:keepLines/>
              <w:spacing w:before="80" w:after="80" w:line="240" w:lineRule="auto"/>
              <w:jc w:val="center"/>
              <w:rPr>
                <w:b/>
                <w:sz w:val="20"/>
                <w:szCs w:val="20"/>
              </w:rPr>
            </w:pPr>
            <w:r w:rsidRPr="003A0138">
              <w:rPr>
                <w:b/>
                <w:sz w:val="20"/>
                <w:szCs w:val="20"/>
              </w:rPr>
              <w:t>Effect Has Been Monetized</w:t>
            </w:r>
          </w:p>
        </w:tc>
      </w:tr>
      <w:tr w:rsidR="003A0138" w:rsidRPr="003A0138" w14:paraId="1B32CE6C" w14:textId="77777777" w:rsidTr="003A0138">
        <w:tblPrEx>
          <w:tblLook w:val="04A0" w:firstRow="1" w:lastRow="0" w:firstColumn="1" w:lastColumn="0" w:noHBand="0" w:noVBand="1"/>
        </w:tblPrEx>
        <w:trPr>
          <w:trHeight w:val="300"/>
          <w:jc w:val="center"/>
        </w:trPr>
        <w:tc>
          <w:tcPr>
            <w:tcW w:w="2250" w:type="dxa"/>
            <w:vMerge w:val="restart"/>
            <w:tcBorders>
              <w:top w:val="single" w:sz="12" w:space="0" w:color="auto"/>
            </w:tcBorders>
          </w:tcPr>
          <w:p w14:paraId="1A6FE09C" w14:textId="77777777" w:rsidR="003A0138" w:rsidRPr="003A0138" w:rsidRDefault="003A0138" w:rsidP="003A0138">
            <w:pPr>
              <w:spacing w:before="80" w:after="80" w:line="240" w:lineRule="auto"/>
              <w:jc w:val="left"/>
              <w:rPr>
                <w:rFonts w:cs="Calibri"/>
                <w:color w:val="000000"/>
                <w:sz w:val="20"/>
                <w:szCs w:val="20"/>
              </w:rPr>
            </w:pPr>
            <w:r w:rsidRPr="003A0138">
              <w:rPr>
                <w:rFonts w:cs="Calibri"/>
                <w:color w:val="000000"/>
                <w:sz w:val="20"/>
                <w:szCs w:val="20"/>
              </w:rPr>
              <w:t xml:space="preserve">Reduced incidence of mortality and morbidity from exposure to </w:t>
            </w:r>
            <w:r w:rsidRPr="003A0138">
              <w:rPr>
                <w:rFonts w:cs="Calibri"/>
                <w:b/>
                <w:color w:val="000000"/>
                <w:sz w:val="20"/>
                <w:szCs w:val="20"/>
              </w:rPr>
              <w:t>ozone</w:t>
            </w:r>
          </w:p>
          <w:p w14:paraId="51088AA0" w14:textId="77777777" w:rsidR="003A0138" w:rsidRPr="003A0138" w:rsidRDefault="003A0138" w:rsidP="003A0138">
            <w:pPr>
              <w:spacing w:before="80" w:after="80" w:line="240" w:lineRule="auto"/>
              <w:jc w:val="left"/>
              <w:rPr>
                <w:rFonts w:cs="Calibri"/>
                <w:color w:val="000000"/>
                <w:sz w:val="20"/>
                <w:szCs w:val="20"/>
              </w:rPr>
            </w:pPr>
          </w:p>
        </w:tc>
        <w:tc>
          <w:tcPr>
            <w:tcW w:w="3839" w:type="dxa"/>
            <w:tcBorders>
              <w:top w:val="single" w:sz="12" w:space="0" w:color="auto"/>
            </w:tcBorders>
          </w:tcPr>
          <w:p w14:paraId="4FBB00AE" w14:textId="77777777" w:rsidR="003A0138" w:rsidRPr="003A0138" w:rsidRDefault="003A0138" w:rsidP="003A0138">
            <w:pPr>
              <w:spacing w:before="80" w:after="80" w:line="240" w:lineRule="auto"/>
              <w:jc w:val="left"/>
              <w:rPr>
                <w:rFonts w:cs="Calibri"/>
                <w:color w:val="000000"/>
                <w:sz w:val="20"/>
                <w:szCs w:val="20"/>
              </w:rPr>
            </w:pPr>
            <w:r w:rsidRPr="003A0138">
              <w:rPr>
                <w:rFonts w:cs="Calibri"/>
                <w:color w:val="000000"/>
                <w:sz w:val="20"/>
                <w:szCs w:val="20"/>
              </w:rPr>
              <w:t>Premature mortality based on short-term study estimates (all ages)</w:t>
            </w:r>
          </w:p>
        </w:tc>
        <w:tc>
          <w:tcPr>
            <w:tcW w:w="1106" w:type="dxa"/>
            <w:gridSpan w:val="2"/>
            <w:tcBorders>
              <w:top w:val="single" w:sz="12" w:space="0" w:color="auto"/>
            </w:tcBorders>
          </w:tcPr>
          <w:p w14:paraId="5415E3E8" w14:textId="77777777" w:rsidR="003A0138" w:rsidRPr="003A0138" w:rsidRDefault="003A0138" w:rsidP="003A0138">
            <w:pPr>
              <w:spacing w:before="80" w:after="80" w:line="240" w:lineRule="auto"/>
              <w:jc w:val="center"/>
              <w:rPr>
                <w:rFonts w:cs="Calibri"/>
                <w:color w:val="000000"/>
                <w:sz w:val="20"/>
                <w:szCs w:val="20"/>
              </w:rPr>
            </w:pPr>
            <w:r w:rsidRPr="003A0138">
              <w:rPr>
                <w:rFonts w:cs="Calibri"/>
                <w:b/>
                <w:bCs/>
                <w:color w:val="FF0000"/>
                <w:sz w:val="20"/>
                <w:szCs w:val="20"/>
              </w:rPr>
              <w:sym w:font="Wingdings" w:char="F0FC"/>
            </w:r>
          </w:p>
        </w:tc>
        <w:tc>
          <w:tcPr>
            <w:tcW w:w="1117" w:type="dxa"/>
            <w:gridSpan w:val="3"/>
            <w:tcBorders>
              <w:top w:val="single" w:sz="12" w:space="0" w:color="auto"/>
            </w:tcBorders>
          </w:tcPr>
          <w:p w14:paraId="66D52D2C" w14:textId="77777777" w:rsidR="003A0138" w:rsidRPr="003A0138" w:rsidRDefault="003A0138" w:rsidP="003A0138">
            <w:pPr>
              <w:spacing w:before="80" w:after="80" w:line="240" w:lineRule="auto"/>
              <w:jc w:val="center"/>
              <w:rPr>
                <w:rFonts w:cs="Calibri"/>
                <w:color w:val="000000"/>
                <w:sz w:val="20"/>
                <w:szCs w:val="20"/>
              </w:rPr>
            </w:pPr>
            <w:r w:rsidRPr="003A0138">
              <w:rPr>
                <w:rFonts w:cs="Calibri"/>
                <w:b/>
                <w:bCs/>
                <w:color w:val="FF0000"/>
                <w:sz w:val="20"/>
                <w:szCs w:val="20"/>
              </w:rPr>
              <w:sym w:font="Wingdings" w:char="F0FC"/>
            </w:r>
          </w:p>
        </w:tc>
      </w:tr>
      <w:tr w:rsidR="003A0138" w:rsidRPr="003A0138" w14:paraId="59EB39DA" w14:textId="77777777" w:rsidTr="003A0138">
        <w:trPr>
          <w:trHeight w:val="300"/>
          <w:jc w:val="center"/>
        </w:trPr>
        <w:tc>
          <w:tcPr>
            <w:tcW w:w="2250" w:type="dxa"/>
            <w:vMerge/>
          </w:tcPr>
          <w:p w14:paraId="0725CC1F" w14:textId="77777777" w:rsidR="003A0138" w:rsidRPr="003A0138" w:rsidRDefault="003A0138" w:rsidP="003A0138">
            <w:pPr>
              <w:spacing w:before="80" w:after="80" w:line="240" w:lineRule="auto"/>
              <w:jc w:val="left"/>
              <w:rPr>
                <w:rFonts w:cs="Calibri"/>
                <w:color w:val="000000"/>
                <w:sz w:val="20"/>
                <w:szCs w:val="20"/>
              </w:rPr>
            </w:pPr>
          </w:p>
        </w:tc>
        <w:tc>
          <w:tcPr>
            <w:tcW w:w="3839" w:type="dxa"/>
          </w:tcPr>
          <w:p w14:paraId="50146E4B" w14:textId="77777777" w:rsidR="003A0138" w:rsidRPr="003A0138" w:rsidRDefault="003A0138" w:rsidP="003A0138">
            <w:pPr>
              <w:spacing w:before="80" w:after="80" w:line="240" w:lineRule="auto"/>
              <w:jc w:val="left"/>
              <w:rPr>
                <w:rFonts w:cs="Calibri"/>
                <w:color w:val="000000"/>
                <w:sz w:val="20"/>
                <w:szCs w:val="20"/>
              </w:rPr>
            </w:pPr>
            <w:r w:rsidRPr="003A0138">
              <w:rPr>
                <w:rFonts w:cs="Calibri"/>
                <w:color w:val="000000"/>
                <w:sz w:val="20"/>
                <w:szCs w:val="20"/>
              </w:rPr>
              <w:t>Premature mortality based on long-term study estimates (age 30–99)</w:t>
            </w:r>
          </w:p>
        </w:tc>
        <w:tc>
          <w:tcPr>
            <w:tcW w:w="1106" w:type="dxa"/>
            <w:gridSpan w:val="2"/>
          </w:tcPr>
          <w:p w14:paraId="3AD81374" w14:textId="77777777" w:rsidR="003A0138" w:rsidRPr="003A0138" w:rsidRDefault="003A0138" w:rsidP="003A0138">
            <w:pPr>
              <w:spacing w:before="80" w:after="80" w:line="240" w:lineRule="auto"/>
              <w:jc w:val="center"/>
              <w:rPr>
                <w:rFonts w:cs="Calibri"/>
                <w:color w:val="000000"/>
                <w:sz w:val="20"/>
                <w:szCs w:val="20"/>
              </w:rPr>
            </w:pPr>
            <w:r w:rsidRPr="003A0138">
              <w:rPr>
                <w:rFonts w:cs="Calibri"/>
                <w:b/>
                <w:bCs/>
                <w:color w:val="FF0000"/>
                <w:sz w:val="20"/>
                <w:szCs w:val="20"/>
              </w:rPr>
              <w:sym w:font="Wingdings" w:char="F0FC"/>
            </w:r>
          </w:p>
        </w:tc>
        <w:tc>
          <w:tcPr>
            <w:tcW w:w="1117" w:type="dxa"/>
            <w:gridSpan w:val="3"/>
          </w:tcPr>
          <w:p w14:paraId="0E6F2BAD" w14:textId="77777777" w:rsidR="003A0138" w:rsidRPr="003A0138" w:rsidRDefault="003A0138" w:rsidP="003A0138">
            <w:pPr>
              <w:spacing w:before="80" w:after="80" w:line="240" w:lineRule="auto"/>
              <w:jc w:val="center"/>
              <w:rPr>
                <w:rFonts w:cs="Calibri"/>
                <w:color w:val="000000"/>
                <w:sz w:val="20"/>
                <w:szCs w:val="20"/>
              </w:rPr>
            </w:pPr>
            <w:r w:rsidRPr="003A0138">
              <w:rPr>
                <w:rFonts w:cs="Calibri"/>
                <w:b/>
                <w:bCs/>
                <w:color w:val="FF0000"/>
                <w:sz w:val="20"/>
                <w:szCs w:val="20"/>
              </w:rPr>
              <w:sym w:font="Wingdings" w:char="F0FC"/>
            </w:r>
          </w:p>
        </w:tc>
      </w:tr>
      <w:tr w:rsidR="003A0138" w:rsidRPr="003A0138" w14:paraId="56E774AC" w14:textId="77777777" w:rsidTr="003A0138">
        <w:trPr>
          <w:jc w:val="center"/>
        </w:trPr>
        <w:tc>
          <w:tcPr>
            <w:tcW w:w="2250" w:type="dxa"/>
            <w:vMerge/>
          </w:tcPr>
          <w:p w14:paraId="30174E44" w14:textId="77777777" w:rsidR="003A0138" w:rsidRPr="003A0138" w:rsidRDefault="003A0138" w:rsidP="003A0138">
            <w:pPr>
              <w:spacing w:before="80" w:after="80" w:line="240" w:lineRule="auto"/>
              <w:jc w:val="left"/>
              <w:rPr>
                <w:rFonts w:cs="Calibri"/>
                <w:color w:val="000000"/>
                <w:sz w:val="20"/>
                <w:szCs w:val="20"/>
              </w:rPr>
            </w:pPr>
          </w:p>
        </w:tc>
        <w:tc>
          <w:tcPr>
            <w:tcW w:w="3839" w:type="dxa"/>
          </w:tcPr>
          <w:p w14:paraId="09225A07" w14:textId="77777777" w:rsidR="003A0138" w:rsidRPr="003A0138" w:rsidRDefault="003A0138" w:rsidP="003A0138">
            <w:pPr>
              <w:spacing w:before="80" w:after="80" w:line="240" w:lineRule="auto"/>
              <w:jc w:val="left"/>
              <w:rPr>
                <w:rFonts w:cs="Calibri"/>
                <w:sz w:val="20"/>
                <w:szCs w:val="20"/>
              </w:rPr>
            </w:pPr>
            <w:r w:rsidRPr="003A0138">
              <w:rPr>
                <w:rFonts w:cs="Calibri"/>
                <w:sz w:val="20"/>
                <w:szCs w:val="20"/>
              </w:rPr>
              <w:t>Hospital admissions—respiratory causes  (age &gt; 65)</w:t>
            </w:r>
          </w:p>
        </w:tc>
        <w:tc>
          <w:tcPr>
            <w:tcW w:w="1106" w:type="dxa"/>
            <w:gridSpan w:val="2"/>
          </w:tcPr>
          <w:p w14:paraId="05E4716C" w14:textId="77777777" w:rsidR="003A0138" w:rsidRPr="003A0138" w:rsidRDefault="003A0138" w:rsidP="003A0138">
            <w:pPr>
              <w:spacing w:before="80" w:after="80" w:line="240" w:lineRule="auto"/>
              <w:jc w:val="center"/>
              <w:rPr>
                <w:rFonts w:cs="Calibri"/>
                <w:color w:val="000000"/>
                <w:sz w:val="20"/>
                <w:szCs w:val="20"/>
              </w:rPr>
            </w:pPr>
            <w:r w:rsidRPr="003A0138">
              <w:rPr>
                <w:rFonts w:cs="Calibri"/>
                <w:b/>
                <w:bCs/>
                <w:color w:val="FF0000"/>
                <w:sz w:val="20"/>
                <w:szCs w:val="20"/>
              </w:rPr>
              <w:sym w:font="Wingdings" w:char="F0FC"/>
            </w:r>
          </w:p>
        </w:tc>
        <w:tc>
          <w:tcPr>
            <w:tcW w:w="1117" w:type="dxa"/>
            <w:gridSpan w:val="3"/>
          </w:tcPr>
          <w:p w14:paraId="27DFFC86" w14:textId="77777777" w:rsidR="003A0138" w:rsidRPr="003A0138" w:rsidRDefault="003A0138" w:rsidP="003A0138">
            <w:pPr>
              <w:spacing w:before="80" w:after="80" w:line="240" w:lineRule="auto"/>
              <w:jc w:val="center"/>
              <w:rPr>
                <w:rFonts w:cs="Calibri"/>
                <w:color w:val="000000"/>
                <w:sz w:val="20"/>
                <w:szCs w:val="20"/>
              </w:rPr>
            </w:pPr>
            <w:r w:rsidRPr="003A0138">
              <w:rPr>
                <w:rFonts w:cs="Calibri"/>
                <w:b/>
                <w:bCs/>
                <w:color w:val="FF0000"/>
                <w:sz w:val="20"/>
                <w:szCs w:val="20"/>
              </w:rPr>
              <w:sym w:font="Wingdings" w:char="F0FC"/>
            </w:r>
          </w:p>
        </w:tc>
      </w:tr>
      <w:tr w:rsidR="003A0138" w:rsidRPr="003A0138" w14:paraId="4BDFAB6E" w14:textId="77777777" w:rsidTr="003A0138">
        <w:tblPrEx>
          <w:tblLook w:val="04A0" w:firstRow="1" w:lastRow="0" w:firstColumn="1" w:lastColumn="0" w:noHBand="0" w:noVBand="1"/>
        </w:tblPrEx>
        <w:trPr>
          <w:jc w:val="center"/>
        </w:trPr>
        <w:tc>
          <w:tcPr>
            <w:tcW w:w="2250" w:type="dxa"/>
            <w:vMerge/>
          </w:tcPr>
          <w:p w14:paraId="0873DC14" w14:textId="77777777" w:rsidR="003A0138" w:rsidRPr="003A0138" w:rsidRDefault="003A0138" w:rsidP="003A0138">
            <w:pPr>
              <w:spacing w:before="80" w:after="80" w:line="240" w:lineRule="auto"/>
              <w:jc w:val="left"/>
              <w:rPr>
                <w:rFonts w:cs="Calibri"/>
                <w:color w:val="000000"/>
                <w:sz w:val="20"/>
                <w:szCs w:val="20"/>
              </w:rPr>
            </w:pPr>
          </w:p>
        </w:tc>
        <w:tc>
          <w:tcPr>
            <w:tcW w:w="3839" w:type="dxa"/>
          </w:tcPr>
          <w:p w14:paraId="5FCEACD4" w14:textId="77777777" w:rsidR="003A0138" w:rsidRPr="003A0138" w:rsidRDefault="003A0138" w:rsidP="003A0138">
            <w:pPr>
              <w:spacing w:before="80" w:after="80" w:line="240" w:lineRule="auto"/>
              <w:jc w:val="left"/>
              <w:rPr>
                <w:rFonts w:cs="Calibri"/>
                <w:sz w:val="20"/>
                <w:szCs w:val="20"/>
              </w:rPr>
            </w:pPr>
            <w:r w:rsidRPr="003A0138">
              <w:rPr>
                <w:rFonts w:cs="Calibri"/>
                <w:sz w:val="20"/>
                <w:szCs w:val="20"/>
              </w:rPr>
              <w:t>Hospital admissions—respiratory causes  (age &lt;2)</w:t>
            </w:r>
          </w:p>
        </w:tc>
        <w:tc>
          <w:tcPr>
            <w:tcW w:w="1106" w:type="dxa"/>
            <w:gridSpan w:val="2"/>
          </w:tcPr>
          <w:p w14:paraId="16C91863" w14:textId="77777777" w:rsidR="003A0138" w:rsidRPr="003A0138" w:rsidRDefault="003A0138" w:rsidP="003A0138">
            <w:pPr>
              <w:spacing w:before="80" w:after="80" w:line="240" w:lineRule="auto"/>
              <w:jc w:val="center"/>
              <w:rPr>
                <w:rFonts w:cs="Calibri"/>
                <w:color w:val="000000"/>
                <w:sz w:val="20"/>
                <w:szCs w:val="20"/>
              </w:rPr>
            </w:pPr>
            <w:r w:rsidRPr="003A0138">
              <w:rPr>
                <w:rFonts w:cs="Calibri"/>
                <w:b/>
                <w:bCs/>
                <w:color w:val="FF0000"/>
                <w:sz w:val="20"/>
                <w:szCs w:val="20"/>
              </w:rPr>
              <w:sym w:font="Wingdings" w:char="F0FC"/>
            </w:r>
          </w:p>
        </w:tc>
        <w:tc>
          <w:tcPr>
            <w:tcW w:w="1117" w:type="dxa"/>
            <w:gridSpan w:val="3"/>
          </w:tcPr>
          <w:p w14:paraId="3BB93980" w14:textId="77777777" w:rsidR="003A0138" w:rsidRPr="003A0138" w:rsidRDefault="003A0138" w:rsidP="003A0138">
            <w:pPr>
              <w:spacing w:before="80" w:after="80" w:line="240" w:lineRule="auto"/>
              <w:jc w:val="center"/>
              <w:rPr>
                <w:rFonts w:cs="Calibri"/>
                <w:color w:val="000000"/>
                <w:sz w:val="20"/>
                <w:szCs w:val="20"/>
              </w:rPr>
            </w:pPr>
            <w:r w:rsidRPr="003A0138">
              <w:rPr>
                <w:rFonts w:cs="Calibri"/>
                <w:b/>
                <w:bCs/>
                <w:color w:val="FF0000"/>
                <w:sz w:val="20"/>
                <w:szCs w:val="20"/>
              </w:rPr>
              <w:sym w:font="Wingdings" w:char="F0FC"/>
            </w:r>
          </w:p>
        </w:tc>
      </w:tr>
      <w:tr w:rsidR="003A0138" w:rsidRPr="003A0138" w14:paraId="1B33ABE9" w14:textId="77777777" w:rsidTr="003A0138">
        <w:tblPrEx>
          <w:tblLook w:val="04A0" w:firstRow="1" w:lastRow="0" w:firstColumn="1" w:lastColumn="0" w:noHBand="0" w:noVBand="1"/>
        </w:tblPrEx>
        <w:trPr>
          <w:jc w:val="center"/>
        </w:trPr>
        <w:tc>
          <w:tcPr>
            <w:tcW w:w="2250" w:type="dxa"/>
            <w:vMerge/>
          </w:tcPr>
          <w:p w14:paraId="5EC0832F" w14:textId="77777777" w:rsidR="003A0138" w:rsidRPr="003A0138" w:rsidRDefault="003A0138" w:rsidP="003A0138">
            <w:pPr>
              <w:spacing w:before="80" w:after="80" w:line="240" w:lineRule="auto"/>
              <w:jc w:val="left"/>
              <w:rPr>
                <w:rFonts w:cs="Calibri"/>
                <w:color w:val="000000"/>
                <w:sz w:val="20"/>
                <w:szCs w:val="20"/>
              </w:rPr>
            </w:pPr>
          </w:p>
        </w:tc>
        <w:tc>
          <w:tcPr>
            <w:tcW w:w="3839" w:type="dxa"/>
          </w:tcPr>
          <w:p w14:paraId="1A759551" w14:textId="77777777" w:rsidR="003A0138" w:rsidRPr="003A0138" w:rsidRDefault="003A0138" w:rsidP="003A0138">
            <w:pPr>
              <w:spacing w:before="80" w:after="80" w:line="240" w:lineRule="auto"/>
              <w:jc w:val="left"/>
              <w:rPr>
                <w:rFonts w:cs="Calibri"/>
                <w:sz w:val="20"/>
                <w:szCs w:val="20"/>
              </w:rPr>
            </w:pPr>
            <w:r w:rsidRPr="003A0138">
              <w:rPr>
                <w:rFonts w:cs="Calibri"/>
                <w:sz w:val="20"/>
                <w:szCs w:val="20"/>
              </w:rPr>
              <w:t>Emergency department visits for asthma (all ages)</w:t>
            </w:r>
          </w:p>
        </w:tc>
        <w:tc>
          <w:tcPr>
            <w:tcW w:w="1106" w:type="dxa"/>
            <w:gridSpan w:val="2"/>
          </w:tcPr>
          <w:p w14:paraId="2BEE05D7" w14:textId="77777777" w:rsidR="003A0138" w:rsidRPr="003A0138" w:rsidRDefault="003A0138" w:rsidP="003A0138">
            <w:pPr>
              <w:spacing w:before="80" w:after="80" w:line="240" w:lineRule="auto"/>
              <w:jc w:val="center"/>
              <w:rPr>
                <w:rFonts w:cs="Calibri"/>
                <w:color w:val="000000"/>
                <w:sz w:val="20"/>
                <w:szCs w:val="20"/>
              </w:rPr>
            </w:pPr>
            <w:r w:rsidRPr="003A0138">
              <w:rPr>
                <w:rFonts w:cs="Calibri"/>
                <w:b/>
                <w:bCs/>
                <w:color w:val="FF0000"/>
                <w:sz w:val="20"/>
                <w:szCs w:val="20"/>
              </w:rPr>
              <w:sym w:font="Wingdings" w:char="F0FC"/>
            </w:r>
          </w:p>
        </w:tc>
        <w:tc>
          <w:tcPr>
            <w:tcW w:w="1117" w:type="dxa"/>
            <w:gridSpan w:val="3"/>
          </w:tcPr>
          <w:p w14:paraId="6562D289" w14:textId="77777777" w:rsidR="003A0138" w:rsidRPr="003A0138" w:rsidRDefault="003A0138" w:rsidP="003A0138">
            <w:pPr>
              <w:spacing w:before="80" w:after="80" w:line="240" w:lineRule="auto"/>
              <w:jc w:val="center"/>
              <w:rPr>
                <w:rFonts w:cs="Calibri"/>
                <w:color w:val="000000"/>
                <w:sz w:val="20"/>
                <w:szCs w:val="20"/>
              </w:rPr>
            </w:pPr>
            <w:r w:rsidRPr="003A0138">
              <w:rPr>
                <w:rFonts w:cs="Calibri"/>
                <w:b/>
                <w:bCs/>
                <w:color w:val="FF0000"/>
                <w:sz w:val="20"/>
                <w:szCs w:val="20"/>
              </w:rPr>
              <w:sym w:font="Wingdings" w:char="F0FC"/>
            </w:r>
          </w:p>
        </w:tc>
      </w:tr>
      <w:tr w:rsidR="003A0138" w:rsidRPr="003A0138" w14:paraId="5FD9700D" w14:textId="77777777" w:rsidTr="003A0138">
        <w:tblPrEx>
          <w:tblLook w:val="04A0" w:firstRow="1" w:lastRow="0" w:firstColumn="1" w:lastColumn="0" w:noHBand="0" w:noVBand="1"/>
        </w:tblPrEx>
        <w:trPr>
          <w:jc w:val="center"/>
        </w:trPr>
        <w:tc>
          <w:tcPr>
            <w:tcW w:w="2250" w:type="dxa"/>
            <w:vMerge/>
          </w:tcPr>
          <w:p w14:paraId="2856D0D4" w14:textId="77777777" w:rsidR="003A0138" w:rsidRPr="003A0138" w:rsidRDefault="003A0138" w:rsidP="003A0138">
            <w:pPr>
              <w:spacing w:before="80" w:after="80" w:line="240" w:lineRule="auto"/>
              <w:jc w:val="left"/>
              <w:rPr>
                <w:rFonts w:cs="Calibri"/>
                <w:color w:val="000000"/>
                <w:sz w:val="20"/>
                <w:szCs w:val="20"/>
              </w:rPr>
            </w:pPr>
          </w:p>
        </w:tc>
        <w:tc>
          <w:tcPr>
            <w:tcW w:w="3839" w:type="dxa"/>
          </w:tcPr>
          <w:p w14:paraId="25961DEC" w14:textId="77777777" w:rsidR="003A0138" w:rsidRPr="003A0138" w:rsidRDefault="003A0138" w:rsidP="003A0138">
            <w:pPr>
              <w:spacing w:before="80" w:after="80" w:line="240" w:lineRule="auto"/>
              <w:jc w:val="left"/>
              <w:rPr>
                <w:rFonts w:cs="Calibri"/>
                <w:sz w:val="20"/>
                <w:szCs w:val="20"/>
              </w:rPr>
            </w:pPr>
            <w:r w:rsidRPr="003A0138">
              <w:rPr>
                <w:rFonts w:cs="Calibri"/>
                <w:sz w:val="20"/>
                <w:szCs w:val="20"/>
              </w:rPr>
              <w:t>Minor restricted-activity days (age 18–65)</w:t>
            </w:r>
          </w:p>
        </w:tc>
        <w:tc>
          <w:tcPr>
            <w:tcW w:w="1106" w:type="dxa"/>
            <w:gridSpan w:val="2"/>
          </w:tcPr>
          <w:p w14:paraId="0B06B676" w14:textId="77777777" w:rsidR="003A0138" w:rsidRPr="003A0138" w:rsidRDefault="003A0138" w:rsidP="003A0138">
            <w:pPr>
              <w:spacing w:before="80" w:after="80" w:line="240" w:lineRule="auto"/>
              <w:jc w:val="center"/>
              <w:rPr>
                <w:rFonts w:cs="Calibri"/>
                <w:color w:val="000000"/>
                <w:sz w:val="20"/>
                <w:szCs w:val="20"/>
              </w:rPr>
            </w:pPr>
            <w:r w:rsidRPr="003A0138">
              <w:rPr>
                <w:rFonts w:cs="Calibri"/>
                <w:b/>
                <w:bCs/>
                <w:color w:val="FF0000"/>
                <w:sz w:val="20"/>
                <w:szCs w:val="20"/>
              </w:rPr>
              <w:sym w:font="Wingdings" w:char="F0FC"/>
            </w:r>
          </w:p>
        </w:tc>
        <w:tc>
          <w:tcPr>
            <w:tcW w:w="1117" w:type="dxa"/>
            <w:gridSpan w:val="3"/>
          </w:tcPr>
          <w:p w14:paraId="1B928A89" w14:textId="77777777" w:rsidR="003A0138" w:rsidRPr="003A0138" w:rsidRDefault="003A0138" w:rsidP="003A0138">
            <w:pPr>
              <w:spacing w:before="80" w:after="80" w:line="240" w:lineRule="auto"/>
              <w:jc w:val="center"/>
              <w:rPr>
                <w:rFonts w:cs="Calibri"/>
                <w:color w:val="000000"/>
                <w:sz w:val="20"/>
                <w:szCs w:val="20"/>
              </w:rPr>
            </w:pPr>
            <w:r w:rsidRPr="003A0138">
              <w:rPr>
                <w:rFonts w:cs="Calibri"/>
                <w:b/>
                <w:bCs/>
                <w:color w:val="FF0000"/>
                <w:sz w:val="20"/>
                <w:szCs w:val="20"/>
              </w:rPr>
              <w:sym w:font="Wingdings" w:char="F0FC"/>
            </w:r>
          </w:p>
        </w:tc>
      </w:tr>
      <w:tr w:rsidR="003A0138" w:rsidRPr="003A0138" w14:paraId="162A05B8" w14:textId="77777777" w:rsidTr="003A0138">
        <w:trPr>
          <w:jc w:val="center"/>
        </w:trPr>
        <w:tc>
          <w:tcPr>
            <w:tcW w:w="2250" w:type="dxa"/>
            <w:vMerge/>
          </w:tcPr>
          <w:p w14:paraId="33AC8B19" w14:textId="77777777" w:rsidR="003A0138" w:rsidRPr="003A0138" w:rsidRDefault="003A0138" w:rsidP="003A0138">
            <w:pPr>
              <w:spacing w:before="80" w:after="80" w:line="240" w:lineRule="auto"/>
              <w:jc w:val="left"/>
              <w:rPr>
                <w:rFonts w:cs="Calibri"/>
                <w:color w:val="000000"/>
                <w:sz w:val="20"/>
                <w:szCs w:val="20"/>
              </w:rPr>
            </w:pPr>
          </w:p>
        </w:tc>
        <w:tc>
          <w:tcPr>
            <w:tcW w:w="3839" w:type="dxa"/>
          </w:tcPr>
          <w:p w14:paraId="7D6118E4" w14:textId="77777777" w:rsidR="003A0138" w:rsidRPr="003A0138" w:rsidRDefault="003A0138" w:rsidP="003A0138">
            <w:pPr>
              <w:spacing w:before="80" w:after="80" w:line="240" w:lineRule="auto"/>
              <w:jc w:val="left"/>
              <w:rPr>
                <w:rFonts w:cs="Calibri"/>
                <w:sz w:val="20"/>
                <w:szCs w:val="20"/>
              </w:rPr>
            </w:pPr>
            <w:r w:rsidRPr="003A0138">
              <w:rPr>
                <w:rFonts w:cs="Calibri"/>
                <w:sz w:val="20"/>
                <w:szCs w:val="20"/>
              </w:rPr>
              <w:t>School absence days (age 5–17)</w:t>
            </w:r>
          </w:p>
        </w:tc>
        <w:tc>
          <w:tcPr>
            <w:tcW w:w="1106" w:type="dxa"/>
            <w:gridSpan w:val="2"/>
          </w:tcPr>
          <w:p w14:paraId="1104E8BA" w14:textId="77777777" w:rsidR="003A0138" w:rsidRPr="003A0138" w:rsidRDefault="003A0138" w:rsidP="003A0138">
            <w:pPr>
              <w:spacing w:before="80" w:after="80" w:line="240" w:lineRule="auto"/>
              <w:jc w:val="center"/>
              <w:rPr>
                <w:rFonts w:cs="Calibri"/>
                <w:color w:val="000000"/>
                <w:sz w:val="20"/>
                <w:szCs w:val="20"/>
              </w:rPr>
            </w:pPr>
            <w:r w:rsidRPr="003A0138">
              <w:rPr>
                <w:rFonts w:cs="Calibri"/>
                <w:b/>
                <w:bCs/>
                <w:color w:val="FF0000"/>
                <w:sz w:val="20"/>
                <w:szCs w:val="20"/>
              </w:rPr>
              <w:sym w:font="Wingdings" w:char="F0FC"/>
            </w:r>
          </w:p>
        </w:tc>
        <w:tc>
          <w:tcPr>
            <w:tcW w:w="1117" w:type="dxa"/>
            <w:gridSpan w:val="3"/>
          </w:tcPr>
          <w:p w14:paraId="0460F1D4" w14:textId="77777777" w:rsidR="003A0138" w:rsidRPr="003A0138" w:rsidRDefault="003A0138" w:rsidP="003A0138">
            <w:pPr>
              <w:spacing w:before="80" w:after="80" w:line="240" w:lineRule="auto"/>
              <w:jc w:val="center"/>
              <w:rPr>
                <w:rFonts w:cs="Calibri"/>
                <w:color w:val="000000"/>
                <w:sz w:val="20"/>
                <w:szCs w:val="20"/>
              </w:rPr>
            </w:pPr>
            <w:r w:rsidRPr="003A0138">
              <w:rPr>
                <w:rFonts w:cs="Calibri"/>
                <w:b/>
                <w:bCs/>
                <w:color w:val="FF0000"/>
                <w:sz w:val="20"/>
                <w:szCs w:val="20"/>
              </w:rPr>
              <w:sym w:font="Wingdings" w:char="F0FC"/>
            </w:r>
          </w:p>
        </w:tc>
      </w:tr>
      <w:tr w:rsidR="003A0138" w:rsidRPr="003A0138" w14:paraId="51225B5F" w14:textId="77777777" w:rsidTr="003A0138">
        <w:trPr>
          <w:cantSplit/>
          <w:jc w:val="center"/>
        </w:trPr>
        <w:tc>
          <w:tcPr>
            <w:tcW w:w="2250" w:type="dxa"/>
            <w:vMerge/>
          </w:tcPr>
          <w:p w14:paraId="652A240E" w14:textId="77777777" w:rsidR="003A0138" w:rsidRPr="003A0138" w:rsidRDefault="003A0138" w:rsidP="003A0138">
            <w:pPr>
              <w:spacing w:before="80" w:after="80" w:line="240" w:lineRule="auto"/>
              <w:jc w:val="left"/>
              <w:rPr>
                <w:rFonts w:cs="Calibri"/>
                <w:color w:val="000000"/>
                <w:sz w:val="20"/>
                <w:szCs w:val="20"/>
              </w:rPr>
            </w:pPr>
          </w:p>
        </w:tc>
        <w:tc>
          <w:tcPr>
            <w:tcW w:w="3839" w:type="dxa"/>
          </w:tcPr>
          <w:p w14:paraId="1CB6207A" w14:textId="77777777" w:rsidR="003A0138" w:rsidRPr="003A0138" w:rsidRDefault="003A0138" w:rsidP="003A0138">
            <w:pPr>
              <w:spacing w:before="80" w:after="80" w:line="240" w:lineRule="auto"/>
              <w:jc w:val="left"/>
              <w:rPr>
                <w:rFonts w:cs="Calibri"/>
                <w:color w:val="000000"/>
                <w:sz w:val="20"/>
                <w:szCs w:val="20"/>
              </w:rPr>
            </w:pPr>
            <w:r w:rsidRPr="003A0138">
              <w:rPr>
                <w:rFonts w:cs="Calibri"/>
                <w:color w:val="000000"/>
                <w:sz w:val="20"/>
                <w:szCs w:val="20"/>
              </w:rPr>
              <w:t>Decreased outdoor worker productivity   (age 18</w:t>
            </w:r>
            <w:r w:rsidRPr="003A0138">
              <w:rPr>
                <w:rFonts w:cstheme="minorHAnsi"/>
                <w:color w:val="000000"/>
                <w:sz w:val="20"/>
                <w:szCs w:val="20"/>
              </w:rPr>
              <w:t>–</w:t>
            </w:r>
            <w:r w:rsidRPr="003A0138">
              <w:rPr>
                <w:rFonts w:cs="Calibri"/>
                <w:color w:val="000000"/>
                <w:sz w:val="20"/>
                <w:szCs w:val="20"/>
              </w:rPr>
              <w:t>65)</w:t>
            </w:r>
          </w:p>
        </w:tc>
        <w:tc>
          <w:tcPr>
            <w:tcW w:w="1139" w:type="dxa"/>
            <w:gridSpan w:val="4"/>
          </w:tcPr>
          <w:p w14:paraId="1208B7AC" w14:textId="77777777" w:rsidR="003A0138" w:rsidRPr="003A0138" w:rsidRDefault="003A0138" w:rsidP="003A0138">
            <w:pPr>
              <w:spacing w:before="80" w:after="80" w:line="240" w:lineRule="auto"/>
              <w:jc w:val="center"/>
              <w:rPr>
                <w:rFonts w:cs="Calibri"/>
                <w:color w:val="000000"/>
                <w:sz w:val="20"/>
                <w:szCs w:val="20"/>
              </w:rPr>
            </w:pPr>
            <w:r w:rsidRPr="003A0138">
              <w:rPr>
                <w:rFonts w:cs="Calibri"/>
                <w:color w:val="000000"/>
                <w:sz w:val="20"/>
                <w:szCs w:val="20"/>
              </w:rPr>
              <w:t>—</w:t>
            </w:r>
          </w:p>
        </w:tc>
        <w:tc>
          <w:tcPr>
            <w:tcW w:w="1084" w:type="dxa"/>
          </w:tcPr>
          <w:p w14:paraId="737B02AB" w14:textId="77777777" w:rsidR="003A0138" w:rsidRPr="003A0138" w:rsidRDefault="003A0138" w:rsidP="003A0138">
            <w:pPr>
              <w:spacing w:before="80" w:after="80" w:line="240" w:lineRule="auto"/>
              <w:jc w:val="center"/>
              <w:rPr>
                <w:rFonts w:cs="Calibri"/>
                <w:color w:val="000000"/>
                <w:sz w:val="20"/>
                <w:szCs w:val="20"/>
              </w:rPr>
            </w:pPr>
            <w:r w:rsidRPr="003A0138">
              <w:rPr>
                <w:rFonts w:cs="Calibri"/>
                <w:color w:val="000000"/>
                <w:sz w:val="20"/>
                <w:szCs w:val="20"/>
              </w:rPr>
              <w:t>—</w:t>
            </w:r>
          </w:p>
        </w:tc>
      </w:tr>
      <w:tr w:rsidR="003A0138" w:rsidRPr="003A0138" w14:paraId="2823E7C7" w14:textId="77777777" w:rsidTr="003A0138">
        <w:trPr>
          <w:cantSplit/>
          <w:jc w:val="center"/>
        </w:trPr>
        <w:tc>
          <w:tcPr>
            <w:tcW w:w="2250" w:type="dxa"/>
            <w:vMerge/>
          </w:tcPr>
          <w:p w14:paraId="2E183217" w14:textId="77777777" w:rsidR="003A0138" w:rsidRPr="003A0138" w:rsidRDefault="003A0138" w:rsidP="003A0138">
            <w:pPr>
              <w:spacing w:before="80" w:after="80" w:line="240" w:lineRule="auto"/>
              <w:jc w:val="left"/>
              <w:rPr>
                <w:rFonts w:cs="Calibri"/>
                <w:color w:val="000000"/>
                <w:sz w:val="20"/>
                <w:szCs w:val="20"/>
              </w:rPr>
            </w:pPr>
          </w:p>
        </w:tc>
        <w:tc>
          <w:tcPr>
            <w:tcW w:w="3839" w:type="dxa"/>
          </w:tcPr>
          <w:p w14:paraId="71466961" w14:textId="77777777" w:rsidR="003A0138" w:rsidRPr="003A0138" w:rsidRDefault="003A0138" w:rsidP="003A0138">
            <w:pPr>
              <w:spacing w:before="80" w:after="80" w:line="240" w:lineRule="auto"/>
              <w:jc w:val="left"/>
              <w:rPr>
                <w:rFonts w:cs="Calibri"/>
                <w:color w:val="000000"/>
                <w:sz w:val="20"/>
                <w:szCs w:val="20"/>
              </w:rPr>
            </w:pPr>
            <w:r w:rsidRPr="003A0138">
              <w:rPr>
                <w:rFonts w:cs="Calibri"/>
                <w:color w:val="000000"/>
                <w:sz w:val="20"/>
                <w:szCs w:val="20"/>
              </w:rPr>
              <w:t>Other respiratory effects (e.g., premature aging of lungs)</w:t>
            </w:r>
          </w:p>
        </w:tc>
        <w:tc>
          <w:tcPr>
            <w:tcW w:w="1139" w:type="dxa"/>
            <w:gridSpan w:val="4"/>
          </w:tcPr>
          <w:p w14:paraId="3545A3F4" w14:textId="77777777" w:rsidR="003A0138" w:rsidRPr="003A0138" w:rsidRDefault="003A0138" w:rsidP="003A0138">
            <w:pPr>
              <w:spacing w:before="80" w:after="80" w:line="240" w:lineRule="auto"/>
              <w:jc w:val="center"/>
              <w:rPr>
                <w:rFonts w:cs="Calibri"/>
                <w:color w:val="000000"/>
                <w:sz w:val="20"/>
                <w:szCs w:val="20"/>
              </w:rPr>
            </w:pPr>
            <w:r w:rsidRPr="003A0138">
              <w:rPr>
                <w:rFonts w:cs="Calibri"/>
                <w:color w:val="000000"/>
                <w:sz w:val="20"/>
                <w:szCs w:val="20"/>
              </w:rPr>
              <w:t>—</w:t>
            </w:r>
          </w:p>
        </w:tc>
        <w:tc>
          <w:tcPr>
            <w:tcW w:w="1084" w:type="dxa"/>
          </w:tcPr>
          <w:p w14:paraId="4BAF88E7" w14:textId="77777777" w:rsidR="003A0138" w:rsidRPr="003A0138" w:rsidRDefault="003A0138" w:rsidP="003A0138">
            <w:pPr>
              <w:spacing w:before="80" w:after="80" w:line="240" w:lineRule="auto"/>
              <w:jc w:val="center"/>
              <w:rPr>
                <w:rFonts w:cs="Calibri"/>
                <w:color w:val="000000"/>
                <w:sz w:val="20"/>
                <w:szCs w:val="20"/>
              </w:rPr>
            </w:pPr>
            <w:r w:rsidRPr="003A0138">
              <w:rPr>
                <w:rFonts w:cs="Calibri"/>
                <w:color w:val="000000"/>
                <w:sz w:val="20"/>
                <w:szCs w:val="20"/>
              </w:rPr>
              <w:t>—</w:t>
            </w:r>
          </w:p>
        </w:tc>
      </w:tr>
      <w:tr w:rsidR="003A0138" w:rsidRPr="003A0138" w14:paraId="797E8A98" w14:textId="77777777" w:rsidTr="003A0138">
        <w:trPr>
          <w:cantSplit/>
          <w:jc w:val="center"/>
        </w:trPr>
        <w:tc>
          <w:tcPr>
            <w:tcW w:w="2250" w:type="dxa"/>
            <w:vMerge/>
          </w:tcPr>
          <w:p w14:paraId="047F7951" w14:textId="77777777" w:rsidR="003A0138" w:rsidRPr="003A0138" w:rsidRDefault="003A0138" w:rsidP="003A0138">
            <w:pPr>
              <w:spacing w:before="80" w:after="80" w:line="240" w:lineRule="auto"/>
              <w:jc w:val="left"/>
              <w:rPr>
                <w:rFonts w:cs="Calibri"/>
                <w:color w:val="000000"/>
                <w:sz w:val="20"/>
                <w:szCs w:val="20"/>
              </w:rPr>
            </w:pPr>
          </w:p>
        </w:tc>
        <w:tc>
          <w:tcPr>
            <w:tcW w:w="3839" w:type="dxa"/>
          </w:tcPr>
          <w:p w14:paraId="295DB87F" w14:textId="77777777" w:rsidR="003A0138" w:rsidRPr="003A0138" w:rsidRDefault="003A0138" w:rsidP="003A0138">
            <w:pPr>
              <w:spacing w:before="80" w:after="80" w:line="240" w:lineRule="auto"/>
              <w:jc w:val="left"/>
              <w:rPr>
                <w:rFonts w:cs="Calibri"/>
                <w:color w:val="000000"/>
                <w:sz w:val="20"/>
                <w:szCs w:val="20"/>
              </w:rPr>
            </w:pPr>
            <w:r w:rsidRPr="003A0138">
              <w:rPr>
                <w:rFonts w:cs="Calibri"/>
                <w:color w:val="000000"/>
                <w:sz w:val="20"/>
                <w:szCs w:val="20"/>
              </w:rPr>
              <w:t>Cardiovascular and nervous system effects</w:t>
            </w:r>
          </w:p>
        </w:tc>
        <w:tc>
          <w:tcPr>
            <w:tcW w:w="1139" w:type="dxa"/>
            <w:gridSpan w:val="4"/>
          </w:tcPr>
          <w:p w14:paraId="0B7BB017" w14:textId="77777777" w:rsidR="003A0138" w:rsidRPr="003A0138" w:rsidRDefault="003A0138" w:rsidP="003A0138">
            <w:pPr>
              <w:spacing w:before="80" w:after="80" w:line="240" w:lineRule="auto"/>
              <w:jc w:val="center"/>
              <w:rPr>
                <w:rFonts w:cs="Calibri"/>
                <w:color w:val="000000"/>
                <w:sz w:val="20"/>
                <w:szCs w:val="20"/>
              </w:rPr>
            </w:pPr>
            <w:r w:rsidRPr="003A0138">
              <w:rPr>
                <w:rFonts w:cs="Calibri"/>
                <w:color w:val="000000"/>
                <w:sz w:val="20"/>
                <w:szCs w:val="20"/>
              </w:rPr>
              <w:t>—</w:t>
            </w:r>
          </w:p>
        </w:tc>
        <w:tc>
          <w:tcPr>
            <w:tcW w:w="1084" w:type="dxa"/>
          </w:tcPr>
          <w:p w14:paraId="231F0E91" w14:textId="77777777" w:rsidR="003A0138" w:rsidRPr="003A0138" w:rsidRDefault="003A0138" w:rsidP="003A0138">
            <w:pPr>
              <w:spacing w:before="80" w:after="80" w:line="240" w:lineRule="auto"/>
              <w:jc w:val="center"/>
              <w:rPr>
                <w:rFonts w:cs="Calibri"/>
                <w:color w:val="000000"/>
                <w:sz w:val="20"/>
                <w:szCs w:val="20"/>
              </w:rPr>
            </w:pPr>
            <w:r w:rsidRPr="003A0138">
              <w:rPr>
                <w:rFonts w:cs="Calibri"/>
                <w:color w:val="000000"/>
                <w:sz w:val="20"/>
                <w:szCs w:val="20"/>
              </w:rPr>
              <w:t>—</w:t>
            </w:r>
          </w:p>
        </w:tc>
      </w:tr>
      <w:tr w:rsidR="003A0138" w:rsidRPr="003A0138" w14:paraId="4C656B10" w14:textId="77777777" w:rsidTr="003A0138">
        <w:trPr>
          <w:cantSplit/>
          <w:jc w:val="center"/>
        </w:trPr>
        <w:tc>
          <w:tcPr>
            <w:tcW w:w="2250" w:type="dxa"/>
            <w:vMerge/>
            <w:tcBorders>
              <w:bottom w:val="single" w:sz="4" w:space="0" w:color="auto"/>
            </w:tcBorders>
          </w:tcPr>
          <w:p w14:paraId="0697D2B9" w14:textId="77777777" w:rsidR="003A0138" w:rsidRPr="003A0138" w:rsidRDefault="003A0138" w:rsidP="003A0138">
            <w:pPr>
              <w:spacing w:before="80" w:after="80" w:line="240" w:lineRule="auto"/>
              <w:jc w:val="left"/>
              <w:rPr>
                <w:rFonts w:cs="Calibri"/>
                <w:color w:val="000000"/>
                <w:sz w:val="20"/>
                <w:szCs w:val="20"/>
              </w:rPr>
            </w:pPr>
          </w:p>
        </w:tc>
        <w:tc>
          <w:tcPr>
            <w:tcW w:w="3839" w:type="dxa"/>
            <w:tcBorders>
              <w:bottom w:val="single" w:sz="4" w:space="0" w:color="auto"/>
            </w:tcBorders>
          </w:tcPr>
          <w:p w14:paraId="097BAD18" w14:textId="77777777" w:rsidR="003A0138" w:rsidRPr="003A0138" w:rsidRDefault="003A0138" w:rsidP="003A0138">
            <w:pPr>
              <w:spacing w:before="80" w:after="80" w:line="240" w:lineRule="auto"/>
              <w:jc w:val="left"/>
              <w:rPr>
                <w:rFonts w:cs="Calibri"/>
                <w:color w:val="000000"/>
                <w:sz w:val="20"/>
                <w:szCs w:val="20"/>
              </w:rPr>
            </w:pPr>
            <w:r w:rsidRPr="003A0138">
              <w:rPr>
                <w:rFonts w:cs="Calibri"/>
                <w:color w:val="000000"/>
                <w:sz w:val="20"/>
                <w:szCs w:val="20"/>
              </w:rPr>
              <w:t>Reproductive and developmental effects</w:t>
            </w:r>
          </w:p>
        </w:tc>
        <w:tc>
          <w:tcPr>
            <w:tcW w:w="1139" w:type="dxa"/>
            <w:gridSpan w:val="4"/>
            <w:tcBorders>
              <w:bottom w:val="single" w:sz="4" w:space="0" w:color="auto"/>
            </w:tcBorders>
          </w:tcPr>
          <w:p w14:paraId="68AC39CC" w14:textId="77777777" w:rsidR="003A0138" w:rsidRPr="003A0138" w:rsidRDefault="003A0138" w:rsidP="003A0138">
            <w:pPr>
              <w:spacing w:before="80" w:after="80" w:line="240" w:lineRule="auto"/>
              <w:jc w:val="center"/>
              <w:rPr>
                <w:rFonts w:cs="Calibri"/>
                <w:color w:val="000000"/>
                <w:sz w:val="20"/>
                <w:szCs w:val="20"/>
              </w:rPr>
            </w:pPr>
            <w:r w:rsidRPr="003A0138">
              <w:rPr>
                <w:rFonts w:cs="Calibri"/>
                <w:color w:val="000000"/>
                <w:sz w:val="20"/>
                <w:szCs w:val="20"/>
              </w:rPr>
              <w:t>—</w:t>
            </w:r>
          </w:p>
        </w:tc>
        <w:tc>
          <w:tcPr>
            <w:tcW w:w="1084" w:type="dxa"/>
            <w:tcBorders>
              <w:bottom w:val="single" w:sz="4" w:space="0" w:color="auto"/>
            </w:tcBorders>
          </w:tcPr>
          <w:p w14:paraId="32323D46" w14:textId="77777777" w:rsidR="003A0138" w:rsidRPr="003A0138" w:rsidRDefault="003A0138" w:rsidP="003A0138">
            <w:pPr>
              <w:spacing w:before="80" w:after="80" w:line="240" w:lineRule="auto"/>
              <w:jc w:val="center"/>
              <w:rPr>
                <w:rFonts w:cs="Calibri"/>
                <w:color w:val="000000"/>
                <w:sz w:val="20"/>
                <w:szCs w:val="20"/>
              </w:rPr>
            </w:pPr>
            <w:r w:rsidRPr="003A0138">
              <w:rPr>
                <w:rFonts w:cs="Calibri"/>
                <w:color w:val="000000"/>
                <w:sz w:val="20"/>
                <w:szCs w:val="20"/>
              </w:rPr>
              <w:t>—</w:t>
            </w:r>
          </w:p>
        </w:tc>
      </w:tr>
      <w:tr w:rsidR="003A0138" w:rsidRPr="003A0138" w14:paraId="4C606A5C" w14:textId="77777777" w:rsidTr="003A0138">
        <w:trPr>
          <w:cantSplit/>
          <w:jc w:val="center"/>
        </w:trPr>
        <w:tc>
          <w:tcPr>
            <w:tcW w:w="2250" w:type="dxa"/>
            <w:vMerge w:val="restart"/>
            <w:tcBorders>
              <w:top w:val="single" w:sz="4" w:space="0" w:color="auto"/>
            </w:tcBorders>
          </w:tcPr>
          <w:p w14:paraId="69C92D56" w14:textId="77777777" w:rsidR="003A0138" w:rsidRPr="003A0138" w:rsidRDefault="003A0138" w:rsidP="003A0138">
            <w:pPr>
              <w:spacing w:before="80" w:after="80" w:line="240" w:lineRule="auto"/>
              <w:jc w:val="left"/>
              <w:rPr>
                <w:rFonts w:cs="Calibri"/>
                <w:color w:val="000000"/>
                <w:sz w:val="20"/>
                <w:szCs w:val="20"/>
              </w:rPr>
            </w:pPr>
            <w:r w:rsidRPr="003A0138">
              <w:rPr>
                <w:rFonts w:cs="Calibri"/>
                <w:color w:val="000000"/>
                <w:sz w:val="20"/>
                <w:szCs w:val="20"/>
              </w:rPr>
              <w:t>Reduced incidence of mortality and morbidity from exposure to NO</w:t>
            </w:r>
            <w:r w:rsidRPr="003A0138">
              <w:rPr>
                <w:rFonts w:cs="Calibri"/>
                <w:color w:val="000000"/>
                <w:sz w:val="20"/>
                <w:szCs w:val="20"/>
                <w:vertAlign w:val="subscript"/>
              </w:rPr>
              <w:t>2</w:t>
            </w:r>
          </w:p>
        </w:tc>
        <w:tc>
          <w:tcPr>
            <w:tcW w:w="3839" w:type="dxa"/>
            <w:tcBorders>
              <w:top w:val="single" w:sz="4" w:space="0" w:color="auto"/>
            </w:tcBorders>
          </w:tcPr>
          <w:p w14:paraId="65DD24FD" w14:textId="77777777" w:rsidR="003A0138" w:rsidRPr="003A0138" w:rsidRDefault="003A0138" w:rsidP="003A0138">
            <w:pPr>
              <w:spacing w:before="80" w:after="80" w:line="240" w:lineRule="auto"/>
              <w:jc w:val="left"/>
              <w:rPr>
                <w:rFonts w:cs="Calibri"/>
                <w:color w:val="000000"/>
                <w:sz w:val="20"/>
                <w:szCs w:val="20"/>
              </w:rPr>
            </w:pPr>
            <w:r w:rsidRPr="003A0138">
              <w:rPr>
                <w:rFonts w:cs="Calibri"/>
                <w:color w:val="000000"/>
                <w:sz w:val="20"/>
                <w:szCs w:val="20"/>
              </w:rPr>
              <w:t>Asthma hospital admissions (all ages)</w:t>
            </w:r>
          </w:p>
        </w:tc>
        <w:tc>
          <w:tcPr>
            <w:tcW w:w="1139" w:type="dxa"/>
            <w:gridSpan w:val="4"/>
            <w:tcBorders>
              <w:top w:val="single" w:sz="4" w:space="0" w:color="auto"/>
            </w:tcBorders>
          </w:tcPr>
          <w:p w14:paraId="6FE0FB90" w14:textId="77777777" w:rsidR="003A0138" w:rsidRPr="003A0138" w:rsidRDefault="003A0138" w:rsidP="003A0138">
            <w:pPr>
              <w:spacing w:before="80" w:after="80" w:line="240" w:lineRule="auto"/>
              <w:jc w:val="center"/>
              <w:rPr>
                <w:rFonts w:cs="Calibri"/>
                <w:color w:val="000000"/>
                <w:sz w:val="20"/>
                <w:szCs w:val="20"/>
              </w:rPr>
            </w:pPr>
            <w:r w:rsidRPr="003A0138">
              <w:rPr>
                <w:rFonts w:cs="Calibri"/>
                <w:color w:val="000000"/>
                <w:sz w:val="20"/>
                <w:szCs w:val="20"/>
              </w:rPr>
              <w:t>—</w:t>
            </w:r>
          </w:p>
        </w:tc>
        <w:tc>
          <w:tcPr>
            <w:tcW w:w="1084" w:type="dxa"/>
            <w:tcBorders>
              <w:top w:val="single" w:sz="4" w:space="0" w:color="auto"/>
            </w:tcBorders>
          </w:tcPr>
          <w:p w14:paraId="251FB49B" w14:textId="77777777" w:rsidR="003A0138" w:rsidRPr="003A0138" w:rsidRDefault="003A0138" w:rsidP="003A0138">
            <w:pPr>
              <w:spacing w:before="80" w:after="80" w:line="240" w:lineRule="auto"/>
              <w:jc w:val="center"/>
              <w:rPr>
                <w:rFonts w:cs="Calibri"/>
                <w:color w:val="000000"/>
                <w:sz w:val="20"/>
                <w:szCs w:val="20"/>
              </w:rPr>
            </w:pPr>
            <w:r w:rsidRPr="003A0138">
              <w:rPr>
                <w:rFonts w:cs="Calibri"/>
                <w:color w:val="000000"/>
                <w:sz w:val="20"/>
                <w:szCs w:val="20"/>
              </w:rPr>
              <w:t>—</w:t>
            </w:r>
          </w:p>
        </w:tc>
      </w:tr>
      <w:tr w:rsidR="003A0138" w:rsidRPr="003A0138" w14:paraId="313B0167" w14:textId="77777777" w:rsidTr="003A0138">
        <w:trPr>
          <w:cantSplit/>
          <w:jc w:val="center"/>
        </w:trPr>
        <w:tc>
          <w:tcPr>
            <w:tcW w:w="2250" w:type="dxa"/>
            <w:vMerge/>
          </w:tcPr>
          <w:p w14:paraId="29DD3346" w14:textId="77777777" w:rsidR="003A0138" w:rsidRPr="003A0138" w:rsidRDefault="003A0138" w:rsidP="003A0138">
            <w:pPr>
              <w:spacing w:before="80" w:after="80" w:line="240" w:lineRule="auto"/>
              <w:jc w:val="left"/>
              <w:rPr>
                <w:rFonts w:cs="Calibri"/>
                <w:color w:val="000000"/>
                <w:sz w:val="20"/>
                <w:szCs w:val="20"/>
              </w:rPr>
            </w:pPr>
          </w:p>
        </w:tc>
        <w:tc>
          <w:tcPr>
            <w:tcW w:w="3839" w:type="dxa"/>
          </w:tcPr>
          <w:p w14:paraId="2604D4D4" w14:textId="77777777" w:rsidR="003A0138" w:rsidRPr="003A0138" w:rsidRDefault="003A0138" w:rsidP="003A0138">
            <w:pPr>
              <w:spacing w:before="80" w:after="80" w:line="240" w:lineRule="auto"/>
              <w:jc w:val="left"/>
              <w:rPr>
                <w:rFonts w:cs="Calibri"/>
                <w:color w:val="000000"/>
                <w:sz w:val="20"/>
                <w:szCs w:val="20"/>
              </w:rPr>
            </w:pPr>
            <w:r w:rsidRPr="003A0138">
              <w:rPr>
                <w:rFonts w:cs="Calibri"/>
                <w:color w:val="000000"/>
                <w:sz w:val="20"/>
                <w:szCs w:val="20"/>
              </w:rPr>
              <w:t>Chronic lung disease hospital admissions (age &gt; 65)</w:t>
            </w:r>
          </w:p>
        </w:tc>
        <w:tc>
          <w:tcPr>
            <w:tcW w:w="1139" w:type="dxa"/>
            <w:gridSpan w:val="4"/>
          </w:tcPr>
          <w:p w14:paraId="22659F09" w14:textId="77777777" w:rsidR="003A0138" w:rsidRPr="003A0138" w:rsidRDefault="003A0138" w:rsidP="003A0138">
            <w:pPr>
              <w:spacing w:before="80" w:after="80" w:line="240" w:lineRule="auto"/>
              <w:jc w:val="center"/>
              <w:rPr>
                <w:rFonts w:cs="Calibri"/>
                <w:color w:val="000000"/>
                <w:sz w:val="20"/>
                <w:szCs w:val="20"/>
              </w:rPr>
            </w:pPr>
            <w:r w:rsidRPr="003A0138">
              <w:rPr>
                <w:rFonts w:cs="Calibri"/>
                <w:color w:val="000000"/>
                <w:sz w:val="20"/>
                <w:szCs w:val="20"/>
              </w:rPr>
              <w:t>—</w:t>
            </w:r>
          </w:p>
        </w:tc>
        <w:tc>
          <w:tcPr>
            <w:tcW w:w="1084" w:type="dxa"/>
          </w:tcPr>
          <w:p w14:paraId="2F92E3D4" w14:textId="77777777" w:rsidR="003A0138" w:rsidRPr="003A0138" w:rsidRDefault="003A0138" w:rsidP="003A0138">
            <w:pPr>
              <w:spacing w:before="80" w:after="80" w:line="240" w:lineRule="auto"/>
              <w:jc w:val="center"/>
              <w:rPr>
                <w:rFonts w:cs="Calibri"/>
                <w:color w:val="000000"/>
                <w:sz w:val="20"/>
                <w:szCs w:val="20"/>
              </w:rPr>
            </w:pPr>
            <w:r w:rsidRPr="003A0138">
              <w:rPr>
                <w:rFonts w:cs="Calibri"/>
                <w:color w:val="000000"/>
                <w:sz w:val="20"/>
                <w:szCs w:val="20"/>
              </w:rPr>
              <w:t>—</w:t>
            </w:r>
          </w:p>
        </w:tc>
      </w:tr>
      <w:tr w:rsidR="003A0138" w:rsidRPr="003A0138" w14:paraId="15E8AB4C" w14:textId="77777777" w:rsidTr="003A0138">
        <w:trPr>
          <w:cantSplit/>
          <w:jc w:val="center"/>
        </w:trPr>
        <w:tc>
          <w:tcPr>
            <w:tcW w:w="2250" w:type="dxa"/>
            <w:vMerge/>
          </w:tcPr>
          <w:p w14:paraId="3FB18789" w14:textId="77777777" w:rsidR="003A0138" w:rsidRPr="003A0138" w:rsidRDefault="003A0138" w:rsidP="003A0138">
            <w:pPr>
              <w:spacing w:before="80" w:after="80" w:line="240" w:lineRule="auto"/>
              <w:jc w:val="left"/>
              <w:rPr>
                <w:rFonts w:cs="Calibri"/>
                <w:color w:val="000000"/>
                <w:sz w:val="20"/>
                <w:szCs w:val="20"/>
              </w:rPr>
            </w:pPr>
          </w:p>
        </w:tc>
        <w:tc>
          <w:tcPr>
            <w:tcW w:w="3839" w:type="dxa"/>
          </w:tcPr>
          <w:p w14:paraId="18A978AD" w14:textId="77777777" w:rsidR="003A0138" w:rsidRPr="003A0138" w:rsidRDefault="003A0138" w:rsidP="003A0138">
            <w:pPr>
              <w:spacing w:before="80" w:after="80" w:line="240" w:lineRule="auto"/>
              <w:jc w:val="left"/>
              <w:rPr>
                <w:rFonts w:cs="Calibri"/>
                <w:color w:val="000000"/>
                <w:sz w:val="20"/>
                <w:szCs w:val="20"/>
              </w:rPr>
            </w:pPr>
            <w:r w:rsidRPr="003A0138">
              <w:rPr>
                <w:rFonts w:cs="Calibri"/>
                <w:color w:val="000000"/>
                <w:sz w:val="20"/>
                <w:szCs w:val="20"/>
              </w:rPr>
              <w:t>Respiratory emergency department visits   (all ages)</w:t>
            </w:r>
          </w:p>
        </w:tc>
        <w:tc>
          <w:tcPr>
            <w:tcW w:w="1139" w:type="dxa"/>
            <w:gridSpan w:val="4"/>
          </w:tcPr>
          <w:p w14:paraId="38873986" w14:textId="77777777" w:rsidR="003A0138" w:rsidRPr="003A0138" w:rsidRDefault="003A0138" w:rsidP="003A0138">
            <w:pPr>
              <w:spacing w:before="80" w:after="80" w:line="240" w:lineRule="auto"/>
              <w:jc w:val="center"/>
              <w:rPr>
                <w:rFonts w:cs="Calibri"/>
                <w:color w:val="000000"/>
                <w:sz w:val="20"/>
                <w:szCs w:val="20"/>
              </w:rPr>
            </w:pPr>
            <w:r w:rsidRPr="003A0138">
              <w:rPr>
                <w:rFonts w:cs="Calibri"/>
                <w:color w:val="000000"/>
                <w:sz w:val="20"/>
                <w:szCs w:val="20"/>
              </w:rPr>
              <w:t>—</w:t>
            </w:r>
          </w:p>
        </w:tc>
        <w:tc>
          <w:tcPr>
            <w:tcW w:w="1084" w:type="dxa"/>
          </w:tcPr>
          <w:p w14:paraId="36B697C2" w14:textId="77777777" w:rsidR="003A0138" w:rsidRPr="003A0138" w:rsidRDefault="003A0138" w:rsidP="003A0138">
            <w:pPr>
              <w:spacing w:before="80" w:after="80" w:line="240" w:lineRule="auto"/>
              <w:jc w:val="center"/>
              <w:rPr>
                <w:rFonts w:cs="Calibri"/>
                <w:color w:val="000000"/>
                <w:sz w:val="20"/>
                <w:szCs w:val="20"/>
              </w:rPr>
            </w:pPr>
            <w:r w:rsidRPr="003A0138">
              <w:rPr>
                <w:rFonts w:cs="Calibri"/>
                <w:color w:val="000000"/>
                <w:sz w:val="20"/>
                <w:szCs w:val="20"/>
              </w:rPr>
              <w:t>—</w:t>
            </w:r>
          </w:p>
        </w:tc>
      </w:tr>
      <w:tr w:rsidR="003A0138" w:rsidRPr="003A0138" w14:paraId="5CE437FC" w14:textId="77777777" w:rsidTr="003A0138">
        <w:trPr>
          <w:cantSplit/>
          <w:jc w:val="center"/>
        </w:trPr>
        <w:tc>
          <w:tcPr>
            <w:tcW w:w="2250" w:type="dxa"/>
            <w:vMerge/>
          </w:tcPr>
          <w:p w14:paraId="1A003078" w14:textId="77777777" w:rsidR="003A0138" w:rsidRPr="003A0138" w:rsidRDefault="003A0138" w:rsidP="003A0138">
            <w:pPr>
              <w:spacing w:before="80" w:after="80" w:line="240" w:lineRule="auto"/>
              <w:jc w:val="left"/>
              <w:rPr>
                <w:rFonts w:cs="Calibri"/>
                <w:color w:val="000000"/>
                <w:sz w:val="20"/>
                <w:szCs w:val="20"/>
              </w:rPr>
            </w:pPr>
          </w:p>
        </w:tc>
        <w:tc>
          <w:tcPr>
            <w:tcW w:w="3839" w:type="dxa"/>
          </w:tcPr>
          <w:p w14:paraId="1450255E" w14:textId="77777777" w:rsidR="003A0138" w:rsidRPr="003A0138" w:rsidRDefault="003A0138" w:rsidP="003A0138">
            <w:pPr>
              <w:spacing w:before="80" w:after="80" w:line="240" w:lineRule="auto"/>
              <w:jc w:val="left"/>
              <w:rPr>
                <w:rFonts w:cs="Calibri"/>
                <w:color w:val="000000"/>
                <w:sz w:val="20"/>
                <w:szCs w:val="20"/>
              </w:rPr>
            </w:pPr>
            <w:r w:rsidRPr="003A0138">
              <w:rPr>
                <w:rFonts w:cs="Calibri"/>
                <w:color w:val="000000"/>
                <w:sz w:val="20"/>
                <w:szCs w:val="20"/>
              </w:rPr>
              <w:t>Asthma exacerbation (asthmatics age 4</w:t>
            </w:r>
            <w:r w:rsidRPr="003A0138">
              <w:rPr>
                <w:rFonts w:cstheme="minorHAnsi"/>
                <w:color w:val="000000"/>
                <w:sz w:val="20"/>
                <w:szCs w:val="20"/>
              </w:rPr>
              <w:t>–</w:t>
            </w:r>
            <w:r w:rsidRPr="003A0138">
              <w:rPr>
                <w:rFonts w:cs="Calibri"/>
                <w:color w:val="000000"/>
                <w:sz w:val="20"/>
                <w:szCs w:val="20"/>
              </w:rPr>
              <w:t>18)</w:t>
            </w:r>
          </w:p>
        </w:tc>
        <w:tc>
          <w:tcPr>
            <w:tcW w:w="1139" w:type="dxa"/>
            <w:gridSpan w:val="4"/>
          </w:tcPr>
          <w:p w14:paraId="61B63C59" w14:textId="77777777" w:rsidR="003A0138" w:rsidRPr="003A0138" w:rsidRDefault="003A0138" w:rsidP="003A0138">
            <w:pPr>
              <w:spacing w:before="80" w:after="80" w:line="240" w:lineRule="auto"/>
              <w:jc w:val="center"/>
              <w:rPr>
                <w:rFonts w:cs="Calibri"/>
                <w:color w:val="000000"/>
                <w:sz w:val="20"/>
                <w:szCs w:val="20"/>
              </w:rPr>
            </w:pPr>
            <w:r w:rsidRPr="003A0138">
              <w:rPr>
                <w:rFonts w:cs="Calibri"/>
                <w:color w:val="000000"/>
                <w:sz w:val="20"/>
                <w:szCs w:val="20"/>
              </w:rPr>
              <w:t>—</w:t>
            </w:r>
          </w:p>
        </w:tc>
        <w:tc>
          <w:tcPr>
            <w:tcW w:w="1084" w:type="dxa"/>
          </w:tcPr>
          <w:p w14:paraId="2735FAD3" w14:textId="77777777" w:rsidR="003A0138" w:rsidRPr="003A0138" w:rsidRDefault="003A0138" w:rsidP="003A0138">
            <w:pPr>
              <w:spacing w:before="80" w:after="80" w:line="240" w:lineRule="auto"/>
              <w:jc w:val="center"/>
              <w:rPr>
                <w:rFonts w:cs="Calibri"/>
                <w:color w:val="000000"/>
                <w:sz w:val="20"/>
                <w:szCs w:val="20"/>
              </w:rPr>
            </w:pPr>
            <w:r w:rsidRPr="003A0138">
              <w:rPr>
                <w:rFonts w:cs="Calibri"/>
                <w:color w:val="000000"/>
                <w:sz w:val="20"/>
                <w:szCs w:val="20"/>
              </w:rPr>
              <w:t>—</w:t>
            </w:r>
          </w:p>
        </w:tc>
      </w:tr>
      <w:tr w:rsidR="003A0138" w:rsidRPr="003A0138" w14:paraId="4865C5A2" w14:textId="77777777" w:rsidTr="003A0138">
        <w:trPr>
          <w:cantSplit/>
          <w:jc w:val="center"/>
        </w:trPr>
        <w:tc>
          <w:tcPr>
            <w:tcW w:w="2250" w:type="dxa"/>
            <w:vMerge/>
          </w:tcPr>
          <w:p w14:paraId="3A449564" w14:textId="77777777" w:rsidR="003A0138" w:rsidRPr="003A0138" w:rsidRDefault="003A0138" w:rsidP="003A0138">
            <w:pPr>
              <w:spacing w:before="80" w:after="80" w:line="240" w:lineRule="auto"/>
              <w:jc w:val="left"/>
              <w:rPr>
                <w:rFonts w:cs="Calibri"/>
                <w:color w:val="000000"/>
                <w:sz w:val="20"/>
                <w:szCs w:val="20"/>
              </w:rPr>
            </w:pPr>
          </w:p>
        </w:tc>
        <w:tc>
          <w:tcPr>
            <w:tcW w:w="3839" w:type="dxa"/>
          </w:tcPr>
          <w:p w14:paraId="7423E4CF" w14:textId="77777777" w:rsidR="003A0138" w:rsidRPr="003A0138" w:rsidRDefault="003A0138" w:rsidP="003A0138">
            <w:pPr>
              <w:spacing w:before="80" w:after="80" w:line="240" w:lineRule="auto"/>
              <w:jc w:val="left"/>
              <w:rPr>
                <w:rFonts w:cs="Calibri"/>
                <w:color w:val="000000"/>
                <w:sz w:val="20"/>
                <w:szCs w:val="20"/>
              </w:rPr>
            </w:pPr>
            <w:r w:rsidRPr="003A0138">
              <w:rPr>
                <w:rFonts w:cs="Calibri"/>
                <w:color w:val="000000"/>
                <w:sz w:val="20"/>
                <w:szCs w:val="20"/>
              </w:rPr>
              <w:t>Acute respiratory symptoms (age 7–14)</w:t>
            </w:r>
          </w:p>
        </w:tc>
        <w:tc>
          <w:tcPr>
            <w:tcW w:w="1139" w:type="dxa"/>
            <w:gridSpan w:val="4"/>
          </w:tcPr>
          <w:p w14:paraId="200DBDFB" w14:textId="77777777" w:rsidR="003A0138" w:rsidRPr="003A0138" w:rsidRDefault="003A0138" w:rsidP="003A0138">
            <w:pPr>
              <w:spacing w:before="80" w:after="80" w:line="240" w:lineRule="auto"/>
              <w:jc w:val="center"/>
              <w:rPr>
                <w:rFonts w:cs="Calibri"/>
                <w:color w:val="000000"/>
                <w:sz w:val="20"/>
                <w:szCs w:val="20"/>
              </w:rPr>
            </w:pPr>
            <w:r w:rsidRPr="003A0138">
              <w:rPr>
                <w:rFonts w:cs="Calibri"/>
                <w:color w:val="000000"/>
                <w:sz w:val="20"/>
                <w:szCs w:val="20"/>
              </w:rPr>
              <w:t>—</w:t>
            </w:r>
          </w:p>
        </w:tc>
        <w:tc>
          <w:tcPr>
            <w:tcW w:w="1084" w:type="dxa"/>
          </w:tcPr>
          <w:p w14:paraId="4A3E057F" w14:textId="77777777" w:rsidR="003A0138" w:rsidRPr="003A0138" w:rsidRDefault="003A0138" w:rsidP="003A0138">
            <w:pPr>
              <w:spacing w:before="80" w:after="80" w:line="240" w:lineRule="auto"/>
              <w:jc w:val="center"/>
              <w:rPr>
                <w:rFonts w:cs="Calibri"/>
                <w:color w:val="000000"/>
                <w:sz w:val="20"/>
                <w:szCs w:val="20"/>
              </w:rPr>
            </w:pPr>
            <w:r w:rsidRPr="003A0138">
              <w:rPr>
                <w:rFonts w:cs="Calibri"/>
                <w:color w:val="000000"/>
                <w:sz w:val="20"/>
                <w:szCs w:val="20"/>
              </w:rPr>
              <w:t>—</w:t>
            </w:r>
          </w:p>
        </w:tc>
      </w:tr>
      <w:tr w:rsidR="003A0138" w:rsidRPr="003A0138" w14:paraId="1E583207" w14:textId="77777777" w:rsidTr="003A0138">
        <w:trPr>
          <w:cantSplit/>
          <w:jc w:val="center"/>
        </w:trPr>
        <w:tc>
          <w:tcPr>
            <w:tcW w:w="2250" w:type="dxa"/>
            <w:vMerge/>
          </w:tcPr>
          <w:p w14:paraId="035BB24B" w14:textId="77777777" w:rsidR="003A0138" w:rsidRPr="003A0138" w:rsidRDefault="003A0138" w:rsidP="003A0138">
            <w:pPr>
              <w:spacing w:before="80" w:after="80" w:line="240" w:lineRule="auto"/>
              <w:jc w:val="left"/>
              <w:rPr>
                <w:rFonts w:cs="Calibri"/>
                <w:color w:val="000000"/>
                <w:sz w:val="20"/>
                <w:szCs w:val="20"/>
              </w:rPr>
            </w:pPr>
          </w:p>
        </w:tc>
        <w:tc>
          <w:tcPr>
            <w:tcW w:w="3839" w:type="dxa"/>
          </w:tcPr>
          <w:p w14:paraId="6FD3A3EF" w14:textId="77777777" w:rsidR="003A0138" w:rsidRPr="003A0138" w:rsidRDefault="003A0138" w:rsidP="003A0138">
            <w:pPr>
              <w:spacing w:before="80" w:after="80" w:line="240" w:lineRule="auto"/>
              <w:jc w:val="left"/>
              <w:rPr>
                <w:rFonts w:cs="Calibri"/>
                <w:color w:val="000000"/>
                <w:sz w:val="20"/>
                <w:szCs w:val="20"/>
              </w:rPr>
            </w:pPr>
            <w:r w:rsidRPr="003A0138">
              <w:rPr>
                <w:rFonts w:cs="Calibri"/>
                <w:color w:val="000000"/>
                <w:sz w:val="20"/>
                <w:szCs w:val="20"/>
              </w:rPr>
              <w:t>Premature mortality</w:t>
            </w:r>
          </w:p>
        </w:tc>
        <w:tc>
          <w:tcPr>
            <w:tcW w:w="1139" w:type="dxa"/>
            <w:gridSpan w:val="4"/>
          </w:tcPr>
          <w:p w14:paraId="25450CF9" w14:textId="77777777" w:rsidR="003A0138" w:rsidRPr="003A0138" w:rsidRDefault="003A0138" w:rsidP="003A0138">
            <w:pPr>
              <w:spacing w:before="80" w:after="80" w:line="240" w:lineRule="auto"/>
              <w:jc w:val="center"/>
              <w:rPr>
                <w:rFonts w:cs="Calibri"/>
                <w:color w:val="000000"/>
                <w:sz w:val="20"/>
                <w:szCs w:val="20"/>
              </w:rPr>
            </w:pPr>
            <w:r w:rsidRPr="003A0138">
              <w:rPr>
                <w:rFonts w:cs="Calibri"/>
                <w:color w:val="000000"/>
                <w:sz w:val="20"/>
                <w:szCs w:val="20"/>
              </w:rPr>
              <w:t>—</w:t>
            </w:r>
          </w:p>
        </w:tc>
        <w:tc>
          <w:tcPr>
            <w:tcW w:w="1084" w:type="dxa"/>
          </w:tcPr>
          <w:p w14:paraId="650F7DC1" w14:textId="77777777" w:rsidR="003A0138" w:rsidRPr="003A0138" w:rsidRDefault="003A0138" w:rsidP="003A0138">
            <w:pPr>
              <w:spacing w:before="80" w:after="80" w:line="240" w:lineRule="auto"/>
              <w:jc w:val="center"/>
              <w:rPr>
                <w:rFonts w:cs="Calibri"/>
                <w:color w:val="000000"/>
                <w:sz w:val="20"/>
                <w:szCs w:val="20"/>
              </w:rPr>
            </w:pPr>
            <w:r w:rsidRPr="003A0138">
              <w:rPr>
                <w:rFonts w:cs="Calibri"/>
                <w:color w:val="000000"/>
                <w:sz w:val="20"/>
                <w:szCs w:val="20"/>
              </w:rPr>
              <w:t>—</w:t>
            </w:r>
          </w:p>
        </w:tc>
      </w:tr>
      <w:tr w:rsidR="003A0138" w:rsidRPr="003A0138" w14:paraId="2DB35410" w14:textId="77777777" w:rsidTr="003A0138">
        <w:trPr>
          <w:cnfStyle w:val="010000000000" w:firstRow="0" w:lastRow="1" w:firstColumn="0" w:lastColumn="0" w:oddVBand="0" w:evenVBand="0" w:oddHBand="0" w:evenHBand="0" w:firstRowFirstColumn="0" w:firstRowLastColumn="0" w:lastRowFirstColumn="0" w:lastRowLastColumn="0"/>
          <w:cantSplit/>
          <w:jc w:val="center"/>
        </w:trPr>
        <w:tc>
          <w:tcPr>
            <w:tcW w:w="2250" w:type="dxa"/>
            <w:vMerge/>
            <w:tcBorders>
              <w:bottom w:val="single" w:sz="12" w:space="0" w:color="auto"/>
            </w:tcBorders>
          </w:tcPr>
          <w:p w14:paraId="3883F303" w14:textId="77777777" w:rsidR="003A0138" w:rsidRPr="003A0138" w:rsidRDefault="003A0138" w:rsidP="003A0138">
            <w:pPr>
              <w:spacing w:before="80" w:after="80" w:line="240" w:lineRule="auto"/>
              <w:jc w:val="left"/>
              <w:rPr>
                <w:rFonts w:cs="Calibri"/>
                <w:color w:val="000000"/>
                <w:sz w:val="20"/>
                <w:szCs w:val="20"/>
              </w:rPr>
            </w:pPr>
          </w:p>
        </w:tc>
        <w:tc>
          <w:tcPr>
            <w:tcW w:w="3839" w:type="dxa"/>
            <w:tcBorders>
              <w:bottom w:val="single" w:sz="12" w:space="0" w:color="auto"/>
            </w:tcBorders>
          </w:tcPr>
          <w:p w14:paraId="390E83F8" w14:textId="77777777" w:rsidR="003A0138" w:rsidRPr="003A0138" w:rsidRDefault="003A0138" w:rsidP="003A0138">
            <w:pPr>
              <w:spacing w:before="80" w:after="80" w:line="240" w:lineRule="auto"/>
              <w:jc w:val="left"/>
              <w:rPr>
                <w:rFonts w:cs="Calibri"/>
                <w:color w:val="000000"/>
                <w:sz w:val="20"/>
                <w:szCs w:val="20"/>
              </w:rPr>
            </w:pPr>
            <w:r w:rsidRPr="003A0138">
              <w:rPr>
                <w:rFonts w:cs="Calibri"/>
                <w:color w:val="000000"/>
                <w:sz w:val="20"/>
                <w:szCs w:val="20"/>
              </w:rPr>
              <w:t>Other respiratory effects (e.g., airway hyperresponsiveness and inflammation, lung function, other ages and populations)</w:t>
            </w:r>
          </w:p>
        </w:tc>
        <w:tc>
          <w:tcPr>
            <w:tcW w:w="1139" w:type="dxa"/>
            <w:gridSpan w:val="4"/>
            <w:tcBorders>
              <w:bottom w:val="single" w:sz="12" w:space="0" w:color="auto"/>
            </w:tcBorders>
          </w:tcPr>
          <w:p w14:paraId="7CE99EAD" w14:textId="77777777" w:rsidR="003A0138" w:rsidRPr="003A0138" w:rsidRDefault="003A0138" w:rsidP="003A0138">
            <w:pPr>
              <w:spacing w:before="80" w:after="80" w:line="240" w:lineRule="auto"/>
              <w:jc w:val="center"/>
              <w:rPr>
                <w:rFonts w:cs="Calibri"/>
                <w:color w:val="000000"/>
                <w:sz w:val="20"/>
                <w:szCs w:val="20"/>
              </w:rPr>
            </w:pPr>
            <w:r w:rsidRPr="003A0138">
              <w:rPr>
                <w:rFonts w:cs="Calibri"/>
                <w:color w:val="000000"/>
                <w:sz w:val="20"/>
                <w:szCs w:val="20"/>
              </w:rPr>
              <w:t>—</w:t>
            </w:r>
          </w:p>
        </w:tc>
        <w:tc>
          <w:tcPr>
            <w:tcW w:w="1084" w:type="dxa"/>
            <w:tcBorders>
              <w:bottom w:val="single" w:sz="12" w:space="0" w:color="auto"/>
            </w:tcBorders>
          </w:tcPr>
          <w:p w14:paraId="29794E08" w14:textId="77777777" w:rsidR="003A0138" w:rsidRPr="003A0138" w:rsidRDefault="003A0138" w:rsidP="003A0138">
            <w:pPr>
              <w:spacing w:before="80" w:after="80" w:line="240" w:lineRule="auto"/>
              <w:jc w:val="center"/>
              <w:rPr>
                <w:rFonts w:cs="Calibri"/>
                <w:color w:val="000000"/>
                <w:sz w:val="20"/>
                <w:szCs w:val="20"/>
              </w:rPr>
            </w:pPr>
            <w:r w:rsidRPr="003A0138">
              <w:rPr>
                <w:rFonts w:cs="Calibri"/>
                <w:color w:val="000000"/>
                <w:sz w:val="20"/>
                <w:szCs w:val="20"/>
              </w:rPr>
              <w:t>—</w:t>
            </w:r>
          </w:p>
        </w:tc>
      </w:tr>
    </w:tbl>
    <w:p w14:paraId="53ACA468" w14:textId="77777777" w:rsidR="003A0138" w:rsidRPr="003A0138" w:rsidRDefault="003A0138" w:rsidP="003A0138">
      <w:pPr>
        <w:spacing w:before="240" w:line="240" w:lineRule="auto"/>
        <w:contextualSpacing/>
        <w:jc w:val="center"/>
        <w:rPr>
          <w:rFonts w:eastAsiaTheme="majorEastAsia" w:cstheme="majorBidi"/>
          <w:b/>
          <w:spacing w:val="-10"/>
          <w:kern w:val="28"/>
          <w:szCs w:val="56"/>
        </w:rPr>
      </w:pPr>
    </w:p>
    <w:p w14:paraId="212C0545" w14:textId="77777777" w:rsidR="003A0138" w:rsidRPr="003A0138" w:rsidRDefault="003A0138" w:rsidP="003A0138">
      <w:pPr>
        <w:spacing w:before="240" w:line="240" w:lineRule="auto"/>
        <w:contextualSpacing/>
        <w:jc w:val="center"/>
        <w:rPr>
          <w:rFonts w:eastAsiaTheme="majorEastAsia" w:cstheme="majorBidi"/>
          <w:b/>
          <w:spacing w:val="-10"/>
          <w:kern w:val="28"/>
          <w:szCs w:val="56"/>
        </w:rPr>
      </w:pPr>
    </w:p>
    <w:p w14:paraId="30D2F997" w14:textId="77777777" w:rsidR="003A0138" w:rsidRPr="003A0138" w:rsidRDefault="003A0138" w:rsidP="003A0138">
      <w:pPr>
        <w:spacing w:before="240" w:line="240" w:lineRule="auto"/>
        <w:contextualSpacing/>
        <w:jc w:val="center"/>
        <w:rPr>
          <w:rFonts w:eastAsiaTheme="majorEastAsia" w:cstheme="majorBidi"/>
          <w:b/>
          <w:spacing w:val="-10"/>
          <w:kern w:val="28"/>
          <w:szCs w:val="56"/>
        </w:rPr>
      </w:pPr>
    </w:p>
    <w:p w14:paraId="28BDE14F" w14:textId="77777777" w:rsidR="003A0138" w:rsidRPr="003A0138" w:rsidRDefault="003A0138" w:rsidP="003A0138">
      <w:pPr>
        <w:spacing w:before="240" w:line="240" w:lineRule="auto"/>
        <w:contextualSpacing/>
        <w:jc w:val="center"/>
        <w:rPr>
          <w:rFonts w:eastAsiaTheme="majorEastAsia" w:cstheme="majorBidi"/>
          <w:b/>
          <w:spacing w:val="-10"/>
          <w:kern w:val="28"/>
          <w:szCs w:val="56"/>
        </w:rPr>
      </w:pPr>
    </w:p>
    <w:p w14:paraId="17796A2B" w14:textId="77777777" w:rsidR="003A0138" w:rsidRPr="003A0138" w:rsidRDefault="003A0138" w:rsidP="003A0138">
      <w:pPr>
        <w:spacing w:before="240" w:line="240" w:lineRule="auto"/>
        <w:contextualSpacing/>
        <w:jc w:val="center"/>
        <w:rPr>
          <w:rFonts w:eastAsiaTheme="majorEastAsia" w:cstheme="majorBidi"/>
          <w:b/>
          <w:spacing w:val="-10"/>
          <w:kern w:val="28"/>
          <w:szCs w:val="56"/>
        </w:rPr>
      </w:pPr>
    </w:p>
    <w:p w14:paraId="27EABEA0" w14:textId="77777777" w:rsidR="003A0138" w:rsidRPr="003A0138" w:rsidRDefault="003A0138" w:rsidP="003A0138">
      <w:pPr>
        <w:spacing w:before="240" w:line="240" w:lineRule="auto"/>
        <w:contextualSpacing/>
        <w:jc w:val="center"/>
        <w:rPr>
          <w:rFonts w:eastAsiaTheme="majorEastAsia" w:cstheme="majorBidi"/>
          <w:b/>
          <w:spacing w:val="-10"/>
          <w:kern w:val="28"/>
          <w:szCs w:val="56"/>
        </w:rPr>
      </w:pPr>
      <w:r w:rsidRPr="003A0138">
        <w:rPr>
          <w:rFonts w:eastAsiaTheme="majorEastAsia" w:cstheme="majorBidi"/>
          <w:b/>
          <w:spacing w:val="-10"/>
          <w:kern w:val="28"/>
          <w:szCs w:val="56"/>
        </w:rPr>
        <w:lastRenderedPageBreak/>
        <w:fldChar w:fldCharType="begin"/>
      </w:r>
      <w:r w:rsidRPr="003A0138">
        <w:rPr>
          <w:rFonts w:eastAsiaTheme="majorEastAsia" w:cstheme="majorBidi"/>
          <w:b/>
          <w:spacing w:val="-10"/>
          <w:kern w:val="28"/>
          <w:szCs w:val="56"/>
        </w:rPr>
        <w:instrText xml:space="preserve"> REF _Ref417378925 \h  \* MERGEFORMAT </w:instrText>
      </w:r>
      <w:r w:rsidRPr="003A0138">
        <w:rPr>
          <w:rFonts w:eastAsiaTheme="majorEastAsia" w:cstheme="majorBidi"/>
          <w:b/>
          <w:spacing w:val="-10"/>
          <w:kern w:val="28"/>
          <w:szCs w:val="56"/>
        </w:rPr>
      </w:r>
      <w:r w:rsidRPr="003A0138">
        <w:rPr>
          <w:rFonts w:eastAsiaTheme="majorEastAsia" w:cstheme="majorBidi"/>
          <w:b/>
          <w:spacing w:val="-10"/>
          <w:kern w:val="28"/>
          <w:szCs w:val="56"/>
        </w:rPr>
        <w:fldChar w:fldCharType="separate"/>
      </w:r>
      <w:r w:rsidRPr="003A0138">
        <w:rPr>
          <w:rFonts w:eastAsiaTheme="majorEastAsia" w:cstheme="majorBidi"/>
          <w:b/>
          <w:spacing w:val="-10"/>
          <w:kern w:val="28"/>
          <w:szCs w:val="56"/>
        </w:rPr>
        <w:t xml:space="preserve">Table </w:t>
      </w:r>
      <w:r w:rsidRPr="003A0138">
        <w:rPr>
          <w:rFonts w:eastAsiaTheme="majorEastAsia" w:cstheme="majorBidi"/>
          <w:b/>
          <w:noProof/>
          <w:spacing w:val="-10"/>
          <w:kern w:val="28"/>
          <w:szCs w:val="56"/>
        </w:rPr>
        <w:t>1</w:t>
      </w:r>
      <w:r w:rsidRPr="003A0138">
        <w:rPr>
          <w:rFonts w:eastAsiaTheme="majorEastAsia" w:cstheme="majorBidi"/>
          <w:b/>
          <w:spacing w:val="-10"/>
          <w:kern w:val="28"/>
          <w:szCs w:val="56"/>
        </w:rPr>
        <w:fldChar w:fldCharType="end"/>
      </w:r>
      <w:r w:rsidRPr="003A0138">
        <w:rPr>
          <w:rFonts w:eastAsiaTheme="majorEastAsia" w:cstheme="majorBidi"/>
          <w:b/>
          <w:spacing w:val="-10"/>
          <w:kern w:val="28"/>
          <w:szCs w:val="56"/>
        </w:rPr>
        <w:t>:</w:t>
      </w:r>
      <w:r w:rsidRPr="003A0138">
        <w:rPr>
          <w:rFonts w:eastAsiaTheme="majorEastAsia" w:cstheme="majorBidi"/>
          <w:b/>
          <w:spacing w:val="-10"/>
          <w:kern w:val="28"/>
          <w:szCs w:val="56"/>
        </w:rPr>
        <w:tab/>
        <w:t>Human Health Effects of Air Pollutants [continued]</w:t>
      </w:r>
    </w:p>
    <w:tbl>
      <w:tblPr>
        <w:tblStyle w:val="format2"/>
        <w:tblW w:w="8284" w:type="dxa"/>
        <w:jc w:val="center"/>
        <w:tblLook w:val="05E0" w:firstRow="1" w:lastRow="1" w:firstColumn="1" w:lastColumn="1" w:noHBand="0" w:noVBand="1"/>
      </w:tblPr>
      <w:tblGrid>
        <w:gridCol w:w="2250"/>
        <w:gridCol w:w="3749"/>
        <w:gridCol w:w="12"/>
        <w:gridCol w:w="1106"/>
        <w:gridCol w:w="21"/>
        <w:gridCol w:w="1092"/>
        <w:gridCol w:w="54"/>
      </w:tblGrid>
      <w:tr w:rsidR="003A0138" w:rsidRPr="003A0138" w14:paraId="4C017DA9" w14:textId="77777777" w:rsidTr="003A0138">
        <w:trPr>
          <w:gridAfter w:val="1"/>
          <w:cnfStyle w:val="100000000000" w:firstRow="1" w:lastRow="0" w:firstColumn="0" w:lastColumn="0" w:oddVBand="0" w:evenVBand="0" w:oddHBand="0" w:evenHBand="0" w:firstRowFirstColumn="0" w:firstRowLastColumn="0" w:lastRowFirstColumn="0" w:lastRowLastColumn="0"/>
          <w:wAfter w:w="54" w:type="dxa"/>
          <w:trHeight w:val="765"/>
          <w:jc w:val="center"/>
        </w:trPr>
        <w:tc>
          <w:tcPr>
            <w:tcW w:w="2250" w:type="dxa"/>
            <w:tcBorders>
              <w:top w:val="single" w:sz="12" w:space="0" w:color="auto"/>
              <w:bottom w:val="single" w:sz="12" w:space="0" w:color="auto"/>
            </w:tcBorders>
            <w:vAlign w:val="top"/>
          </w:tcPr>
          <w:p w14:paraId="739FD325" w14:textId="77777777" w:rsidR="003A0138" w:rsidRPr="003A0138" w:rsidRDefault="003A0138" w:rsidP="003A0138">
            <w:pPr>
              <w:keepNext/>
              <w:keepLines/>
              <w:spacing w:before="80" w:after="80" w:line="240" w:lineRule="auto"/>
              <w:jc w:val="center"/>
              <w:rPr>
                <w:b/>
                <w:sz w:val="20"/>
                <w:szCs w:val="20"/>
              </w:rPr>
            </w:pPr>
            <w:r w:rsidRPr="003A0138">
              <w:rPr>
                <w:b/>
                <w:sz w:val="20"/>
                <w:szCs w:val="20"/>
              </w:rPr>
              <w:t>Benefits Category</w:t>
            </w:r>
          </w:p>
        </w:tc>
        <w:tc>
          <w:tcPr>
            <w:tcW w:w="3761" w:type="dxa"/>
            <w:gridSpan w:val="2"/>
            <w:tcBorders>
              <w:top w:val="single" w:sz="12" w:space="0" w:color="auto"/>
              <w:bottom w:val="single" w:sz="12" w:space="0" w:color="auto"/>
            </w:tcBorders>
            <w:vAlign w:val="top"/>
          </w:tcPr>
          <w:p w14:paraId="5574162C" w14:textId="77777777" w:rsidR="003A0138" w:rsidRPr="003A0138" w:rsidRDefault="003A0138" w:rsidP="003A0138">
            <w:pPr>
              <w:keepNext/>
              <w:keepLines/>
              <w:spacing w:before="80" w:after="80" w:line="240" w:lineRule="auto"/>
              <w:jc w:val="center"/>
              <w:rPr>
                <w:b/>
                <w:sz w:val="20"/>
                <w:szCs w:val="20"/>
              </w:rPr>
            </w:pPr>
            <w:r w:rsidRPr="003A0138">
              <w:rPr>
                <w:b/>
                <w:sz w:val="20"/>
                <w:szCs w:val="20"/>
              </w:rPr>
              <w:t>Specific Effect</w:t>
            </w:r>
          </w:p>
        </w:tc>
        <w:tc>
          <w:tcPr>
            <w:tcW w:w="1106" w:type="dxa"/>
            <w:tcBorders>
              <w:top w:val="single" w:sz="12" w:space="0" w:color="auto"/>
              <w:bottom w:val="single" w:sz="12" w:space="0" w:color="auto"/>
            </w:tcBorders>
            <w:vAlign w:val="top"/>
          </w:tcPr>
          <w:p w14:paraId="618366D5" w14:textId="77777777" w:rsidR="003A0138" w:rsidRPr="003A0138" w:rsidRDefault="003A0138" w:rsidP="003A0138">
            <w:pPr>
              <w:keepNext/>
              <w:keepLines/>
              <w:spacing w:before="80" w:after="80" w:line="240" w:lineRule="auto"/>
              <w:jc w:val="center"/>
              <w:rPr>
                <w:b/>
                <w:sz w:val="20"/>
                <w:szCs w:val="20"/>
              </w:rPr>
            </w:pPr>
            <w:r w:rsidRPr="003A0138">
              <w:rPr>
                <w:b/>
                <w:sz w:val="20"/>
                <w:szCs w:val="20"/>
              </w:rPr>
              <w:t>Effect Has Been Quantified</w:t>
            </w:r>
          </w:p>
        </w:tc>
        <w:tc>
          <w:tcPr>
            <w:tcW w:w="1113" w:type="dxa"/>
            <w:gridSpan w:val="2"/>
            <w:tcBorders>
              <w:top w:val="single" w:sz="12" w:space="0" w:color="auto"/>
              <w:bottom w:val="single" w:sz="12" w:space="0" w:color="auto"/>
            </w:tcBorders>
            <w:vAlign w:val="top"/>
          </w:tcPr>
          <w:p w14:paraId="090CD2D9" w14:textId="77777777" w:rsidR="003A0138" w:rsidRPr="003A0138" w:rsidRDefault="003A0138" w:rsidP="003A0138">
            <w:pPr>
              <w:keepNext/>
              <w:keepLines/>
              <w:spacing w:before="80" w:after="80" w:line="240" w:lineRule="auto"/>
              <w:jc w:val="center"/>
              <w:rPr>
                <w:b/>
                <w:sz w:val="20"/>
                <w:szCs w:val="20"/>
              </w:rPr>
            </w:pPr>
            <w:r w:rsidRPr="003A0138">
              <w:rPr>
                <w:b/>
                <w:sz w:val="20"/>
                <w:szCs w:val="20"/>
              </w:rPr>
              <w:t>Effect Has Been Monetized</w:t>
            </w:r>
          </w:p>
        </w:tc>
      </w:tr>
      <w:tr w:rsidR="003A0138" w:rsidRPr="003A0138" w14:paraId="5CA7D1D5" w14:textId="77777777" w:rsidTr="003A0138">
        <w:trPr>
          <w:cantSplit/>
          <w:jc w:val="center"/>
        </w:trPr>
        <w:tc>
          <w:tcPr>
            <w:tcW w:w="2250" w:type="dxa"/>
            <w:vMerge w:val="restart"/>
            <w:tcBorders>
              <w:top w:val="single" w:sz="4" w:space="0" w:color="auto"/>
            </w:tcBorders>
          </w:tcPr>
          <w:p w14:paraId="703EAA63" w14:textId="77777777" w:rsidR="003A0138" w:rsidRPr="003A0138" w:rsidRDefault="003A0138" w:rsidP="003A0138">
            <w:pPr>
              <w:spacing w:before="80" w:after="80" w:line="240" w:lineRule="auto"/>
              <w:jc w:val="left"/>
              <w:rPr>
                <w:rFonts w:cs="Calibri"/>
                <w:color w:val="000000"/>
                <w:sz w:val="20"/>
                <w:szCs w:val="20"/>
              </w:rPr>
            </w:pPr>
            <w:r w:rsidRPr="003A0138">
              <w:rPr>
                <w:rFonts w:cs="Calibri"/>
                <w:color w:val="000000"/>
                <w:sz w:val="20"/>
                <w:szCs w:val="20"/>
              </w:rPr>
              <w:t>Reduced incidence of mortality and morbidity from exposure to SO</w:t>
            </w:r>
            <w:r w:rsidRPr="003A0138">
              <w:rPr>
                <w:rFonts w:cs="Calibri"/>
                <w:color w:val="000000"/>
                <w:sz w:val="20"/>
                <w:szCs w:val="20"/>
                <w:vertAlign w:val="subscript"/>
              </w:rPr>
              <w:t>2</w:t>
            </w:r>
          </w:p>
        </w:tc>
        <w:tc>
          <w:tcPr>
            <w:tcW w:w="3749" w:type="dxa"/>
            <w:tcBorders>
              <w:top w:val="single" w:sz="4" w:space="0" w:color="auto"/>
            </w:tcBorders>
          </w:tcPr>
          <w:p w14:paraId="2F1B8AAE" w14:textId="77777777" w:rsidR="003A0138" w:rsidRPr="003A0138" w:rsidRDefault="003A0138" w:rsidP="003A0138">
            <w:pPr>
              <w:spacing w:before="80" w:after="80" w:line="240" w:lineRule="auto"/>
              <w:jc w:val="left"/>
              <w:rPr>
                <w:rFonts w:cs="Calibri"/>
                <w:color w:val="000000"/>
                <w:sz w:val="20"/>
                <w:szCs w:val="20"/>
              </w:rPr>
            </w:pPr>
            <w:r w:rsidRPr="003A0138">
              <w:rPr>
                <w:rFonts w:cs="Calibri"/>
                <w:color w:val="000000"/>
                <w:sz w:val="20"/>
                <w:szCs w:val="20"/>
              </w:rPr>
              <w:t>Respiratory hospital admissions (age &gt; 65)</w:t>
            </w:r>
          </w:p>
        </w:tc>
        <w:tc>
          <w:tcPr>
            <w:tcW w:w="1139" w:type="dxa"/>
            <w:gridSpan w:val="3"/>
            <w:tcBorders>
              <w:top w:val="single" w:sz="4" w:space="0" w:color="auto"/>
            </w:tcBorders>
          </w:tcPr>
          <w:p w14:paraId="4EA412A5" w14:textId="77777777" w:rsidR="003A0138" w:rsidRPr="003A0138" w:rsidRDefault="003A0138" w:rsidP="003A0138">
            <w:pPr>
              <w:spacing w:before="80" w:after="80" w:line="240" w:lineRule="auto"/>
              <w:jc w:val="center"/>
              <w:rPr>
                <w:rFonts w:cs="Calibri"/>
                <w:b/>
                <w:bCs/>
                <w:color w:val="FF0000"/>
                <w:sz w:val="20"/>
                <w:szCs w:val="20"/>
              </w:rPr>
            </w:pPr>
            <w:r w:rsidRPr="003A0138">
              <w:rPr>
                <w:rFonts w:cs="Calibri"/>
                <w:b/>
                <w:bCs/>
                <w:color w:val="FF0000"/>
                <w:sz w:val="20"/>
                <w:szCs w:val="20"/>
              </w:rPr>
              <w:sym w:font="Wingdings" w:char="F0FC"/>
            </w:r>
          </w:p>
        </w:tc>
        <w:tc>
          <w:tcPr>
            <w:tcW w:w="1146" w:type="dxa"/>
            <w:gridSpan w:val="2"/>
            <w:tcBorders>
              <w:top w:val="single" w:sz="4" w:space="0" w:color="auto"/>
            </w:tcBorders>
          </w:tcPr>
          <w:p w14:paraId="076C3131" w14:textId="77777777" w:rsidR="003A0138" w:rsidRPr="003A0138" w:rsidRDefault="003A0138" w:rsidP="003A0138">
            <w:pPr>
              <w:spacing w:before="80" w:after="80" w:line="240" w:lineRule="auto"/>
              <w:jc w:val="center"/>
              <w:rPr>
                <w:rFonts w:cs="Calibri"/>
                <w:b/>
                <w:bCs/>
                <w:color w:val="FF0000"/>
                <w:sz w:val="20"/>
                <w:szCs w:val="20"/>
              </w:rPr>
            </w:pPr>
            <w:r w:rsidRPr="003A0138">
              <w:rPr>
                <w:rFonts w:cs="Calibri"/>
                <w:b/>
                <w:bCs/>
                <w:color w:val="FF0000"/>
                <w:sz w:val="20"/>
                <w:szCs w:val="20"/>
              </w:rPr>
              <w:sym w:font="Wingdings" w:char="F0FC"/>
            </w:r>
          </w:p>
        </w:tc>
      </w:tr>
      <w:tr w:rsidR="003A0138" w:rsidRPr="003A0138" w14:paraId="1C7AD8C9" w14:textId="77777777" w:rsidTr="003A0138">
        <w:trPr>
          <w:cantSplit/>
          <w:jc w:val="center"/>
        </w:trPr>
        <w:tc>
          <w:tcPr>
            <w:tcW w:w="2250" w:type="dxa"/>
            <w:vMerge/>
          </w:tcPr>
          <w:p w14:paraId="2D29B897" w14:textId="77777777" w:rsidR="003A0138" w:rsidRPr="003A0138" w:rsidRDefault="003A0138" w:rsidP="003A0138">
            <w:pPr>
              <w:spacing w:before="80" w:after="80" w:line="240" w:lineRule="auto"/>
              <w:jc w:val="left"/>
              <w:rPr>
                <w:rFonts w:cs="Calibri"/>
                <w:color w:val="000000"/>
                <w:sz w:val="20"/>
                <w:szCs w:val="20"/>
              </w:rPr>
            </w:pPr>
          </w:p>
        </w:tc>
        <w:tc>
          <w:tcPr>
            <w:tcW w:w="3749" w:type="dxa"/>
          </w:tcPr>
          <w:p w14:paraId="349B3506" w14:textId="77777777" w:rsidR="003A0138" w:rsidRPr="003A0138" w:rsidRDefault="003A0138" w:rsidP="003A0138">
            <w:pPr>
              <w:spacing w:before="80" w:after="80" w:line="240" w:lineRule="auto"/>
              <w:jc w:val="left"/>
              <w:rPr>
                <w:rFonts w:cs="Calibri"/>
                <w:color w:val="000000"/>
                <w:sz w:val="20"/>
                <w:szCs w:val="20"/>
              </w:rPr>
            </w:pPr>
            <w:r w:rsidRPr="003A0138">
              <w:rPr>
                <w:rFonts w:cs="Calibri"/>
                <w:color w:val="000000"/>
                <w:sz w:val="20"/>
                <w:szCs w:val="20"/>
              </w:rPr>
              <w:t>Asthma emergency department visits (all ages)</w:t>
            </w:r>
          </w:p>
        </w:tc>
        <w:tc>
          <w:tcPr>
            <w:tcW w:w="1139" w:type="dxa"/>
            <w:gridSpan w:val="3"/>
          </w:tcPr>
          <w:p w14:paraId="414DFB8D" w14:textId="77777777" w:rsidR="003A0138" w:rsidRPr="003A0138" w:rsidRDefault="003A0138" w:rsidP="003A0138">
            <w:pPr>
              <w:spacing w:before="80" w:after="80" w:line="240" w:lineRule="auto"/>
              <w:jc w:val="center"/>
              <w:rPr>
                <w:rFonts w:cs="Calibri"/>
                <w:color w:val="000000"/>
                <w:sz w:val="20"/>
                <w:szCs w:val="20"/>
              </w:rPr>
            </w:pPr>
            <w:r w:rsidRPr="003A0138">
              <w:rPr>
                <w:rFonts w:cs="Calibri"/>
                <w:b/>
                <w:bCs/>
                <w:color w:val="FF0000"/>
                <w:sz w:val="20"/>
                <w:szCs w:val="20"/>
              </w:rPr>
              <w:sym w:font="Wingdings" w:char="F0FC"/>
            </w:r>
          </w:p>
        </w:tc>
        <w:tc>
          <w:tcPr>
            <w:tcW w:w="1146" w:type="dxa"/>
            <w:gridSpan w:val="2"/>
          </w:tcPr>
          <w:p w14:paraId="67B817ED" w14:textId="77777777" w:rsidR="003A0138" w:rsidRPr="003A0138" w:rsidRDefault="003A0138" w:rsidP="003A0138">
            <w:pPr>
              <w:spacing w:before="80" w:after="80" w:line="240" w:lineRule="auto"/>
              <w:jc w:val="center"/>
              <w:rPr>
                <w:rFonts w:cs="Calibri"/>
                <w:color w:val="000000"/>
                <w:sz w:val="20"/>
                <w:szCs w:val="20"/>
              </w:rPr>
            </w:pPr>
            <w:r w:rsidRPr="003A0138">
              <w:rPr>
                <w:rFonts w:cs="Calibri"/>
                <w:b/>
                <w:bCs/>
                <w:color w:val="FF0000"/>
                <w:sz w:val="20"/>
                <w:szCs w:val="20"/>
              </w:rPr>
              <w:sym w:font="Wingdings" w:char="F0FC"/>
            </w:r>
          </w:p>
        </w:tc>
      </w:tr>
      <w:tr w:rsidR="003A0138" w:rsidRPr="003A0138" w14:paraId="2FAE7E6E" w14:textId="77777777" w:rsidTr="003A0138">
        <w:trPr>
          <w:cantSplit/>
          <w:jc w:val="center"/>
        </w:trPr>
        <w:tc>
          <w:tcPr>
            <w:tcW w:w="2250" w:type="dxa"/>
            <w:vMerge/>
          </w:tcPr>
          <w:p w14:paraId="2FDB49E6" w14:textId="77777777" w:rsidR="003A0138" w:rsidRPr="003A0138" w:rsidRDefault="003A0138" w:rsidP="003A0138">
            <w:pPr>
              <w:spacing w:before="80" w:after="80" w:line="240" w:lineRule="auto"/>
              <w:jc w:val="left"/>
              <w:rPr>
                <w:rFonts w:cs="Calibri"/>
                <w:color w:val="000000"/>
                <w:sz w:val="20"/>
                <w:szCs w:val="20"/>
              </w:rPr>
            </w:pPr>
          </w:p>
        </w:tc>
        <w:tc>
          <w:tcPr>
            <w:tcW w:w="3749" w:type="dxa"/>
          </w:tcPr>
          <w:p w14:paraId="0AAEBCD9" w14:textId="77777777" w:rsidR="003A0138" w:rsidRPr="003A0138" w:rsidRDefault="003A0138" w:rsidP="003A0138">
            <w:pPr>
              <w:spacing w:before="80" w:after="80" w:line="240" w:lineRule="auto"/>
              <w:jc w:val="left"/>
              <w:rPr>
                <w:rFonts w:cs="Calibri"/>
                <w:color w:val="000000"/>
                <w:sz w:val="20"/>
                <w:szCs w:val="20"/>
              </w:rPr>
            </w:pPr>
            <w:r w:rsidRPr="003A0138">
              <w:rPr>
                <w:rFonts w:cs="Calibri"/>
                <w:color w:val="000000"/>
                <w:sz w:val="20"/>
                <w:szCs w:val="20"/>
              </w:rPr>
              <w:t>Asthma exacerbation (asthmatics age 4</w:t>
            </w:r>
            <w:r w:rsidRPr="003A0138">
              <w:rPr>
                <w:rFonts w:cstheme="minorHAnsi"/>
                <w:color w:val="000000"/>
                <w:sz w:val="20"/>
                <w:szCs w:val="20"/>
              </w:rPr>
              <w:t>–</w:t>
            </w:r>
            <w:r w:rsidRPr="003A0138">
              <w:rPr>
                <w:rFonts w:cs="Calibri"/>
                <w:color w:val="000000"/>
                <w:sz w:val="20"/>
                <w:szCs w:val="20"/>
              </w:rPr>
              <w:t>12)</w:t>
            </w:r>
          </w:p>
        </w:tc>
        <w:tc>
          <w:tcPr>
            <w:tcW w:w="1139" w:type="dxa"/>
            <w:gridSpan w:val="3"/>
          </w:tcPr>
          <w:p w14:paraId="6C8F7E76" w14:textId="77777777" w:rsidR="003A0138" w:rsidRPr="003A0138" w:rsidRDefault="003A0138" w:rsidP="003A0138">
            <w:pPr>
              <w:spacing w:before="80" w:after="80" w:line="240" w:lineRule="auto"/>
              <w:jc w:val="center"/>
              <w:rPr>
                <w:rFonts w:cs="Calibri"/>
                <w:color w:val="000000"/>
                <w:sz w:val="20"/>
                <w:szCs w:val="20"/>
              </w:rPr>
            </w:pPr>
            <w:r w:rsidRPr="003A0138">
              <w:rPr>
                <w:rFonts w:cs="Calibri"/>
                <w:b/>
                <w:bCs/>
                <w:color w:val="FF0000"/>
                <w:sz w:val="20"/>
                <w:szCs w:val="20"/>
              </w:rPr>
              <w:sym w:font="Wingdings" w:char="F0FC"/>
            </w:r>
          </w:p>
        </w:tc>
        <w:tc>
          <w:tcPr>
            <w:tcW w:w="1146" w:type="dxa"/>
            <w:gridSpan w:val="2"/>
          </w:tcPr>
          <w:p w14:paraId="57F36675" w14:textId="77777777" w:rsidR="003A0138" w:rsidRPr="003A0138" w:rsidRDefault="003A0138" w:rsidP="003A0138">
            <w:pPr>
              <w:spacing w:before="80" w:after="80" w:line="240" w:lineRule="auto"/>
              <w:jc w:val="center"/>
              <w:rPr>
                <w:rFonts w:cs="Calibri"/>
                <w:color w:val="000000"/>
                <w:sz w:val="20"/>
                <w:szCs w:val="20"/>
              </w:rPr>
            </w:pPr>
            <w:r w:rsidRPr="003A0138">
              <w:rPr>
                <w:rFonts w:cs="Calibri"/>
                <w:b/>
                <w:bCs/>
                <w:color w:val="FF0000"/>
                <w:sz w:val="20"/>
                <w:szCs w:val="20"/>
              </w:rPr>
              <w:sym w:font="Wingdings" w:char="F0FC"/>
            </w:r>
          </w:p>
        </w:tc>
      </w:tr>
      <w:tr w:rsidR="003A0138" w:rsidRPr="003A0138" w14:paraId="7B43B8E2" w14:textId="77777777" w:rsidTr="003A0138">
        <w:trPr>
          <w:cantSplit/>
          <w:jc w:val="center"/>
        </w:trPr>
        <w:tc>
          <w:tcPr>
            <w:tcW w:w="2250" w:type="dxa"/>
            <w:vMerge/>
          </w:tcPr>
          <w:p w14:paraId="54351954" w14:textId="77777777" w:rsidR="003A0138" w:rsidRPr="003A0138" w:rsidRDefault="003A0138" w:rsidP="003A0138">
            <w:pPr>
              <w:spacing w:before="80" w:after="80" w:line="240" w:lineRule="auto"/>
              <w:jc w:val="left"/>
              <w:rPr>
                <w:rFonts w:cs="Calibri"/>
                <w:color w:val="000000"/>
                <w:sz w:val="20"/>
                <w:szCs w:val="20"/>
              </w:rPr>
            </w:pPr>
          </w:p>
        </w:tc>
        <w:tc>
          <w:tcPr>
            <w:tcW w:w="3749" w:type="dxa"/>
          </w:tcPr>
          <w:p w14:paraId="14197D6A" w14:textId="77777777" w:rsidR="003A0138" w:rsidRPr="003A0138" w:rsidRDefault="003A0138" w:rsidP="003A0138">
            <w:pPr>
              <w:spacing w:before="80" w:after="80" w:line="240" w:lineRule="auto"/>
              <w:jc w:val="left"/>
              <w:rPr>
                <w:rFonts w:cs="Calibri"/>
                <w:color w:val="000000"/>
                <w:sz w:val="20"/>
                <w:szCs w:val="20"/>
              </w:rPr>
            </w:pPr>
            <w:r w:rsidRPr="003A0138">
              <w:rPr>
                <w:rFonts w:cs="Calibri"/>
                <w:color w:val="000000"/>
                <w:sz w:val="20"/>
                <w:szCs w:val="20"/>
              </w:rPr>
              <w:t>Acute respiratory symptoms (age 7</w:t>
            </w:r>
            <w:r w:rsidRPr="003A0138">
              <w:rPr>
                <w:rFonts w:cstheme="minorHAnsi"/>
                <w:color w:val="000000"/>
                <w:sz w:val="20"/>
                <w:szCs w:val="20"/>
              </w:rPr>
              <w:t>–</w:t>
            </w:r>
            <w:r w:rsidRPr="003A0138">
              <w:rPr>
                <w:rFonts w:cs="Calibri"/>
                <w:color w:val="000000"/>
                <w:sz w:val="20"/>
                <w:szCs w:val="20"/>
              </w:rPr>
              <w:t>14)</w:t>
            </w:r>
          </w:p>
        </w:tc>
        <w:tc>
          <w:tcPr>
            <w:tcW w:w="1139" w:type="dxa"/>
            <w:gridSpan w:val="3"/>
          </w:tcPr>
          <w:p w14:paraId="30ED1371" w14:textId="77777777" w:rsidR="003A0138" w:rsidRPr="003A0138" w:rsidRDefault="003A0138" w:rsidP="003A0138">
            <w:pPr>
              <w:spacing w:before="80" w:after="80" w:line="240" w:lineRule="auto"/>
              <w:jc w:val="center"/>
              <w:rPr>
                <w:rFonts w:cs="Calibri"/>
                <w:color w:val="000000"/>
                <w:sz w:val="20"/>
                <w:szCs w:val="20"/>
              </w:rPr>
            </w:pPr>
            <w:r w:rsidRPr="003A0138">
              <w:rPr>
                <w:rFonts w:cs="Calibri"/>
                <w:b/>
                <w:bCs/>
                <w:color w:val="FF0000"/>
                <w:sz w:val="20"/>
                <w:szCs w:val="20"/>
              </w:rPr>
              <w:sym w:font="Wingdings" w:char="F0FC"/>
            </w:r>
          </w:p>
        </w:tc>
        <w:tc>
          <w:tcPr>
            <w:tcW w:w="1146" w:type="dxa"/>
            <w:gridSpan w:val="2"/>
          </w:tcPr>
          <w:p w14:paraId="120F97EA" w14:textId="77777777" w:rsidR="003A0138" w:rsidRPr="003A0138" w:rsidRDefault="003A0138" w:rsidP="003A0138">
            <w:pPr>
              <w:spacing w:before="80" w:after="80" w:line="240" w:lineRule="auto"/>
              <w:jc w:val="center"/>
              <w:rPr>
                <w:rFonts w:cs="Calibri"/>
                <w:color w:val="000000"/>
                <w:sz w:val="20"/>
                <w:szCs w:val="20"/>
              </w:rPr>
            </w:pPr>
            <w:r w:rsidRPr="003A0138">
              <w:rPr>
                <w:rFonts w:cs="Calibri"/>
                <w:b/>
                <w:bCs/>
                <w:color w:val="FF0000"/>
                <w:sz w:val="20"/>
                <w:szCs w:val="20"/>
              </w:rPr>
              <w:sym w:font="Wingdings" w:char="F0FC"/>
            </w:r>
          </w:p>
        </w:tc>
      </w:tr>
      <w:tr w:rsidR="003A0138" w:rsidRPr="003A0138" w14:paraId="575DDE0C" w14:textId="77777777" w:rsidTr="003A0138">
        <w:trPr>
          <w:cantSplit/>
          <w:jc w:val="center"/>
        </w:trPr>
        <w:tc>
          <w:tcPr>
            <w:tcW w:w="2250" w:type="dxa"/>
            <w:vMerge/>
          </w:tcPr>
          <w:p w14:paraId="70189DE0" w14:textId="77777777" w:rsidR="003A0138" w:rsidRPr="003A0138" w:rsidRDefault="003A0138" w:rsidP="003A0138">
            <w:pPr>
              <w:spacing w:before="80" w:after="80" w:line="240" w:lineRule="auto"/>
              <w:jc w:val="left"/>
              <w:rPr>
                <w:rFonts w:cs="Calibri"/>
                <w:color w:val="000000"/>
                <w:sz w:val="20"/>
                <w:szCs w:val="20"/>
              </w:rPr>
            </w:pPr>
          </w:p>
        </w:tc>
        <w:tc>
          <w:tcPr>
            <w:tcW w:w="3749" w:type="dxa"/>
          </w:tcPr>
          <w:p w14:paraId="7B6D8A3D" w14:textId="77777777" w:rsidR="003A0138" w:rsidRPr="003A0138" w:rsidRDefault="003A0138" w:rsidP="003A0138">
            <w:pPr>
              <w:spacing w:before="80" w:after="80" w:line="240" w:lineRule="auto"/>
              <w:jc w:val="left"/>
              <w:rPr>
                <w:rFonts w:cs="Calibri"/>
                <w:color w:val="000000"/>
                <w:sz w:val="20"/>
                <w:szCs w:val="20"/>
              </w:rPr>
            </w:pPr>
            <w:r w:rsidRPr="003A0138">
              <w:rPr>
                <w:rFonts w:cs="Calibri"/>
                <w:color w:val="000000"/>
                <w:sz w:val="20"/>
                <w:szCs w:val="20"/>
              </w:rPr>
              <w:t>Premature mortality</w:t>
            </w:r>
          </w:p>
        </w:tc>
        <w:tc>
          <w:tcPr>
            <w:tcW w:w="1139" w:type="dxa"/>
            <w:gridSpan w:val="3"/>
          </w:tcPr>
          <w:p w14:paraId="345D4DB5" w14:textId="77777777" w:rsidR="003A0138" w:rsidRPr="003A0138" w:rsidRDefault="003A0138" w:rsidP="003A0138">
            <w:pPr>
              <w:spacing w:before="80" w:after="80" w:line="240" w:lineRule="auto"/>
              <w:jc w:val="center"/>
              <w:rPr>
                <w:rFonts w:cs="Calibri"/>
                <w:color w:val="000000"/>
                <w:sz w:val="20"/>
                <w:szCs w:val="20"/>
              </w:rPr>
            </w:pPr>
            <w:r w:rsidRPr="003A0138">
              <w:rPr>
                <w:rFonts w:cs="Calibri"/>
                <w:color w:val="000000"/>
                <w:sz w:val="20"/>
                <w:szCs w:val="20"/>
              </w:rPr>
              <w:t>—</w:t>
            </w:r>
          </w:p>
        </w:tc>
        <w:tc>
          <w:tcPr>
            <w:tcW w:w="1146" w:type="dxa"/>
            <w:gridSpan w:val="2"/>
          </w:tcPr>
          <w:p w14:paraId="7A7AE2DB" w14:textId="77777777" w:rsidR="003A0138" w:rsidRPr="003A0138" w:rsidRDefault="003A0138" w:rsidP="003A0138">
            <w:pPr>
              <w:spacing w:before="80" w:after="80" w:line="240" w:lineRule="auto"/>
              <w:jc w:val="center"/>
              <w:rPr>
                <w:rFonts w:cs="Calibri"/>
                <w:color w:val="000000"/>
                <w:sz w:val="20"/>
                <w:szCs w:val="20"/>
              </w:rPr>
            </w:pPr>
            <w:r w:rsidRPr="003A0138">
              <w:rPr>
                <w:rFonts w:cs="Calibri"/>
                <w:color w:val="000000"/>
                <w:sz w:val="20"/>
                <w:szCs w:val="20"/>
              </w:rPr>
              <w:t>—</w:t>
            </w:r>
          </w:p>
        </w:tc>
      </w:tr>
      <w:tr w:rsidR="003A0138" w:rsidRPr="003A0138" w14:paraId="38E298A7" w14:textId="77777777" w:rsidTr="003A0138">
        <w:trPr>
          <w:cantSplit/>
          <w:jc w:val="center"/>
        </w:trPr>
        <w:tc>
          <w:tcPr>
            <w:tcW w:w="2250" w:type="dxa"/>
            <w:vMerge/>
            <w:tcBorders>
              <w:bottom w:val="single" w:sz="4" w:space="0" w:color="auto"/>
            </w:tcBorders>
          </w:tcPr>
          <w:p w14:paraId="471C612E" w14:textId="77777777" w:rsidR="003A0138" w:rsidRPr="003A0138" w:rsidRDefault="003A0138" w:rsidP="003A0138">
            <w:pPr>
              <w:spacing w:before="80" w:after="80" w:line="240" w:lineRule="auto"/>
              <w:jc w:val="left"/>
              <w:rPr>
                <w:rFonts w:cs="Calibri"/>
                <w:color w:val="000000"/>
                <w:sz w:val="20"/>
                <w:szCs w:val="20"/>
              </w:rPr>
            </w:pPr>
          </w:p>
        </w:tc>
        <w:tc>
          <w:tcPr>
            <w:tcW w:w="3749" w:type="dxa"/>
            <w:tcBorders>
              <w:bottom w:val="single" w:sz="4" w:space="0" w:color="auto"/>
            </w:tcBorders>
          </w:tcPr>
          <w:p w14:paraId="26C8EDFD" w14:textId="77777777" w:rsidR="003A0138" w:rsidRPr="003A0138" w:rsidRDefault="003A0138" w:rsidP="003A0138">
            <w:pPr>
              <w:spacing w:before="80" w:after="80" w:line="240" w:lineRule="auto"/>
              <w:jc w:val="left"/>
              <w:rPr>
                <w:rFonts w:cs="Calibri"/>
                <w:color w:val="000000"/>
                <w:sz w:val="20"/>
                <w:szCs w:val="20"/>
              </w:rPr>
            </w:pPr>
            <w:r w:rsidRPr="003A0138">
              <w:rPr>
                <w:rFonts w:cs="Calibri"/>
                <w:color w:val="000000"/>
                <w:sz w:val="20"/>
                <w:szCs w:val="20"/>
              </w:rPr>
              <w:t>Other respiratory effects (e.g., airway hyperresponsiveness and inflammation, lung function, other ages and populations)</w:t>
            </w:r>
          </w:p>
        </w:tc>
        <w:tc>
          <w:tcPr>
            <w:tcW w:w="1139" w:type="dxa"/>
            <w:gridSpan w:val="3"/>
            <w:tcBorders>
              <w:bottom w:val="single" w:sz="4" w:space="0" w:color="auto"/>
            </w:tcBorders>
          </w:tcPr>
          <w:p w14:paraId="055ED94E" w14:textId="77777777" w:rsidR="003A0138" w:rsidRPr="003A0138" w:rsidRDefault="003A0138" w:rsidP="003A0138">
            <w:pPr>
              <w:spacing w:before="80" w:after="80" w:line="240" w:lineRule="auto"/>
              <w:jc w:val="center"/>
              <w:rPr>
                <w:rFonts w:cs="Calibri"/>
                <w:color w:val="000000"/>
                <w:sz w:val="20"/>
                <w:szCs w:val="20"/>
              </w:rPr>
            </w:pPr>
            <w:r w:rsidRPr="003A0138">
              <w:rPr>
                <w:rFonts w:cs="Calibri"/>
                <w:color w:val="000000"/>
                <w:sz w:val="20"/>
                <w:szCs w:val="20"/>
              </w:rPr>
              <w:t>—</w:t>
            </w:r>
          </w:p>
        </w:tc>
        <w:tc>
          <w:tcPr>
            <w:tcW w:w="1146" w:type="dxa"/>
            <w:gridSpan w:val="2"/>
            <w:tcBorders>
              <w:bottom w:val="single" w:sz="4" w:space="0" w:color="auto"/>
            </w:tcBorders>
          </w:tcPr>
          <w:p w14:paraId="22C3495F" w14:textId="77777777" w:rsidR="003A0138" w:rsidRPr="003A0138" w:rsidRDefault="003A0138" w:rsidP="003A0138">
            <w:pPr>
              <w:spacing w:before="80" w:after="80" w:line="240" w:lineRule="auto"/>
              <w:jc w:val="center"/>
              <w:rPr>
                <w:rFonts w:cs="Calibri"/>
                <w:color w:val="000000"/>
                <w:sz w:val="20"/>
                <w:szCs w:val="20"/>
              </w:rPr>
            </w:pPr>
            <w:r w:rsidRPr="003A0138">
              <w:rPr>
                <w:rFonts w:cs="Calibri"/>
                <w:color w:val="000000"/>
                <w:sz w:val="20"/>
                <w:szCs w:val="20"/>
              </w:rPr>
              <w:t>—</w:t>
            </w:r>
          </w:p>
        </w:tc>
      </w:tr>
      <w:tr w:rsidR="003A0138" w:rsidRPr="003A0138" w14:paraId="340676B2" w14:textId="77777777" w:rsidTr="003A0138">
        <w:trPr>
          <w:cantSplit/>
          <w:jc w:val="center"/>
        </w:trPr>
        <w:tc>
          <w:tcPr>
            <w:tcW w:w="2250" w:type="dxa"/>
            <w:vMerge w:val="restart"/>
            <w:tcBorders>
              <w:top w:val="single" w:sz="4" w:space="0" w:color="auto"/>
            </w:tcBorders>
          </w:tcPr>
          <w:p w14:paraId="68072205" w14:textId="77777777" w:rsidR="003A0138" w:rsidRPr="003A0138" w:rsidRDefault="003A0138" w:rsidP="003A0138">
            <w:pPr>
              <w:spacing w:before="80" w:after="80" w:line="240" w:lineRule="auto"/>
              <w:jc w:val="left"/>
              <w:rPr>
                <w:rFonts w:cs="Calibri"/>
                <w:color w:val="000000"/>
                <w:sz w:val="20"/>
                <w:szCs w:val="20"/>
              </w:rPr>
            </w:pPr>
            <w:r w:rsidRPr="003A0138">
              <w:rPr>
                <w:rFonts w:cs="Calibri"/>
                <w:color w:val="000000"/>
                <w:sz w:val="20"/>
                <w:szCs w:val="20"/>
              </w:rPr>
              <w:t xml:space="preserve">Reduced incidence of morbidity from exposure to methylmercury </w:t>
            </w:r>
          </w:p>
        </w:tc>
        <w:tc>
          <w:tcPr>
            <w:tcW w:w="3749" w:type="dxa"/>
            <w:tcBorders>
              <w:top w:val="single" w:sz="4" w:space="0" w:color="auto"/>
            </w:tcBorders>
          </w:tcPr>
          <w:p w14:paraId="74B11479" w14:textId="77777777" w:rsidR="003A0138" w:rsidRPr="003A0138" w:rsidRDefault="003A0138" w:rsidP="003A0138">
            <w:pPr>
              <w:spacing w:before="80" w:after="80" w:line="240" w:lineRule="auto"/>
              <w:jc w:val="left"/>
              <w:rPr>
                <w:rFonts w:cs="Calibri"/>
                <w:color w:val="000000"/>
                <w:sz w:val="20"/>
                <w:szCs w:val="20"/>
              </w:rPr>
            </w:pPr>
            <w:r w:rsidRPr="003A0138">
              <w:rPr>
                <w:rFonts w:cs="Calibri"/>
                <w:color w:val="000000"/>
                <w:sz w:val="20"/>
                <w:szCs w:val="20"/>
              </w:rPr>
              <w:t>Neurologic effects—IQ loss</w:t>
            </w:r>
          </w:p>
        </w:tc>
        <w:tc>
          <w:tcPr>
            <w:tcW w:w="1139" w:type="dxa"/>
            <w:gridSpan w:val="3"/>
            <w:tcBorders>
              <w:top w:val="single" w:sz="4" w:space="0" w:color="auto"/>
            </w:tcBorders>
          </w:tcPr>
          <w:p w14:paraId="486B4D0F" w14:textId="77777777" w:rsidR="003A0138" w:rsidRPr="003A0138" w:rsidRDefault="003A0138" w:rsidP="003A0138">
            <w:pPr>
              <w:spacing w:before="80" w:after="80" w:line="240" w:lineRule="auto"/>
              <w:jc w:val="center"/>
              <w:rPr>
                <w:rFonts w:cs="Calibri"/>
                <w:color w:val="000000"/>
                <w:sz w:val="20"/>
                <w:szCs w:val="20"/>
              </w:rPr>
            </w:pPr>
            <w:r w:rsidRPr="003A0138">
              <w:rPr>
                <w:rFonts w:cs="Calibri"/>
                <w:color w:val="000000"/>
                <w:sz w:val="20"/>
                <w:szCs w:val="20"/>
              </w:rPr>
              <w:t>—</w:t>
            </w:r>
          </w:p>
        </w:tc>
        <w:tc>
          <w:tcPr>
            <w:tcW w:w="1146" w:type="dxa"/>
            <w:gridSpan w:val="2"/>
            <w:tcBorders>
              <w:top w:val="single" w:sz="4" w:space="0" w:color="auto"/>
            </w:tcBorders>
          </w:tcPr>
          <w:p w14:paraId="57780FE4" w14:textId="77777777" w:rsidR="003A0138" w:rsidRPr="003A0138" w:rsidRDefault="003A0138" w:rsidP="003A0138">
            <w:pPr>
              <w:spacing w:before="80" w:after="80" w:line="240" w:lineRule="auto"/>
              <w:jc w:val="center"/>
              <w:rPr>
                <w:rFonts w:cs="Calibri"/>
                <w:color w:val="000000"/>
                <w:sz w:val="20"/>
                <w:szCs w:val="20"/>
              </w:rPr>
            </w:pPr>
            <w:r w:rsidRPr="003A0138">
              <w:rPr>
                <w:rFonts w:cs="Calibri"/>
                <w:color w:val="000000"/>
                <w:sz w:val="20"/>
                <w:szCs w:val="20"/>
              </w:rPr>
              <w:t>—</w:t>
            </w:r>
          </w:p>
        </w:tc>
      </w:tr>
      <w:tr w:rsidR="003A0138" w:rsidRPr="003A0138" w14:paraId="5B45CC66" w14:textId="77777777" w:rsidTr="003A0138">
        <w:trPr>
          <w:cantSplit/>
          <w:jc w:val="center"/>
        </w:trPr>
        <w:tc>
          <w:tcPr>
            <w:tcW w:w="2250" w:type="dxa"/>
            <w:vMerge/>
          </w:tcPr>
          <w:p w14:paraId="77044E79" w14:textId="77777777" w:rsidR="003A0138" w:rsidRPr="003A0138" w:rsidRDefault="003A0138" w:rsidP="003A0138">
            <w:pPr>
              <w:spacing w:before="80" w:after="80" w:line="240" w:lineRule="auto"/>
              <w:jc w:val="left"/>
              <w:rPr>
                <w:rFonts w:cs="Calibri"/>
                <w:color w:val="000000"/>
                <w:sz w:val="20"/>
                <w:szCs w:val="20"/>
              </w:rPr>
            </w:pPr>
          </w:p>
        </w:tc>
        <w:tc>
          <w:tcPr>
            <w:tcW w:w="3749" w:type="dxa"/>
          </w:tcPr>
          <w:p w14:paraId="7B43608E" w14:textId="77777777" w:rsidR="003A0138" w:rsidRPr="003A0138" w:rsidRDefault="003A0138" w:rsidP="003A0138">
            <w:pPr>
              <w:spacing w:before="80" w:after="80" w:line="240" w:lineRule="auto"/>
              <w:jc w:val="left"/>
              <w:rPr>
                <w:rFonts w:cs="Calibri"/>
                <w:color w:val="000000"/>
                <w:sz w:val="20"/>
                <w:szCs w:val="20"/>
              </w:rPr>
            </w:pPr>
            <w:r w:rsidRPr="003A0138">
              <w:rPr>
                <w:rFonts w:cs="Calibri"/>
                <w:color w:val="000000"/>
                <w:sz w:val="20"/>
                <w:szCs w:val="20"/>
              </w:rPr>
              <w:t>Other neurologic effects (e.g., developmental delays, memory, behavior)</w:t>
            </w:r>
          </w:p>
        </w:tc>
        <w:tc>
          <w:tcPr>
            <w:tcW w:w="1139" w:type="dxa"/>
            <w:gridSpan w:val="3"/>
          </w:tcPr>
          <w:p w14:paraId="62DC174D" w14:textId="77777777" w:rsidR="003A0138" w:rsidRPr="003A0138" w:rsidRDefault="003A0138" w:rsidP="003A0138">
            <w:pPr>
              <w:spacing w:before="80" w:after="80" w:line="240" w:lineRule="auto"/>
              <w:jc w:val="center"/>
              <w:rPr>
                <w:rFonts w:cs="Calibri"/>
                <w:color w:val="000000"/>
                <w:sz w:val="20"/>
                <w:szCs w:val="20"/>
              </w:rPr>
            </w:pPr>
            <w:r w:rsidRPr="003A0138">
              <w:rPr>
                <w:rFonts w:cs="Calibri"/>
                <w:color w:val="000000"/>
                <w:sz w:val="20"/>
                <w:szCs w:val="20"/>
              </w:rPr>
              <w:t>—</w:t>
            </w:r>
          </w:p>
        </w:tc>
        <w:tc>
          <w:tcPr>
            <w:tcW w:w="1146" w:type="dxa"/>
            <w:gridSpan w:val="2"/>
          </w:tcPr>
          <w:p w14:paraId="3076DE95" w14:textId="77777777" w:rsidR="003A0138" w:rsidRPr="003A0138" w:rsidRDefault="003A0138" w:rsidP="003A0138">
            <w:pPr>
              <w:spacing w:before="80" w:after="80" w:line="240" w:lineRule="auto"/>
              <w:jc w:val="center"/>
              <w:rPr>
                <w:rFonts w:cs="Calibri"/>
                <w:color w:val="000000"/>
                <w:sz w:val="20"/>
                <w:szCs w:val="20"/>
              </w:rPr>
            </w:pPr>
            <w:r w:rsidRPr="003A0138">
              <w:rPr>
                <w:rFonts w:cs="Calibri"/>
                <w:color w:val="000000"/>
                <w:sz w:val="20"/>
                <w:szCs w:val="20"/>
              </w:rPr>
              <w:t>—</w:t>
            </w:r>
          </w:p>
        </w:tc>
      </w:tr>
      <w:tr w:rsidR="003A0138" w:rsidRPr="003A0138" w14:paraId="1EE2EC0D" w14:textId="77777777" w:rsidTr="003A0138">
        <w:trPr>
          <w:cantSplit/>
          <w:jc w:val="center"/>
        </w:trPr>
        <w:tc>
          <w:tcPr>
            <w:tcW w:w="2250" w:type="dxa"/>
            <w:vMerge/>
          </w:tcPr>
          <w:p w14:paraId="1FBF4FD4" w14:textId="77777777" w:rsidR="003A0138" w:rsidRPr="003A0138" w:rsidRDefault="003A0138" w:rsidP="003A0138">
            <w:pPr>
              <w:spacing w:before="80" w:after="80" w:line="240" w:lineRule="auto"/>
              <w:jc w:val="left"/>
              <w:rPr>
                <w:rFonts w:cs="Calibri"/>
                <w:color w:val="000000"/>
                <w:sz w:val="20"/>
                <w:szCs w:val="20"/>
              </w:rPr>
            </w:pPr>
          </w:p>
        </w:tc>
        <w:tc>
          <w:tcPr>
            <w:tcW w:w="3749" w:type="dxa"/>
          </w:tcPr>
          <w:p w14:paraId="09664BA4" w14:textId="77777777" w:rsidR="003A0138" w:rsidRPr="003A0138" w:rsidRDefault="003A0138" w:rsidP="003A0138">
            <w:pPr>
              <w:spacing w:before="80" w:after="80" w:line="240" w:lineRule="auto"/>
              <w:jc w:val="left"/>
              <w:rPr>
                <w:rFonts w:cs="Calibri"/>
                <w:color w:val="000000"/>
                <w:sz w:val="20"/>
                <w:szCs w:val="20"/>
              </w:rPr>
            </w:pPr>
            <w:r w:rsidRPr="003A0138">
              <w:rPr>
                <w:rFonts w:cs="Calibri"/>
                <w:color w:val="000000"/>
                <w:sz w:val="20"/>
                <w:szCs w:val="20"/>
              </w:rPr>
              <w:t>Cardiovascular effects</w:t>
            </w:r>
          </w:p>
        </w:tc>
        <w:tc>
          <w:tcPr>
            <w:tcW w:w="1139" w:type="dxa"/>
            <w:gridSpan w:val="3"/>
          </w:tcPr>
          <w:p w14:paraId="34707AF7" w14:textId="77777777" w:rsidR="003A0138" w:rsidRPr="003A0138" w:rsidRDefault="003A0138" w:rsidP="003A0138">
            <w:pPr>
              <w:spacing w:before="80" w:after="80" w:line="240" w:lineRule="auto"/>
              <w:jc w:val="center"/>
              <w:rPr>
                <w:rFonts w:cs="Calibri"/>
                <w:color w:val="000000"/>
                <w:sz w:val="20"/>
                <w:szCs w:val="20"/>
              </w:rPr>
            </w:pPr>
            <w:r w:rsidRPr="003A0138">
              <w:rPr>
                <w:rFonts w:cs="Calibri"/>
                <w:color w:val="000000"/>
                <w:sz w:val="20"/>
                <w:szCs w:val="20"/>
              </w:rPr>
              <w:t>—</w:t>
            </w:r>
          </w:p>
        </w:tc>
        <w:tc>
          <w:tcPr>
            <w:tcW w:w="1146" w:type="dxa"/>
            <w:gridSpan w:val="2"/>
          </w:tcPr>
          <w:p w14:paraId="5A2A2BE6" w14:textId="77777777" w:rsidR="003A0138" w:rsidRPr="003A0138" w:rsidRDefault="003A0138" w:rsidP="003A0138">
            <w:pPr>
              <w:spacing w:before="80" w:after="80" w:line="240" w:lineRule="auto"/>
              <w:jc w:val="center"/>
              <w:rPr>
                <w:rFonts w:cs="Calibri"/>
                <w:color w:val="000000"/>
                <w:sz w:val="20"/>
                <w:szCs w:val="20"/>
              </w:rPr>
            </w:pPr>
            <w:r w:rsidRPr="003A0138">
              <w:rPr>
                <w:rFonts w:cs="Calibri"/>
                <w:color w:val="000000"/>
                <w:sz w:val="20"/>
                <w:szCs w:val="20"/>
              </w:rPr>
              <w:t>—</w:t>
            </w:r>
          </w:p>
        </w:tc>
      </w:tr>
      <w:tr w:rsidR="003A0138" w:rsidRPr="003A0138" w14:paraId="43EEDE1A" w14:textId="77777777" w:rsidTr="003A0138">
        <w:trPr>
          <w:cantSplit/>
          <w:trHeight w:val="657"/>
          <w:jc w:val="center"/>
        </w:trPr>
        <w:tc>
          <w:tcPr>
            <w:tcW w:w="2250" w:type="dxa"/>
            <w:vMerge/>
            <w:tcBorders>
              <w:bottom w:val="single" w:sz="4" w:space="0" w:color="auto"/>
            </w:tcBorders>
          </w:tcPr>
          <w:p w14:paraId="02866BDE" w14:textId="77777777" w:rsidR="003A0138" w:rsidRPr="003A0138" w:rsidRDefault="003A0138" w:rsidP="003A0138">
            <w:pPr>
              <w:spacing w:before="80" w:after="80" w:line="240" w:lineRule="auto"/>
              <w:jc w:val="left"/>
              <w:rPr>
                <w:rFonts w:cs="Calibri"/>
                <w:color w:val="000000"/>
                <w:sz w:val="20"/>
                <w:szCs w:val="20"/>
              </w:rPr>
            </w:pPr>
          </w:p>
        </w:tc>
        <w:tc>
          <w:tcPr>
            <w:tcW w:w="3749" w:type="dxa"/>
            <w:tcBorders>
              <w:bottom w:val="single" w:sz="4" w:space="0" w:color="auto"/>
            </w:tcBorders>
          </w:tcPr>
          <w:p w14:paraId="79E4DF83" w14:textId="77777777" w:rsidR="003A0138" w:rsidRPr="003A0138" w:rsidRDefault="003A0138" w:rsidP="003A0138">
            <w:pPr>
              <w:spacing w:before="80" w:after="80" w:line="240" w:lineRule="auto"/>
              <w:jc w:val="left"/>
              <w:rPr>
                <w:rFonts w:cs="Calibri"/>
                <w:color w:val="000000"/>
                <w:sz w:val="20"/>
                <w:szCs w:val="20"/>
              </w:rPr>
            </w:pPr>
            <w:r w:rsidRPr="003A0138">
              <w:rPr>
                <w:rFonts w:cs="Calibri"/>
                <w:color w:val="000000"/>
                <w:sz w:val="20"/>
                <w:szCs w:val="20"/>
              </w:rPr>
              <w:t>Genotoxic, immunologic, and other toxic effects</w:t>
            </w:r>
          </w:p>
        </w:tc>
        <w:tc>
          <w:tcPr>
            <w:tcW w:w="1139" w:type="dxa"/>
            <w:gridSpan w:val="3"/>
            <w:tcBorders>
              <w:bottom w:val="single" w:sz="4" w:space="0" w:color="auto"/>
            </w:tcBorders>
          </w:tcPr>
          <w:p w14:paraId="5C5FA9D0" w14:textId="77777777" w:rsidR="003A0138" w:rsidRPr="003A0138" w:rsidRDefault="003A0138" w:rsidP="003A0138">
            <w:pPr>
              <w:spacing w:before="80" w:after="80" w:line="240" w:lineRule="auto"/>
              <w:jc w:val="center"/>
              <w:rPr>
                <w:rFonts w:cs="Calibri"/>
                <w:color w:val="000000"/>
                <w:sz w:val="20"/>
                <w:szCs w:val="20"/>
              </w:rPr>
            </w:pPr>
            <w:r w:rsidRPr="003A0138">
              <w:rPr>
                <w:rFonts w:cs="Calibri"/>
                <w:color w:val="000000"/>
                <w:sz w:val="20"/>
                <w:szCs w:val="20"/>
              </w:rPr>
              <w:t>—</w:t>
            </w:r>
          </w:p>
        </w:tc>
        <w:tc>
          <w:tcPr>
            <w:tcW w:w="1146" w:type="dxa"/>
            <w:gridSpan w:val="2"/>
            <w:tcBorders>
              <w:bottom w:val="single" w:sz="4" w:space="0" w:color="auto"/>
            </w:tcBorders>
          </w:tcPr>
          <w:p w14:paraId="5D027FD4" w14:textId="77777777" w:rsidR="003A0138" w:rsidRPr="003A0138" w:rsidRDefault="003A0138" w:rsidP="003A0138">
            <w:pPr>
              <w:spacing w:before="80" w:after="80" w:line="240" w:lineRule="auto"/>
              <w:jc w:val="center"/>
              <w:rPr>
                <w:rFonts w:cs="Calibri"/>
                <w:color w:val="000000"/>
                <w:sz w:val="20"/>
                <w:szCs w:val="20"/>
              </w:rPr>
            </w:pPr>
            <w:r w:rsidRPr="003A0138">
              <w:rPr>
                <w:rFonts w:cs="Calibri"/>
                <w:color w:val="000000"/>
                <w:sz w:val="20"/>
                <w:szCs w:val="20"/>
              </w:rPr>
              <w:t>—</w:t>
            </w:r>
          </w:p>
        </w:tc>
      </w:tr>
      <w:tr w:rsidR="003A0138" w:rsidRPr="003A0138" w14:paraId="4ECEFC46" w14:textId="77777777" w:rsidTr="003A0138">
        <w:trPr>
          <w:cnfStyle w:val="010000000000" w:firstRow="0" w:lastRow="1" w:firstColumn="0" w:lastColumn="0" w:oddVBand="0" w:evenVBand="0" w:oddHBand="0" w:evenHBand="0" w:firstRowFirstColumn="0" w:firstRowLastColumn="0" w:lastRowFirstColumn="0" w:lastRowLastColumn="0"/>
          <w:cantSplit/>
          <w:jc w:val="center"/>
        </w:trPr>
        <w:tc>
          <w:tcPr>
            <w:tcW w:w="2250" w:type="dxa"/>
            <w:tcBorders>
              <w:top w:val="single" w:sz="4" w:space="0" w:color="auto"/>
              <w:bottom w:val="single" w:sz="12" w:space="0" w:color="auto"/>
            </w:tcBorders>
          </w:tcPr>
          <w:p w14:paraId="3DCB6F7A" w14:textId="77777777" w:rsidR="003A0138" w:rsidRPr="003A0138" w:rsidRDefault="003A0138" w:rsidP="003A0138">
            <w:pPr>
              <w:spacing w:before="80" w:after="80" w:line="240" w:lineRule="auto"/>
              <w:jc w:val="left"/>
              <w:rPr>
                <w:rFonts w:cs="Calibri"/>
                <w:color w:val="000000"/>
                <w:sz w:val="20"/>
                <w:szCs w:val="20"/>
              </w:rPr>
            </w:pPr>
            <w:r w:rsidRPr="003A0138">
              <w:rPr>
                <w:rFonts w:cs="Calibri"/>
                <w:color w:val="000000"/>
                <w:sz w:val="20"/>
                <w:szCs w:val="20"/>
              </w:rPr>
              <w:t>Reduced incidence of morbidity from exposure to lead</w:t>
            </w:r>
          </w:p>
        </w:tc>
        <w:tc>
          <w:tcPr>
            <w:tcW w:w="3749" w:type="dxa"/>
            <w:tcBorders>
              <w:top w:val="single" w:sz="4" w:space="0" w:color="auto"/>
              <w:bottom w:val="single" w:sz="12" w:space="0" w:color="auto"/>
            </w:tcBorders>
          </w:tcPr>
          <w:p w14:paraId="4080619A" w14:textId="77777777" w:rsidR="003A0138" w:rsidRPr="003A0138" w:rsidRDefault="003A0138" w:rsidP="003A0138">
            <w:pPr>
              <w:spacing w:before="80" w:after="80" w:line="240" w:lineRule="auto"/>
              <w:jc w:val="left"/>
              <w:rPr>
                <w:rFonts w:cs="Calibri"/>
                <w:color w:val="000000"/>
                <w:sz w:val="20"/>
                <w:szCs w:val="20"/>
              </w:rPr>
            </w:pPr>
            <w:r w:rsidRPr="003A0138">
              <w:rPr>
                <w:rFonts w:cs="Calibri"/>
                <w:color w:val="000000"/>
                <w:sz w:val="20"/>
                <w:szCs w:val="20"/>
              </w:rPr>
              <w:t>Neurologic effects—IQ loss</w:t>
            </w:r>
          </w:p>
          <w:p w14:paraId="182D3953" w14:textId="77777777" w:rsidR="003A0138" w:rsidRPr="003A0138" w:rsidRDefault="003A0138" w:rsidP="003A0138">
            <w:pPr>
              <w:spacing w:before="80" w:after="80" w:line="240" w:lineRule="auto"/>
              <w:jc w:val="left"/>
              <w:rPr>
                <w:rFonts w:cs="Calibri"/>
                <w:color w:val="000000"/>
                <w:sz w:val="20"/>
                <w:szCs w:val="20"/>
              </w:rPr>
            </w:pPr>
            <w:r w:rsidRPr="003A0138">
              <w:rPr>
                <w:rFonts w:cs="Calibri"/>
                <w:color w:val="000000"/>
                <w:sz w:val="20"/>
                <w:szCs w:val="20"/>
              </w:rPr>
              <w:t>Increased diastolic blood pressure and sequelae</w:t>
            </w:r>
          </w:p>
          <w:p w14:paraId="19FCD99B" w14:textId="77777777" w:rsidR="003A0138" w:rsidRPr="003A0138" w:rsidRDefault="003A0138" w:rsidP="003A0138">
            <w:pPr>
              <w:spacing w:before="80" w:after="80" w:line="240" w:lineRule="auto"/>
              <w:jc w:val="left"/>
              <w:rPr>
                <w:rFonts w:cs="Calibri"/>
                <w:color w:val="000000"/>
                <w:sz w:val="20"/>
                <w:szCs w:val="20"/>
              </w:rPr>
            </w:pPr>
            <w:r w:rsidRPr="003A0138">
              <w:rPr>
                <w:rFonts w:cs="Calibri"/>
                <w:color w:val="000000"/>
                <w:sz w:val="20"/>
                <w:szCs w:val="20"/>
              </w:rPr>
              <w:t>Other neurobehavioral and physiological effects</w:t>
            </w:r>
          </w:p>
          <w:p w14:paraId="1434C87B" w14:textId="77777777" w:rsidR="003A0138" w:rsidRPr="003A0138" w:rsidRDefault="003A0138" w:rsidP="003A0138">
            <w:pPr>
              <w:spacing w:before="80" w:after="80" w:line="240" w:lineRule="auto"/>
              <w:jc w:val="left"/>
              <w:rPr>
                <w:rFonts w:cs="Calibri"/>
                <w:color w:val="000000"/>
                <w:sz w:val="20"/>
                <w:szCs w:val="20"/>
              </w:rPr>
            </w:pPr>
            <w:r w:rsidRPr="003A0138">
              <w:rPr>
                <w:rFonts w:cs="Calibri"/>
                <w:color w:val="000000"/>
                <w:sz w:val="20"/>
                <w:szCs w:val="20"/>
              </w:rPr>
              <w:t>Delinquent and anti-social behavior</w:t>
            </w:r>
          </w:p>
          <w:p w14:paraId="47FBE0DD" w14:textId="77777777" w:rsidR="003A0138" w:rsidRPr="003A0138" w:rsidRDefault="003A0138" w:rsidP="003A0138">
            <w:pPr>
              <w:spacing w:before="80" w:after="80" w:line="240" w:lineRule="auto"/>
              <w:jc w:val="left"/>
              <w:rPr>
                <w:rFonts w:cs="Calibri"/>
                <w:color w:val="000000"/>
                <w:sz w:val="20"/>
                <w:szCs w:val="20"/>
              </w:rPr>
            </w:pPr>
            <w:r w:rsidRPr="003A0138">
              <w:rPr>
                <w:rFonts w:cs="Calibri"/>
                <w:color w:val="000000"/>
                <w:sz w:val="20"/>
                <w:szCs w:val="20"/>
              </w:rPr>
              <w:t>IQ loss effects on compensatory education</w:t>
            </w:r>
          </w:p>
          <w:p w14:paraId="24EE5162" w14:textId="77777777" w:rsidR="003A0138" w:rsidRPr="003A0138" w:rsidRDefault="003A0138" w:rsidP="003A0138">
            <w:pPr>
              <w:spacing w:before="80" w:after="80" w:line="240" w:lineRule="auto"/>
              <w:jc w:val="left"/>
              <w:rPr>
                <w:rFonts w:cs="Calibri"/>
                <w:color w:val="000000"/>
                <w:sz w:val="20"/>
                <w:szCs w:val="20"/>
              </w:rPr>
            </w:pPr>
            <w:r w:rsidRPr="003A0138">
              <w:rPr>
                <w:rFonts w:cs="Calibri"/>
                <w:color w:val="000000"/>
                <w:sz w:val="20"/>
                <w:szCs w:val="20"/>
              </w:rPr>
              <w:t>Hypertension</w:t>
            </w:r>
          </w:p>
          <w:p w14:paraId="65B4E0EF" w14:textId="77777777" w:rsidR="003A0138" w:rsidRPr="003A0138" w:rsidRDefault="003A0138" w:rsidP="003A0138">
            <w:pPr>
              <w:spacing w:before="80" w:after="80" w:line="240" w:lineRule="auto"/>
              <w:jc w:val="left"/>
              <w:rPr>
                <w:rFonts w:cs="Calibri"/>
                <w:color w:val="000000"/>
                <w:sz w:val="20"/>
                <w:szCs w:val="20"/>
              </w:rPr>
            </w:pPr>
            <w:r w:rsidRPr="003A0138">
              <w:rPr>
                <w:rFonts w:cs="Calibri"/>
                <w:color w:val="000000"/>
                <w:sz w:val="20"/>
                <w:szCs w:val="20"/>
              </w:rPr>
              <w:t>Non-fatal coronary heart disease</w:t>
            </w:r>
          </w:p>
          <w:p w14:paraId="672623D6" w14:textId="77777777" w:rsidR="003A0138" w:rsidRPr="003A0138" w:rsidRDefault="003A0138" w:rsidP="003A0138">
            <w:pPr>
              <w:spacing w:before="80" w:after="80" w:line="240" w:lineRule="auto"/>
              <w:jc w:val="left"/>
              <w:rPr>
                <w:rFonts w:cs="Calibri"/>
                <w:color w:val="000000"/>
                <w:sz w:val="20"/>
                <w:szCs w:val="20"/>
              </w:rPr>
            </w:pPr>
            <w:r w:rsidRPr="003A0138">
              <w:rPr>
                <w:rFonts w:cs="Calibri"/>
                <w:color w:val="000000"/>
                <w:sz w:val="20"/>
                <w:szCs w:val="20"/>
              </w:rPr>
              <w:t>Non-fatal strokes</w:t>
            </w:r>
          </w:p>
          <w:p w14:paraId="3D39C1FA" w14:textId="77777777" w:rsidR="003A0138" w:rsidRPr="003A0138" w:rsidRDefault="003A0138" w:rsidP="003A0138">
            <w:pPr>
              <w:spacing w:before="80" w:after="80" w:line="240" w:lineRule="auto"/>
              <w:jc w:val="left"/>
              <w:rPr>
                <w:rFonts w:cs="Calibri"/>
                <w:color w:val="000000"/>
                <w:sz w:val="20"/>
                <w:szCs w:val="20"/>
              </w:rPr>
            </w:pPr>
            <w:r w:rsidRPr="003A0138">
              <w:rPr>
                <w:rFonts w:cs="Calibri"/>
                <w:color w:val="000000"/>
                <w:sz w:val="20"/>
                <w:szCs w:val="20"/>
              </w:rPr>
              <w:t>Premature mortality</w:t>
            </w:r>
          </w:p>
          <w:p w14:paraId="6BD3699C" w14:textId="77777777" w:rsidR="003A0138" w:rsidRPr="003A0138" w:rsidRDefault="003A0138" w:rsidP="003A0138">
            <w:pPr>
              <w:spacing w:before="80" w:after="80" w:line="240" w:lineRule="auto"/>
              <w:jc w:val="left"/>
              <w:rPr>
                <w:rFonts w:cs="Calibri"/>
                <w:color w:val="000000"/>
                <w:sz w:val="20"/>
                <w:szCs w:val="20"/>
              </w:rPr>
            </w:pPr>
            <w:r w:rsidRPr="003A0138">
              <w:rPr>
                <w:rFonts w:cs="Calibri"/>
                <w:color w:val="000000"/>
                <w:sz w:val="20"/>
                <w:szCs w:val="20"/>
              </w:rPr>
              <w:t>Other cardiovascular diseases</w:t>
            </w:r>
          </w:p>
          <w:p w14:paraId="2887850D" w14:textId="77777777" w:rsidR="003A0138" w:rsidRPr="003A0138" w:rsidRDefault="003A0138" w:rsidP="003A0138">
            <w:pPr>
              <w:spacing w:before="80" w:after="80" w:line="240" w:lineRule="auto"/>
              <w:jc w:val="left"/>
              <w:rPr>
                <w:rFonts w:cs="Calibri"/>
                <w:color w:val="000000"/>
                <w:sz w:val="20"/>
                <w:szCs w:val="20"/>
              </w:rPr>
            </w:pPr>
            <w:r w:rsidRPr="003A0138">
              <w:rPr>
                <w:rFonts w:cs="Calibri"/>
                <w:color w:val="000000"/>
                <w:sz w:val="20"/>
                <w:szCs w:val="20"/>
              </w:rPr>
              <w:t>Neurobehavioral function</w:t>
            </w:r>
          </w:p>
          <w:p w14:paraId="72081577" w14:textId="77777777" w:rsidR="003A0138" w:rsidRPr="003A0138" w:rsidRDefault="003A0138" w:rsidP="003A0138">
            <w:pPr>
              <w:spacing w:before="80" w:after="80" w:line="240" w:lineRule="auto"/>
              <w:jc w:val="left"/>
              <w:rPr>
                <w:rFonts w:cs="Calibri"/>
                <w:color w:val="000000"/>
                <w:sz w:val="20"/>
                <w:szCs w:val="20"/>
              </w:rPr>
            </w:pPr>
            <w:r w:rsidRPr="003A0138">
              <w:rPr>
                <w:rFonts w:cs="Calibri"/>
                <w:color w:val="000000"/>
                <w:sz w:val="20"/>
                <w:szCs w:val="20"/>
              </w:rPr>
              <w:t>Renal effects</w:t>
            </w:r>
          </w:p>
          <w:p w14:paraId="3B2C7CF4" w14:textId="77777777" w:rsidR="003A0138" w:rsidRPr="003A0138" w:rsidRDefault="003A0138" w:rsidP="003A0138">
            <w:pPr>
              <w:spacing w:before="80" w:after="80" w:line="240" w:lineRule="auto"/>
              <w:jc w:val="left"/>
              <w:rPr>
                <w:rFonts w:cs="Calibri"/>
                <w:color w:val="000000"/>
                <w:sz w:val="20"/>
                <w:szCs w:val="20"/>
              </w:rPr>
            </w:pPr>
            <w:r w:rsidRPr="003A0138">
              <w:rPr>
                <w:rFonts w:cs="Calibri"/>
                <w:color w:val="000000"/>
                <w:sz w:val="20"/>
                <w:szCs w:val="20"/>
              </w:rPr>
              <w:t>Reproductive effects</w:t>
            </w:r>
          </w:p>
        </w:tc>
        <w:tc>
          <w:tcPr>
            <w:tcW w:w="1139" w:type="dxa"/>
            <w:gridSpan w:val="3"/>
            <w:tcBorders>
              <w:top w:val="single" w:sz="4" w:space="0" w:color="auto"/>
              <w:bottom w:val="single" w:sz="12" w:space="0" w:color="auto"/>
            </w:tcBorders>
            <w:vAlign w:val="center"/>
          </w:tcPr>
          <w:p w14:paraId="34C266E5" w14:textId="77777777" w:rsidR="003A0138" w:rsidRPr="003A0138" w:rsidRDefault="003A0138" w:rsidP="003A0138">
            <w:pPr>
              <w:spacing w:before="80" w:after="80" w:line="240" w:lineRule="auto"/>
              <w:jc w:val="center"/>
              <w:rPr>
                <w:rFonts w:cs="Calibri"/>
                <w:b/>
                <w:bCs/>
                <w:color w:val="FF0000"/>
                <w:sz w:val="20"/>
                <w:szCs w:val="20"/>
              </w:rPr>
            </w:pPr>
            <w:r w:rsidRPr="003A0138">
              <w:rPr>
                <w:rFonts w:cs="Calibri"/>
                <w:b/>
                <w:bCs/>
                <w:color w:val="FF0000"/>
                <w:sz w:val="20"/>
                <w:szCs w:val="20"/>
              </w:rPr>
              <w:sym w:font="Wingdings" w:char="F0FC"/>
            </w:r>
          </w:p>
          <w:p w14:paraId="20F23942" w14:textId="77777777" w:rsidR="003A0138" w:rsidRPr="003A0138" w:rsidRDefault="003A0138" w:rsidP="003A0138">
            <w:pPr>
              <w:spacing w:before="80" w:after="80" w:line="240" w:lineRule="auto"/>
              <w:jc w:val="center"/>
              <w:rPr>
                <w:rFonts w:cs="Calibri"/>
                <w:color w:val="000000"/>
                <w:sz w:val="20"/>
                <w:szCs w:val="20"/>
              </w:rPr>
            </w:pPr>
            <w:r w:rsidRPr="003A0138">
              <w:rPr>
                <w:rFonts w:cs="Calibri"/>
                <w:color w:val="000000"/>
                <w:sz w:val="20"/>
                <w:szCs w:val="20"/>
              </w:rPr>
              <w:t>—</w:t>
            </w:r>
          </w:p>
          <w:p w14:paraId="078B5932" w14:textId="77777777" w:rsidR="003A0138" w:rsidRPr="003A0138" w:rsidRDefault="003A0138" w:rsidP="003A0138">
            <w:pPr>
              <w:spacing w:before="80" w:after="80" w:line="240" w:lineRule="auto"/>
              <w:jc w:val="center"/>
              <w:rPr>
                <w:rFonts w:cs="Calibri"/>
                <w:color w:val="000000"/>
                <w:sz w:val="20"/>
                <w:szCs w:val="20"/>
              </w:rPr>
            </w:pPr>
            <w:r w:rsidRPr="003A0138">
              <w:rPr>
                <w:rFonts w:cs="Calibri"/>
                <w:color w:val="000000"/>
                <w:sz w:val="20"/>
                <w:szCs w:val="20"/>
              </w:rPr>
              <w:t>—</w:t>
            </w:r>
          </w:p>
          <w:p w14:paraId="07E979D5" w14:textId="77777777" w:rsidR="003A0138" w:rsidRPr="003A0138" w:rsidRDefault="003A0138" w:rsidP="003A0138">
            <w:pPr>
              <w:spacing w:before="80" w:after="80" w:line="240" w:lineRule="auto"/>
              <w:jc w:val="center"/>
              <w:rPr>
                <w:rFonts w:cs="Calibri"/>
                <w:color w:val="000000"/>
                <w:sz w:val="20"/>
                <w:szCs w:val="20"/>
              </w:rPr>
            </w:pPr>
            <w:r w:rsidRPr="003A0138">
              <w:rPr>
                <w:rFonts w:cs="Calibri"/>
                <w:color w:val="000000"/>
                <w:sz w:val="20"/>
                <w:szCs w:val="20"/>
              </w:rPr>
              <w:t>—</w:t>
            </w:r>
          </w:p>
          <w:p w14:paraId="22F3895E" w14:textId="77777777" w:rsidR="003A0138" w:rsidRPr="003A0138" w:rsidRDefault="003A0138" w:rsidP="003A0138">
            <w:pPr>
              <w:spacing w:before="80" w:after="80" w:line="240" w:lineRule="auto"/>
              <w:jc w:val="center"/>
              <w:rPr>
                <w:rFonts w:cs="Calibri"/>
                <w:color w:val="000000"/>
                <w:sz w:val="20"/>
                <w:szCs w:val="20"/>
              </w:rPr>
            </w:pPr>
            <w:r w:rsidRPr="003A0138">
              <w:rPr>
                <w:rFonts w:cs="Calibri"/>
                <w:color w:val="000000"/>
                <w:sz w:val="20"/>
                <w:szCs w:val="20"/>
              </w:rPr>
              <w:t>—</w:t>
            </w:r>
          </w:p>
          <w:p w14:paraId="73E99C55" w14:textId="77777777" w:rsidR="003A0138" w:rsidRPr="003A0138" w:rsidRDefault="003A0138" w:rsidP="003A0138">
            <w:pPr>
              <w:spacing w:before="80" w:after="80" w:line="240" w:lineRule="auto"/>
              <w:jc w:val="center"/>
              <w:rPr>
                <w:rFonts w:cs="Calibri"/>
                <w:color w:val="000000"/>
                <w:sz w:val="20"/>
                <w:szCs w:val="20"/>
              </w:rPr>
            </w:pPr>
            <w:r w:rsidRPr="003A0138">
              <w:rPr>
                <w:rFonts w:cs="Calibri"/>
                <w:color w:val="000000"/>
                <w:sz w:val="20"/>
                <w:szCs w:val="20"/>
              </w:rPr>
              <w:t>—</w:t>
            </w:r>
          </w:p>
          <w:p w14:paraId="641F6A21" w14:textId="77777777" w:rsidR="003A0138" w:rsidRPr="003A0138" w:rsidRDefault="003A0138" w:rsidP="003A0138">
            <w:pPr>
              <w:spacing w:before="80" w:after="80" w:line="240" w:lineRule="auto"/>
              <w:jc w:val="center"/>
              <w:rPr>
                <w:rFonts w:cs="Calibri"/>
                <w:color w:val="000000"/>
                <w:sz w:val="20"/>
                <w:szCs w:val="20"/>
              </w:rPr>
            </w:pPr>
            <w:r w:rsidRPr="003A0138">
              <w:rPr>
                <w:rFonts w:cs="Calibri"/>
                <w:color w:val="000000"/>
                <w:sz w:val="20"/>
                <w:szCs w:val="20"/>
              </w:rPr>
              <w:t>—</w:t>
            </w:r>
          </w:p>
          <w:p w14:paraId="24375A91" w14:textId="77777777" w:rsidR="003A0138" w:rsidRPr="003A0138" w:rsidRDefault="003A0138" w:rsidP="003A0138">
            <w:pPr>
              <w:spacing w:before="80" w:after="80" w:line="240" w:lineRule="auto"/>
              <w:jc w:val="center"/>
              <w:rPr>
                <w:rFonts w:cs="Calibri"/>
                <w:color w:val="000000"/>
                <w:sz w:val="20"/>
                <w:szCs w:val="20"/>
              </w:rPr>
            </w:pPr>
            <w:r w:rsidRPr="003A0138">
              <w:rPr>
                <w:rFonts w:cs="Calibri"/>
                <w:color w:val="000000"/>
                <w:sz w:val="20"/>
                <w:szCs w:val="20"/>
              </w:rPr>
              <w:t>—</w:t>
            </w:r>
          </w:p>
          <w:p w14:paraId="7A9A39B3" w14:textId="77777777" w:rsidR="003A0138" w:rsidRPr="003A0138" w:rsidRDefault="003A0138" w:rsidP="003A0138">
            <w:pPr>
              <w:spacing w:before="80" w:after="80" w:line="240" w:lineRule="auto"/>
              <w:jc w:val="center"/>
              <w:rPr>
                <w:rFonts w:cs="Calibri"/>
                <w:color w:val="000000"/>
                <w:sz w:val="20"/>
                <w:szCs w:val="20"/>
              </w:rPr>
            </w:pPr>
            <w:r w:rsidRPr="003A0138">
              <w:rPr>
                <w:rFonts w:cs="Calibri"/>
                <w:color w:val="000000"/>
                <w:sz w:val="20"/>
                <w:szCs w:val="20"/>
              </w:rPr>
              <w:t>—</w:t>
            </w:r>
          </w:p>
          <w:p w14:paraId="09A47DBE" w14:textId="77777777" w:rsidR="003A0138" w:rsidRPr="003A0138" w:rsidRDefault="003A0138" w:rsidP="003A0138">
            <w:pPr>
              <w:spacing w:before="80" w:after="80" w:line="240" w:lineRule="auto"/>
              <w:jc w:val="center"/>
              <w:rPr>
                <w:rFonts w:cs="Calibri"/>
                <w:color w:val="000000"/>
                <w:sz w:val="20"/>
                <w:szCs w:val="20"/>
              </w:rPr>
            </w:pPr>
            <w:r w:rsidRPr="003A0138">
              <w:rPr>
                <w:rFonts w:cs="Calibri"/>
                <w:color w:val="000000"/>
                <w:sz w:val="20"/>
                <w:szCs w:val="20"/>
              </w:rPr>
              <w:t>—</w:t>
            </w:r>
          </w:p>
          <w:p w14:paraId="0678A34A" w14:textId="77777777" w:rsidR="003A0138" w:rsidRPr="003A0138" w:rsidRDefault="003A0138" w:rsidP="003A0138">
            <w:pPr>
              <w:spacing w:before="80" w:after="80" w:line="240" w:lineRule="auto"/>
              <w:jc w:val="center"/>
              <w:rPr>
                <w:rFonts w:cs="Calibri"/>
                <w:color w:val="000000"/>
                <w:sz w:val="20"/>
                <w:szCs w:val="20"/>
              </w:rPr>
            </w:pPr>
            <w:r w:rsidRPr="003A0138">
              <w:rPr>
                <w:rFonts w:cs="Calibri"/>
                <w:color w:val="000000"/>
                <w:sz w:val="20"/>
                <w:szCs w:val="20"/>
              </w:rPr>
              <w:t>—</w:t>
            </w:r>
          </w:p>
          <w:p w14:paraId="5D1D0960" w14:textId="77777777" w:rsidR="003A0138" w:rsidRPr="003A0138" w:rsidRDefault="003A0138" w:rsidP="003A0138">
            <w:pPr>
              <w:spacing w:before="80" w:after="80" w:line="240" w:lineRule="auto"/>
              <w:jc w:val="center"/>
              <w:rPr>
                <w:rFonts w:cs="Calibri"/>
                <w:color w:val="000000"/>
                <w:sz w:val="20"/>
                <w:szCs w:val="20"/>
              </w:rPr>
            </w:pPr>
            <w:r w:rsidRPr="003A0138">
              <w:rPr>
                <w:rFonts w:cs="Calibri"/>
                <w:color w:val="000000"/>
                <w:sz w:val="20"/>
                <w:szCs w:val="20"/>
              </w:rPr>
              <w:t>—</w:t>
            </w:r>
          </w:p>
          <w:p w14:paraId="3DFD8A42" w14:textId="77777777" w:rsidR="003A0138" w:rsidRPr="003A0138" w:rsidRDefault="003A0138" w:rsidP="003A0138">
            <w:pPr>
              <w:spacing w:before="80" w:after="80" w:line="240" w:lineRule="auto"/>
              <w:jc w:val="center"/>
              <w:rPr>
                <w:rFonts w:cs="Calibri"/>
                <w:color w:val="000000"/>
                <w:sz w:val="20"/>
                <w:szCs w:val="20"/>
              </w:rPr>
            </w:pPr>
            <w:r w:rsidRPr="003A0138">
              <w:rPr>
                <w:rFonts w:cs="Calibri"/>
                <w:color w:val="000000"/>
                <w:sz w:val="20"/>
                <w:szCs w:val="20"/>
              </w:rPr>
              <w:t>—</w:t>
            </w:r>
          </w:p>
          <w:p w14:paraId="42ADCC69" w14:textId="77777777" w:rsidR="003A0138" w:rsidRPr="003A0138" w:rsidRDefault="003A0138" w:rsidP="003A0138">
            <w:pPr>
              <w:spacing w:before="80" w:after="80" w:line="240" w:lineRule="auto"/>
              <w:jc w:val="center"/>
              <w:rPr>
                <w:rFonts w:cs="Calibri"/>
                <w:color w:val="000000"/>
                <w:sz w:val="20"/>
                <w:szCs w:val="20"/>
              </w:rPr>
            </w:pPr>
            <w:r w:rsidRPr="003A0138">
              <w:rPr>
                <w:rFonts w:cs="Calibri"/>
                <w:color w:val="000000"/>
                <w:sz w:val="20"/>
                <w:szCs w:val="20"/>
              </w:rPr>
              <w:t>—</w:t>
            </w:r>
          </w:p>
        </w:tc>
        <w:tc>
          <w:tcPr>
            <w:tcW w:w="1146" w:type="dxa"/>
            <w:gridSpan w:val="2"/>
            <w:tcBorders>
              <w:top w:val="single" w:sz="4" w:space="0" w:color="auto"/>
              <w:bottom w:val="single" w:sz="12" w:space="0" w:color="auto"/>
            </w:tcBorders>
            <w:vAlign w:val="center"/>
          </w:tcPr>
          <w:p w14:paraId="2087A818" w14:textId="77777777" w:rsidR="003A0138" w:rsidRPr="003A0138" w:rsidRDefault="003A0138" w:rsidP="003A0138">
            <w:pPr>
              <w:spacing w:before="80" w:after="80" w:line="240" w:lineRule="auto"/>
              <w:jc w:val="center"/>
              <w:rPr>
                <w:rFonts w:cs="Calibri"/>
                <w:b/>
                <w:bCs/>
                <w:color w:val="FF0000"/>
                <w:sz w:val="20"/>
                <w:szCs w:val="20"/>
              </w:rPr>
            </w:pPr>
            <w:r w:rsidRPr="003A0138">
              <w:rPr>
                <w:rFonts w:cs="Calibri"/>
                <w:b/>
                <w:bCs/>
                <w:color w:val="FF0000"/>
                <w:sz w:val="20"/>
                <w:szCs w:val="20"/>
              </w:rPr>
              <w:sym w:font="Wingdings" w:char="F0FC"/>
            </w:r>
          </w:p>
          <w:p w14:paraId="0F48734B" w14:textId="77777777" w:rsidR="003A0138" w:rsidRPr="003A0138" w:rsidRDefault="003A0138" w:rsidP="003A0138">
            <w:pPr>
              <w:spacing w:before="80" w:after="80" w:line="240" w:lineRule="auto"/>
              <w:jc w:val="center"/>
              <w:rPr>
                <w:rFonts w:cs="Calibri"/>
                <w:color w:val="000000"/>
                <w:sz w:val="20"/>
                <w:szCs w:val="20"/>
              </w:rPr>
            </w:pPr>
            <w:r w:rsidRPr="003A0138">
              <w:rPr>
                <w:rFonts w:cs="Calibri"/>
                <w:color w:val="000000"/>
                <w:sz w:val="20"/>
                <w:szCs w:val="20"/>
              </w:rPr>
              <w:t>—</w:t>
            </w:r>
          </w:p>
          <w:p w14:paraId="697BBE2A" w14:textId="77777777" w:rsidR="003A0138" w:rsidRPr="003A0138" w:rsidRDefault="003A0138" w:rsidP="003A0138">
            <w:pPr>
              <w:spacing w:before="80" w:after="80" w:line="240" w:lineRule="auto"/>
              <w:jc w:val="center"/>
              <w:rPr>
                <w:rFonts w:cs="Calibri"/>
                <w:color w:val="000000"/>
                <w:sz w:val="20"/>
                <w:szCs w:val="20"/>
              </w:rPr>
            </w:pPr>
            <w:r w:rsidRPr="003A0138">
              <w:rPr>
                <w:rFonts w:cs="Calibri"/>
                <w:color w:val="000000"/>
                <w:sz w:val="20"/>
                <w:szCs w:val="20"/>
              </w:rPr>
              <w:t>—</w:t>
            </w:r>
          </w:p>
          <w:p w14:paraId="4B3B3AC2" w14:textId="77777777" w:rsidR="003A0138" w:rsidRPr="003A0138" w:rsidRDefault="003A0138" w:rsidP="003A0138">
            <w:pPr>
              <w:spacing w:before="80" w:after="80" w:line="240" w:lineRule="auto"/>
              <w:jc w:val="center"/>
              <w:rPr>
                <w:rFonts w:cs="Calibri"/>
                <w:color w:val="000000"/>
                <w:sz w:val="20"/>
                <w:szCs w:val="20"/>
              </w:rPr>
            </w:pPr>
            <w:r w:rsidRPr="003A0138">
              <w:rPr>
                <w:rFonts w:cs="Calibri"/>
                <w:color w:val="000000"/>
                <w:sz w:val="20"/>
                <w:szCs w:val="20"/>
              </w:rPr>
              <w:t>—</w:t>
            </w:r>
          </w:p>
          <w:p w14:paraId="3A49F4BA" w14:textId="77777777" w:rsidR="003A0138" w:rsidRPr="003A0138" w:rsidRDefault="003A0138" w:rsidP="003A0138">
            <w:pPr>
              <w:spacing w:before="80" w:after="80" w:line="240" w:lineRule="auto"/>
              <w:jc w:val="center"/>
              <w:rPr>
                <w:rFonts w:cs="Calibri"/>
                <w:color w:val="000000"/>
                <w:sz w:val="20"/>
                <w:szCs w:val="20"/>
              </w:rPr>
            </w:pPr>
            <w:r w:rsidRPr="003A0138">
              <w:rPr>
                <w:rFonts w:cs="Calibri"/>
                <w:color w:val="000000"/>
                <w:sz w:val="20"/>
                <w:szCs w:val="20"/>
              </w:rPr>
              <w:t>—</w:t>
            </w:r>
          </w:p>
          <w:p w14:paraId="423E4BA7" w14:textId="77777777" w:rsidR="003A0138" w:rsidRPr="003A0138" w:rsidRDefault="003A0138" w:rsidP="003A0138">
            <w:pPr>
              <w:spacing w:before="80" w:after="80" w:line="240" w:lineRule="auto"/>
              <w:jc w:val="center"/>
              <w:rPr>
                <w:rFonts w:cs="Calibri"/>
                <w:color w:val="000000"/>
                <w:sz w:val="20"/>
                <w:szCs w:val="20"/>
              </w:rPr>
            </w:pPr>
            <w:r w:rsidRPr="003A0138">
              <w:rPr>
                <w:rFonts w:cs="Calibri"/>
                <w:color w:val="000000"/>
                <w:sz w:val="20"/>
                <w:szCs w:val="20"/>
              </w:rPr>
              <w:t>—</w:t>
            </w:r>
          </w:p>
          <w:p w14:paraId="6AE91577" w14:textId="77777777" w:rsidR="003A0138" w:rsidRPr="003A0138" w:rsidRDefault="003A0138" w:rsidP="003A0138">
            <w:pPr>
              <w:spacing w:before="80" w:after="80" w:line="240" w:lineRule="auto"/>
              <w:jc w:val="center"/>
              <w:rPr>
                <w:rFonts w:cs="Calibri"/>
                <w:color w:val="000000"/>
                <w:sz w:val="20"/>
                <w:szCs w:val="20"/>
              </w:rPr>
            </w:pPr>
            <w:r w:rsidRPr="003A0138">
              <w:rPr>
                <w:rFonts w:cs="Calibri"/>
                <w:color w:val="000000"/>
                <w:sz w:val="20"/>
                <w:szCs w:val="20"/>
              </w:rPr>
              <w:t>—</w:t>
            </w:r>
          </w:p>
          <w:p w14:paraId="0AE9613B" w14:textId="77777777" w:rsidR="003A0138" w:rsidRPr="003A0138" w:rsidRDefault="003A0138" w:rsidP="003A0138">
            <w:pPr>
              <w:spacing w:before="80" w:after="80" w:line="240" w:lineRule="auto"/>
              <w:jc w:val="center"/>
              <w:rPr>
                <w:rFonts w:cs="Calibri"/>
                <w:color w:val="000000"/>
                <w:sz w:val="20"/>
                <w:szCs w:val="20"/>
              </w:rPr>
            </w:pPr>
            <w:r w:rsidRPr="003A0138">
              <w:rPr>
                <w:rFonts w:cs="Calibri"/>
                <w:color w:val="000000"/>
                <w:sz w:val="20"/>
                <w:szCs w:val="20"/>
              </w:rPr>
              <w:t>—</w:t>
            </w:r>
          </w:p>
          <w:p w14:paraId="3643D699" w14:textId="77777777" w:rsidR="003A0138" w:rsidRPr="003A0138" w:rsidRDefault="003A0138" w:rsidP="003A0138">
            <w:pPr>
              <w:spacing w:before="80" w:after="80" w:line="240" w:lineRule="auto"/>
              <w:jc w:val="center"/>
              <w:rPr>
                <w:rFonts w:cs="Calibri"/>
                <w:color w:val="000000"/>
                <w:sz w:val="20"/>
                <w:szCs w:val="20"/>
              </w:rPr>
            </w:pPr>
            <w:r w:rsidRPr="003A0138">
              <w:rPr>
                <w:rFonts w:cs="Calibri"/>
                <w:color w:val="000000"/>
                <w:sz w:val="20"/>
                <w:szCs w:val="20"/>
              </w:rPr>
              <w:t>—</w:t>
            </w:r>
          </w:p>
          <w:p w14:paraId="638C6DF7" w14:textId="77777777" w:rsidR="003A0138" w:rsidRPr="003A0138" w:rsidRDefault="003A0138" w:rsidP="003A0138">
            <w:pPr>
              <w:spacing w:before="80" w:after="80" w:line="240" w:lineRule="auto"/>
              <w:jc w:val="center"/>
              <w:rPr>
                <w:rFonts w:cs="Calibri"/>
                <w:color w:val="000000"/>
                <w:sz w:val="20"/>
                <w:szCs w:val="20"/>
              </w:rPr>
            </w:pPr>
            <w:r w:rsidRPr="003A0138">
              <w:rPr>
                <w:rFonts w:cs="Calibri"/>
                <w:color w:val="000000"/>
                <w:sz w:val="20"/>
                <w:szCs w:val="20"/>
              </w:rPr>
              <w:t>—</w:t>
            </w:r>
          </w:p>
          <w:p w14:paraId="1D639A63" w14:textId="77777777" w:rsidR="003A0138" w:rsidRPr="003A0138" w:rsidRDefault="003A0138" w:rsidP="003A0138">
            <w:pPr>
              <w:spacing w:before="80" w:after="80" w:line="240" w:lineRule="auto"/>
              <w:jc w:val="center"/>
              <w:rPr>
                <w:rFonts w:cs="Calibri"/>
                <w:color w:val="000000"/>
                <w:sz w:val="20"/>
                <w:szCs w:val="20"/>
              </w:rPr>
            </w:pPr>
            <w:r w:rsidRPr="003A0138">
              <w:rPr>
                <w:rFonts w:cs="Calibri"/>
                <w:color w:val="000000"/>
                <w:sz w:val="20"/>
                <w:szCs w:val="20"/>
              </w:rPr>
              <w:t>—</w:t>
            </w:r>
          </w:p>
          <w:p w14:paraId="112692E5" w14:textId="77777777" w:rsidR="003A0138" w:rsidRPr="003A0138" w:rsidRDefault="003A0138" w:rsidP="003A0138">
            <w:pPr>
              <w:spacing w:before="80" w:after="80" w:line="240" w:lineRule="auto"/>
              <w:jc w:val="center"/>
              <w:rPr>
                <w:rFonts w:cs="Calibri"/>
                <w:color w:val="000000"/>
                <w:sz w:val="20"/>
                <w:szCs w:val="20"/>
              </w:rPr>
            </w:pPr>
            <w:r w:rsidRPr="003A0138">
              <w:rPr>
                <w:rFonts w:cs="Calibri"/>
                <w:color w:val="000000"/>
                <w:sz w:val="20"/>
                <w:szCs w:val="20"/>
              </w:rPr>
              <w:t>—</w:t>
            </w:r>
          </w:p>
          <w:p w14:paraId="0FDE273F" w14:textId="77777777" w:rsidR="003A0138" w:rsidRPr="003A0138" w:rsidRDefault="003A0138" w:rsidP="003A0138">
            <w:pPr>
              <w:spacing w:before="80" w:after="80" w:line="240" w:lineRule="auto"/>
              <w:jc w:val="center"/>
              <w:rPr>
                <w:rFonts w:cs="Calibri"/>
                <w:color w:val="000000"/>
                <w:sz w:val="20"/>
                <w:szCs w:val="20"/>
              </w:rPr>
            </w:pPr>
            <w:r w:rsidRPr="003A0138">
              <w:rPr>
                <w:rFonts w:cs="Calibri"/>
                <w:color w:val="000000"/>
                <w:sz w:val="20"/>
                <w:szCs w:val="20"/>
              </w:rPr>
              <w:t>—</w:t>
            </w:r>
          </w:p>
          <w:p w14:paraId="58945D5F" w14:textId="77777777" w:rsidR="003A0138" w:rsidRPr="003A0138" w:rsidRDefault="003A0138" w:rsidP="003A0138">
            <w:pPr>
              <w:spacing w:before="80" w:after="80" w:line="240" w:lineRule="auto"/>
              <w:jc w:val="center"/>
              <w:rPr>
                <w:rFonts w:cs="Calibri"/>
                <w:color w:val="000000"/>
                <w:sz w:val="20"/>
                <w:szCs w:val="20"/>
              </w:rPr>
            </w:pPr>
            <w:r w:rsidRPr="003A0138">
              <w:rPr>
                <w:rFonts w:cs="Calibri"/>
                <w:color w:val="000000"/>
                <w:sz w:val="20"/>
                <w:szCs w:val="20"/>
              </w:rPr>
              <w:t>—</w:t>
            </w:r>
          </w:p>
        </w:tc>
      </w:tr>
    </w:tbl>
    <w:p w14:paraId="75B0DF72" w14:textId="77777777" w:rsidR="003A0138" w:rsidRPr="003A0138" w:rsidRDefault="003A0138" w:rsidP="003A0138">
      <w:pPr>
        <w:spacing w:before="240" w:line="240" w:lineRule="auto"/>
        <w:contextualSpacing/>
        <w:jc w:val="center"/>
        <w:rPr>
          <w:rFonts w:eastAsiaTheme="majorEastAsia" w:cstheme="majorBidi"/>
          <w:b/>
          <w:spacing w:val="-10"/>
          <w:kern w:val="28"/>
          <w:szCs w:val="56"/>
        </w:rPr>
      </w:pPr>
    </w:p>
    <w:p w14:paraId="1D790656" w14:textId="77777777" w:rsidR="003A0138" w:rsidRPr="003A0138" w:rsidRDefault="003A0138" w:rsidP="003A0138">
      <w:pPr>
        <w:spacing w:before="240" w:line="240" w:lineRule="auto"/>
        <w:contextualSpacing/>
        <w:jc w:val="center"/>
        <w:rPr>
          <w:rFonts w:eastAsiaTheme="majorEastAsia" w:cstheme="majorBidi"/>
          <w:b/>
          <w:spacing w:val="-10"/>
          <w:kern w:val="28"/>
          <w:szCs w:val="56"/>
        </w:rPr>
      </w:pPr>
    </w:p>
    <w:p w14:paraId="46F4D6B3" w14:textId="77777777" w:rsidR="003A0138" w:rsidRPr="003A0138" w:rsidRDefault="003A0138" w:rsidP="003A0138">
      <w:pPr>
        <w:spacing w:before="240" w:line="240" w:lineRule="auto"/>
        <w:contextualSpacing/>
        <w:jc w:val="center"/>
        <w:rPr>
          <w:rFonts w:eastAsiaTheme="majorEastAsia" w:cstheme="majorBidi"/>
          <w:b/>
          <w:spacing w:val="-10"/>
          <w:kern w:val="28"/>
          <w:szCs w:val="56"/>
        </w:rPr>
      </w:pPr>
    </w:p>
    <w:p w14:paraId="39DD797A" w14:textId="77777777" w:rsidR="003A0138" w:rsidRPr="003A0138" w:rsidRDefault="003A0138" w:rsidP="003A0138">
      <w:pPr>
        <w:spacing w:before="240" w:line="240" w:lineRule="auto"/>
        <w:contextualSpacing/>
        <w:jc w:val="center"/>
        <w:rPr>
          <w:rFonts w:eastAsiaTheme="majorEastAsia" w:cstheme="majorBidi"/>
          <w:b/>
          <w:spacing w:val="-10"/>
          <w:kern w:val="28"/>
          <w:szCs w:val="56"/>
        </w:rPr>
      </w:pPr>
    </w:p>
    <w:p w14:paraId="6FCA8C3C" w14:textId="77777777" w:rsidR="003A0138" w:rsidRDefault="003A0138">
      <w:pPr>
        <w:jc w:val="left"/>
        <w:rPr>
          <w:b/>
        </w:rPr>
      </w:pPr>
      <w:bookmarkStart w:id="15" w:name="_Ref417379924"/>
      <w:r>
        <w:rPr>
          <w:b/>
        </w:rPr>
        <w:br w:type="page"/>
      </w:r>
    </w:p>
    <w:p w14:paraId="008A1F1B" w14:textId="2ECFAA71" w:rsidR="003A0138" w:rsidRPr="003A0138" w:rsidRDefault="003A0138" w:rsidP="003A0138">
      <w:pPr>
        <w:spacing w:line="276" w:lineRule="auto"/>
        <w:jc w:val="center"/>
        <w:rPr>
          <w:b/>
        </w:rPr>
      </w:pPr>
      <w:r w:rsidRPr="003A0138">
        <w:rPr>
          <w:b/>
        </w:rPr>
        <w:t xml:space="preserve">Table </w:t>
      </w:r>
      <w:r w:rsidRPr="003A0138">
        <w:rPr>
          <w:b/>
        </w:rPr>
        <w:fldChar w:fldCharType="begin"/>
      </w:r>
      <w:r w:rsidRPr="003A0138">
        <w:rPr>
          <w:b/>
        </w:rPr>
        <w:instrText xml:space="preserve"> SEQ Table \* ARABIC </w:instrText>
      </w:r>
      <w:r w:rsidRPr="003A0138">
        <w:rPr>
          <w:b/>
        </w:rPr>
        <w:fldChar w:fldCharType="separate"/>
      </w:r>
      <w:r w:rsidRPr="003A0138">
        <w:rPr>
          <w:b/>
          <w:noProof/>
        </w:rPr>
        <w:t>2</w:t>
      </w:r>
      <w:r w:rsidRPr="003A0138">
        <w:rPr>
          <w:b/>
        </w:rPr>
        <w:fldChar w:fldCharType="end"/>
      </w:r>
      <w:bookmarkEnd w:id="15"/>
      <w:r w:rsidRPr="003A0138">
        <w:rPr>
          <w:b/>
        </w:rPr>
        <w:t>: Non-Health Effects of Air Pollutants</w:t>
      </w:r>
    </w:p>
    <w:tbl>
      <w:tblPr>
        <w:tblStyle w:val="TableGrid"/>
        <w:tblW w:w="8323"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3825"/>
        <w:gridCol w:w="1122"/>
        <w:gridCol w:w="1126"/>
      </w:tblGrid>
      <w:tr w:rsidR="003A0138" w:rsidRPr="003A0138" w14:paraId="4F835F30" w14:textId="77777777" w:rsidTr="003A0138">
        <w:trPr>
          <w:jc w:val="center"/>
        </w:trPr>
        <w:tc>
          <w:tcPr>
            <w:tcW w:w="2250" w:type="dxa"/>
            <w:tcBorders>
              <w:top w:val="single" w:sz="12" w:space="0" w:color="auto"/>
              <w:bottom w:val="single" w:sz="12" w:space="0" w:color="auto"/>
            </w:tcBorders>
            <w:vAlign w:val="bottom"/>
          </w:tcPr>
          <w:p w14:paraId="4DD803DB" w14:textId="77777777" w:rsidR="003A0138" w:rsidRPr="003A0138" w:rsidRDefault="003A0138" w:rsidP="003A0138">
            <w:pPr>
              <w:spacing w:line="276" w:lineRule="auto"/>
              <w:jc w:val="center"/>
              <w:rPr>
                <w:rFonts w:cstheme="minorHAnsi"/>
                <w:b/>
                <w:sz w:val="20"/>
                <w:szCs w:val="20"/>
              </w:rPr>
            </w:pPr>
            <w:r w:rsidRPr="003A0138">
              <w:rPr>
                <w:rFonts w:cstheme="minorHAnsi"/>
                <w:b/>
                <w:sz w:val="20"/>
                <w:szCs w:val="20"/>
              </w:rPr>
              <w:t>Benefits Category</w:t>
            </w:r>
          </w:p>
        </w:tc>
        <w:tc>
          <w:tcPr>
            <w:tcW w:w="3825" w:type="dxa"/>
            <w:tcBorders>
              <w:top w:val="single" w:sz="12" w:space="0" w:color="auto"/>
              <w:bottom w:val="single" w:sz="12" w:space="0" w:color="auto"/>
            </w:tcBorders>
            <w:vAlign w:val="bottom"/>
          </w:tcPr>
          <w:p w14:paraId="7318D979" w14:textId="77777777" w:rsidR="003A0138" w:rsidRPr="003A0138" w:rsidRDefault="003A0138" w:rsidP="003A0138">
            <w:pPr>
              <w:spacing w:line="276" w:lineRule="auto"/>
              <w:jc w:val="center"/>
              <w:rPr>
                <w:rFonts w:cstheme="minorHAnsi"/>
                <w:b/>
                <w:sz w:val="20"/>
                <w:szCs w:val="20"/>
              </w:rPr>
            </w:pPr>
            <w:r w:rsidRPr="003A0138">
              <w:rPr>
                <w:rFonts w:cstheme="minorHAnsi"/>
                <w:b/>
                <w:sz w:val="20"/>
                <w:szCs w:val="20"/>
              </w:rPr>
              <w:t>Specific Effect</w:t>
            </w:r>
          </w:p>
        </w:tc>
        <w:tc>
          <w:tcPr>
            <w:tcW w:w="1122" w:type="dxa"/>
            <w:tcBorders>
              <w:top w:val="single" w:sz="12" w:space="0" w:color="auto"/>
              <w:bottom w:val="single" w:sz="12" w:space="0" w:color="auto"/>
            </w:tcBorders>
            <w:vAlign w:val="bottom"/>
          </w:tcPr>
          <w:p w14:paraId="1B5BF85C" w14:textId="77777777" w:rsidR="003A0138" w:rsidRPr="003A0138" w:rsidRDefault="003A0138" w:rsidP="003A0138">
            <w:pPr>
              <w:spacing w:line="276" w:lineRule="auto"/>
              <w:jc w:val="center"/>
              <w:rPr>
                <w:rFonts w:cstheme="minorHAnsi"/>
                <w:b/>
                <w:sz w:val="20"/>
                <w:szCs w:val="20"/>
              </w:rPr>
            </w:pPr>
            <w:r w:rsidRPr="003A0138">
              <w:rPr>
                <w:rFonts w:cstheme="minorHAnsi"/>
                <w:b/>
                <w:sz w:val="20"/>
                <w:szCs w:val="20"/>
              </w:rPr>
              <w:t>Effect Has Been Quantified</w:t>
            </w:r>
          </w:p>
        </w:tc>
        <w:tc>
          <w:tcPr>
            <w:tcW w:w="1126" w:type="dxa"/>
            <w:tcBorders>
              <w:top w:val="single" w:sz="12" w:space="0" w:color="auto"/>
              <w:bottom w:val="single" w:sz="12" w:space="0" w:color="auto"/>
            </w:tcBorders>
            <w:vAlign w:val="bottom"/>
          </w:tcPr>
          <w:p w14:paraId="3253AF93" w14:textId="77777777" w:rsidR="003A0138" w:rsidRPr="003A0138" w:rsidRDefault="003A0138" w:rsidP="003A0138">
            <w:pPr>
              <w:spacing w:line="276" w:lineRule="auto"/>
              <w:jc w:val="center"/>
              <w:rPr>
                <w:rFonts w:cstheme="minorHAnsi"/>
                <w:b/>
                <w:sz w:val="20"/>
                <w:szCs w:val="20"/>
              </w:rPr>
            </w:pPr>
            <w:r w:rsidRPr="003A0138">
              <w:rPr>
                <w:rFonts w:cstheme="minorHAnsi"/>
                <w:b/>
                <w:sz w:val="20"/>
                <w:szCs w:val="20"/>
              </w:rPr>
              <w:t>Effect Has Been Monetized</w:t>
            </w:r>
          </w:p>
        </w:tc>
      </w:tr>
      <w:tr w:rsidR="003A0138" w:rsidRPr="003A0138" w14:paraId="4B50A9B1" w14:textId="77777777" w:rsidTr="003A0138">
        <w:trPr>
          <w:jc w:val="center"/>
        </w:trPr>
        <w:tc>
          <w:tcPr>
            <w:tcW w:w="2250" w:type="dxa"/>
            <w:tcBorders>
              <w:top w:val="single" w:sz="12" w:space="0" w:color="auto"/>
              <w:bottom w:val="single" w:sz="4" w:space="0" w:color="auto"/>
            </w:tcBorders>
          </w:tcPr>
          <w:p w14:paraId="7DE78488" w14:textId="77777777" w:rsidR="003A0138" w:rsidRPr="003A0138" w:rsidRDefault="003A0138" w:rsidP="003A0138">
            <w:pPr>
              <w:spacing w:before="80" w:after="80" w:line="276" w:lineRule="auto"/>
              <w:jc w:val="left"/>
              <w:rPr>
                <w:rFonts w:cstheme="minorHAnsi"/>
                <w:sz w:val="20"/>
                <w:szCs w:val="20"/>
              </w:rPr>
            </w:pPr>
            <w:r w:rsidRPr="003A0138">
              <w:rPr>
                <w:rFonts w:cstheme="minorHAnsi"/>
                <w:sz w:val="20"/>
                <w:szCs w:val="20"/>
              </w:rPr>
              <w:t>PM2.5 atmospheric effects</w:t>
            </w:r>
          </w:p>
        </w:tc>
        <w:tc>
          <w:tcPr>
            <w:tcW w:w="3825" w:type="dxa"/>
            <w:tcBorders>
              <w:top w:val="single" w:sz="12" w:space="0" w:color="auto"/>
              <w:bottom w:val="single" w:sz="4" w:space="0" w:color="auto"/>
            </w:tcBorders>
            <w:vAlign w:val="center"/>
          </w:tcPr>
          <w:p w14:paraId="35D45C47" w14:textId="77777777" w:rsidR="003A0138" w:rsidRPr="003A0138" w:rsidRDefault="003A0138" w:rsidP="003A0138">
            <w:pPr>
              <w:spacing w:before="80" w:after="80" w:line="276" w:lineRule="auto"/>
              <w:jc w:val="left"/>
              <w:rPr>
                <w:rFonts w:cstheme="minorHAnsi"/>
                <w:sz w:val="20"/>
                <w:szCs w:val="20"/>
              </w:rPr>
            </w:pPr>
            <w:r w:rsidRPr="003A0138">
              <w:rPr>
                <w:rFonts w:cstheme="minorHAnsi"/>
                <w:sz w:val="20"/>
                <w:szCs w:val="20"/>
              </w:rPr>
              <w:t>Visibility impairment (includes effects from NOx and SOx on nitrate and sulfate PM)</w:t>
            </w:r>
          </w:p>
        </w:tc>
        <w:tc>
          <w:tcPr>
            <w:tcW w:w="1122" w:type="dxa"/>
            <w:tcBorders>
              <w:top w:val="single" w:sz="12" w:space="0" w:color="auto"/>
              <w:bottom w:val="single" w:sz="4" w:space="0" w:color="auto"/>
            </w:tcBorders>
            <w:vAlign w:val="center"/>
          </w:tcPr>
          <w:p w14:paraId="2EE4E7D6" w14:textId="77777777" w:rsidR="003A0138" w:rsidRPr="003A0138" w:rsidRDefault="003A0138" w:rsidP="003A0138">
            <w:pPr>
              <w:spacing w:line="276" w:lineRule="auto"/>
              <w:jc w:val="center"/>
              <w:rPr>
                <w:rFonts w:cstheme="minorHAnsi"/>
                <w:sz w:val="20"/>
                <w:szCs w:val="20"/>
              </w:rPr>
            </w:pPr>
            <w:r w:rsidRPr="003A0138">
              <w:rPr>
                <w:rFonts w:cs="Calibri"/>
                <w:b/>
                <w:bCs/>
                <w:color w:val="FF0000"/>
                <w:sz w:val="20"/>
                <w:szCs w:val="20"/>
              </w:rPr>
              <w:sym w:font="Wingdings" w:char="F0FC"/>
            </w:r>
          </w:p>
        </w:tc>
        <w:tc>
          <w:tcPr>
            <w:tcW w:w="1126" w:type="dxa"/>
            <w:tcBorders>
              <w:top w:val="single" w:sz="12" w:space="0" w:color="auto"/>
              <w:bottom w:val="single" w:sz="4" w:space="0" w:color="auto"/>
            </w:tcBorders>
            <w:vAlign w:val="center"/>
          </w:tcPr>
          <w:p w14:paraId="1E9EC0A1" w14:textId="77777777" w:rsidR="003A0138" w:rsidRPr="003A0138" w:rsidRDefault="003A0138" w:rsidP="003A0138">
            <w:pPr>
              <w:spacing w:line="276" w:lineRule="auto"/>
              <w:jc w:val="center"/>
              <w:rPr>
                <w:rFonts w:cstheme="minorHAnsi"/>
                <w:sz w:val="20"/>
                <w:szCs w:val="20"/>
              </w:rPr>
            </w:pPr>
            <w:r w:rsidRPr="003A0138">
              <w:rPr>
                <w:rFonts w:cs="Calibri"/>
                <w:b/>
                <w:bCs/>
                <w:color w:val="FF0000"/>
                <w:sz w:val="20"/>
                <w:szCs w:val="20"/>
              </w:rPr>
              <w:sym w:font="Wingdings" w:char="F0FC"/>
            </w:r>
          </w:p>
        </w:tc>
      </w:tr>
      <w:tr w:rsidR="003A0138" w:rsidRPr="003A0138" w14:paraId="7E9E896D" w14:textId="77777777" w:rsidTr="003A0138">
        <w:trPr>
          <w:jc w:val="center"/>
        </w:trPr>
        <w:tc>
          <w:tcPr>
            <w:tcW w:w="2250" w:type="dxa"/>
            <w:vMerge w:val="restart"/>
            <w:tcBorders>
              <w:top w:val="single" w:sz="4" w:space="0" w:color="auto"/>
              <w:bottom w:val="nil"/>
            </w:tcBorders>
          </w:tcPr>
          <w:p w14:paraId="708AD6E5" w14:textId="77777777" w:rsidR="003A0138" w:rsidRPr="003A0138" w:rsidRDefault="003A0138" w:rsidP="003A0138">
            <w:pPr>
              <w:spacing w:before="80" w:after="80" w:line="276" w:lineRule="auto"/>
              <w:jc w:val="left"/>
              <w:rPr>
                <w:rFonts w:cstheme="minorHAnsi"/>
                <w:sz w:val="20"/>
                <w:szCs w:val="20"/>
              </w:rPr>
            </w:pPr>
            <w:r w:rsidRPr="003A0138">
              <w:rPr>
                <w:rFonts w:cstheme="minorHAnsi"/>
                <w:sz w:val="20"/>
                <w:szCs w:val="20"/>
              </w:rPr>
              <w:t>PM2.5 atmospheric and deposition effects</w:t>
            </w:r>
          </w:p>
        </w:tc>
        <w:tc>
          <w:tcPr>
            <w:tcW w:w="3825" w:type="dxa"/>
            <w:tcBorders>
              <w:top w:val="single" w:sz="4" w:space="0" w:color="auto"/>
              <w:bottom w:val="nil"/>
            </w:tcBorders>
            <w:vAlign w:val="center"/>
          </w:tcPr>
          <w:p w14:paraId="1963091A" w14:textId="77777777" w:rsidR="003A0138" w:rsidRPr="003A0138" w:rsidRDefault="003A0138" w:rsidP="003A0138">
            <w:pPr>
              <w:spacing w:before="80" w:after="80" w:line="276" w:lineRule="auto"/>
              <w:jc w:val="left"/>
              <w:rPr>
                <w:rFonts w:cstheme="minorHAnsi"/>
                <w:sz w:val="20"/>
                <w:szCs w:val="20"/>
              </w:rPr>
            </w:pPr>
            <w:r w:rsidRPr="003A0138">
              <w:rPr>
                <w:rFonts w:cstheme="minorHAnsi"/>
                <w:sz w:val="20"/>
                <w:szCs w:val="20"/>
              </w:rPr>
              <w:t>Materials damage</w:t>
            </w:r>
          </w:p>
        </w:tc>
        <w:tc>
          <w:tcPr>
            <w:tcW w:w="1122" w:type="dxa"/>
            <w:tcBorders>
              <w:top w:val="single" w:sz="4" w:space="0" w:color="auto"/>
              <w:bottom w:val="nil"/>
            </w:tcBorders>
            <w:vAlign w:val="center"/>
          </w:tcPr>
          <w:p w14:paraId="0760F24E" w14:textId="77777777" w:rsidR="003A0138" w:rsidRPr="003A0138" w:rsidRDefault="003A0138" w:rsidP="003A0138">
            <w:pPr>
              <w:spacing w:line="276" w:lineRule="auto"/>
              <w:jc w:val="center"/>
              <w:rPr>
                <w:rFonts w:cstheme="minorHAnsi"/>
                <w:sz w:val="20"/>
                <w:szCs w:val="20"/>
              </w:rPr>
            </w:pPr>
            <w:r w:rsidRPr="003A0138">
              <w:rPr>
                <w:rFonts w:cs="Calibri"/>
                <w:b/>
                <w:bCs/>
                <w:color w:val="FF0000"/>
                <w:sz w:val="20"/>
                <w:szCs w:val="20"/>
              </w:rPr>
              <w:sym w:font="Wingdings" w:char="F0FC"/>
            </w:r>
          </w:p>
        </w:tc>
        <w:tc>
          <w:tcPr>
            <w:tcW w:w="1126" w:type="dxa"/>
            <w:tcBorders>
              <w:top w:val="single" w:sz="4" w:space="0" w:color="auto"/>
              <w:bottom w:val="nil"/>
            </w:tcBorders>
            <w:vAlign w:val="center"/>
          </w:tcPr>
          <w:p w14:paraId="2D3C553B" w14:textId="77777777" w:rsidR="003A0138" w:rsidRPr="003A0138" w:rsidRDefault="003A0138" w:rsidP="003A0138">
            <w:pPr>
              <w:spacing w:line="276" w:lineRule="auto"/>
              <w:jc w:val="center"/>
              <w:rPr>
                <w:rFonts w:cstheme="minorHAnsi"/>
                <w:sz w:val="20"/>
                <w:szCs w:val="20"/>
              </w:rPr>
            </w:pPr>
            <w:r w:rsidRPr="003A0138">
              <w:rPr>
                <w:rFonts w:cs="Calibri"/>
                <w:b/>
                <w:bCs/>
                <w:color w:val="FF0000"/>
                <w:sz w:val="20"/>
                <w:szCs w:val="20"/>
              </w:rPr>
              <w:sym w:font="Wingdings" w:char="F0FC"/>
            </w:r>
          </w:p>
        </w:tc>
      </w:tr>
      <w:tr w:rsidR="003A0138" w:rsidRPr="003A0138" w14:paraId="5C0BB097" w14:textId="77777777" w:rsidTr="003A0138">
        <w:trPr>
          <w:jc w:val="center"/>
        </w:trPr>
        <w:tc>
          <w:tcPr>
            <w:tcW w:w="2250" w:type="dxa"/>
            <w:vMerge/>
            <w:tcBorders>
              <w:top w:val="nil"/>
              <w:bottom w:val="nil"/>
            </w:tcBorders>
          </w:tcPr>
          <w:p w14:paraId="230B285D" w14:textId="77777777" w:rsidR="003A0138" w:rsidRPr="003A0138" w:rsidRDefault="003A0138" w:rsidP="003A0138">
            <w:pPr>
              <w:spacing w:before="80" w:after="80" w:line="276" w:lineRule="auto"/>
              <w:jc w:val="left"/>
              <w:rPr>
                <w:rFonts w:cstheme="minorHAnsi"/>
                <w:sz w:val="20"/>
                <w:szCs w:val="20"/>
              </w:rPr>
            </w:pPr>
          </w:p>
        </w:tc>
        <w:tc>
          <w:tcPr>
            <w:tcW w:w="3825" w:type="dxa"/>
            <w:tcBorders>
              <w:top w:val="nil"/>
              <w:bottom w:val="nil"/>
            </w:tcBorders>
            <w:vAlign w:val="center"/>
          </w:tcPr>
          <w:p w14:paraId="7E1844BC" w14:textId="77777777" w:rsidR="003A0138" w:rsidRPr="003A0138" w:rsidRDefault="003A0138" w:rsidP="003A0138">
            <w:pPr>
              <w:spacing w:before="80" w:after="80" w:line="276" w:lineRule="auto"/>
              <w:jc w:val="left"/>
              <w:rPr>
                <w:rFonts w:cstheme="minorHAnsi"/>
                <w:sz w:val="20"/>
                <w:szCs w:val="20"/>
              </w:rPr>
            </w:pPr>
            <w:r w:rsidRPr="003A0138">
              <w:rPr>
                <w:rFonts w:cstheme="minorHAnsi"/>
                <w:sz w:val="20"/>
                <w:szCs w:val="20"/>
              </w:rPr>
              <w:t xml:space="preserve">Climate </w:t>
            </w:r>
          </w:p>
        </w:tc>
        <w:tc>
          <w:tcPr>
            <w:tcW w:w="1122" w:type="dxa"/>
            <w:tcBorders>
              <w:top w:val="nil"/>
              <w:bottom w:val="nil"/>
            </w:tcBorders>
            <w:vAlign w:val="center"/>
          </w:tcPr>
          <w:p w14:paraId="0411CF0B" w14:textId="77777777" w:rsidR="003A0138" w:rsidRPr="003A0138" w:rsidRDefault="003A0138" w:rsidP="003A0138">
            <w:pPr>
              <w:spacing w:before="80" w:after="80" w:line="276" w:lineRule="auto"/>
              <w:jc w:val="center"/>
              <w:rPr>
                <w:rFonts w:cs="Calibri"/>
                <w:color w:val="000000"/>
                <w:sz w:val="20"/>
                <w:szCs w:val="20"/>
              </w:rPr>
            </w:pPr>
            <w:r w:rsidRPr="003A0138">
              <w:rPr>
                <w:rFonts w:cs="Calibri"/>
                <w:color w:val="000000"/>
                <w:sz w:val="20"/>
                <w:szCs w:val="20"/>
              </w:rPr>
              <w:t>—</w:t>
            </w:r>
          </w:p>
        </w:tc>
        <w:tc>
          <w:tcPr>
            <w:tcW w:w="1126" w:type="dxa"/>
            <w:tcBorders>
              <w:top w:val="nil"/>
              <w:bottom w:val="nil"/>
            </w:tcBorders>
            <w:vAlign w:val="center"/>
          </w:tcPr>
          <w:p w14:paraId="3A409E75" w14:textId="77777777" w:rsidR="003A0138" w:rsidRPr="003A0138" w:rsidRDefault="003A0138" w:rsidP="003A0138">
            <w:pPr>
              <w:spacing w:before="80" w:after="80" w:line="276" w:lineRule="auto"/>
              <w:jc w:val="center"/>
              <w:rPr>
                <w:rFonts w:cs="Calibri"/>
                <w:color w:val="000000"/>
                <w:sz w:val="20"/>
                <w:szCs w:val="20"/>
              </w:rPr>
            </w:pPr>
            <w:r w:rsidRPr="003A0138">
              <w:rPr>
                <w:rFonts w:cs="Calibri"/>
                <w:color w:val="000000"/>
                <w:sz w:val="20"/>
                <w:szCs w:val="20"/>
              </w:rPr>
              <w:t>—</w:t>
            </w:r>
          </w:p>
        </w:tc>
      </w:tr>
      <w:tr w:rsidR="003A0138" w:rsidRPr="003A0138" w14:paraId="18971502" w14:textId="77777777" w:rsidTr="003A0138">
        <w:trPr>
          <w:jc w:val="center"/>
        </w:trPr>
        <w:tc>
          <w:tcPr>
            <w:tcW w:w="2250" w:type="dxa"/>
            <w:tcBorders>
              <w:top w:val="nil"/>
              <w:bottom w:val="single" w:sz="4" w:space="0" w:color="auto"/>
            </w:tcBorders>
          </w:tcPr>
          <w:p w14:paraId="478272A3" w14:textId="77777777" w:rsidR="003A0138" w:rsidRPr="003A0138" w:rsidRDefault="003A0138" w:rsidP="003A0138">
            <w:pPr>
              <w:spacing w:before="80" w:after="80" w:line="276" w:lineRule="auto"/>
              <w:jc w:val="left"/>
              <w:rPr>
                <w:rFonts w:cstheme="minorHAnsi"/>
                <w:sz w:val="20"/>
                <w:szCs w:val="20"/>
              </w:rPr>
            </w:pPr>
          </w:p>
        </w:tc>
        <w:tc>
          <w:tcPr>
            <w:tcW w:w="3825" w:type="dxa"/>
            <w:tcBorders>
              <w:top w:val="nil"/>
              <w:bottom w:val="single" w:sz="4" w:space="0" w:color="auto"/>
            </w:tcBorders>
            <w:vAlign w:val="center"/>
          </w:tcPr>
          <w:p w14:paraId="7274B2A0" w14:textId="77777777" w:rsidR="003A0138" w:rsidRPr="003A0138" w:rsidRDefault="003A0138" w:rsidP="003A0138">
            <w:pPr>
              <w:spacing w:before="80" w:after="80" w:line="276" w:lineRule="auto"/>
              <w:jc w:val="left"/>
              <w:rPr>
                <w:rFonts w:cstheme="minorHAnsi"/>
                <w:sz w:val="20"/>
                <w:szCs w:val="20"/>
              </w:rPr>
            </w:pPr>
            <w:r w:rsidRPr="003A0138">
              <w:rPr>
                <w:rFonts w:cstheme="minorHAnsi"/>
                <w:sz w:val="20"/>
                <w:szCs w:val="20"/>
              </w:rPr>
              <w:t>Ecosystem effects (organics and metals)</w:t>
            </w:r>
          </w:p>
        </w:tc>
        <w:tc>
          <w:tcPr>
            <w:tcW w:w="1122" w:type="dxa"/>
            <w:tcBorders>
              <w:top w:val="nil"/>
              <w:bottom w:val="single" w:sz="4" w:space="0" w:color="auto"/>
            </w:tcBorders>
            <w:vAlign w:val="center"/>
          </w:tcPr>
          <w:p w14:paraId="01F5950C" w14:textId="77777777" w:rsidR="003A0138" w:rsidRPr="003A0138" w:rsidRDefault="003A0138" w:rsidP="003A0138">
            <w:pPr>
              <w:spacing w:before="80" w:after="80" w:line="276" w:lineRule="auto"/>
              <w:jc w:val="center"/>
              <w:rPr>
                <w:rFonts w:cs="Calibri"/>
                <w:color w:val="000000"/>
                <w:sz w:val="20"/>
                <w:szCs w:val="20"/>
              </w:rPr>
            </w:pPr>
            <w:r w:rsidRPr="003A0138">
              <w:rPr>
                <w:rFonts w:cs="Calibri"/>
                <w:color w:val="000000"/>
                <w:sz w:val="20"/>
                <w:szCs w:val="20"/>
              </w:rPr>
              <w:t>—</w:t>
            </w:r>
          </w:p>
        </w:tc>
        <w:tc>
          <w:tcPr>
            <w:tcW w:w="1126" w:type="dxa"/>
            <w:tcBorders>
              <w:top w:val="nil"/>
              <w:bottom w:val="single" w:sz="4" w:space="0" w:color="auto"/>
            </w:tcBorders>
            <w:vAlign w:val="center"/>
          </w:tcPr>
          <w:p w14:paraId="456396A5" w14:textId="77777777" w:rsidR="003A0138" w:rsidRPr="003A0138" w:rsidRDefault="003A0138" w:rsidP="003A0138">
            <w:pPr>
              <w:spacing w:before="80" w:after="80" w:line="276" w:lineRule="auto"/>
              <w:jc w:val="center"/>
              <w:rPr>
                <w:rFonts w:cs="Calibri"/>
                <w:color w:val="000000"/>
                <w:sz w:val="20"/>
                <w:szCs w:val="20"/>
              </w:rPr>
            </w:pPr>
            <w:r w:rsidRPr="003A0138">
              <w:rPr>
                <w:rFonts w:cs="Calibri"/>
                <w:color w:val="000000"/>
                <w:sz w:val="20"/>
                <w:szCs w:val="20"/>
              </w:rPr>
              <w:t>—</w:t>
            </w:r>
          </w:p>
        </w:tc>
      </w:tr>
      <w:tr w:rsidR="003A0138" w:rsidRPr="003A0138" w14:paraId="7A8C384F" w14:textId="77777777" w:rsidTr="003A0138">
        <w:trPr>
          <w:jc w:val="center"/>
        </w:trPr>
        <w:tc>
          <w:tcPr>
            <w:tcW w:w="2250" w:type="dxa"/>
            <w:tcBorders>
              <w:top w:val="single" w:sz="4" w:space="0" w:color="auto"/>
              <w:bottom w:val="single" w:sz="4" w:space="0" w:color="auto"/>
            </w:tcBorders>
          </w:tcPr>
          <w:p w14:paraId="770DA8C4" w14:textId="77777777" w:rsidR="003A0138" w:rsidRPr="003A0138" w:rsidRDefault="003A0138" w:rsidP="003A0138">
            <w:pPr>
              <w:spacing w:before="80" w:after="80" w:line="276" w:lineRule="auto"/>
              <w:jc w:val="left"/>
              <w:rPr>
                <w:rFonts w:cstheme="minorHAnsi"/>
                <w:sz w:val="20"/>
                <w:szCs w:val="20"/>
              </w:rPr>
            </w:pPr>
            <w:r w:rsidRPr="003A0138">
              <w:rPr>
                <w:rFonts w:cstheme="minorHAnsi"/>
                <w:sz w:val="20"/>
                <w:szCs w:val="20"/>
              </w:rPr>
              <w:t>NOx atmospheric effects</w:t>
            </w:r>
          </w:p>
        </w:tc>
        <w:tc>
          <w:tcPr>
            <w:tcW w:w="3825" w:type="dxa"/>
            <w:tcBorders>
              <w:top w:val="single" w:sz="4" w:space="0" w:color="auto"/>
              <w:bottom w:val="single" w:sz="4" w:space="0" w:color="auto"/>
            </w:tcBorders>
            <w:vAlign w:val="center"/>
          </w:tcPr>
          <w:p w14:paraId="62106C80" w14:textId="77777777" w:rsidR="003A0138" w:rsidRPr="003A0138" w:rsidRDefault="003A0138" w:rsidP="003A0138">
            <w:pPr>
              <w:spacing w:before="80" w:after="80" w:line="276" w:lineRule="auto"/>
              <w:jc w:val="left"/>
              <w:rPr>
                <w:rFonts w:cstheme="minorHAnsi"/>
                <w:sz w:val="20"/>
                <w:szCs w:val="20"/>
              </w:rPr>
            </w:pPr>
            <w:r w:rsidRPr="003A0138">
              <w:rPr>
                <w:rFonts w:cstheme="minorHAnsi"/>
                <w:sz w:val="20"/>
                <w:szCs w:val="20"/>
              </w:rPr>
              <w:t>Vegetation injury (through ozone)</w:t>
            </w:r>
          </w:p>
        </w:tc>
        <w:tc>
          <w:tcPr>
            <w:tcW w:w="1122" w:type="dxa"/>
            <w:tcBorders>
              <w:top w:val="single" w:sz="4" w:space="0" w:color="auto"/>
              <w:bottom w:val="single" w:sz="4" w:space="0" w:color="auto"/>
            </w:tcBorders>
            <w:vAlign w:val="center"/>
          </w:tcPr>
          <w:p w14:paraId="2B1F49BC" w14:textId="77777777" w:rsidR="003A0138" w:rsidRPr="003A0138" w:rsidRDefault="003A0138" w:rsidP="003A0138">
            <w:pPr>
              <w:spacing w:line="276" w:lineRule="auto"/>
              <w:jc w:val="center"/>
              <w:rPr>
                <w:rFonts w:cstheme="minorHAnsi"/>
                <w:sz w:val="20"/>
                <w:szCs w:val="20"/>
              </w:rPr>
            </w:pPr>
            <w:r w:rsidRPr="003A0138">
              <w:rPr>
                <w:rFonts w:cs="Calibri"/>
                <w:b/>
                <w:bCs/>
                <w:color w:val="FF0000"/>
                <w:sz w:val="20"/>
                <w:szCs w:val="20"/>
              </w:rPr>
              <w:sym w:font="Wingdings" w:char="F0FC"/>
            </w:r>
          </w:p>
        </w:tc>
        <w:tc>
          <w:tcPr>
            <w:tcW w:w="1126" w:type="dxa"/>
            <w:tcBorders>
              <w:top w:val="single" w:sz="4" w:space="0" w:color="auto"/>
              <w:bottom w:val="single" w:sz="4" w:space="0" w:color="auto"/>
            </w:tcBorders>
            <w:vAlign w:val="center"/>
          </w:tcPr>
          <w:p w14:paraId="6A5C85F7" w14:textId="77777777" w:rsidR="003A0138" w:rsidRPr="003A0138" w:rsidRDefault="003A0138" w:rsidP="003A0138">
            <w:pPr>
              <w:spacing w:line="276" w:lineRule="auto"/>
              <w:jc w:val="center"/>
              <w:rPr>
                <w:rFonts w:cstheme="minorHAnsi"/>
                <w:sz w:val="20"/>
                <w:szCs w:val="20"/>
              </w:rPr>
            </w:pPr>
            <w:r w:rsidRPr="003A0138">
              <w:rPr>
                <w:rFonts w:cs="Calibri"/>
                <w:b/>
                <w:bCs/>
                <w:color w:val="FF0000"/>
                <w:sz w:val="20"/>
                <w:szCs w:val="20"/>
              </w:rPr>
              <w:sym w:font="Wingdings" w:char="F0FC"/>
            </w:r>
          </w:p>
        </w:tc>
      </w:tr>
      <w:tr w:rsidR="003A0138" w:rsidRPr="003A0138" w14:paraId="2EC6ADE6" w14:textId="77777777" w:rsidTr="003A0138">
        <w:trPr>
          <w:jc w:val="center"/>
        </w:trPr>
        <w:tc>
          <w:tcPr>
            <w:tcW w:w="2250" w:type="dxa"/>
            <w:vMerge w:val="restart"/>
            <w:tcBorders>
              <w:top w:val="single" w:sz="4" w:space="0" w:color="auto"/>
              <w:bottom w:val="nil"/>
            </w:tcBorders>
          </w:tcPr>
          <w:p w14:paraId="705917E5" w14:textId="77777777" w:rsidR="003A0138" w:rsidRPr="003A0138" w:rsidRDefault="003A0138" w:rsidP="003A0138">
            <w:pPr>
              <w:spacing w:before="80" w:after="80" w:line="276" w:lineRule="auto"/>
              <w:jc w:val="left"/>
              <w:rPr>
                <w:rFonts w:cstheme="minorHAnsi"/>
                <w:sz w:val="20"/>
                <w:szCs w:val="20"/>
              </w:rPr>
            </w:pPr>
            <w:r w:rsidRPr="003A0138">
              <w:rPr>
                <w:rFonts w:cstheme="minorHAnsi"/>
                <w:sz w:val="20"/>
                <w:szCs w:val="20"/>
              </w:rPr>
              <w:t>NOx atmospheric and deposition effects</w:t>
            </w:r>
          </w:p>
        </w:tc>
        <w:tc>
          <w:tcPr>
            <w:tcW w:w="3825" w:type="dxa"/>
            <w:tcBorders>
              <w:top w:val="single" w:sz="4" w:space="0" w:color="auto"/>
              <w:bottom w:val="nil"/>
            </w:tcBorders>
            <w:vAlign w:val="center"/>
          </w:tcPr>
          <w:p w14:paraId="24F6AD4B" w14:textId="77777777" w:rsidR="003A0138" w:rsidRPr="003A0138" w:rsidRDefault="003A0138" w:rsidP="003A0138">
            <w:pPr>
              <w:spacing w:before="80" w:after="80" w:line="276" w:lineRule="auto"/>
              <w:jc w:val="left"/>
              <w:rPr>
                <w:rFonts w:cstheme="minorHAnsi"/>
                <w:sz w:val="20"/>
                <w:szCs w:val="20"/>
              </w:rPr>
            </w:pPr>
            <w:r w:rsidRPr="003A0138">
              <w:rPr>
                <w:rFonts w:cstheme="minorHAnsi"/>
                <w:sz w:val="20"/>
                <w:szCs w:val="20"/>
              </w:rPr>
              <w:t>Materials damage</w:t>
            </w:r>
          </w:p>
        </w:tc>
        <w:tc>
          <w:tcPr>
            <w:tcW w:w="1122" w:type="dxa"/>
            <w:tcBorders>
              <w:top w:val="single" w:sz="4" w:space="0" w:color="auto"/>
              <w:bottom w:val="nil"/>
            </w:tcBorders>
            <w:vAlign w:val="center"/>
          </w:tcPr>
          <w:p w14:paraId="2662EEE3" w14:textId="77777777" w:rsidR="003A0138" w:rsidRPr="003A0138" w:rsidRDefault="003A0138" w:rsidP="003A0138">
            <w:pPr>
              <w:spacing w:before="80" w:after="80" w:line="276" w:lineRule="auto"/>
              <w:jc w:val="center"/>
              <w:rPr>
                <w:rFonts w:cs="Calibri"/>
                <w:color w:val="000000"/>
                <w:sz w:val="20"/>
                <w:szCs w:val="20"/>
              </w:rPr>
            </w:pPr>
            <w:r w:rsidRPr="003A0138">
              <w:rPr>
                <w:rFonts w:cs="Calibri"/>
                <w:color w:val="000000"/>
                <w:sz w:val="20"/>
                <w:szCs w:val="20"/>
              </w:rPr>
              <w:t>—</w:t>
            </w:r>
          </w:p>
        </w:tc>
        <w:tc>
          <w:tcPr>
            <w:tcW w:w="1126" w:type="dxa"/>
            <w:tcBorders>
              <w:top w:val="single" w:sz="4" w:space="0" w:color="auto"/>
              <w:bottom w:val="nil"/>
            </w:tcBorders>
            <w:vAlign w:val="center"/>
          </w:tcPr>
          <w:p w14:paraId="3C734FBC" w14:textId="77777777" w:rsidR="003A0138" w:rsidRPr="003A0138" w:rsidRDefault="003A0138" w:rsidP="003A0138">
            <w:pPr>
              <w:spacing w:before="80" w:after="80" w:line="276" w:lineRule="auto"/>
              <w:jc w:val="center"/>
              <w:rPr>
                <w:rFonts w:cs="Calibri"/>
                <w:color w:val="000000"/>
                <w:sz w:val="20"/>
                <w:szCs w:val="20"/>
              </w:rPr>
            </w:pPr>
            <w:r w:rsidRPr="003A0138">
              <w:rPr>
                <w:rFonts w:cs="Calibri"/>
                <w:color w:val="000000"/>
                <w:sz w:val="20"/>
                <w:szCs w:val="20"/>
              </w:rPr>
              <w:t>—</w:t>
            </w:r>
          </w:p>
        </w:tc>
      </w:tr>
      <w:tr w:rsidR="003A0138" w:rsidRPr="003A0138" w14:paraId="682F9A2E" w14:textId="77777777" w:rsidTr="003A0138">
        <w:trPr>
          <w:jc w:val="center"/>
        </w:trPr>
        <w:tc>
          <w:tcPr>
            <w:tcW w:w="2250" w:type="dxa"/>
            <w:vMerge/>
            <w:tcBorders>
              <w:top w:val="nil"/>
              <w:bottom w:val="single" w:sz="4" w:space="0" w:color="auto"/>
            </w:tcBorders>
          </w:tcPr>
          <w:p w14:paraId="170A18CA" w14:textId="77777777" w:rsidR="003A0138" w:rsidRPr="003A0138" w:rsidRDefault="003A0138" w:rsidP="003A0138">
            <w:pPr>
              <w:spacing w:before="80" w:after="80" w:line="276" w:lineRule="auto"/>
              <w:jc w:val="left"/>
              <w:rPr>
                <w:rFonts w:cstheme="minorHAnsi"/>
                <w:sz w:val="20"/>
                <w:szCs w:val="20"/>
              </w:rPr>
            </w:pPr>
          </w:p>
        </w:tc>
        <w:tc>
          <w:tcPr>
            <w:tcW w:w="3825" w:type="dxa"/>
            <w:tcBorders>
              <w:top w:val="nil"/>
              <w:bottom w:val="single" w:sz="4" w:space="0" w:color="auto"/>
            </w:tcBorders>
            <w:vAlign w:val="center"/>
          </w:tcPr>
          <w:p w14:paraId="7965B4C0" w14:textId="77777777" w:rsidR="003A0138" w:rsidRPr="003A0138" w:rsidRDefault="003A0138" w:rsidP="003A0138">
            <w:pPr>
              <w:spacing w:before="80" w:after="80" w:line="276" w:lineRule="auto"/>
              <w:jc w:val="left"/>
              <w:rPr>
                <w:rFonts w:cstheme="minorHAnsi"/>
                <w:sz w:val="20"/>
                <w:szCs w:val="20"/>
              </w:rPr>
            </w:pPr>
            <w:r w:rsidRPr="003A0138">
              <w:rPr>
                <w:rFonts w:cstheme="minorHAnsi"/>
                <w:sz w:val="20"/>
                <w:szCs w:val="20"/>
              </w:rPr>
              <w:t>Climate</w:t>
            </w:r>
          </w:p>
        </w:tc>
        <w:tc>
          <w:tcPr>
            <w:tcW w:w="1122" w:type="dxa"/>
            <w:tcBorders>
              <w:top w:val="nil"/>
              <w:bottom w:val="single" w:sz="4" w:space="0" w:color="auto"/>
            </w:tcBorders>
            <w:vAlign w:val="center"/>
          </w:tcPr>
          <w:p w14:paraId="4DD432DE" w14:textId="77777777" w:rsidR="003A0138" w:rsidRPr="003A0138" w:rsidRDefault="003A0138" w:rsidP="003A0138">
            <w:pPr>
              <w:spacing w:before="80" w:after="80" w:line="276" w:lineRule="auto"/>
              <w:jc w:val="center"/>
              <w:rPr>
                <w:rFonts w:cs="Calibri"/>
                <w:color w:val="000000"/>
                <w:sz w:val="20"/>
                <w:szCs w:val="20"/>
              </w:rPr>
            </w:pPr>
            <w:r w:rsidRPr="003A0138">
              <w:rPr>
                <w:rFonts w:cs="Calibri"/>
                <w:color w:val="000000"/>
                <w:sz w:val="20"/>
                <w:szCs w:val="20"/>
              </w:rPr>
              <w:t>—</w:t>
            </w:r>
          </w:p>
        </w:tc>
        <w:tc>
          <w:tcPr>
            <w:tcW w:w="1126" w:type="dxa"/>
            <w:tcBorders>
              <w:top w:val="nil"/>
              <w:bottom w:val="single" w:sz="4" w:space="0" w:color="auto"/>
            </w:tcBorders>
            <w:vAlign w:val="center"/>
          </w:tcPr>
          <w:p w14:paraId="60B05812" w14:textId="77777777" w:rsidR="003A0138" w:rsidRPr="003A0138" w:rsidRDefault="003A0138" w:rsidP="003A0138">
            <w:pPr>
              <w:spacing w:before="80" w:after="80" w:line="276" w:lineRule="auto"/>
              <w:jc w:val="center"/>
              <w:rPr>
                <w:rFonts w:cs="Calibri"/>
                <w:color w:val="000000"/>
                <w:sz w:val="20"/>
                <w:szCs w:val="20"/>
              </w:rPr>
            </w:pPr>
            <w:r w:rsidRPr="003A0138">
              <w:rPr>
                <w:rFonts w:cs="Calibri"/>
                <w:color w:val="000000"/>
                <w:sz w:val="20"/>
                <w:szCs w:val="20"/>
              </w:rPr>
              <w:t>—</w:t>
            </w:r>
          </w:p>
        </w:tc>
      </w:tr>
      <w:tr w:rsidR="003A0138" w:rsidRPr="003A0138" w14:paraId="1DBCCC95" w14:textId="77777777" w:rsidTr="003A0138">
        <w:trPr>
          <w:jc w:val="center"/>
        </w:trPr>
        <w:tc>
          <w:tcPr>
            <w:tcW w:w="2250" w:type="dxa"/>
            <w:vMerge w:val="restart"/>
            <w:tcBorders>
              <w:top w:val="single" w:sz="4" w:space="0" w:color="auto"/>
              <w:bottom w:val="nil"/>
            </w:tcBorders>
          </w:tcPr>
          <w:p w14:paraId="053AC948" w14:textId="77777777" w:rsidR="003A0138" w:rsidRPr="003A0138" w:rsidRDefault="003A0138" w:rsidP="003A0138">
            <w:pPr>
              <w:spacing w:before="80" w:after="80" w:line="276" w:lineRule="auto"/>
              <w:jc w:val="left"/>
              <w:rPr>
                <w:rFonts w:cstheme="minorHAnsi"/>
                <w:sz w:val="20"/>
                <w:szCs w:val="20"/>
              </w:rPr>
            </w:pPr>
            <w:r w:rsidRPr="003A0138">
              <w:rPr>
                <w:rFonts w:cstheme="minorHAnsi"/>
                <w:sz w:val="20"/>
                <w:szCs w:val="20"/>
              </w:rPr>
              <w:t>NOx deposition effects (includes effects of deposition of particulate nitrate)</w:t>
            </w:r>
          </w:p>
        </w:tc>
        <w:tc>
          <w:tcPr>
            <w:tcW w:w="3825" w:type="dxa"/>
            <w:tcBorders>
              <w:top w:val="single" w:sz="4" w:space="0" w:color="auto"/>
              <w:bottom w:val="nil"/>
            </w:tcBorders>
            <w:vAlign w:val="center"/>
          </w:tcPr>
          <w:p w14:paraId="3B487838" w14:textId="77777777" w:rsidR="003A0138" w:rsidRPr="003A0138" w:rsidRDefault="003A0138" w:rsidP="003A0138">
            <w:pPr>
              <w:spacing w:before="80" w:after="80" w:line="276" w:lineRule="auto"/>
              <w:jc w:val="left"/>
              <w:rPr>
                <w:rFonts w:cstheme="minorHAnsi"/>
                <w:sz w:val="20"/>
                <w:szCs w:val="20"/>
              </w:rPr>
            </w:pPr>
            <w:r w:rsidRPr="003A0138">
              <w:rPr>
                <w:rFonts w:cstheme="minorHAnsi"/>
                <w:sz w:val="20"/>
                <w:szCs w:val="20"/>
              </w:rPr>
              <w:t>Acidification (terrestrial and aquatic) plus associated ecosystem effects</w:t>
            </w:r>
          </w:p>
        </w:tc>
        <w:tc>
          <w:tcPr>
            <w:tcW w:w="1122" w:type="dxa"/>
            <w:tcBorders>
              <w:top w:val="single" w:sz="4" w:space="0" w:color="auto"/>
              <w:bottom w:val="nil"/>
            </w:tcBorders>
            <w:vAlign w:val="center"/>
          </w:tcPr>
          <w:p w14:paraId="6638C47F" w14:textId="77777777" w:rsidR="003A0138" w:rsidRPr="003A0138" w:rsidRDefault="003A0138" w:rsidP="003A0138">
            <w:pPr>
              <w:spacing w:line="276" w:lineRule="auto"/>
              <w:jc w:val="center"/>
              <w:rPr>
                <w:rFonts w:cstheme="minorHAnsi"/>
                <w:sz w:val="20"/>
                <w:szCs w:val="20"/>
              </w:rPr>
            </w:pPr>
            <w:r w:rsidRPr="003A0138">
              <w:rPr>
                <w:rFonts w:cs="Calibri"/>
                <w:b/>
                <w:bCs/>
                <w:color w:val="FF0000"/>
                <w:sz w:val="20"/>
                <w:szCs w:val="20"/>
              </w:rPr>
              <w:sym w:font="Wingdings" w:char="F0FC"/>
            </w:r>
          </w:p>
        </w:tc>
        <w:tc>
          <w:tcPr>
            <w:tcW w:w="1126" w:type="dxa"/>
            <w:tcBorders>
              <w:top w:val="single" w:sz="4" w:space="0" w:color="auto"/>
              <w:bottom w:val="nil"/>
            </w:tcBorders>
            <w:vAlign w:val="center"/>
          </w:tcPr>
          <w:p w14:paraId="2AD73945" w14:textId="77777777" w:rsidR="003A0138" w:rsidRPr="003A0138" w:rsidRDefault="003A0138" w:rsidP="003A0138">
            <w:pPr>
              <w:spacing w:before="80" w:after="80" w:line="276" w:lineRule="auto"/>
              <w:jc w:val="center"/>
              <w:rPr>
                <w:rFonts w:cs="Calibri"/>
                <w:color w:val="000000"/>
                <w:sz w:val="20"/>
                <w:szCs w:val="20"/>
              </w:rPr>
            </w:pPr>
            <w:r w:rsidRPr="003A0138">
              <w:rPr>
                <w:rFonts w:cs="Calibri"/>
                <w:color w:val="000000"/>
                <w:sz w:val="20"/>
                <w:szCs w:val="20"/>
              </w:rPr>
              <w:t>—</w:t>
            </w:r>
          </w:p>
        </w:tc>
      </w:tr>
      <w:tr w:rsidR="003A0138" w:rsidRPr="003A0138" w14:paraId="2105404E" w14:textId="77777777" w:rsidTr="003A0138">
        <w:trPr>
          <w:jc w:val="center"/>
        </w:trPr>
        <w:tc>
          <w:tcPr>
            <w:tcW w:w="2250" w:type="dxa"/>
            <w:vMerge/>
            <w:tcBorders>
              <w:top w:val="nil"/>
              <w:bottom w:val="nil"/>
            </w:tcBorders>
          </w:tcPr>
          <w:p w14:paraId="6F0132AA" w14:textId="77777777" w:rsidR="003A0138" w:rsidRPr="003A0138" w:rsidRDefault="003A0138" w:rsidP="003A0138">
            <w:pPr>
              <w:spacing w:before="80" w:after="80" w:line="276" w:lineRule="auto"/>
              <w:jc w:val="left"/>
              <w:rPr>
                <w:rFonts w:cstheme="minorHAnsi"/>
                <w:sz w:val="20"/>
                <w:szCs w:val="20"/>
              </w:rPr>
            </w:pPr>
          </w:p>
        </w:tc>
        <w:tc>
          <w:tcPr>
            <w:tcW w:w="3825" w:type="dxa"/>
            <w:tcBorders>
              <w:top w:val="nil"/>
              <w:bottom w:val="nil"/>
            </w:tcBorders>
            <w:vAlign w:val="center"/>
          </w:tcPr>
          <w:p w14:paraId="1C0188FD" w14:textId="77777777" w:rsidR="003A0138" w:rsidRPr="003A0138" w:rsidRDefault="003A0138" w:rsidP="003A0138">
            <w:pPr>
              <w:spacing w:before="80" w:after="80" w:line="276" w:lineRule="auto"/>
              <w:jc w:val="left"/>
              <w:rPr>
                <w:rFonts w:cstheme="minorHAnsi"/>
                <w:sz w:val="20"/>
                <w:szCs w:val="20"/>
              </w:rPr>
            </w:pPr>
            <w:r w:rsidRPr="003A0138">
              <w:rPr>
                <w:rFonts w:cstheme="minorHAnsi"/>
                <w:sz w:val="20"/>
                <w:szCs w:val="20"/>
              </w:rPr>
              <w:t>Nitrogen enrichment (terrestrial and aquatic) plus associated ecosystem effects</w:t>
            </w:r>
          </w:p>
        </w:tc>
        <w:tc>
          <w:tcPr>
            <w:tcW w:w="1122" w:type="dxa"/>
            <w:tcBorders>
              <w:top w:val="nil"/>
              <w:bottom w:val="nil"/>
            </w:tcBorders>
            <w:vAlign w:val="center"/>
          </w:tcPr>
          <w:p w14:paraId="01F114AD" w14:textId="77777777" w:rsidR="003A0138" w:rsidRPr="003A0138" w:rsidRDefault="003A0138" w:rsidP="003A0138">
            <w:pPr>
              <w:spacing w:before="80" w:after="80" w:line="276" w:lineRule="auto"/>
              <w:jc w:val="center"/>
              <w:rPr>
                <w:rFonts w:cs="Calibri"/>
                <w:color w:val="000000"/>
                <w:sz w:val="20"/>
                <w:szCs w:val="20"/>
              </w:rPr>
            </w:pPr>
            <w:r w:rsidRPr="003A0138">
              <w:rPr>
                <w:rFonts w:cs="Calibri"/>
                <w:color w:val="000000"/>
                <w:sz w:val="20"/>
                <w:szCs w:val="20"/>
              </w:rPr>
              <w:t>—</w:t>
            </w:r>
          </w:p>
        </w:tc>
        <w:tc>
          <w:tcPr>
            <w:tcW w:w="1126" w:type="dxa"/>
            <w:tcBorders>
              <w:top w:val="nil"/>
              <w:bottom w:val="nil"/>
            </w:tcBorders>
            <w:vAlign w:val="center"/>
          </w:tcPr>
          <w:p w14:paraId="18B2DE42" w14:textId="77777777" w:rsidR="003A0138" w:rsidRPr="003A0138" w:rsidRDefault="003A0138" w:rsidP="003A0138">
            <w:pPr>
              <w:spacing w:before="80" w:after="80" w:line="276" w:lineRule="auto"/>
              <w:jc w:val="center"/>
              <w:rPr>
                <w:rFonts w:cs="Calibri"/>
                <w:color w:val="000000"/>
                <w:sz w:val="20"/>
                <w:szCs w:val="20"/>
              </w:rPr>
            </w:pPr>
            <w:r w:rsidRPr="003A0138">
              <w:rPr>
                <w:rFonts w:cs="Calibri"/>
                <w:color w:val="000000"/>
                <w:sz w:val="20"/>
                <w:szCs w:val="20"/>
              </w:rPr>
              <w:t>—</w:t>
            </w:r>
          </w:p>
        </w:tc>
      </w:tr>
      <w:tr w:rsidR="003A0138" w:rsidRPr="003A0138" w14:paraId="333F3E1F" w14:textId="77777777" w:rsidTr="003A0138">
        <w:trPr>
          <w:jc w:val="center"/>
        </w:trPr>
        <w:tc>
          <w:tcPr>
            <w:tcW w:w="2250" w:type="dxa"/>
            <w:tcBorders>
              <w:top w:val="nil"/>
              <w:bottom w:val="single" w:sz="4" w:space="0" w:color="auto"/>
            </w:tcBorders>
          </w:tcPr>
          <w:p w14:paraId="6180AEE6" w14:textId="77777777" w:rsidR="003A0138" w:rsidRPr="003A0138" w:rsidRDefault="003A0138" w:rsidP="003A0138">
            <w:pPr>
              <w:spacing w:before="80" w:after="80" w:line="276" w:lineRule="auto"/>
              <w:jc w:val="left"/>
              <w:rPr>
                <w:rFonts w:cstheme="minorHAnsi"/>
                <w:sz w:val="20"/>
                <w:szCs w:val="20"/>
              </w:rPr>
            </w:pPr>
          </w:p>
        </w:tc>
        <w:tc>
          <w:tcPr>
            <w:tcW w:w="3825" w:type="dxa"/>
            <w:tcBorders>
              <w:top w:val="nil"/>
              <w:bottom w:val="single" w:sz="4" w:space="0" w:color="auto"/>
            </w:tcBorders>
            <w:vAlign w:val="center"/>
          </w:tcPr>
          <w:p w14:paraId="20C2A119" w14:textId="77777777" w:rsidR="003A0138" w:rsidRPr="003A0138" w:rsidRDefault="003A0138" w:rsidP="003A0138">
            <w:pPr>
              <w:spacing w:before="80" w:after="80" w:line="276" w:lineRule="auto"/>
              <w:jc w:val="left"/>
              <w:rPr>
                <w:rFonts w:cstheme="minorHAnsi"/>
                <w:sz w:val="20"/>
                <w:szCs w:val="20"/>
              </w:rPr>
            </w:pPr>
            <w:r w:rsidRPr="003A0138">
              <w:rPr>
                <w:rFonts w:cstheme="minorHAnsi"/>
                <w:sz w:val="20"/>
                <w:szCs w:val="20"/>
              </w:rPr>
              <w:t>Secondary health effects (e.g. blue baby syndrome)</w:t>
            </w:r>
          </w:p>
        </w:tc>
        <w:tc>
          <w:tcPr>
            <w:tcW w:w="1122" w:type="dxa"/>
            <w:tcBorders>
              <w:top w:val="nil"/>
              <w:bottom w:val="single" w:sz="4" w:space="0" w:color="auto"/>
            </w:tcBorders>
            <w:vAlign w:val="center"/>
          </w:tcPr>
          <w:p w14:paraId="65AAF301" w14:textId="77777777" w:rsidR="003A0138" w:rsidRPr="003A0138" w:rsidRDefault="003A0138" w:rsidP="003A0138">
            <w:pPr>
              <w:spacing w:before="80" w:after="80" w:line="276" w:lineRule="auto"/>
              <w:jc w:val="center"/>
              <w:rPr>
                <w:rFonts w:cs="Calibri"/>
                <w:color w:val="000000"/>
                <w:sz w:val="20"/>
                <w:szCs w:val="20"/>
              </w:rPr>
            </w:pPr>
            <w:r w:rsidRPr="003A0138">
              <w:rPr>
                <w:rFonts w:cs="Calibri"/>
                <w:color w:val="000000"/>
                <w:sz w:val="20"/>
                <w:szCs w:val="20"/>
              </w:rPr>
              <w:t>—</w:t>
            </w:r>
          </w:p>
        </w:tc>
        <w:tc>
          <w:tcPr>
            <w:tcW w:w="1126" w:type="dxa"/>
            <w:tcBorders>
              <w:top w:val="nil"/>
              <w:bottom w:val="single" w:sz="4" w:space="0" w:color="auto"/>
            </w:tcBorders>
            <w:vAlign w:val="center"/>
          </w:tcPr>
          <w:p w14:paraId="6A394CAB" w14:textId="77777777" w:rsidR="003A0138" w:rsidRPr="003A0138" w:rsidRDefault="003A0138" w:rsidP="003A0138">
            <w:pPr>
              <w:spacing w:before="80" w:after="80" w:line="276" w:lineRule="auto"/>
              <w:jc w:val="center"/>
              <w:rPr>
                <w:rFonts w:cs="Calibri"/>
                <w:color w:val="000000"/>
                <w:sz w:val="20"/>
                <w:szCs w:val="20"/>
              </w:rPr>
            </w:pPr>
            <w:r w:rsidRPr="003A0138">
              <w:rPr>
                <w:rFonts w:cs="Calibri"/>
                <w:color w:val="000000"/>
                <w:sz w:val="20"/>
                <w:szCs w:val="20"/>
              </w:rPr>
              <w:t>—</w:t>
            </w:r>
          </w:p>
        </w:tc>
      </w:tr>
      <w:tr w:rsidR="003A0138" w:rsidRPr="003A0138" w14:paraId="1C34079A" w14:textId="77777777" w:rsidTr="003A0138">
        <w:trPr>
          <w:jc w:val="center"/>
        </w:trPr>
        <w:tc>
          <w:tcPr>
            <w:tcW w:w="2250" w:type="dxa"/>
            <w:tcBorders>
              <w:top w:val="single" w:sz="4" w:space="0" w:color="auto"/>
              <w:bottom w:val="single" w:sz="4" w:space="0" w:color="auto"/>
            </w:tcBorders>
          </w:tcPr>
          <w:p w14:paraId="1C3F0AB9" w14:textId="77777777" w:rsidR="003A0138" w:rsidRPr="003A0138" w:rsidRDefault="003A0138" w:rsidP="003A0138">
            <w:pPr>
              <w:spacing w:before="80" w:after="80" w:line="276" w:lineRule="auto"/>
              <w:jc w:val="left"/>
              <w:rPr>
                <w:rFonts w:cstheme="minorHAnsi"/>
                <w:sz w:val="20"/>
                <w:szCs w:val="20"/>
              </w:rPr>
            </w:pPr>
            <w:r w:rsidRPr="003A0138">
              <w:rPr>
                <w:rFonts w:cstheme="minorHAnsi"/>
                <w:sz w:val="20"/>
                <w:szCs w:val="20"/>
              </w:rPr>
              <w:t>SOx atmospheric effects</w:t>
            </w:r>
          </w:p>
        </w:tc>
        <w:tc>
          <w:tcPr>
            <w:tcW w:w="3825" w:type="dxa"/>
            <w:tcBorders>
              <w:top w:val="single" w:sz="4" w:space="0" w:color="auto"/>
              <w:bottom w:val="single" w:sz="4" w:space="0" w:color="auto"/>
            </w:tcBorders>
            <w:vAlign w:val="center"/>
          </w:tcPr>
          <w:p w14:paraId="398B1E6B" w14:textId="77777777" w:rsidR="003A0138" w:rsidRPr="003A0138" w:rsidRDefault="003A0138" w:rsidP="003A0138">
            <w:pPr>
              <w:spacing w:before="80" w:after="80" w:line="276" w:lineRule="auto"/>
              <w:jc w:val="left"/>
              <w:rPr>
                <w:rFonts w:cstheme="minorHAnsi"/>
                <w:sz w:val="20"/>
                <w:szCs w:val="20"/>
              </w:rPr>
            </w:pPr>
            <w:r w:rsidRPr="003A0138">
              <w:rPr>
                <w:rFonts w:cstheme="minorHAnsi"/>
                <w:sz w:val="20"/>
                <w:szCs w:val="20"/>
              </w:rPr>
              <w:t>Vegetation injury</w:t>
            </w:r>
          </w:p>
        </w:tc>
        <w:tc>
          <w:tcPr>
            <w:tcW w:w="1122" w:type="dxa"/>
            <w:tcBorders>
              <w:top w:val="single" w:sz="4" w:space="0" w:color="auto"/>
              <w:bottom w:val="single" w:sz="4" w:space="0" w:color="auto"/>
            </w:tcBorders>
            <w:vAlign w:val="center"/>
          </w:tcPr>
          <w:p w14:paraId="291AC617" w14:textId="77777777" w:rsidR="003A0138" w:rsidRPr="003A0138" w:rsidRDefault="003A0138" w:rsidP="003A0138">
            <w:pPr>
              <w:spacing w:before="80" w:after="80" w:line="276" w:lineRule="auto"/>
              <w:jc w:val="center"/>
              <w:rPr>
                <w:rFonts w:cs="Calibri"/>
                <w:color w:val="000000"/>
                <w:sz w:val="20"/>
                <w:szCs w:val="20"/>
              </w:rPr>
            </w:pPr>
            <w:r w:rsidRPr="003A0138">
              <w:rPr>
                <w:rFonts w:cs="Calibri"/>
                <w:color w:val="000000"/>
                <w:sz w:val="20"/>
                <w:szCs w:val="20"/>
              </w:rPr>
              <w:t>—</w:t>
            </w:r>
          </w:p>
        </w:tc>
        <w:tc>
          <w:tcPr>
            <w:tcW w:w="1126" w:type="dxa"/>
            <w:tcBorders>
              <w:top w:val="single" w:sz="4" w:space="0" w:color="auto"/>
              <w:bottom w:val="single" w:sz="4" w:space="0" w:color="auto"/>
            </w:tcBorders>
            <w:vAlign w:val="center"/>
          </w:tcPr>
          <w:p w14:paraId="032E2452" w14:textId="77777777" w:rsidR="003A0138" w:rsidRPr="003A0138" w:rsidRDefault="003A0138" w:rsidP="003A0138">
            <w:pPr>
              <w:spacing w:before="80" w:after="80" w:line="276" w:lineRule="auto"/>
              <w:jc w:val="center"/>
              <w:rPr>
                <w:rFonts w:cs="Calibri"/>
                <w:color w:val="000000"/>
                <w:sz w:val="20"/>
                <w:szCs w:val="20"/>
              </w:rPr>
            </w:pPr>
            <w:r w:rsidRPr="003A0138">
              <w:rPr>
                <w:rFonts w:cs="Calibri"/>
                <w:color w:val="000000"/>
                <w:sz w:val="20"/>
                <w:szCs w:val="20"/>
              </w:rPr>
              <w:t>—</w:t>
            </w:r>
          </w:p>
        </w:tc>
      </w:tr>
      <w:tr w:rsidR="003A0138" w:rsidRPr="003A0138" w14:paraId="2F725847" w14:textId="77777777" w:rsidTr="003A0138">
        <w:trPr>
          <w:jc w:val="center"/>
        </w:trPr>
        <w:tc>
          <w:tcPr>
            <w:tcW w:w="2250" w:type="dxa"/>
            <w:vMerge w:val="restart"/>
            <w:tcBorders>
              <w:top w:val="single" w:sz="4" w:space="0" w:color="auto"/>
              <w:bottom w:val="nil"/>
            </w:tcBorders>
          </w:tcPr>
          <w:p w14:paraId="13146010" w14:textId="77777777" w:rsidR="003A0138" w:rsidRPr="003A0138" w:rsidRDefault="003A0138" w:rsidP="003A0138">
            <w:pPr>
              <w:spacing w:before="80" w:after="80" w:line="276" w:lineRule="auto"/>
              <w:jc w:val="left"/>
              <w:rPr>
                <w:rFonts w:cstheme="minorHAnsi"/>
                <w:sz w:val="20"/>
                <w:szCs w:val="20"/>
              </w:rPr>
            </w:pPr>
            <w:r w:rsidRPr="003A0138">
              <w:rPr>
                <w:rFonts w:cstheme="minorHAnsi"/>
                <w:sz w:val="20"/>
                <w:szCs w:val="20"/>
              </w:rPr>
              <w:t>SOx atmospheric and deposition effects</w:t>
            </w:r>
          </w:p>
        </w:tc>
        <w:tc>
          <w:tcPr>
            <w:tcW w:w="3825" w:type="dxa"/>
            <w:tcBorders>
              <w:top w:val="single" w:sz="4" w:space="0" w:color="auto"/>
              <w:bottom w:val="nil"/>
            </w:tcBorders>
            <w:vAlign w:val="center"/>
          </w:tcPr>
          <w:p w14:paraId="0FB60A60" w14:textId="77777777" w:rsidR="003A0138" w:rsidRPr="003A0138" w:rsidRDefault="003A0138" w:rsidP="003A0138">
            <w:pPr>
              <w:spacing w:before="80" w:after="80" w:line="276" w:lineRule="auto"/>
              <w:jc w:val="left"/>
              <w:rPr>
                <w:rFonts w:cstheme="minorHAnsi"/>
                <w:sz w:val="20"/>
                <w:szCs w:val="20"/>
              </w:rPr>
            </w:pPr>
            <w:r w:rsidRPr="003A0138">
              <w:rPr>
                <w:rFonts w:cstheme="minorHAnsi"/>
                <w:sz w:val="20"/>
                <w:szCs w:val="20"/>
              </w:rPr>
              <w:t>Materials damage</w:t>
            </w:r>
          </w:p>
        </w:tc>
        <w:tc>
          <w:tcPr>
            <w:tcW w:w="1122" w:type="dxa"/>
            <w:tcBorders>
              <w:top w:val="single" w:sz="4" w:space="0" w:color="auto"/>
              <w:bottom w:val="nil"/>
            </w:tcBorders>
            <w:vAlign w:val="center"/>
          </w:tcPr>
          <w:p w14:paraId="55B8C011" w14:textId="77777777" w:rsidR="003A0138" w:rsidRPr="003A0138" w:rsidRDefault="003A0138" w:rsidP="003A0138">
            <w:pPr>
              <w:spacing w:before="80" w:after="80" w:line="276" w:lineRule="auto"/>
              <w:jc w:val="center"/>
              <w:rPr>
                <w:rFonts w:cs="Calibri"/>
                <w:color w:val="000000"/>
                <w:sz w:val="20"/>
                <w:szCs w:val="20"/>
              </w:rPr>
            </w:pPr>
            <w:r w:rsidRPr="003A0138">
              <w:rPr>
                <w:rFonts w:cs="Calibri"/>
                <w:color w:val="000000"/>
                <w:sz w:val="20"/>
                <w:szCs w:val="20"/>
              </w:rPr>
              <w:t>—</w:t>
            </w:r>
          </w:p>
        </w:tc>
        <w:tc>
          <w:tcPr>
            <w:tcW w:w="1126" w:type="dxa"/>
            <w:tcBorders>
              <w:top w:val="single" w:sz="4" w:space="0" w:color="auto"/>
              <w:bottom w:val="nil"/>
            </w:tcBorders>
            <w:vAlign w:val="center"/>
          </w:tcPr>
          <w:p w14:paraId="2BAD390C" w14:textId="77777777" w:rsidR="003A0138" w:rsidRPr="003A0138" w:rsidRDefault="003A0138" w:rsidP="003A0138">
            <w:pPr>
              <w:spacing w:before="80" w:after="80" w:line="276" w:lineRule="auto"/>
              <w:jc w:val="center"/>
              <w:rPr>
                <w:rFonts w:cs="Calibri"/>
                <w:color w:val="000000"/>
                <w:sz w:val="20"/>
                <w:szCs w:val="20"/>
              </w:rPr>
            </w:pPr>
            <w:r w:rsidRPr="003A0138">
              <w:rPr>
                <w:rFonts w:cs="Calibri"/>
                <w:color w:val="000000"/>
                <w:sz w:val="20"/>
                <w:szCs w:val="20"/>
              </w:rPr>
              <w:t>—</w:t>
            </w:r>
          </w:p>
        </w:tc>
      </w:tr>
      <w:tr w:rsidR="003A0138" w:rsidRPr="003A0138" w14:paraId="2D49A5DF" w14:textId="77777777" w:rsidTr="003A0138">
        <w:trPr>
          <w:jc w:val="center"/>
        </w:trPr>
        <w:tc>
          <w:tcPr>
            <w:tcW w:w="2250" w:type="dxa"/>
            <w:vMerge/>
            <w:tcBorders>
              <w:top w:val="nil"/>
              <w:bottom w:val="single" w:sz="4" w:space="0" w:color="auto"/>
            </w:tcBorders>
          </w:tcPr>
          <w:p w14:paraId="50B16A3E" w14:textId="77777777" w:rsidR="003A0138" w:rsidRPr="003A0138" w:rsidRDefault="003A0138" w:rsidP="003A0138">
            <w:pPr>
              <w:spacing w:before="80" w:after="80" w:line="276" w:lineRule="auto"/>
              <w:jc w:val="left"/>
              <w:rPr>
                <w:rFonts w:cstheme="minorHAnsi"/>
                <w:sz w:val="20"/>
                <w:szCs w:val="20"/>
              </w:rPr>
            </w:pPr>
          </w:p>
        </w:tc>
        <w:tc>
          <w:tcPr>
            <w:tcW w:w="3825" w:type="dxa"/>
            <w:tcBorders>
              <w:top w:val="nil"/>
              <w:bottom w:val="single" w:sz="4" w:space="0" w:color="auto"/>
            </w:tcBorders>
            <w:vAlign w:val="center"/>
          </w:tcPr>
          <w:p w14:paraId="4145AD2E" w14:textId="77777777" w:rsidR="003A0138" w:rsidRPr="003A0138" w:rsidRDefault="003A0138" w:rsidP="003A0138">
            <w:pPr>
              <w:spacing w:before="80" w:after="80" w:line="276" w:lineRule="auto"/>
              <w:jc w:val="left"/>
              <w:rPr>
                <w:rFonts w:cstheme="minorHAnsi"/>
                <w:sz w:val="20"/>
                <w:szCs w:val="20"/>
              </w:rPr>
            </w:pPr>
            <w:r w:rsidRPr="003A0138">
              <w:rPr>
                <w:rFonts w:cstheme="minorHAnsi"/>
                <w:sz w:val="20"/>
                <w:szCs w:val="20"/>
              </w:rPr>
              <w:t>Climate</w:t>
            </w:r>
          </w:p>
        </w:tc>
        <w:tc>
          <w:tcPr>
            <w:tcW w:w="1122" w:type="dxa"/>
            <w:tcBorders>
              <w:top w:val="nil"/>
              <w:bottom w:val="single" w:sz="4" w:space="0" w:color="auto"/>
            </w:tcBorders>
            <w:vAlign w:val="center"/>
          </w:tcPr>
          <w:p w14:paraId="2911A3B1" w14:textId="77777777" w:rsidR="003A0138" w:rsidRPr="003A0138" w:rsidRDefault="003A0138" w:rsidP="003A0138">
            <w:pPr>
              <w:spacing w:before="80" w:after="80" w:line="276" w:lineRule="auto"/>
              <w:jc w:val="center"/>
              <w:rPr>
                <w:rFonts w:cs="Calibri"/>
                <w:color w:val="000000"/>
                <w:sz w:val="20"/>
                <w:szCs w:val="20"/>
              </w:rPr>
            </w:pPr>
            <w:r w:rsidRPr="003A0138">
              <w:rPr>
                <w:rFonts w:cs="Calibri"/>
                <w:color w:val="000000"/>
                <w:sz w:val="20"/>
                <w:szCs w:val="20"/>
              </w:rPr>
              <w:t>—</w:t>
            </w:r>
          </w:p>
        </w:tc>
        <w:tc>
          <w:tcPr>
            <w:tcW w:w="1126" w:type="dxa"/>
            <w:tcBorders>
              <w:top w:val="nil"/>
              <w:bottom w:val="single" w:sz="4" w:space="0" w:color="auto"/>
            </w:tcBorders>
            <w:vAlign w:val="center"/>
          </w:tcPr>
          <w:p w14:paraId="24C178F2" w14:textId="77777777" w:rsidR="003A0138" w:rsidRPr="003A0138" w:rsidRDefault="003A0138" w:rsidP="003A0138">
            <w:pPr>
              <w:spacing w:before="80" w:after="80" w:line="276" w:lineRule="auto"/>
              <w:jc w:val="center"/>
              <w:rPr>
                <w:rFonts w:cs="Calibri"/>
                <w:color w:val="000000"/>
                <w:sz w:val="20"/>
                <w:szCs w:val="20"/>
              </w:rPr>
            </w:pPr>
            <w:r w:rsidRPr="003A0138">
              <w:rPr>
                <w:rFonts w:cs="Calibri"/>
                <w:color w:val="000000"/>
                <w:sz w:val="20"/>
                <w:szCs w:val="20"/>
              </w:rPr>
              <w:t>—</w:t>
            </w:r>
          </w:p>
        </w:tc>
      </w:tr>
      <w:tr w:rsidR="003A0138" w:rsidRPr="003A0138" w14:paraId="6FD7F667" w14:textId="77777777" w:rsidTr="003A0138">
        <w:trPr>
          <w:jc w:val="center"/>
        </w:trPr>
        <w:tc>
          <w:tcPr>
            <w:tcW w:w="2250" w:type="dxa"/>
            <w:vMerge w:val="restart"/>
            <w:tcBorders>
              <w:top w:val="single" w:sz="4" w:space="0" w:color="auto"/>
              <w:bottom w:val="nil"/>
            </w:tcBorders>
          </w:tcPr>
          <w:p w14:paraId="7D6D1A33" w14:textId="77777777" w:rsidR="003A0138" w:rsidRPr="003A0138" w:rsidRDefault="003A0138" w:rsidP="003A0138">
            <w:pPr>
              <w:spacing w:before="80" w:after="80" w:line="276" w:lineRule="auto"/>
              <w:jc w:val="left"/>
              <w:rPr>
                <w:rFonts w:cstheme="minorHAnsi"/>
                <w:sz w:val="20"/>
                <w:szCs w:val="20"/>
              </w:rPr>
            </w:pPr>
            <w:r w:rsidRPr="003A0138">
              <w:rPr>
                <w:rFonts w:cstheme="minorHAnsi"/>
                <w:sz w:val="20"/>
                <w:szCs w:val="20"/>
              </w:rPr>
              <w:t>SOx deposition effects (includes effects of deposition of particulate sulfate)</w:t>
            </w:r>
          </w:p>
        </w:tc>
        <w:tc>
          <w:tcPr>
            <w:tcW w:w="3825" w:type="dxa"/>
            <w:tcBorders>
              <w:top w:val="single" w:sz="4" w:space="0" w:color="auto"/>
              <w:bottom w:val="nil"/>
            </w:tcBorders>
            <w:vAlign w:val="center"/>
          </w:tcPr>
          <w:p w14:paraId="5D930D96" w14:textId="77777777" w:rsidR="003A0138" w:rsidRPr="003A0138" w:rsidRDefault="003A0138" w:rsidP="003A0138">
            <w:pPr>
              <w:spacing w:before="80" w:after="80" w:line="276" w:lineRule="auto"/>
              <w:jc w:val="left"/>
              <w:rPr>
                <w:rFonts w:cstheme="minorHAnsi"/>
                <w:sz w:val="20"/>
                <w:szCs w:val="20"/>
              </w:rPr>
            </w:pPr>
            <w:r w:rsidRPr="003A0138">
              <w:rPr>
                <w:rFonts w:cstheme="minorHAnsi"/>
                <w:sz w:val="20"/>
                <w:szCs w:val="20"/>
              </w:rPr>
              <w:t>Acidification (terrestrial and aquatic) plus associated ecosystem effects</w:t>
            </w:r>
          </w:p>
        </w:tc>
        <w:tc>
          <w:tcPr>
            <w:tcW w:w="1122" w:type="dxa"/>
            <w:tcBorders>
              <w:top w:val="single" w:sz="4" w:space="0" w:color="auto"/>
              <w:bottom w:val="nil"/>
            </w:tcBorders>
            <w:vAlign w:val="center"/>
          </w:tcPr>
          <w:p w14:paraId="6D7D2575" w14:textId="77777777" w:rsidR="003A0138" w:rsidRPr="003A0138" w:rsidRDefault="003A0138" w:rsidP="003A0138">
            <w:pPr>
              <w:spacing w:line="276" w:lineRule="auto"/>
              <w:jc w:val="center"/>
              <w:rPr>
                <w:rFonts w:cstheme="minorHAnsi"/>
                <w:sz w:val="20"/>
                <w:szCs w:val="20"/>
              </w:rPr>
            </w:pPr>
            <w:r w:rsidRPr="003A0138">
              <w:rPr>
                <w:rFonts w:cs="Calibri"/>
                <w:b/>
                <w:bCs/>
                <w:color w:val="FF0000"/>
                <w:sz w:val="20"/>
                <w:szCs w:val="20"/>
              </w:rPr>
              <w:sym w:font="Wingdings" w:char="F0FC"/>
            </w:r>
          </w:p>
        </w:tc>
        <w:tc>
          <w:tcPr>
            <w:tcW w:w="1126" w:type="dxa"/>
            <w:tcBorders>
              <w:top w:val="single" w:sz="4" w:space="0" w:color="auto"/>
              <w:bottom w:val="nil"/>
            </w:tcBorders>
            <w:vAlign w:val="center"/>
          </w:tcPr>
          <w:p w14:paraId="7512DDE8" w14:textId="77777777" w:rsidR="003A0138" w:rsidRPr="003A0138" w:rsidRDefault="003A0138" w:rsidP="003A0138">
            <w:pPr>
              <w:spacing w:before="80" w:after="80" w:line="276" w:lineRule="auto"/>
              <w:jc w:val="center"/>
              <w:rPr>
                <w:rFonts w:cs="Calibri"/>
                <w:color w:val="000000"/>
                <w:sz w:val="20"/>
                <w:szCs w:val="20"/>
              </w:rPr>
            </w:pPr>
            <w:r w:rsidRPr="003A0138">
              <w:rPr>
                <w:rFonts w:cs="Calibri"/>
                <w:color w:val="000000"/>
                <w:sz w:val="20"/>
                <w:szCs w:val="20"/>
              </w:rPr>
              <w:t>—</w:t>
            </w:r>
          </w:p>
        </w:tc>
      </w:tr>
      <w:tr w:rsidR="003A0138" w:rsidRPr="003A0138" w14:paraId="2779E8EF" w14:textId="77777777" w:rsidTr="003A0138">
        <w:trPr>
          <w:jc w:val="center"/>
        </w:trPr>
        <w:tc>
          <w:tcPr>
            <w:tcW w:w="2250" w:type="dxa"/>
            <w:vMerge/>
            <w:tcBorders>
              <w:top w:val="nil"/>
              <w:bottom w:val="single" w:sz="4" w:space="0" w:color="auto"/>
            </w:tcBorders>
          </w:tcPr>
          <w:p w14:paraId="4B14C7A0" w14:textId="77777777" w:rsidR="003A0138" w:rsidRPr="003A0138" w:rsidRDefault="003A0138" w:rsidP="003A0138">
            <w:pPr>
              <w:spacing w:before="80" w:after="80" w:line="276" w:lineRule="auto"/>
              <w:jc w:val="left"/>
              <w:rPr>
                <w:rFonts w:cstheme="minorHAnsi"/>
                <w:sz w:val="20"/>
                <w:szCs w:val="20"/>
              </w:rPr>
            </w:pPr>
          </w:p>
        </w:tc>
        <w:tc>
          <w:tcPr>
            <w:tcW w:w="3825" w:type="dxa"/>
            <w:tcBorders>
              <w:top w:val="nil"/>
              <w:bottom w:val="single" w:sz="4" w:space="0" w:color="auto"/>
            </w:tcBorders>
            <w:vAlign w:val="center"/>
          </w:tcPr>
          <w:p w14:paraId="773B28DA" w14:textId="77777777" w:rsidR="003A0138" w:rsidRPr="003A0138" w:rsidRDefault="003A0138" w:rsidP="003A0138">
            <w:pPr>
              <w:spacing w:before="80" w:after="80" w:line="276" w:lineRule="auto"/>
              <w:jc w:val="left"/>
              <w:rPr>
                <w:rFonts w:cstheme="minorHAnsi"/>
                <w:sz w:val="20"/>
                <w:szCs w:val="20"/>
              </w:rPr>
            </w:pPr>
            <w:r w:rsidRPr="003A0138">
              <w:rPr>
                <w:rFonts w:cstheme="minorHAnsi"/>
                <w:sz w:val="20"/>
                <w:szCs w:val="20"/>
              </w:rPr>
              <w:t>Mercury methylation</w:t>
            </w:r>
          </w:p>
        </w:tc>
        <w:tc>
          <w:tcPr>
            <w:tcW w:w="1122" w:type="dxa"/>
            <w:tcBorders>
              <w:top w:val="nil"/>
              <w:bottom w:val="single" w:sz="4" w:space="0" w:color="auto"/>
            </w:tcBorders>
            <w:vAlign w:val="center"/>
          </w:tcPr>
          <w:p w14:paraId="339B2A55" w14:textId="77777777" w:rsidR="003A0138" w:rsidRPr="003A0138" w:rsidRDefault="003A0138" w:rsidP="003A0138">
            <w:pPr>
              <w:spacing w:before="80" w:after="80" w:line="276" w:lineRule="auto"/>
              <w:jc w:val="center"/>
              <w:rPr>
                <w:rFonts w:cs="Calibri"/>
                <w:color w:val="000000"/>
                <w:sz w:val="20"/>
                <w:szCs w:val="20"/>
              </w:rPr>
            </w:pPr>
            <w:r w:rsidRPr="003A0138">
              <w:rPr>
                <w:rFonts w:cs="Calibri"/>
                <w:color w:val="000000"/>
                <w:sz w:val="20"/>
                <w:szCs w:val="20"/>
              </w:rPr>
              <w:t>—</w:t>
            </w:r>
          </w:p>
        </w:tc>
        <w:tc>
          <w:tcPr>
            <w:tcW w:w="1126" w:type="dxa"/>
            <w:tcBorders>
              <w:top w:val="nil"/>
              <w:bottom w:val="single" w:sz="4" w:space="0" w:color="auto"/>
            </w:tcBorders>
            <w:vAlign w:val="center"/>
          </w:tcPr>
          <w:p w14:paraId="62B3D186" w14:textId="77777777" w:rsidR="003A0138" w:rsidRPr="003A0138" w:rsidRDefault="003A0138" w:rsidP="003A0138">
            <w:pPr>
              <w:spacing w:before="80" w:after="80" w:line="276" w:lineRule="auto"/>
              <w:jc w:val="center"/>
              <w:rPr>
                <w:rFonts w:cs="Calibri"/>
                <w:color w:val="000000"/>
                <w:sz w:val="20"/>
                <w:szCs w:val="20"/>
              </w:rPr>
            </w:pPr>
            <w:r w:rsidRPr="003A0138">
              <w:rPr>
                <w:rFonts w:cs="Calibri"/>
                <w:color w:val="000000"/>
                <w:sz w:val="20"/>
                <w:szCs w:val="20"/>
              </w:rPr>
              <w:t>—</w:t>
            </w:r>
          </w:p>
        </w:tc>
      </w:tr>
      <w:tr w:rsidR="003A0138" w:rsidRPr="003A0138" w14:paraId="7F48A362" w14:textId="77777777" w:rsidTr="003A0138">
        <w:trPr>
          <w:jc w:val="center"/>
        </w:trPr>
        <w:tc>
          <w:tcPr>
            <w:tcW w:w="2250" w:type="dxa"/>
            <w:vMerge w:val="restart"/>
            <w:tcBorders>
              <w:top w:val="single" w:sz="4" w:space="0" w:color="auto"/>
              <w:bottom w:val="nil"/>
            </w:tcBorders>
          </w:tcPr>
          <w:p w14:paraId="0AE9D7D8" w14:textId="77777777" w:rsidR="003A0138" w:rsidRPr="003A0138" w:rsidRDefault="003A0138" w:rsidP="003A0138">
            <w:pPr>
              <w:spacing w:before="80" w:after="80" w:line="276" w:lineRule="auto"/>
              <w:jc w:val="left"/>
              <w:rPr>
                <w:rFonts w:cstheme="minorHAnsi"/>
                <w:sz w:val="20"/>
                <w:szCs w:val="20"/>
              </w:rPr>
            </w:pPr>
            <w:r w:rsidRPr="003A0138">
              <w:rPr>
                <w:rFonts w:cstheme="minorHAnsi"/>
                <w:sz w:val="20"/>
                <w:szCs w:val="20"/>
              </w:rPr>
              <w:t>Mercury atmospheric and deposition effects</w:t>
            </w:r>
          </w:p>
        </w:tc>
        <w:tc>
          <w:tcPr>
            <w:tcW w:w="3825" w:type="dxa"/>
            <w:tcBorders>
              <w:top w:val="single" w:sz="4" w:space="0" w:color="auto"/>
              <w:bottom w:val="nil"/>
            </w:tcBorders>
            <w:vAlign w:val="center"/>
          </w:tcPr>
          <w:p w14:paraId="480A23BA" w14:textId="77777777" w:rsidR="003A0138" w:rsidRPr="003A0138" w:rsidRDefault="003A0138" w:rsidP="003A0138">
            <w:pPr>
              <w:spacing w:before="80" w:after="80" w:line="276" w:lineRule="auto"/>
              <w:jc w:val="left"/>
              <w:rPr>
                <w:rFonts w:cstheme="minorHAnsi"/>
                <w:sz w:val="20"/>
                <w:szCs w:val="20"/>
              </w:rPr>
            </w:pPr>
            <w:r w:rsidRPr="003A0138">
              <w:rPr>
                <w:rFonts w:cstheme="minorHAnsi"/>
                <w:sz w:val="20"/>
                <w:szCs w:val="20"/>
              </w:rPr>
              <w:t>Ecosystem effects</w:t>
            </w:r>
          </w:p>
        </w:tc>
        <w:tc>
          <w:tcPr>
            <w:tcW w:w="1122" w:type="dxa"/>
            <w:tcBorders>
              <w:top w:val="single" w:sz="4" w:space="0" w:color="auto"/>
              <w:bottom w:val="nil"/>
            </w:tcBorders>
            <w:vAlign w:val="center"/>
          </w:tcPr>
          <w:p w14:paraId="4809817E" w14:textId="77777777" w:rsidR="003A0138" w:rsidRPr="003A0138" w:rsidRDefault="003A0138" w:rsidP="003A0138">
            <w:pPr>
              <w:spacing w:before="80" w:after="80" w:line="276" w:lineRule="auto"/>
              <w:jc w:val="center"/>
              <w:rPr>
                <w:rFonts w:cs="Calibri"/>
                <w:color w:val="000000"/>
                <w:sz w:val="20"/>
                <w:szCs w:val="20"/>
              </w:rPr>
            </w:pPr>
            <w:r w:rsidRPr="003A0138">
              <w:rPr>
                <w:rFonts w:cs="Calibri"/>
                <w:color w:val="000000"/>
                <w:sz w:val="20"/>
                <w:szCs w:val="20"/>
              </w:rPr>
              <w:t>—</w:t>
            </w:r>
          </w:p>
        </w:tc>
        <w:tc>
          <w:tcPr>
            <w:tcW w:w="1126" w:type="dxa"/>
            <w:tcBorders>
              <w:top w:val="single" w:sz="4" w:space="0" w:color="auto"/>
              <w:bottom w:val="nil"/>
            </w:tcBorders>
            <w:vAlign w:val="center"/>
          </w:tcPr>
          <w:p w14:paraId="2FB9A055" w14:textId="77777777" w:rsidR="003A0138" w:rsidRPr="003A0138" w:rsidRDefault="003A0138" w:rsidP="003A0138">
            <w:pPr>
              <w:spacing w:before="80" w:after="80" w:line="276" w:lineRule="auto"/>
              <w:jc w:val="center"/>
              <w:rPr>
                <w:rFonts w:cs="Calibri"/>
                <w:color w:val="000000"/>
                <w:sz w:val="20"/>
                <w:szCs w:val="20"/>
              </w:rPr>
            </w:pPr>
            <w:r w:rsidRPr="003A0138">
              <w:rPr>
                <w:rFonts w:cs="Calibri"/>
                <w:color w:val="000000"/>
                <w:sz w:val="20"/>
                <w:szCs w:val="20"/>
              </w:rPr>
              <w:t>—</w:t>
            </w:r>
          </w:p>
        </w:tc>
      </w:tr>
      <w:tr w:rsidR="003A0138" w:rsidRPr="003A0138" w14:paraId="0BDCCF7D" w14:textId="77777777" w:rsidTr="003A0138">
        <w:trPr>
          <w:jc w:val="center"/>
        </w:trPr>
        <w:tc>
          <w:tcPr>
            <w:tcW w:w="2250" w:type="dxa"/>
            <w:vMerge/>
            <w:tcBorders>
              <w:top w:val="nil"/>
              <w:bottom w:val="single" w:sz="12" w:space="0" w:color="auto"/>
            </w:tcBorders>
          </w:tcPr>
          <w:p w14:paraId="20B0E3E2" w14:textId="77777777" w:rsidR="003A0138" w:rsidRPr="003A0138" w:rsidRDefault="003A0138" w:rsidP="003A0138">
            <w:pPr>
              <w:spacing w:before="80" w:after="80" w:line="276" w:lineRule="auto"/>
              <w:jc w:val="left"/>
              <w:rPr>
                <w:rFonts w:cstheme="minorHAnsi"/>
                <w:sz w:val="20"/>
                <w:szCs w:val="20"/>
              </w:rPr>
            </w:pPr>
          </w:p>
        </w:tc>
        <w:tc>
          <w:tcPr>
            <w:tcW w:w="3825" w:type="dxa"/>
            <w:tcBorders>
              <w:top w:val="nil"/>
              <w:bottom w:val="single" w:sz="12" w:space="0" w:color="auto"/>
            </w:tcBorders>
            <w:vAlign w:val="center"/>
          </w:tcPr>
          <w:p w14:paraId="3D23238D" w14:textId="77777777" w:rsidR="003A0138" w:rsidRPr="003A0138" w:rsidRDefault="003A0138" w:rsidP="003A0138">
            <w:pPr>
              <w:spacing w:before="80" w:after="80" w:line="276" w:lineRule="auto"/>
              <w:jc w:val="left"/>
              <w:rPr>
                <w:rFonts w:cstheme="minorHAnsi"/>
                <w:sz w:val="20"/>
                <w:szCs w:val="20"/>
              </w:rPr>
            </w:pPr>
            <w:r w:rsidRPr="003A0138">
              <w:rPr>
                <w:rFonts w:cstheme="minorHAnsi"/>
                <w:sz w:val="20"/>
                <w:szCs w:val="20"/>
              </w:rPr>
              <w:t>Mercury methylation and associated effects</w:t>
            </w:r>
          </w:p>
        </w:tc>
        <w:tc>
          <w:tcPr>
            <w:tcW w:w="1122" w:type="dxa"/>
            <w:tcBorders>
              <w:top w:val="nil"/>
              <w:bottom w:val="single" w:sz="12" w:space="0" w:color="auto"/>
            </w:tcBorders>
            <w:vAlign w:val="center"/>
          </w:tcPr>
          <w:p w14:paraId="0817B8E2" w14:textId="77777777" w:rsidR="003A0138" w:rsidRPr="003A0138" w:rsidRDefault="003A0138" w:rsidP="003A0138">
            <w:pPr>
              <w:spacing w:line="276" w:lineRule="auto"/>
              <w:jc w:val="center"/>
              <w:rPr>
                <w:rFonts w:cstheme="minorHAnsi"/>
                <w:sz w:val="20"/>
                <w:szCs w:val="20"/>
              </w:rPr>
            </w:pPr>
            <w:r w:rsidRPr="003A0138">
              <w:rPr>
                <w:rFonts w:cs="Calibri"/>
                <w:b/>
                <w:bCs/>
                <w:color w:val="FF0000"/>
                <w:sz w:val="20"/>
                <w:szCs w:val="20"/>
              </w:rPr>
              <w:sym w:font="Wingdings" w:char="F0FC"/>
            </w:r>
          </w:p>
        </w:tc>
        <w:tc>
          <w:tcPr>
            <w:tcW w:w="1126" w:type="dxa"/>
            <w:tcBorders>
              <w:top w:val="nil"/>
              <w:bottom w:val="single" w:sz="12" w:space="0" w:color="auto"/>
            </w:tcBorders>
            <w:vAlign w:val="center"/>
          </w:tcPr>
          <w:p w14:paraId="111C75B8" w14:textId="77777777" w:rsidR="003A0138" w:rsidRPr="003A0138" w:rsidRDefault="003A0138" w:rsidP="003A0138">
            <w:pPr>
              <w:spacing w:line="276" w:lineRule="auto"/>
              <w:jc w:val="center"/>
              <w:rPr>
                <w:rFonts w:cstheme="minorHAnsi"/>
                <w:sz w:val="20"/>
                <w:szCs w:val="20"/>
              </w:rPr>
            </w:pPr>
            <w:r w:rsidRPr="003A0138">
              <w:rPr>
                <w:rFonts w:cs="Calibri"/>
                <w:b/>
                <w:bCs/>
                <w:color w:val="FF0000"/>
                <w:sz w:val="20"/>
                <w:szCs w:val="20"/>
              </w:rPr>
              <w:sym w:font="Wingdings" w:char="F0FC"/>
            </w:r>
          </w:p>
        </w:tc>
      </w:tr>
    </w:tbl>
    <w:p w14:paraId="3110B85E" w14:textId="77777777" w:rsidR="003A0138" w:rsidRPr="003A0138" w:rsidRDefault="003A0138" w:rsidP="003A0138">
      <w:pPr>
        <w:spacing w:line="240" w:lineRule="auto"/>
        <w:ind w:firstLine="720"/>
        <w:rPr>
          <w:sz w:val="24"/>
          <w:szCs w:val="24"/>
        </w:rPr>
        <w:sectPr w:rsidR="003A0138" w:rsidRPr="003A0138" w:rsidSect="003A0138">
          <w:headerReference w:type="default" r:id="rId13"/>
          <w:footerReference w:type="default" r:id="rId14"/>
          <w:pgSz w:w="12240" w:h="15840"/>
          <w:pgMar w:top="1440" w:right="1440" w:bottom="1440" w:left="1440" w:header="720" w:footer="720" w:gutter="0"/>
          <w:cols w:space="720"/>
          <w:docGrid w:linePitch="360"/>
        </w:sectPr>
      </w:pPr>
    </w:p>
    <w:p w14:paraId="697DAC56" w14:textId="77777777" w:rsidR="003A0138" w:rsidRPr="003A0138" w:rsidRDefault="003A0138" w:rsidP="003A0138">
      <w:pPr>
        <w:spacing w:line="276" w:lineRule="auto"/>
      </w:pPr>
    </w:p>
    <w:p w14:paraId="1549564E" w14:textId="77777777" w:rsidR="003A0138" w:rsidRPr="003A0138" w:rsidRDefault="003A0138" w:rsidP="003A0138">
      <w:pPr>
        <w:spacing w:line="276" w:lineRule="auto"/>
      </w:pPr>
      <w:r w:rsidRPr="003A0138">
        <w:t xml:space="preserve">A typical health impact function has the form: </w:t>
      </w:r>
    </w:p>
    <w:p w14:paraId="3980B9DD" w14:textId="77777777" w:rsidR="003A0138" w:rsidRPr="003A0138" w:rsidRDefault="003A0138" w:rsidP="003A0138">
      <w:pPr>
        <w:spacing w:line="276" w:lineRule="auto"/>
      </w:pPr>
      <w:r w:rsidRPr="003A0138">
        <w:rPr>
          <w:position w:val="-16"/>
        </w:rPr>
        <w:object w:dxaOrig="1540" w:dyaOrig="420" w14:anchorId="4D7CAB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21.75pt" o:ole="">
            <v:imagedata r:id="rId15" o:title=""/>
          </v:shape>
          <o:OLEObject Type="Embed" ProgID="Equation.DSMT4" ShapeID="_x0000_i1025" DrawAspect="Content" ObjectID="_1522242415" r:id="rId16"/>
        </w:object>
      </w:r>
      <w:r w:rsidRPr="003A0138">
        <w:t xml:space="preserve">, </w:t>
      </w:r>
      <w:r w:rsidRPr="003A0138">
        <w:tab/>
      </w:r>
      <w:r w:rsidRPr="003A0138">
        <w:tab/>
      </w:r>
      <w:r w:rsidRPr="003A0138">
        <w:tab/>
      </w:r>
      <w:r w:rsidRPr="003A0138">
        <w:tab/>
      </w:r>
      <w:r w:rsidRPr="003A0138">
        <w:tab/>
      </w:r>
      <w:r w:rsidRPr="003A0138">
        <w:tab/>
      </w:r>
      <w:r w:rsidRPr="003A0138">
        <w:tab/>
      </w:r>
      <w:r w:rsidRPr="003A0138">
        <w:tab/>
      </w:r>
      <w:r w:rsidRPr="003A0138">
        <w:tab/>
      </w:r>
      <w:r w:rsidRPr="003A0138">
        <w:tab/>
      </w:r>
      <w:r w:rsidRPr="003A0138">
        <w:fldChar w:fldCharType="begin"/>
      </w:r>
      <w:r w:rsidRPr="003A0138">
        <w:instrText xml:space="preserve"> MACROBUTTON MTPlaceRef \* MERGEFORMAT </w:instrText>
      </w:r>
      <w:r w:rsidRPr="003A0138">
        <w:fldChar w:fldCharType="begin"/>
      </w:r>
      <w:r w:rsidRPr="003A0138">
        <w:instrText xml:space="preserve"> SEQ MTEqn \h \* MERGEFORMAT </w:instrText>
      </w:r>
      <w:r w:rsidRPr="003A0138">
        <w:fldChar w:fldCharType="end"/>
      </w:r>
      <w:r w:rsidRPr="003A0138">
        <w:instrText>(</w:instrText>
      </w:r>
      <w:r w:rsidR="008B3A3D">
        <w:fldChar w:fldCharType="begin"/>
      </w:r>
      <w:r w:rsidR="008B3A3D">
        <w:instrText xml:space="preserve"> SEQ MTEqn \c \* Arabic \* MERGEFORMAT </w:instrText>
      </w:r>
      <w:r w:rsidR="008B3A3D">
        <w:fldChar w:fldCharType="separate"/>
      </w:r>
      <w:r w:rsidRPr="003A0138">
        <w:rPr>
          <w:noProof/>
        </w:rPr>
        <w:instrText>1</w:instrText>
      </w:r>
      <w:r w:rsidR="008B3A3D">
        <w:rPr>
          <w:noProof/>
        </w:rPr>
        <w:fldChar w:fldCharType="end"/>
      </w:r>
      <w:r w:rsidRPr="003A0138">
        <w:instrText>)</w:instrText>
      </w:r>
      <w:r w:rsidRPr="003A0138">
        <w:fldChar w:fldCharType="end"/>
      </w:r>
    </w:p>
    <w:p w14:paraId="1A6730B9" w14:textId="77777777" w:rsidR="003A0138" w:rsidRPr="003A0138" w:rsidRDefault="003A0138" w:rsidP="003A0138">
      <w:pPr>
        <w:spacing w:line="276" w:lineRule="auto"/>
      </w:pPr>
      <w:r w:rsidRPr="003A0138">
        <w:t xml:space="preserve">where </w:t>
      </w:r>
      <w:r w:rsidRPr="003A0138">
        <w:rPr>
          <w:position w:val="-10"/>
        </w:rPr>
        <w:object w:dxaOrig="340" w:dyaOrig="320" w14:anchorId="42D5826D">
          <v:shape id="_x0000_i1026" type="#_x0000_t75" style="width:17.25pt;height:15.75pt" o:ole="">
            <v:imagedata r:id="rId17" o:title=""/>
          </v:shape>
          <o:OLEObject Type="Embed" ProgID="Equation.DSMT4" ShapeID="_x0000_i1026" DrawAspect="Content" ObjectID="_1522242416" r:id="rId18"/>
        </w:object>
      </w:r>
      <w:r w:rsidRPr="003A0138">
        <w:t xml:space="preserve"> is the change in the health endpoint, </w:t>
      </w:r>
      <w:r w:rsidRPr="003A0138">
        <w:rPr>
          <w:position w:val="-12"/>
        </w:rPr>
        <w:object w:dxaOrig="260" w:dyaOrig="360" w14:anchorId="13F95762">
          <v:shape id="_x0000_i1027" type="#_x0000_t75" style="width:12.75pt;height:18pt" o:ole="">
            <v:imagedata r:id="rId19" o:title=""/>
          </v:shape>
          <o:OLEObject Type="Embed" ProgID="Equation.DSMT4" ShapeID="_x0000_i1027" DrawAspect="Content" ObjectID="_1522242417" r:id="rId20"/>
        </w:object>
      </w:r>
      <w:r w:rsidRPr="003A0138">
        <w:t xml:space="preserve"> is the baseline incidence, equal to the baseline incidence rate times the potentially affected population, </w:t>
      </w:r>
      <w:r w:rsidRPr="003A0138">
        <w:rPr>
          <w:position w:val="-10"/>
        </w:rPr>
        <w:object w:dxaOrig="240" w:dyaOrig="300" w14:anchorId="5F99FE86">
          <v:shape id="_x0000_i1028" type="#_x0000_t75" style="width:14.25pt;height:14.25pt" o:ole="">
            <v:imagedata r:id="rId21" o:title=""/>
          </v:shape>
          <o:OLEObject Type="Embed" ProgID="Equation.DSMT4" ShapeID="_x0000_i1028" DrawAspect="Content" ObjectID="_1522242418" r:id="rId22"/>
        </w:object>
      </w:r>
      <w:r w:rsidRPr="003A0138">
        <w:t xml:space="preserve"> is the effect estimate, and </w:t>
      </w:r>
      <w:r w:rsidRPr="003A0138">
        <w:rPr>
          <w:position w:val="-4"/>
        </w:rPr>
        <w:object w:dxaOrig="340" w:dyaOrig="260" w14:anchorId="31C6562A">
          <v:shape id="_x0000_i1029" type="#_x0000_t75" style="width:17.25pt;height:12.75pt" o:ole="">
            <v:imagedata r:id="rId23" o:title=""/>
          </v:shape>
          <o:OLEObject Type="Embed" ProgID="Equation.DSMT4" ShapeID="_x0000_i1029" DrawAspect="Content" ObjectID="_1522242419" r:id="rId24"/>
        </w:object>
      </w:r>
      <w:r w:rsidRPr="003A0138">
        <w:t xml:space="preserve"> is the estimated change in the air quality metric. Other functional forms are sometimes applied, but the basic elements remain the same. Upon mapping changes in emissions and the resulting air quality changes into endpoints relevant for human welfare, economic valuation methods are used to estimate people’s WTP for such changes. </w:t>
      </w:r>
    </w:p>
    <w:p w14:paraId="03C4F018" w14:textId="77777777" w:rsidR="003A0138" w:rsidRPr="003A0138" w:rsidRDefault="003A0138" w:rsidP="003A0138">
      <w:pPr>
        <w:spacing w:line="276" w:lineRule="auto"/>
      </w:pPr>
      <w:r w:rsidRPr="003A0138">
        <w:t>Reductions in ambient concentrations of air pollution generally lower the risk of future adverse health effects by a small amount for a large population. Epidemiological studies generally provide estimates of the relative risks of a particular health effect for a given increment of air pollution (e.g., often per 10 μg/m3 for PM</w:t>
      </w:r>
      <w:r w:rsidRPr="003A0138">
        <w:rPr>
          <w:vertAlign w:val="subscript"/>
        </w:rPr>
        <w:t>2.5</w:t>
      </w:r>
      <w:r w:rsidRPr="003A0138">
        <w:t>). These relative risks can be used to develop health impact functions that relate a unit reduction in air emissions to changes in the incidence of a health effect given the baseline prevalence. To value these changes in incidence, WTP for changes in risk need to be converted into WTP per statistical incidence. This measure is calculated by dividing individual WTP for a risk reduction by the related observed change in risk. For example, suppose a measure is able to reduce the risk of premature mortality from 2 in 10,000 to 1 in 10,000 (a reduction of 1 in 10,000). If individual WTP for this risk reduction is $100, then the WTP for an avoided statistical premature mortality amounts to $1 million ($100/0.0001 change in risk). Using this approach, the size of the affected population is automatically taken into account by the number of incidences forecast by the health impact functions, which are applying results from epidemiological studies to the relevant population. The same type of calculation can also produce values for statistical incidences of other health endpoints.</w:t>
      </w:r>
    </w:p>
    <w:p w14:paraId="353B75C0" w14:textId="77777777" w:rsidR="003A0138" w:rsidRPr="003A0138" w:rsidRDefault="003A0138" w:rsidP="003A0138">
      <w:pPr>
        <w:spacing w:line="276" w:lineRule="auto"/>
      </w:pPr>
      <w:r w:rsidRPr="003A0138">
        <w:t>For some health effects, such as hospital admissions, WTP estimates are generally not available. In these cases, EPA has used the cost of treating or mitigating the effect as a proxy. For example, when assessing the benefits of reduced hospital admissions EPA has used the avoided medical costs to monetize changes. This approach, sometimes referred to as cost-of-illness (COI) estimation, generally (though not necessarily in every case) understates the true value of reductions in risk of a health effect (Harrington and Portney, 1987; Berger, 1987). This is because it reflects the direct expenditures related to treatment ex post but not the value of avoided pain and suffering associated with the health endpoint, and therefore, not the full willingness to pay to avoid the illness ex ante.</w:t>
      </w:r>
    </w:p>
    <w:p w14:paraId="452126F5" w14:textId="77777777" w:rsidR="003A0138" w:rsidRPr="003A0138" w:rsidRDefault="003A0138" w:rsidP="003A0138">
      <w:pPr>
        <w:spacing w:line="276" w:lineRule="auto"/>
      </w:pPr>
      <w:r w:rsidRPr="003A0138">
        <w:t xml:space="preserve">In most cases, EPA relies on a benefit transfer approach to monetize health and non-health endpoints, instead of conducting an original revealed or stated preference study of its own. Benefits transfer takes primary research from the published literature (i.e. values or functional forms) that is deemed relevant and similar enough to the regulatory context being evaluated and adapts it to the policy being analyzed. For instance, when necessary, adjustments are made to account for the level of environmental quality change, the socio-demographic and economic characteristics of the affected population, and other factors to improve the accuracy and robustness of benefit transfer estimates. See EPA’s </w:t>
      </w:r>
      <w:r w:rsidRPr="003A0138">
        <w:rPr>
          <w:i/>
        </w:rPr>
        <w:t>Guidelines for Preparing Economic Analyses</w:t>
      </w:r>
      <w:r w:rsidRPr="003A0138">
        <w:t xml:space="preserve"> for more information on the particulars of benefits transfer.</w:t>
      </w:r>
    </w:p>
    <w:p w14:paraId="23E06789" w14:textId="77777777" w:rsidR="003A0138" w:rsidRPr="003A0138" w:rsidRDefault="003A0138" w:rsidP="00083C21">
      <w:pPr>
        <w:keepNext/>
        <w:keepLines/>
        <w:numPr>
          <w:ilvl w:val="2"/>
          <w:numId w:val="7"/>
        </w:numPr>
        <w:spacing w:before="40" w:line="276" w:lineRule="auto"/>
        <w:outlineLvl w:val="2"/>
        <w:rPr>
          <w:rFonts w:eastAsiaTheme="majorEastAsia" w:cstheme="majorBidi"/>
          <w:b/>
          <w:sz w:val="24"/>
          <w:szCs w:val="24"/>
        </w:rPr>
      </w:pPr>
      <w:bookmarkStart w:id="16" w:name="_Toc428797290"/>
      <w:bookmarkStart w:id="17" w:name="_Toc430675921"/>
      <w:bookmarkStart w:id="18" w:name="_Toc448481298"/>
      <w:r w:rsidRPr="003A0138">
        <w:rPr>
          <w:rFonts w:eastAsiaTheme="majorEastAsia" w:cstheme="majorBidi"/>
          <w:b/>
          <w:sz w:val="24"/>
          <w:szCs w:val="24"/>
        </w:rPr>
        <w:t>Temporal Dynamics of Health Impacts</w:t>
      </w:r>
      <w:bookmarkEnd w:id="16"/>
      <w:bookmarkEnd w:id="17"/>
      <w:bookmarkEnd w:id="18"/>
    </w:p>
    <w:p w14:paraId="72F0C723" w14:textId="77777777" w:rsidR="003A0138" w:rsidRPr="003A0138" w:rsidRDefault="003A0138" w:rsidP="003A0138">
      <w:pPr>
        <w:spacing w:line="276" w:lineRule="auto"/>
      </w:pPr>
      <w:r w:rsidRPr="003A0138">
        <w:t>In assessing the benefits of air pollution regulations, reductions in premature mortality associated with chronic PM</w:t>
      </w:r>
      <w:r w:rsidRPr="003A0138">
        <w:rPr>
          <w:vertAlign w:val="subscript"/>
        </w:rPr>
        <w:t>2.5</w:t>
      </w:r>
      <w:r w:rsidRPr="003A0138">
        <w:t xml:space="preserve"> exposure present unique challenges due to the importance of the temporal dynamics of exposure and health impacts. For premature mortality, there is a “cessation” lag between reduced PM</w:t>
      </w:r>
      <w:r w:rsidRPr="003A0138">
        <w:rPr>
          <w:vertAlign w:val="subscript"/>
        </w:rPr>
        <w:t>2.5</w:t>
      </w:r>
      <w:r w:rsidRPr="003A0138">
        <w:t xml:space="preserve"> exposures and the total realization of changes in mortality risk. Although the structure of the lag is uncertain, EPA follows the advice of the Health Effects Subcommittee of the Advisory Council on Clean Air Compliance Analysis and assumes a segmented lag structure characterized by 30% of mortality risk reductions in the first year, 50% over years 2 to 5, and 20% over the years 6 to 20 after the reduction in PM</w:t>
      </w:r>
      <w:r w:rsidRPr="003A0138">
        <w:rPr>
          <w:vertAlign w:val="subscript"/>
        </w:rPr>
        <w:t>2.5</w:t>
      </w:r>
      <w:r w:rsidRPr="003A0138">
        <w:t xml:space="preserve"> (US EPA, 2004a). To take this into account in the valuation of premature mortality reductions, the value in future years is discounted using rates of 3% and 7% based on OMB guidance (OMB, 2003).  Discounting is also applied in the valuation stage for endpoints such as nonfatal heart attacks, where a portion of the costs associated with the endpoint may occur in years following the event.  </w:t>
      </w:r>
    </w:p>
    <w:p w14:paraId="1A1477CA" w14:textId="77777777" w:rsidR="003A0138" w:rsidRPr="003A0138" w:rsidRDefault="003A0138" w:rsidP="00083C21">
      <w:pPr>
        <w:keepNext/>
        <w:keepLines/>
        <w:numPr>
          <w:ilvl w:val="2"/>
          <w:numId w:val="7"/>
        </w:numPr>
        <w:spacing w:before="40" w:line="276" w:lineRule="auto"/>
        <w:outlineLvl w:val="2"/>
        <w:rPr>
          <w:rFonts w:eastAsiaTheme="majorEastAsia" w:cstheme="majorBidi"/>
          <w:b/>
          <w:sz w:val="24"/>
          <w:szCs w:val="24"/>
        </w:rPr>
      </w:pPr>
      <w:bookmarkStart w:id="19" w:name="_Toc428797291"/>
      <w:bookmarkStart w:id="20" w:name="_Toc430675922"/>
      <w:bookmarkStart w:id="21" w:name="_Toc448481299"/>
      <w:r w:rsidRPr="003A0138">
        <w:rPr>
          <w:rFonts w:eastAsiaTheme="majorEastAsia" w:cstheme="majorBidi"/>
          <w:b/>
          <w:sz w:val="24"/>
          <w:szCs w:val="24"/>
        </w:rPr>
        <w:t>Income adjustments</w:t>
      </w:r>
      <w:bookmarkEnd w:id="19"/>
      <w:bookmarkEnd w:id="20"/>
      <w:bookmarkEnd w:id="21"/>
    </w:p>
    <w:p w14:paraId="1E442D6B" w14:textId="77777777" w:rsidR="003A0138" w:rsidRPr="003A0138" w:rsidRDefault="003A0138" w:rsidP="003A0138">
      <w:pPr>
        <w:spacing w:line="276" w:lineRule="auto"/>
      </w:pPr>
      <w:r w:rsidRPr="003A0138">
        <w:t>Economic theory suggests that the WTP for most goods will increase with real income (i.e., they are normal goods). There is substantial empirical evidence that the income elasticity of the WTP for marginal health risk reductions is positive, so as real income increases the WTP for environmental improvements that lead to a reduced negative health outcome also increases. However, there is uncertainty about the exact value of the income elasticity estimate. Although many analyses assume that the income elasticity of WTP is unit elastic (i.e., a 10% higher real income level implies a 10% higher WTP to reduce risk changes), some empirical evidence suggests that income elasticity may be less than one (i.e., inelastic) or greater than one (i.e. elastic).</w:t>
      </w:r>
      <w:r w:rsidRPr="003A0138">
        <w:rPr>
          <w:vertAlign w:val="superscript"/>
        </w:rPr>
        <w:footnoteReference w:id="5"/>
      </w:r>
      <w:r w:rsidRPr="003A0138">
        <w:t xml:space="preserve"> If it is inelastic (elastic), this implies that, as real income rises the WTP value also rises but at a slower (faster) rate than real income. </w:t>
      </w:r>
    </w:p>
    <w:p w14:paraId="388F1BB7" w14:textId="77777777" w:rsidR="003A0138" w:rsidRPr="003A0138" w:rsidRDefault="003A0138" w:rsidP="003A0138">
      <w:pPr>
        <w:spacing w:line="276" w:lineRule="auto"/>
      </w:pPr>
      <w:r w:rsidRPr="003A0138">
        <w:t>In addition, there may be differences in income elasticities across the WTP for different health endpoints, for example, reflecting differences between acute and chronic conditions. Reported income elasticities show that WTP is more elastic for severe health conditions and mortality risk, and more inelastic for minor conditions (Kleckner and Neumann, 1999).</w:t>
      </w:r>
      <w:r w:rsidRPr="003A0138" w:rsidDel="00A90EAE">
        <w:t xml:space="preserve"> </w:t>
      </w:r>
      <w:r w:rsidRPr="003A0138">
        <w:t xml:space="preserve">As such, EPA uses different elasticity estimates to adjust the WTP for minor health effects, severe and chronic health effects, and premature mortality. In recent regulatory analyses, EPA has used elasticities ranging from 0.14 to 0.45 depending on the health endpoint. </w:t>
      </w:r>
    </w:p>
    <w:p w14:paraId="65271E02" w14:textId="68B907E3" w:rsidR="003A0138" w:rsidRPr="003A0138" w:rsidRDefault="003A0138" w:rsidP="00083C21">
      <w:pPr>
        <w:keepNext/>
        <w:keepLines/>
        <w:numPr>
          <w:ilvl w:val="2"/>
          <w:numId w:val="3"/>
        </w:numPr>
        <w:spacing w:before="40" w:line="276" w:lineRule="auto"/>
        <w:outlineLvl w:val="1"/>
        <w:rPr>
          <w:rFonts w:eastAsiaTheme="majorEastAsia" w:cstheme="majorBidi"/>
          <w:b/>
          <w:sz w:val="24"/>
          <w:szCs w:val="26"/>
        </w:rPr>
      </w:pPr>
      <w:bookmarkStart w:id="22" w:name="_Toc428797292"/>
      <w:bookmarkStart w:id="23" w:name="_Toc430675923"/>
      <w:bookmarkStart w:id="24" w:name="_Toc448481300"/>
      <w:r w:rsidRPr="003A0138">
        <w:rPr>
          <w:rFonts w:eastAsiaTheme="majorEastAsia" w:cstheme="majorBidi"/>
          <w:b/>
          <w:sz w:val="24"/>
          <w:szCs w:val="26"/>
        </w:rPr>
        <w:t>Conducting and Presenting the</w:t>
      </w:r>
      <w:r>
        <w:rPr>
          <w:rFonts w:eastAsiaTheme="majorEastAsia" w:cstheme="majorBidi"/>
          <w:b/>
          <w:sz w:val="24"/>
          <w:szCs w:val="26"/>
        </w:rPr>
        <w:t xml:space="preserve"> Benefits</w:t>
      </w:r>
      <w:r w:rsidRPr="003A0138">
        <w:rPr>
          <w:rFonts w:eastAsiaTheme="majorEastAsia" w:cstheme="majorBidi"/>
          <w:b/>
          <w:sz w:val="24"/>
          <w:szCs w:val="26"/>
        </w:rPr>
        <w:t xml:space="preserve"> Analysis</w:t>
      </w:r>
      <w:bookmarkEnd w:id="22"/>
      <w:bookmarkEnd w:id="23"/>
      <w:bookmarkEnd w:id="24"/>
    </w:p>
    <w:p w14:paraId="28B72D76" w14:textId="77777777" w:rsidR="003A0138" w:rsidRPr="003A0138" w:rsidRDefault="003A0138" w:rsidP="003A0138">
      <w:pPr>
        <w:spacing w:line="276" w:lineRule="auto"/>
      </w:pPr>
      <w:r w:rsidRPr="003A0138">
        <w:t>In a typical benefits analysis of an air quality regulation, health impacts are calculated at a relatively fine spatial scale (e.g. at a 12km</w:t>
      </w:r>
      <w:r w:rsidRPr="003A0138">
        <w:rPr>
          <w:vertAlign w:val="superscript"/>
        </w:rPr>
        <w:t>2</w:t>
      </w:r>
      <w:r w:rsidRPr="003A0138">
        <w:t xml:space="preserve"> grid resolution) and then aggregated to state or national totals for </w:t>
      </w:r>
    </w:p>
    <w:p w14:paraId="1657CF94" w14:textId="77777777" w:rsidR="003A0138" w:rsidRPr="003A0138" w:rsidRDefault="003A0138" w:rsidP="003A0138">
      <w:pPr>
        <w:spacing w:line="276" w:lineRule="auto"/>
        <w:jc w:val="center"/>
        <w:rPr>
          <w:b/>
          <w:vertAlign w:val="superscript"/>
        </w:rPr>
      </w:pPr>
      <w:bookmarkStart w:id="25" w:name="_Ref428977043"/>
      <w:r w:rsidRPr="003A0138">
        <w:rPr>
          <w:b/>
        </w:rPr>
        <w:t xml:space="preserve">Table </w:t>
      </w:r>
      <w:r w:rsidRPr="003A0138">
        <w:rPr>
          <w:b/>
        </w:rPr>
        <w:fldChar w:fldCharType="begin"/>
      </w:r>
      <w:r w:rsidRPr="003A0138">
        <w:rPr>
          <w:b/>
        </w:rPr>
        <w:instrText xml:space="preserve"> SEQ Table \* ARABIC </w:instrText>
      </w:r>
      <w:r w:rsidRPr="003A0138">
        <w:rPr>
          <w:b/>
        </w:rPr>
        <w:fldChar w:fldCharType="separate"/>
      </w:r>
      <w:r w:rsidRPr="003A0138">
        <w:rPr>
          <w:b/>
          <w:noProof/>
        </w:rPr>
        <w:t>3</w:t>
      </w:r>
      <w:r w:rsidRPr="003A0138">
        <w:rPr>
          <w:b/>
        </w:rPr>
        <w:fldChar w:fldCharType="end"/>
      </w:r>
      <w:bookmarkEnd w:id="25"/>
      <w:r w:rsidRPr="003A0138">
        <w:rPr>
          <w:b/>
        </w:rPr>
        <w:t>: Monetized PM</w:t>
      </w:r>
      <w:r w:rsidRPr="003A0138">
        <w:rPr>
          <w:b/>
          <w:vertAlign w:val="subscript"/>
        </w:rPr>
        <w:t>2.5</w:t>
      </w:r>
      <w:r w:rsidRPr="003A0138">
        <w:rPr>
          <w:b/>
        </w:rPr>
        <w:t xml:space="preserve"> Mortality Risk Reduction Benefits for the Revised and Alternative Annual Primary PM</w:t>
      </w:r>
      <w:r w:rsidRPr="003A0138">
        <w:rPr>
          <w:b/>
          <w:vertAlign w:val="subscript"/>
        </w:rPr>
        <w:t xml:space="preserve">2.5 </w:t>
      </w:r>
      <w:r w:rsidRPr="003A0138">
        <w:rPr>
          <w:b/>
        </w:rPr>
        <w:t>Standards</w:t>
      </w:r>
      <w:r w:rsidRPr="003A0138" w:rsidDel="00CE7C50">
        <w:rPr>
          <w:b/>
        </w:rPr>
        <w:t xml:space="preserve"> </w:t>
      </w:r>
      <w:r w:rsidRPr="003A0138">
        <w:rPr>
          <w:b/>
        </w:rPr>
        <w:t>(Incremental to Analytical Baseline) (Millions of 2006$, 3% discount rate)</w:t>
      </w:r>
    </w:p>
    <w:tbl>
      <w:tblPr>
        <w:tblStyle w:val="format2"/>
        <w:tblW w:w="5000" w:type="pct"/>
        <w:tblCellMar>
          <w:left w:w="58" w:type="dxa"/>
          <w:right w:w="58" w:type="dxa"/>
        </w:tblCellMar>
        <w:tblLook w:val="01E0" w:firstRow="1" w:lastRow="1" w:firstColumn="1" w:lastColumn="1" w:noHBand="0" w:noVBand="0"/>
      </w:tblPr>
      <w:tblGrid>
        <w:gridCol w:w="3707"/>
        <w:gridCol w:w="1851"/>
        <w:gridCol w:w="1851"/>
        <w:gridCol w:w="1951"/>
      </w:tblGrid>
      <w:tr w:rsidR="003A0138" w:rsidRPr="003A0138" w14:paraId="54453B11" w14:textId="77777777" w:rsidTr="003A0138">
        <w:trPr>
          <w:cnfStyle w:val="100000000000" w:firstRow="1" w:lastRow="0" w:firstColumn="0" w:lastColumn="0" w:oddVBand="0" w:evenVBand="0" w:oddHBand="0" w:evenHBand="0" w:firstRowFirstColumn="0" w:firstRowLastColumn="0" w:lastRowFirstColumn="0" w:lastRowLastColumn="0"/>
          <w:cantSplit/>
          <w:trHeight w:val="20"/>
        </w:trPr>
        <w:tc>
          <w:tcPr>
            <w:tcW w:w="1980" w:type="pct"/>
            <w:vMerge w:val="restart"/>
            <w:tcBorders>
              <w:top w:val="single" w:sz="12" w:space="0" w:color="auto"/>
            </w:tcBorders>
          </w:tcPr>
          <w:p w14:paraId="41C30DB9" w14:textId="77777777" w:rsidR="003A0138" w:rsidRPr="003A0138" w:rsidRDefault="003A0138" w:rsidP="003A0138">
            <w:pPr>
              <w:spacing w:line="276" w:lineRule="auto"/>
              <w:rPr>
                <w:b/>
              </w:rPr>
            </w:pPr>
            <w:r w:rsidRPr="003A0138">
              <w:rPr>
                <w:b/>
              </w:rPr>
              <w:t>Health Effect</w:t>
            </w:r>
          </w:p>
        </w:tc>
        <w:tc>
          <w:tcPr>
            <w:tcW w:w="3020" w:type="pct"/>
            <w:gridSpan w:val="3"/>
            <w:tcBorders>
              <w:top w:val="single" w:sz="12" w:space="0" w:color="auto"/>
            </w:tcBorders>
          </w:tcPr>
          <w:p w14:paraId="72F24B72" w14:textId="77777777" w:rsidR="003A0138" w:rsidRPr="003A0138" w:rsidRDefault="003A0138" w:rsidP="003A0138">
            <w:pPr>
              <w:spacing w:line="276" w:lineRule="auto"/>
              <w:jc w:val="center"/>
              <w:rPr>
                <w:b/>
              </w:rPr>
            </w:pPr>
            <w:r w:rsidRPr="003A0138">
              <w:rPr>
                <w:b/>
              </w:rPr>
              <w:t>Revised and Annual Standards</w:t>
            </w:r>
            <w:r w:rsidRPr="003A0138">
              <w:rPr>
                <w:b/>
              </w:rPr>
              <w:br/>
              <w:t>(95</w:t>
            </w:r>
            <w:r w:rsidRPr="003A0138">
              <w:rPr>
                <w:b/>
                <w:vertAlign w:val="superscript"/>
              </w:rPr>
              <w:t>th</w:t>
            </w:r>
            <w:r w:rsidRPr="003A0138">
              <w:rPr>
                <w:b/>
              </w:rPr>
              <w:t xml:space="preserve"> percentile confidence interval)</w:t>
            </w:r>
          </w:p>
        </w:tc>
      </w:tr>
      <w:tr w:rsidR="003A0138" w:rsidRPr="003A0138" w14:paraId="66AAB6B3" w14:textId="77777777" w:rsidTr="003A0138">
        <w:trPr>
          <w:cantSplit/>
          <w:trHeight w:val="327"/>
        </w:trPr>
        <w:tc>
          <w:tcPr>
            <w:tcW w:w="1980" w:type="pct"/>
            <w:vMerge/>
            <w:tcBorders>
              <w:bottom w:val="single" w:sz="12" w:space="0" w:color="auto"/>
            </w:tcBorders>
            <w:vAlign w:val="bottom"/>
          </w:tcPr>
          <w:p w14:paraId="7EF7CF51" w14:textId="77777777" w:rsidR="003A0138" w:rsidRPr="003A0138" w:rsidRDefault="003A0138" w:rsidP="003A0138">
            <w:pPr>
              <w:spacing w:line="276" w:lineRule="auto"/>
            </w:pPr>
          </w:p>
        </w:tc>
        <w:tc>
          <w:tcPr>
            <w:tcW w:w="989" w:type="pct"/>
            <w:tcBorders>
              <w:bottom w:val="single" w:sz="12" w:space="0" w:color="auto"/>
            </w:tcBorders>
            <w:vAlign w:val="bottom"/>
          </w:tcPr>
          <w:p w14:paraId="03D955F5" w14:textId="77777777" w:rsidR="003A0138" w:rsidRPr="003A0138" w:rsidRDefault="003A0138" w:rsidP="003A0138">
            <w:pPr>
              <w:spacing w:line="276" w:lineRule="auto"/>
              <w:jc w:val="center"/>
            </w:pPr>
            <w:r w:rsidRPr="003A0138">
              <w:rPr>
                <w:b/>
              </w:rPr>
              <w:t>13 µg/m</w:t>
            </w:r>
            <w:r w:rsidRPr="003A0138">
              <w:rPr>
                <w:b/>
                <w:vertAlign w:val="superscript"/>
              </w:rPr>
              <w:t>3</w:t>
            </w:r>
          </w:p>
        </w:tc>
        <w:tc>
          <w:tcPr>
            <w:tcW w:w="989" w:type="pct"/>
            <w:tcBorders>
              <w:bottom w:val="single" w:sz="12" w:space="0" w:color="auto"/>
            </w:tcBorders>
            <w:shd w:val="clear" w:color="auto" w:fill="D9D9D9" w:themeFill="background1" w:themeFillShade="D9"/>
            <w:vAlign w:val="bottom"/>
          </w:tcPr>
          <w:p w14:paraId="43C35179" w14:textId="77777777" w:rsidR="003A0138" w:rsidRPr="003A0138" w:rsidRDefault="003A0138" w:rsidP="003A0138">
            <w:pPr>
              <w:spacing w:line="276" w:lineRule="auto"/>
              <w:jc w:val="center"/>
            </w:pPr>
            <w:r w:rsidRPr="003A0138">
              <w:rPr>
                <w:b/>
              </w:rPr>
              <w:t>12 µg/m</w:t>
            </w:r>
            <w:r w:rsidRPr="003A0138">
              <w:rPr>
                <w:b/>
                <w:vertAlign w:val="superscript"/>
              </w:rPr>
              <w:t>3</w:t>
            </w:r>
          </w:p>
        </w:tc>
        <w:tc>
          <w:tcPr>
            <w:tcW w:w="1043" w:type="pct"/>
            <w:tcBorders>
              <w:bottom w:val="single" w:sz="12" w:space="0" w:color="auto"/>
            </w:tcBorders>
            <w:vAlign w:val="bottom"/>
          </w:tcPr>
          <w:p w14:paraId="37197503" w14:textId="77777777" w:rsidR="003A0138" w:rsidRPr="003A0138" w:rsidRDefault="003A0138" w:rsidP="003A0138">
            <w:pPr>
              <w:spacing w:line="276" w:lineRule="auto"/>
              <w:jc w:val="center"/>
            </w:pPr>
            <w:r w:rsidRPr="003A0138">
              <w:rPr>
                <w:b/>
              </w:rPr>
              <w:t>11 µg/m</w:t>
            </w:r>
            <w:r w:rsidRPr="003A0138">
              <w:rPr>
                <w:b/>
                <w:vertAlign w:val="superscript"/>
              </w:rPr>
              <w:t>3</w:t>
            </w:r>
          </w:p>
        </w:tc>
      </w:tr>
      <w:tr w:rsidR="003A0138" w:rsidRPr="003A0138" w14:paraId="12A65D59" w14:textId="77777777" w:rsidTr="003A0138">
        <w:trPr>
          <w:cantSplit/>
          <w:trHeight w:val="20"/>
        </w:trPr>
        <w:tc>
          <w:tcPr>
            <w:tcW w:w="1980" w:type="pct"/>
            <w:vMerge w:val="restart"/>
            <w:shd w:val="clear" w:color="auto" w:fill="auto"/>
          </w:tcPr>
          <w:p w14:paraId="3E2FDD39" w14:textId="77777777" w:rsidR="003A0138" w:rsidRPr="003A0138" w:rsidRDefault="003A0138" w:rsidP="003A0138">
            <w:pPr>
              <w:spacing w:line="276" w:lineRule="auto"/>
              <w:jc w:val="left"/>
            </w:pPr>
            <w:r w:rsidRPr="003A0138">
              <w:t>Krewski et al. (2009)</w:t>
            </w:r>
            <w:r w:rsidRPr="003A0138">
              <w:br/>
            </w:r>
            <w:r w:rsidRPr="003A0138">
              <w:rPr>
                <w:lang w:val="fr-BE"/>
              </w:rPr>
              <w:t>(adult mortality age 30+)</w:t>
            </w:r>
          </w:p>
        </w:tc>
        <w:tc>
          <w:tcPr>
            <w:tcW w:w="989" w:type="pct"/>
            <w:shd w:val="clear" w:color="auto" w:fill="auto"/>
            <w:vAlign w:val="center"/>
          </w:tcPr>
          <w:p w14:paraId="4D46B8A3" w14:textId="77777777" w:rsidR="003A0138" w:rsidRPr="003A0138" w:rsidRDefault="003A0138" w:rsidP="003A0138">
            <w:pPr>
              <w:spacing w:line="276" w:lineRule="auto"/>
              <w:jc w:val="center"/>
            </w:pPr>
            <w:r w:rsidRPr="003A0138">
              <w:t>$1,300</w:t>
            </w:r>
          </w:p>
        </w:tc>
        <w:tc>
          <w:tcPr>
            <w:tcW w:w="989" w:type="pct"/>
            <w:shd w:val="clear" w:color="auto" w:fill="D9D9D9" w:themeFill="background1" w:themeFillShade="D9"/>
            <w:vAlign w:val="center"/>
          </w:tcPr>
          <w:p w14:paraId="2D261264" w14:textId="77777777" w:rsidR="003A0138" w:rsidRPr="003A0138" w:rsidRDefault="003A0138" w:rsidP="003A0138">
            <w:pPr>
              <w:spacing w:line="276" w:lineRule="auto"/>
              <w:jc w:val="center"/>
            </w:pPr>
            <w:r w:rsidRPr="003A0138">
              <w:t>$4,000</w:t>
            </w:r>
          </w:p>
        </w:tc>
        <w:tc>
          <w:tcPr>
            <w:tcW w:w="1043" w:type="pct"/>
            <w:shd w:val="clear" w:color="auto" w:fill="auto"/>
            <w:vAlign w:val="center"/>
          </w:tcPr>
          <w:p w14:paraId="289C639E" w14:textId="77777777" w:rsidR="003A0138" w:rsidRPr="003A0138" w:rsidRDefault="003A0138" w:rsidP="003A0138">
            <w:pPr>
              <w:spacing w:line="276" w:lineRule="auto"/>
              <w:jc w:val="center"/>
            </w:pPr>
            <w:r w:rsidRPr="003A0138">
              <w:t>$13,000</w:t>
            </w:r>
          </w:p>
        </w:tc>
      </w:tr>
      <w:tr w:rsidR="003A0138" w:rsidRPr="003A0138" w14:paraId="094CE38E" w14:textId="77777777" w:rsidTr="003A0138">
        <w:trPr>
          <w:cantSplit/>
          <w:trHeight w:val="20"/>
        </w:trPr>
        <w:tc>
          <w:tcPr>
            <w:tcW w:w="1980" w:type="pct"/>
            <w:vMerge/>
            <w:shd w:val="clear" w:color="auto" w:fill="auto"/>
          </w:tcPr>
          <w:p w14:paraId="1357D49C" w14:textId="77777777" w:rsidR="003A0138" w:rsidRPr="003A0138" w:rsidRDefault="003A0138" w:rsidP="003A0138">
            <w:pPr>
              <w:spacing w:line="276" w:lineRule="auto"/>
              <w:jc w:val="left"/>
            </w:pPr>
          </w:p>
        </w:tc>
        <w:tc>
          <w:tcPr>
            <w:tcW w:w="989" w:type="pct"/>
            <w:shd w:val="clear" w:color="auto" w:fill="auto"/>
            <w:vAlign w:val="center"/>
          </w:tcPr>
          <w:p w14:paraId="2B841DC5" w14:textId="77777777" w:rsidR="003A0138" w:rsidRPr="003A0138" w:rsidRDefault="003A0138" w:rsidP="003A0138">
            <w:pPr>
              <w:spacing w:line="276" w:lineRule="auto"/>
              <w:jc w:val="center"/>
            </w:pPr>
            <w:r w:rsidRPr="003A0138">
              <w:t>($120--$3,500)</w:t>
            </w:r>
          </w:p>
        </w:tc>
        <w:tc>
          <w:tcPr>
            <w:tcW w:w="989" w:type="pct"/>
            <w:shd w:val="clear" w:color="auto" w:fill="D9D9D9" w:themeFill="background1" w:themeFillShade="D9"/>
            <w:vAlign w:val="center"/>
          </w:tcPr>
          <w:p w14:paraId="0676D1C8" w14:textId="77777777" w:rsidR="003A0138" w:rsidRPr="003A0138" w:rsidRDefault="003A0138" w:rsidP="003A0138">
            <w:pPr>
              <w:spacing w:line="276" w:lineRule="auto"/>
              <w:jc w:val="center"/>
            </w:pPr>
            <w:r w:rsidRPr="003A0138">
              <w:t>($370--$11,000)</w:t>
            </w:r>
          </w:p>
        </w:tc>
        <w:tc>
          <w:tcPr>
            <w:tcW w:w="1043" w:type="pct"/>
            <w:shd w:val="clear" w:color="auto" w:fill="auto"/>
            <w:vAlign w:val="center"/>
          </w:tcPr>
          <w:p w14:paraId="175A9683" w14:textId="77777777" w:rsidR="003A0138" w:rsidRPr="003A0138" w:rsidRDefault="003A0138" w:rsidP="003A0138">
            <w:pPr>
              <w:spacing w:line="276" w:lineRule="auto"/>
              <w:jc w:val="center"/>
            </w:pPr>
            <w:r w:rsidRPr="003A0138">
              <w:t>($1,200--$35,000)</w:t>
            </w:r>
          </w:p>
        </w:tc>
      </w:tr>
      <w:tr w:rsidR="003A0138" w:rsidRPr="003A0138" w14:paraId="62EB5728" w14:textId="77777777" w:rsidTr="003A0138">
        <w:trPr>
          <w:cantSplit/>
          <w:trHeight w:val="20"/>
        </w:trPr>
        <w:tc>
          <w:tcPr>
            <w:tcW w:w="1980" w:type="pct"/>
            <w:vMerge w:val="restart"/>
            <w:shd w:val="clear" w:color="auto" w:fill="auto"/>
          </w:tcPr>
          <w:p w14:paraId="65C26865" w14:textId="77777777" w:rsidR="003A0138" w:rsidRPr="003A0138" w:rsidRDefault="003A0138" w:rsidP="003A0138">
            <w:pPr>
              <w:spacing w:line="276" w:lineRule="auto"/>
              <w:jc w:val="left"/>
            </w:pPr>
            <w:r w:rsidRPr="003A0138">
              <w:t>Lepeule et al. (2012)</w:t>
            </w:r>
            <w:r w:rsidRPr="003A0138">
              <w:br/>
            </w:r>
            <w:r w:rsidRPr="003A0138">
              <w:rPr>
                <w:lang w:val="fr-BE"/>
              </w:rPr>
              <w:t>(adult mortality age 25+)</w:t>
            </w:r>
          </w:p>
        </w:tc>
        <w:tc>
          <w:tcPr>
            <w:tcW w:w="989" w:type="pct"/>
            <w:shd w:val="clear" w:color="auto" w:fill="auto"/>
            <w:vAlign w:val="center"/>
          </w:tcPr>
          <w:p w14:paraId="6E2BD22A" w14:textId="77777777" w:rsidR="003A0138" w:rsidRPr="003A0138" w:rsidRDefault="003A0138" w:rsidP="003A0138">
            <w:pPr>
              <w:spacing w:line="276" w:lineRule="auto"/>
              <w:jc w:val="center"/>
            </w:pPr>
            <w:r w:rsidRPr="003A0138">
              <w:t>$2,900</w:t>
            </w:r>
          </w:p>
        </w:tc>
        <w:tc>
          <w:tcPr>
            <w:tcW w:w="989" w:type="pct"/>
            <w:shd w:val="clear" w:color="auto" w:fill="D9D9D9" w:themeFill="background1" w:themeFillShade="D9"/>
            <w:vAlign w:val="center"/>
          </w:tcPr>
          <w:p w14:paraId="222A8F8B" w14:textId="77777777" w:rsidR="003A0138" w:rsidRPr="003A0138" w:rsidRDefault="003A0138" w:rsidP="003A0138">
            <w:pPr>
              <w:spacing w:line="276" w:lineRule="auto"/>
              <w:jc w:val="center"/>
            </w:pPr>
            <w:r w:rsidRPr="003A0138">
              <w:t>$9,000</w:t>
            </w:r>
          </w:p>
        </w:tc>
        <w:tc>
          <w:tcPr>
            <w:tcW w:w="1043" w:type="pct"/>
            <w:shd w:val="clear" w:color="auto" w:fill="auto"/>
            <w:vAlign w:val="center"/>
          </w:tcPr>
          <w:p w14:paraId="55D18BC1" w14:textId="77777777" w:rsidR="003A0138" w:rsidRPr="003A0138" w:rsidRDefault="003A0138" w:rsidP="003A0138">
            <w:pPr>
              <w:spacing w:line="276" w:lineRule="auto"/>
              <w:jc w:val="center"/>
            </w:pPr>
            <w:r w:rsidRPr="003A0138">
              <w:t>$29,000</w:t>
            </w:r>
          </w:p>
        </w:tc>
      </w:tr>
      <w:tr w:rsidR="003A0138" w:rsidRPr="003A0138" w14:paraId="42B77D4F" w14:textId="77777777" w:rsidTr="003A0138">
        <w:trPr>
          <w:cantSplit/>
          <w:trHeight w:val="20"/>
        </w:trPr>
        <w:tc>
          <w:tcPr>
            <w:tcW w:w="1980" w:type="pct"/>
            <w:vMerge/>
            <w:shd w:val="clear" w:color="auto" w:fill="auto"/>
          </w:tcPr>
          <w:p w14:paraId="797B96E2" w14:textId="77777777" w:rsidR="003A0138" w:rsidRPr="003A0138" w:rsidRDefault="003A0138" w:rsidP="003A0138">
            <w:pPr>
              <w:spacing w:line="276" w:lineRule="auto"/>
              <w:jc w:val="left"/>
            </w:pPr>
          </w:p>
        </w:tc>
        <w:tc>
          <w:tcPr>
            <w:tcW w:w="989" w:type="pct"/>
            <w:shd w:val="clear" w:color="auto" w:fill="auto"/>
            <w:vAlign w:val="center"/>
          </w:tcPr>
          <w:p w14:paraId="155857E3" w14:textId="77777777" w:rsidR="003A0138" w:rsidRPr="003A0138" w:rsidRDefault="003A0138" w:rsidP="003A0138">
            <w:pPr>
              <w:spacing w:line="276" w:lineRule="auto"/>
              <w:jc w:val="center"/>
            </w:pPr>
            <w:r w:rsidRPr="003A0138">
              <w:t>($250--$8,100)</w:t>
            </w:r>
          </w:p>
        </w:tc>
        <w:tc>
          <w:tcPr>
            <w:tcW w:w="989" w:type="pct"/>
            <w:shd w:val="clear" w:color="auto" w:fill="D9D9D9" w:themeFill="background1" w:themeFillShade="D9"/>
            <w:vAlign w:val="center"/>
          </w:tcPr>
          <w:p w14:paraId="793055A3" w14:textId="77777777" w:rsidR="003A0138" w:rsidRPr="003A0138" w:rsidRDefault="003A0138" w:rsidP="003A0138">
            <w:pPr>
              <w:spacing w:line="276" w:lineRule="auto"/>
              <w:jc w:val="center"/>
            </w:pPr>
            <w:r w:rsidRPr="003A0138">
              <w:t>($800--$26,000)</w:t>
            </w:r>
          </w:p>
        </w:tc>
        <w:tc>
          <w:tcPr>
            <w:tcW w:w="1043" w:type="pct"/>
            <w:shd w:val="clear" w:color="auto" w:fill="auto"/>
            <w:vAlign w:val="center"/>
          </w:tcPr>
          <w:p w14:paraId="4E523491" w14:textId="77777777" w:rsidR="003A0138" w:rsidRPr="003A0138" w:rsidRDefault="003A0138" w:rsidP="003A0138">
            <w:pPr>
              <w:spacing w:line="276" w:lineRule="auto"/>
              <w:jc w:val="center"/>
            </w:pPr>
            <w:r w:rsidRPr="003A0138">
              <w:t>($2,600--$82,000)</w:t>
            </w:r>
          </w:p>
        </w:tc>
      </w:tr>
      <w:tr w:rsidR="003A0138" w:rsidRPr="003A0138" w14:paraId="65003138" w14:textId="77777777" w:rsidTr="003A0138">
        <w:trPr>
          <w:cantSplit/>
          <w:trHeight w:val="20"/>
        </w:trPr>
        <w:tc>
          <w:tcPr>
            <w:tcW w:w="1980" w:type="pct"/>
            <w:vMerge w:val="restart"/>
            <w:shd w:val="clear" w:color="auto" w:fill="auto"/>
          </w:tcPr>
          <w:p w14:paraId="144F295A" w14:textId="77777777" w:rsidR="003A0138" w:rsidRPr="003A0138" w:rsidRDefault="003A0138" w:rsidP="003A0138">
            <w:pPr>
              <w:spacing w:line="276" w:lineRule="auto"/>
              <w:jc w:val="left"/>
              <w:rPr>
                <w:lang w:val="fr-BE"/>
              </w:rPr>
            </w:pPr>
            <w:r w:rsidRPr="003A0138">
              <w:rPr>
                <w:lang w:val="fr-BE"/>
              </w:rPr>
              <w:t>Woodruff et al. (1997)</w:t>
            </w:r>
            <w:r w:rsidRPr="003A0138">
              <w:rPr>
                <w:lang w:val="fr-BE"/>
              </w:rPr>
              <w:br/>
              <w:t>(infant mortality)</w:t>
            </w:r>
          </w:p>
        </w:tc>
        <w:tc>
          <w:tcPr>
            <w:tcW w:w="989" w:type="pct"/>
            <w:shd w:val="clear" w:color="auto" w:fill="auto"/>
            <w:vAlign w:val="center"/>
          </w:tcPr>
          <w:p w14:paraId="3BF21984" w14:textId="77777777" w:rsidR="003A0138" w:rsidRPr="003A0138" w:rsidRDefault="003A0138" w:rsidP="003A0138">
            <w:pPr>
              <w:spacing w:line="276" w:lineRule="auto"/>
              <w:jc w:val="center"/>
            </w:pPr>
            <w:r w:rsidRPr="003A0138">
              <w:t>$3.4</w:t>
            </w:r>
          </w:p>
        </w:tc>
        <w:tc>
          <w:tcPr>
            <w:tcW w:w="989" w:type="pct"/>
            <w:shd w:val="clear" w:color="auto" w:fill="D9D9D9" w:themeFill="background1" w:themeFillShade="D9"/>
            <w:vAlign w:val="center"/>
          </w:tcPr>
          <w:p w14:paraId="51C9C328" w14:textId="77777777" w:rsidR="003A0138" w:rsidRPr="003A0138" w:rsidRDefault="003A0138" w:rsidP="003A0138">
            <w:pPr>
              <w:spacing w:line="276" w:lineRule="auto"/>
              <w:jc w:val="center"/>
            </w:pPr>
            <w:r w:rsidRPr="003A0138">
              <w:t>$11</w:t>
            </w:r>
          </w:p>
        </w:tc>
        <w:tc>
          <w:tcPr>
            <w:tcW w:w="1043" w:type="pct"/>
            <w:shd w:val="clear" w:color="auto" w:fill="auto"/>
            <w:vAlign w:val="center"/>
          </w:tcPr>
          <w:p w14:paraId="4450A614" w14:textId="77777777" w:rsidR="003A0138" w:rsidRPr="003A0138" w:rsidRDefault="003A0138" w:rsidP="003A0138">
            <w:pPr>
              <w:spacing w:line="276" w:lineRule="auto"/>
              <w:jc w:val="center"/>
            </w:pPr>
            <w:r w:rsidRPr="003A0138">
              <w:t>$35</w:t>
            </w:r>
          </w:p>
        </w:tc>
      </w:tr>
      <w:tr w:rsidR="003A0138" w:rsidRPr="003A0138" w14:paraId="187F455F" w14:textId="77777777" w:rsidTr="003A0138">
        <w:trPr>
          <w:cnfStyle w:val="010000000000" w:firstRow="0" w:lastRow="1" w:firstColumn="0" w:lastColumn="0" w:oddVBand="0" w:evenVBand="0" w:oddHBand="0" w:evenHBand="0" w:firstRowFirstColumn="0" w:firstRowLastColumn="0" w:lastRowFirstColumn="0" w:lastRowLastColumn="0"/>
          <w:cantSplit/>
          <w:trHeight w:val="20"/>
        </w:trPr>
        <w:tc>
          <w:tcPr>
            <w:tcW w:w="1980" w:type="pct"/>
            <w:vMerge/>
            <w:tcBorders>
              <w:bottom w:val="single" w:sz="12" w:space="0" w:color="auto"/>
            </w:tcBorders>
            <w:shd w:val="clear" w:color="auto" w:fill="auto"/>
          </w:tcPr>
          <w:p w14:paraId="536D1705" w14:textId="77777777" w:rsidR="003A0138" w:rsidRPr="003A0138" w:rsidRDefault="003A0138" w:rsidP="003A0138">
            <w:pPr>
              <w:spacing w:line="276" w:lineRule="auto"/>
              <w:rPr>
                <w:lang w:val="fr-BE"/>
              </w:rPr>
            </w:pPr>
          </w:p>
        </w:tc>
        <w:tc>
          <w:tcPr>
            <w:tcW w:w="989" w:type="pct"/>
            <w:tcBorders>
              <w:bottom w:val="single" w:sz="12" w:space="0" w:color="auto"/>
            </w:tcBorders>
            <w:shd w:val="clear" w:color="auto" w:fill="auto"/>
            <w:vAlign w:val="center"/>
          </w:tcPr>
          <w:p w14:paraId="1B190751" w14:textId="77777777" w:rsidR="003A0138" w:rsidRPr="003A0138" w:rsidRDefault="003A0138" w:rsidP="003A0138">
            <w:pPr>
              <w:spacing w:line="276" w:lineRule="auto"/>
              <w:jc w:val="center"/>
            </w:pPr>
            <w:r w:rsidRPr="003A0138">
              <w:t>($0.29--$10)</w:t>
            </w:r>
          </w:p>
        </w:tc>
        <w:tc>
          <w:tcPr>
            <w:tcW w:w="989" w:type="pct"/>
            <w:tcBorders>
              <w:bottom w:val="single" w:sz="12" w:space="0" w:color="auto"/>
            </w:tcBorders>
            <w:shd w:val="clear" w:color="auto" w:fill="D9D9D9" w:themeFill="background1" w:themeFillShade="D9"/>
            <w:vAlign w:val="center"/>
          </w:tcPr>
          <w:p w14:paraId="2A3A6281" w14:textId="77777777" w:rsidR="003A0138" w:rsidRPr="003A0138" w:rsidRDefault="003A0138" w:rsidP="003A0138">
            <w:pPr>
              <w:spacing w:line="276" w:lineRule="auto"/>
              <w:jc w:val="center"/>
            </w:pPr>
            <w:r w:rsidRPr="003A0138">
              <w:t>($0.91--$32)</w:t>
            </w:r>
          </w:p>
        </w:tc>
        <w:tc>
          <w:tcPr>
            <w:tcW w:w="1043" w:type="pct"/>
            <w:tcBorders>
              <w:bottom w:val="single" w:sz="12" w:space="0" w:color="auto"/>
            </w:tcBorders>
            <w:shd w:val="clear" w:color="auto" w:fill="auto"/>
            <w:vAlign w:val="center"/>
          </w:tcPr>
          <w:p w14:paraId="1CE1AB8F" w14:textId="77777777" w:rsidR="003A0138" w:rsidRPr="003A0138" w:rsidRDefault="003A0138" w:rsidP="003A0138">
            <w:pPr>
              <w:spacing w:line="276" w:lineRule="auto"/>
              <w:jc w:val="center"/>
            </w:pPr>
            <w:r w:rsidRPr="003A0138">
              <w:t>($3.0--$100)</w:t>
            </w:r>
          </w:p>
        </w:tc>
      </w:tr>
    </w:tbl>
    <w:p w14:paraId="65951EBB" w14:textId="77777777" w:rsidR="003A0138" w:rsidRPr="003A0138" w:rsidRDefault="003A0138" w:rsidP="003A0138">
      <w:pPr>
        <w:pBdr>
          <w:bottom w:val="single" w:sz="12" w:space="1" w:color="auto"/>
        </w:pBdr>
        <w:spacing w:before="240" w:line="276" w:lineRule="auto"/>
        <w:rPr>
          <w:sz w:val="16"/>
          <w:szCs w:val="16"/>
        </w:rPr>
      </w:pPr>
      <w:r w:rsidRPr="003A0138">
        <w:rPr>
          <w:sz w:val="16"/>
          <w:szCs w:val="16"/>
        </w:rPr>
        <w:t>Notes:</w:t>
      </w:r>
    </w:p>
    <w:p w14:paraId="24C8E83E" w14:textId="77777777" w:rsidR="003A0138" w:rsidRPr="003A0138" w:rsidRDefault="003A0138" w:rsidP="003A0138">
      <w:pPr>
        <w:pBdr>
          <w:bottom w:val="single" w:sz="12" w:space="1" w:color="auto"/>
        </w:pBdr>
        <w:spacing w:line="276" w:lineRule="auto"/>
        <w:rPr>
          <w:sz w:val="16"/>
          <w:szCs w:val="16"/>
          <w:vertAlign w:val="superscript"/>
        </w:rPr>
      </w:pPr>
      <w:r w:rsidRPr="003A0138">
        <w:rPr>
          <w:sz w:val="16"/>
          <w:szCs w:val="16"/>
        </w:rPr>
        <w:t>1. Reproduced from Table 5-19 of the Regulatory Impact Analysis for the 2012 PM NAAQS.</w:t>
      </w:r>
      <w:r w:rsidRPr="003A0138">
        <w:rPr>
          <w:sz w:val="16"/>
          <w:szCs w:val="16"/>
          <w:vertAlign w:val="superscript"/>
        </w:rPr>
        <w:tab/>
      </w:r>
    </w:p>
    <w:p w14:paraId="4A82531C" w14:textId="77777777" w:rsidR="003A0138" w:rsidRPr="003A0138" w:rsidRDefault="003A0138" w:rsidP="003A0138">
      <w:pPr>
        <w:pBdr>
          <w:bottom w:val="single" w:sz="12" w:space="1" w:color="auto"/>
        </w:pBdr>
        <w:spacing w:line="276" w:lineRule="auto"/>
        <w:rPr>
          <w:sz w:val="16"/>
          <w:szCs w:val="16"/>
        </w:rPr>
      </w:pPr>
      <w:r w:rsidRPr="003A0138">
        <w:rPr>
          <w:sz w:val="16"/>
          <w:szCs w:val="16"/>
        </w:rPr>
        <w:t>2. All estimates are rounded to two significant digits. Estimates do not include unquantified health benefits noted in Table 5-2 or Section 5.6.5 or welfare co-benefits noted in Chapter 6. These estimates reflect incremental emissions reductions from an analytical baseline that gives “an adjustment” to the San Joaquin and South Coast areas in California for NOx emissions reductions expected to occur between 2020 and 2025, when those areas are expected to demonstrate attainment with the revised standards. Full benefits of the revised standards in those two areas will not be realized until 2025.</w:t>
      </w:r>
    </w:p>
    <w:p w14:paraId="04BB490B" w14:textId="77777777" w:rsidR="003A0138" w:rsidRPr="003A0138" w:rsidRDefault="003A0138" w:rsidP="003A0138">
      <w:pPr>
        <w:pBdr>
          <w:bottom w:val="single" w:sz="12" w:space="1" w:color="auto"/>
        </w:pBdr>
        <w:spacing w:line="276" w:lineRule="auto"/>
        <w:rPr>
          <w:sz w:val="16"/>
          <w:szCs w:val="16"/>
        </w:rPr>
      </w:pPr>
      <w:r w:rsidRPr="003A0138">
        <w:rPr>
          <w:sz w:val="16"/>
          <w:szCs w:val="16"/>
        </w:rPr>
        <w:t>3. The reduction in premature fatalities each year accounts for over 98% of total monetized benefits in this analysis. Mortality risk valuation assumes discounting over the SAB-recommended 20-year segmented lag structure.</w:t>
      </w:r>
    </w:p>
    <w:p w14:paraId="1FEDE5BE" w14:textId="77777777" w:rsidR="003A0138" w:rsidRPr="003A0138" w:rsidRDefault="003A0138" w:rsidP="003A0138">
      <w:pPr>
        <w:spacing w:line="276" w:lineRule="auto"/>
      </w:pPr>
    </w:p>
    <w:p w14:paraId="04936D17" w14:textId="77777777" w:rsidR="003A0138" w:rsidRPr="003A0138" w:rsidRDefault="003A0138" w:rsidP="003A0138">
      <w:pPr>
        <w:spacing w:line="276" w:lineRule="auto"/>
      </w:pPr>
      <w:r w:rsidRPr="003A0138">
        <w:t>presentation. Central estimates of health impacts are presented along with estimated 5</w:t>
      </w:r>
      <w:r w:rsidRPr="003A0138">
        <w:rPr>
          <w:vertAlign w:val="superscript"/>
        </w:rPr>
        <w:t>th</w:t>
      </w:r>
      <w:r w:rsidRPr="003A0138">
        <w:t xml:space="preserve"> and 95</w:t>
      </w:r>
      <w:r w:rsidRPr="003A0138">
        <w:rPr>
          <w:vertAlign w:val="superscript"/>
        </w:rPr>
        <w:t>th</w:t>
      </w:r>
      <w:r w:rsidRPr="003A0138">
        <w:t xml:space="preserve"> percentiles, based on standard errors around the effect estimates from the epidemiological literature. Central estimates of monetized values of health impacts are also presented along with confidence intervals that reflect uncertainties in both the health impacts and unit values (e.g., WTP per case of disease or hospital admissions).  Table </w:t>
      </w:r>
      <w:r w:rsidRPr="003A0138">
        <w:fldChar w:fldCharType="begin"/>
      </w:r>
      <w:r w:rsidRPr="003A0138">
        <w:instrText xml:space="preserve"> REF _Ref428977043 \h  \* MERGEFORMAT </w:instrText>
      </w:r>
      <w:r w:rsidRPr="003A0138">
        <w:fldChar w:fldCharType="separate"/>
      </w:r>
      <w:r w:rsidRPr="003A0138">
        <w:rPr>
          <w:noProof/>
        </w:rPr>
        <w:t>Table</w:t>
      </w:r>
      <w:r w:rsidRPr="003A0138">
        <w:rPr>
          <w:b/>
        </w:rPr>
        <w:t xml:space="preserve"> </w:t>
      </w:r>
      <w:r w:rsidRPr="003A0138">
        <w:rPr>
          <w:b/>
          <w:noProof/>
        </w:rPr>
        <w:t>3</w:t>
      </w:r>
      <w:r w:rsidRPr="003A0138">
        <w:fldChar w:fldCharType="end"/>
      </w:r>
      <w:r w:rsidRPr="003A0138">
        <w:t xml:space="preserve"> provides an example of how economic benefits are presented based on the recent RIA for the 2012 PM NAAQS rule (U.S. EPA, 2012).</w:t>
      </w:r>
    </w:p>
    <w:p w14:paraId="26CCAE46" w14:textId="77777777" w:rsidR="003A0138" w:rsidRPr="003A0138" w:rsidRDefault="003A0138" w:rsidP="003A0138">
      <w:pPr>
        <w:spacing w:line="276" w:lineRule="auto"/>
      </w:pPr>
      <w:r w:rsidRPr="003A0138">
        <w:t>In addition to the limited uncertainty analysis focused on propagating standard errors from the epidemiological studies, benefits analyses typically include a number of sensitivity analyses for important analytical choices, such as alternative effect estimates, functional forms (e.g. threshold models), discount rates, lag structures, and inclusion of additional endpoints. While these sensitivity analyses are not formal uncertainty assessments, they provide insights into how sensitive overall benefit estimates are to different assumptions. In general, because of the large impact of PM</w:t>
      </w:r>
      <w:r w:rsidRPr="003A0138">
        <w:rPr>
          <w:vertAlign w:val="subscript"/>
        </w:rPr>
        <w:t>2.5</w:t>
      </w:r>
      <w:r w:rsidRPr="003A0138">
        <w:t xml:space="preserve"> on premature mortality and the large magnitude of the VSL, total benefits are most sensitive to assumptions regarding the PM</w:t>
      </w:r>
      <w:r w:rsidRPr="003A0138">
        <w:rPr>
          <w:vertAlign w:val="subscript"/>
        </w:rPr>
        <w:t>2.5</w:t>
      </w:r>
      <w:r w:rsidRPr="003A0138">
        <w:t xml:space="preserve"> health impact and valuation functions.</w:t>
      </w:r>
    </w:p>
    <w:p w14:paraId="6E8513A7" w14:textId="578044B3" w:rsidR="003A0138" w:rsidRPr="00713B93" w:rsidRDefault="003A0138" w:rsidP="00C04050">
      <w:pPr>
        <w:spacing w:line="276" w:lineRule="auto"/>
      </w:pPr>
      <w:r w:rsidRPr="003A0138">
        <w:t xml:space="preserve">Because of the resource and time requirements required to generate air quality modeling results (e.g., months for a single year’s baseline and policy scenario), typical EPA benefits analyses choose one or two analytical “snapshot” years, usually reflecting a year when full implementation of the regulation is expected to have occurred (or as close to full implementation as possible given future year air quality modeling constraints). Benefits are calculated only for these snapshot years, and thus are not representative of an annualized stream of benefits or a net present value of benefits. They are simply the annual benefits resulting from emissions reductions occurring during that snapshot year. In a few cases, such as the analysis of the non-road diesel regulations issued in 2004, EPA estimated benefits in multiple years and interpolated benefits to generate a stream of benefits over the full implementation period for the regulation (U.S. EPA, 2004b). </w:t>
      </w:r>
    </w:p>
    <w:p w14:paraId="1D708208" w14:textId="187173EF" w:rsidR="003A0138" w:rsidRDefault="003A0138" w:rsidP="00B12DA8">
      <w:pPr>
        <w:pStyle w:val="Heading2"/>
      </w:pPr>
      <w:bookmarkStart w:id="26" w:name="_Toc448481301"/>
      <w:bookmarkStart w:id="27" w:name="_Toc427324749"/>
      <w:r>
        <w:t>Measuring Social Cost</w:t>
      </w:r>
      <w:bookmarkEnd w:id="26"/>
    </w:p>
    <w:p w14:paraId="69AFDC8F" w14:textId="2E4E4B3C" w:rsidR="003A0138" w:rsidRPr="00A77FB2" w:rsidRDefault="003A0138" w:rsidP="003A0138">
      <w:pPr>
        <w:spacing w:line="276" w:lineRule="auto"/>
      </w:pPr>
      <w:r w:rsidRPr="00A77FB2">
        <w:t xml:space="preserve">This section </w:t>
      </w:r>
      <w:r>
        <w:t>begins with a discussion and comparison of</w:t>
      </w:r>
      <w:r w:rsidRPr="00A77FB2">
        <w:t xml:space="preserve"> the types of outputs often used to characterize economy-wide social cost (e.g., equivalent valuation, household consumption, GDP, etc.) and their potential relevance with respect to characterizing changes in economic welfare. </w:t>
      </w:r>
      <w:r>
        <w:t>It then describes engineering and partial equilibrium approaches to estimating social cost, and finally, the use of economy-wide models to estimate social costs of air regulations.</w:t>
      </w:r>
    </w:p>
    <w:p w14:paraId="1AAD46D3" w14:textId="77777777" w:rsidR="003A0138" w:rsidRPr="00ED46C4" w:rsidRDefault="003A0138" w:rsidP="003A0138">
      <w:pPr>
        <w:spacing w:line="276" w:lineRule="auto"/>
      </w:pPr>
      <w:r>
        <w:t>The</w:t>
      </w:r>
      <w:r w:rsidRPr="00ED46C4">
        <w:t xml:space="preserve"> Office of Management and Budget’s Circular A-4 (2003)</w:t>
      </w:r>
      <w:r>
        <w:t xml:space="preserve"> states:</w:t>
      </w:r>
    </w:p>
    <w:p w14:paraId="0482BD36" w14:textId="77777777" w:rsidR="003A0138" w:rsidRPr="00ED46C4" w:rsidRDefault="003A0138" w:rsidP="003A0138">
      <w:pPr>
        <w:spacing w:line="276" w:lineRule="auto"/>
        <w:ind w:left="720"/>
      </w:pPr>
      <w:r w:rsidRPr="00A77FB2">
        <w:t xml:space="preserve">“Both benefits and costs are measured by the value that individuals place on the change resulting from a particular regulatory alternative. This value is typically and most easily measured in terms of the amount of money the individual would pay (“willingness to pay” (WTP)) or require as compensation (“willingness </w:t>
      </w:r>
      <w:r w:rsidRPr="00ED46C4">
        <w:t>to accept” (WTA)), so that the individual is indifferent between the current state of the world (baseline), on the one hand, and the consequences of the regulatory alternative along with the monetary payment, on the other hand.”</w:t>
      </w:r>
    </w:p>
    <w:p w14:paraId="26A168B5" w14:textId="77777777" w:rsidR="003A0138" w:rsidRPr="00ED46C4" w:rsidRDefault="003A0138" w:rsidP="003A0138">
      <w:pPr>
        <w:spacing w:line="276" w:lineRule="auto"/>
      </w:pPr>
      <w:r w:rsidRPr="00ED46C4">
        <w:t>When measuring aggregate social costs, economists often estimate equivalent variation (EV) or compensating variation (CV). Both of these are monetary measures of the change in utility brought about by changes in prices and incomes, and focus on changes in consumer welfare rather than on changes in total final demand (U.S. EPA, 2010</w:t>
      </w:r>
      <w:r>
        <w:t>a</w:t>
      </w:r>
      <w:r w:rsidRPr="00ED46C4">
        <w:t>). The difference between them depends on whether the change is assumed to occur (EV), or whether it is not yet in place (CV).  For instance, EV measures what a consumer would be willing to pay to avoid an increase in prices (and thus, a decline in real income) resulting from a regulation going into effect. In contrast, CV measures how much a consumer would need to be compensated to accept changes in prices and income such that the consumer achieves the same level of utility experienced prior to the policy shock.</w:t>
      </w:r>
    </w:p>
    <w:p w14:paraId="193AA20D" w14:textId="77777777" w:rsidR="003A0138" w:rsidRPr="00713B93" w:rsidRDefault="003A0138" w:rsidP="003A0138">
      <w:pPr>
        <w:spacing w:line="276" w:lineRule="auto"/>
      </w:pPr>
      <w:r w:rsidRPr="00ED46C4">
        <w:t>CGE models use a number of metrics to report economic costs associated with a policy shock.</w:t>
      </w:r>
      <w:r w:rsidRPr="00713B93">
        <w:rPr>
          <w:vertAlign w:val="superscript"/>
        </w:rPr>
        <w:footnoteReference w:id="6"/>
      </w:r>
      <w:r w:rsidRPr="00713B93">
        <w:t xml:space="preserve"> Because changes in consumer welfare encompass more than just market activities – for instance, there is a monetary value to leisure – welfare changes (without accounting for social benefits) are typically measured as changes in EV.</w:t>
      </w:r>
      <w:r w:rsidRPr="00713B93">
        <w:rPr>
          <w:rStyle w:val="FootnoteReference"/>
        </w:rPr>
        <w:footnoteReference w:id="7"/>
      </w:r>
      <w:r w:rsidRPr="00713B93">
        <w:t xml:space="preserve">  Changes in household consumption are also typically reported</w:t>
      </w:r>
      <w:r>
        <w:t xml:space="preserve"> by CGE models</w:t>
      </w:r>
      <w:r w:rsidRPr="00713B93">
        <w:t>, though this measure omits consideration of how the introduction of a new policy affects leisure. In the context of a carbon tax o</w:t>
      </w:r>
      <w:r w:rsidRPr="009B1C39">
        <w:t>r cap-and-trade policy, the change in consumption is usually larger than the change in consumer welfare “because an increase in the price of consumption</w:t>
      </w:r>
      <w:r w:rsidRPr="0052723E">
        <w:t xml:space="preserve"> (due to an increase in energy prices) leads to a reallocation of time to non-market activities” (Paltsev et al.</w:t>
      </w:r>
      <w:r w:rsidRPr="00E17F17">
        <w:t>,</w:t>
      </w:r>
      <w:r w:rsidRPr="00B12DA8">
        <w:t xml:space="preserve"> 2009).</w:t>
      </w:r>
      <w:r w:rsidRPr="00713B93">
        <w:rPr>
          <w:vertAlign w:val="superscript"/>
        </w:rPr>
        <w:footnoteReference w:id="8"/>
      </w:r>
      <w:r w:rsidRPr="00713B93">
        <w:t xml:space="preserve"> In other words, reductions in time worked are offset by increases in leisure time. The </w:t>
      </w:r>
      <w:r w:rsidRPr="009B1C39">
        <w:t>extent</w:t>
      </w:r>
      <w:r w:rsidRPr="0052723E">
        <w:t xml:space="preserve"> to which EV and consumption measures differ depends on what is assumed about the responsiveness of labor supply to changes in wage rates (i.e., if labor supply is completely inelastic, these measures do not differ)</w:t>
      </w:r>
      <w:r w:rsidRPr="00E17F17">
        <w:t xml:space="preserve"> (Paltsev and Capros</w:t>
      </w:r>
      <w:r w:rsidRPr="00B12DA8">
        <w:t>, 2013)</w:t>
      </w:r>
      <w:r w:rsidRPr="00C415B0">
        <w:t>.</w:t>
      </w:r>
      <w:r w:rsidRPr="00713B93">
        <w:rPr>
          <w:vertAlign w:val="superscript"/>
        </w:rPr>
        <w:footnoteReference w:id="9"/>
      </w:r>
      <w:r w:rsidRPr="00713B93">
        <w:t xml:space="preserve"> </w:t>
      </w:r>
    </w:p>
    <w:p w14:paraId="79678C55" w14:textId="77777777" w:rsidR="003A0138" w:rsidRPr="00E16A96" w:rsidRDefault="003A0138" w:rsidP="003A0138">
      <w:pPr>
        <w:spacing w:line="276" w:lineRule="auto"/>
      </w:pPr>
      <w:r w:rsidRPr="009B1C39">
        <w:t>Conceptually, it should be noted that a welfare mea</w:t>
      </w:r>
      <w:r w:rsidRPr="0052723E">
        <w:t xml:space="preserve">sure of the social cost of a regulation is generally not the same as a change in gross domestic product (GDP). GDP is defined as </w:t>
      </w:r>
      <w:r w:rsidRPr="00E17F17">
        <w:t xml:space="preserve">the sum of the value </w:t>
      </w:r>
      <w:r w:rsidRPr="00B12DA8">
        <w:t>(price times quantity) of all market</w:t>
      </w:r>
      <w:r w:rsidRPr="00FA0302">
        <w:t xml:space="preserve"> goods and services produced in the economy and is equal to </w:t>
      </w:r>
      <w:r w:rsidRPr="00364008">
        <w:t xml:space="preserve">Consumption (C) + Investment (I) + Government (G) + (Exports (X) – Imports (M)). As a measure of economic activity, it should be immediately evident from the definition that it </w:t>
      </w:r>
      <w:r w:rsidRPr="00ED46C4">
        <w:t>is not the same as consumption and also misses effects on leisure. When a model incorporates environmental quality, a welfare measure also captures changes in the value of nonmarket goo</w:t>
      </w:r>
      <w:r w:rsidRPr="00E16A96">
        <w:t xml:space="preserve">ds, </w:t>
      </w:r>
      <w:r>
        <w:t>while</w:t>
      </w:r>
      <w:r w:rsidRPr="00E16A96">
        <w:t xml:space="preserve"> GDP does not.</w:t>
      </w:r>
    </w:p>
    <w:p w14:paraId="147FA140" w14:textId="77777777" w:rsidR="003A0138" w:rsidRPr="00ED46C4" w:rsidRDefault="003A0138" w:rsidP="003A0138">
      <w:pPr>
        <w:spacing w:line="276" w:lineRule="auto"/>
      </w:pPr>
      <w:r w:rsidRPr="00291A63">
        <w:t xml:space="preserve">Paltsev et al. (2009) show that the cost of meeting targets consistent with an 80 percent reduction in U.S. GHG emissions by 2050 is lowest when measured in terms of EV, followed by consumption, and finally GDP.  GDP impacts are larger due, in part, to double counting. For instance, reductions in investment due to the policy are counted as part of the I component of GDP in the year they </w:t>
      </w:r>
      <w:r w:rsidRPr="00ED46C4">
        <w:t>occur, but decreases in future consumption that result from the decline in the capital stock are counted again in the C component of GDP in future years. The prospective study of the effects of the Clean Air Act Amendments from 1990-2020 (</w:t>
      </w:r>
      <w:r>
        <w:t xml:space="preserve">U.S. </w:t>
      </w:r>
      <w:r w:rsidRPr="00ED46C4">
        <w:t>EPA, 2011</w:t>
      </w:r>
      <w:r>
        <w:t>a</w:t>
      </w:r>
      <w:r w:rsidRPr="00ED46C4">
        <w:t xml:space="preserve">) found a similar trend (see Figure 6). However, Paltsev and Capros (2013) note that the direction of the difference between effects of a policy as measured by GDP versus consumption varies with time period and scenario in some models. </w:t>
      </w:r>
    </w:p>
    <w:p w14:paraId="7F59DE33" w14:textId="77777777" w:rsidR="003A0138" w:rsidRDefault="003A0138" w:rsidP="003A0138">
      <w:pPr>
        <w:jc w:val="left"/>
        <w:rPr>
          <w:b/>
        </w:rPr>
      </w:pPr>
      <w:r>
        <w:rPr>
          <w:b/>
        </w:rPr>
        <w:br w:type="page"/>
      </w:r>
    </w:p>
    <w:p w14:paraId="35AE5572" w14:textId="77777777" w:rsidR="003A0138" w:rsidRPr="00ED46C4" w:rsidRDefault="003A0138" w:rsidP="003A0138">
      <w:pPr>
        <w:spacing w:after="0" w:line="276" w:lineRule="auto"/>
        <w:jc w:val="center"/>
        <w:rPr>
          <w:b/>
        </w:rPr>
      </w:pPr>
      <w:r w:rsidRPr="00ED46C4">
        <w:rPr>
          <w:b/>
        </w:rPr>
        <w:t xml:space="preserve">Figure 6: Social Cost Measures vs. GDP Effects of Clean Air Act Amendments: 2010 - 2020 </w:t>
      </w:r>
    </w:p>
    <w:p w14:paraId="7C10C742" w14:textId="77777777" w:rsidR="003A0138" w:rsidRPr="00E16A96" w:rsidRDefault="003A0138" w:rsidP="003A0138">
      <w:pPr>
        <w:spacing w:after="0" w:line="276" w:lineRule="auto"/>
        <w:jc w:val="center"/>
        <w:rPr>
          <w:b/>
        </w:rPr>
      </w:pPr>
      <w:r w:rsidRPr="00E16A96">
        <w:rPr>
          <w:b/>
        </w:rPr>
        <w:t>(Percent Change)</w:t>
      </w:r>
    </w:p>
    <w:p w14:paraId="2AB92ECE" w14:textId="77777777" w:rsidR="003A0138" w:rsidRPr="00713B93" w:rsidRDefault="003A0138" w:rsidP="003A0138">
      <w:pPr>
        <w:spacing w:line="276" w:lineRule="auto"/>
        <w:jc w:val="center"/>
        <w:rPr>
          <w:b/>
        </w:rPr>
      </w:pPr>
      <w:r w:rsidRPr="00713B93">
        <w:rPr>
          <w:noProof/>
        </w:rPr>
        <w:drawing>
          <wp:inline distT="0" distB="0" distL="0" distR="0" wp14:anchorId="23767B5B" wp14:editId="13672AA0">
            <wp:extent cx="5057775" cy="2590800"/>
            <wp:effectExtent l="0" t="0" r="9525"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D456A2F" w14:textId="77777777" w:rsidR="003A0138" w:rsidRPr="0052723E" w:rsidRDefault="003A0138" w:rsidP="003A0138">
      <w:pPr>
        <w:spacing w:line="276" w:lineRule="auto"/>
      </w:pPr>
      <w:r w:rsidRPr="009B1C39">
        <w:tab/>
      </w:r>
      <w:r w:rsidRPr="009B1C39">
        <w:tab/>
      </w:r>
      <w:r w:rsidRPr="009B1C39">
        <w:tab/>
      </w:r>
      <w:r w:rsidRPr="009B1C39">
        <w:tab/>
      </w:r>
      <w:r w:rsidRPr="009B1C39">
        <w:tab/>
      </w:r>
      <w:r w:rsidRPr="009B1C39">
        <w:tab/>
      </w:r>
      <w:r w:rsidRPr="009B1C39">
        <w:tab/>
      </w:r>
      <w:r w:rsidRPr="009B1C39">
        <w:tab/>
      </w:r>
      <w:r w:rsidRPr="009B1C39">
        <w:tab/>
        <w:t>Source: (</w:t>
      </w:r>
      <w:r w:rsidRPr="0052723E">
        <w:t>U.S. EPA 2011</w:t>
      </w:r>
      <w:r>
        <w:t>a</w:t>
      </w:r>
      <w:r w:rsidRPr="0052723E">
        <w:t>)</w:t>
      </w:r>
    </w:p>
    <w:p w14:paraId="0B073C48" w14:textId="77777777" w:rsidR="003A0138" w:rsidRPr="00ED46C4" w:rsidRDefault="003A0138" w:rsidP="003A0138">
      <w:pPr>
        <w:spacing w:line="276" w:lineRule="auto"/>
      </w:pPr>
      <w:r w:rsidRPr="00E17F17">
        <w:t>Thinking through how the components of GDP may be affected by a policy shock highlights why using changes in GDP as a proxy for th</w:t>
      </w:r>
      <w:r w:rsidRPr="00FA0302">
        <w:t xml:space="preserve">e welfare effects of a policy is </w:t>
      </w:r>
      <w:r>
        <w:t xml:space="preserve">potentially </w:t>
      </w:r>
      <w:r w:rsidRPr="00FA0302">
        <w:t>problematic.</w:t>
      </w:r>
      <w:r w:rsidRPr="00364008">
        <w:rPr>
          <w:vertAlign w:val="superscript"/>
        </w:rPr>
        <w:t xml:space="preserve"> </w:t>
      </w:r>
      <w:r w:rsidRPr="00713B93">
        <w:rPr>
          <w:vertAlign w:val="superscript"/>
        </w:rPr>
        <w:footnoteReference w:id="10"/>
      </w:r>
      <w:r w:rsidRPr="00713B93">
        <w:t xml:space="preserve"> For instance,</w:t>
      </w:r>
      <w:r>
        <w:t xml:space="preserve"> as previously described,</w:t>
      </w:r>
      <w:r w:rsidRPr="00713B93">
        <w:t xml:space="preserve"> a regulation that requires firms to inve</w:t>
      </w:r>
      <w:r w:rsidRPr="009B1C39">
        <w:t>st in new capital in a given year will see a large increase in the I component of GDP. However, capital also affects the availability of goods and service</w:t>
      </w:r>
      <w:r w:rsidRPr="0052723E">
        <w:t>s that can be consumed over a much longer time period (which is also captured in C), inflating the GDP measure relative to welfare due to double counting. In addition, certain types of investments are excluded from economic welfare but included in the stan</w:t>
      </w:r>
      <w:r w:rsidRPr="00E17F17">
        <w:t xml:space="preserve">dard measure of GDP. For example, a central role of government is to provide public goods (e.g., roads, bridges, environmental quality) and to redistribute income across households (e.g., social security, Medicare) through transfer payments. As defined by </w:t>
      </w:r>
      <w:r w:rsidRPr="00FA0302">
        <w:t>OMB (2003), transfer payments are “monetary payments from one group to another that do not affect total resources available to society.” Thus, changes in G are excluded from the welfare measure of a policy. Finally, changes in the terms</w:t>
      </w:r>
      <w:r w:rsidRPr="00364008">
        <w:t xml:space="preserve"> of trade (which measures how many foreign goods can be purchased for a given amount of U.S. dollars) </w:t>
      </w:r>
      <w:r w:rsidRPr="00ED46C4">
        <w:t xml:space="preserve">are more relevant when measuring effects on household consumption than the change in the quantity of net exports (X – M). If consumers can afford to purchase fewer foreign goods with a given amount of income after the introduction of a regulation, this is equivalent to a reduction in real income. Thus, </w:t>
      </w:r>
      <w:r>
        <w:t xml:space="preserve">while </w:t>
      </w:r>
      <w:r w:rsidRPr="00ED46C4">
        <w:t>changes to trade</w:t>
      </w:r>
      <w:r>
        <w:t xml:space="preserve"> patterns</w:t>
      </w:r>
      <w:r w:rsidRPr="00ED46C4">
        <w:t xml:space="preserve"> due to a policy shock may be reflected in both GDP and welfare measures, they are not necessarily equivalent measures (Paltsev et al., 2009; Paltsev and Capros, 2013). </w:t>
      </w:r>
    </w:p>
    <w:p w14:paraId="2FA05A44" w14:textId="77777777" w:rsidR="003A0138" w:rsidRDefault="003A0138" w:rsidP="003A0138">
      <w:pPr>
        <w:spacing w:line="276" w:lineRule="auto"/>
      </w:pPr>
      <w:r w:rsidRPr="00ED46C4">
        <w:t>More recently, some have suggested that changes in net employment may be an important additional measure of a policy’s overall effect on economic welfare.</w:t>
      </w:r>
      <w:r w:rsidRPr="00713B93">
        <w:rPr>
          <w:rStyle w:val="FootnoteReference"/>
        </w:rPr>
        <w:footnoteReference w:id="11"/>
      </w:r>
      <w:r w:rsidRPr="00713B93">
        <w:t xml:space="preserve"> Rogerson (2</w:t>
      </w:r>
      <w:r w:rsidRPr="009B1C39">
        <w:t>015</w:t>
      </w:r>
      <w:r w:rsidRPr="0052723E">
        <w:t>) notes that an economy-wide model that explicitly accounts for the labor market already incorporate</w:t>
      </w:r>
      <w:r>
        <w:t>s</w:t>
      </w:r>
      <w:r w:rsidRPr="0052723E">
        <w:t xml:space="preserve"> </w:t>
      </w:r>
      <w:r w:rsidRPr="00E17F17">
        <w:t>employment</w:t>
      </w:r>
      <w:r w:rsidRPr="00B12DA8">
        <w:t xml:space="preserve"> effects into its welfare calculation through changes in </w:t>
      </w:r>
      <w:r w:rsidRPr="00FA0302">
        <w:t xml:space="preserve">how the household values </w:t>
      </w:r>
      <w:r w:rsidRPr="00364008">
        <w:t>consumption and leisure in the utility function. For instance,</w:t>
      </w:r>
      <w:r w:rsidRPr="00ED46C4">
        <w:t xml:space="preserve"> in the case where a policy lowers employment, it also likely lowers output and consumption but increases leisure. The only way to weigh the cost of lower consumption against the benefit of higher leisure is through </w:t>
      </w:r>
      <w:r>
        <w:t>a</w:t>
      </w:r>
      <w:r w:rsidRPr="00ED46C4">
        <w:t xml:space="preserve"> utility function that explicitly values both. Rogerson goes on to observe that this need not apply only to a model with full employment and no price rigidities.  With less than full employment due to a pre-existing wage rigidity, the model will reflect that leisure is valued less than employment by households. When Rogerson (2015) examined whether welfare calculations in a highly stylized model are affected by assumptions about how quickly the labor market responds to a policy shock, he finds that the size of the labor response has little effect. This is because of the offsetting effects on leisure already noted above. </w:t>
      </w:r>
    </w:p>
    <w:p w14:paraId="35B3C0D0" w14:textId="77777777" w:rsidR="003A0138" w:rsidRPr="00ED46C4" w:rsidRDefault="003A0138" w:rsidP="003A0138">
      <w:pPr>
        <w:spacing w:after="0" w:line="276" w:lineRule="auto"/>
        <w:rPr>
          <w:b/>
        </w:rPr>
      </w:pPr>
    </w:p>
    <w:p w14:paraId="4BF8CACC" w14:textId="77777777" w:rsidR="003A0138" w:rsidRPr="007F30A2" w:rsidRDefault="003A0138" w:rsidP="003A0138">
      <w:pPr>
        <w:spacing w:line="276" w:lineRule="auto"/>
        <w:jc w:val="center"/>
        <w:rPr>
          <w:b/>
        </w:rPr>
      </w:pPr>
      <w:r w:rsidRPr="007F30A2">
        <w:rPr>
          <w:b/>
        </w:rPr>
        <w:t xml:space="preserve">Figure 7. Time Profile for Economic Welfare, GDP, Consumption, and Employment Relative to Reference for Central Cap and Trade Case </w:t>
      </w:r>
    </w:p>
    <w:p w14:paraId="2288C8C8" w14:textId="77777777" w:rsidR="003A0138" w:rsidRPr="00713B93" w:rsidRDefault="003A0138" w:rsidP="003A0138">
      <w:pPr>
        <w:spacing w:line="276" w:lineRule="auto"/>
        <w:jc w:val="center"/>
      </w:pPr>
      <w:r w:rsidRPr="00713B93">
        <w:rPr>
          <w:noProof/>
        </w:rPr>
        <w:drawing>
          <wp:inline distT="0" distB="0" distL="0" distR="0" wp14:anchorId="77DB0A6C" wp14:editId="292BCA52">
            <wp:extent cx="3962400" cy="3198913"/>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967054" cy="3202670"/>
                    </a:xfrm>
                    <a:prstGeom prst="rect">
                      <a:avLst/>
                    </a:prstGeom>
                  </pic:spPr>
                </pic:pic>
              </a:graphicData>
            </a:graphic>
          </wp:inline>
        </w:drawing>
      </w:r>
    </w:p>
    <w:p w14:paraId="748B5DDF" w14:textId="77777777" w:rsidR="003A0138" w:rsidRPr="009B1C39" w:rsidRDefault="003A0138" w:rsidP="003A0138">
      <w:pPr>
        <w:spacing w:line="276" w:lineRule="auto"/>
      </w:pPr>
      <w:r w:rsidRPr="009B1C39">
        <w:tab/>
      </w:r>
      <w:r w:rsidRPr="009B1C39">
        <w:tab/>
      </w:r>
      <w:r w:rsidRPr="009B1C39">
        <w:tab/>
      </w:r>
      <w:r w:rsidRPr="009B1C39">
        <w:tab/>
      </w:r>
      <w:r w:rsidRPr="009B1C39">
        <w:tab/>
      </w:r>
      <w:r w:rsidRPr="009B1C39">
        <w:tab/>
        <w:t>Source: Krupnick and McLaughlin (2011)</w:t>
      </w:r>
    </w:p>
    <w:p w14:paraId="7C0C6E23" w14:textId="47E9E17B" w:rsidR="003A0138" w:rsidRPr="003A0138" w:rsidRDefault="003A0138" w:rsidP="003A0138">
      <w:pPr>
        <w:spacing w:line="276" w:lineRule="auto"/>
      </w:pPr>
      <w:r w:rsidRPr="0052723E">
        <w:t>Krupnick and McLaughlin (2011) also show that there is little direct correspondence between economic welfare and alternative m</w:t>
      </w:r>
      <w:r w:rsidRPr="00E17F17">
        <w:t>easures such as GDP, consumption, and employment for the carbon and energy</w:t>
      </w:r>
      <w:r w:rsidRPr="00B12DA8">
        <w:t xml:space="preserve"> policies they analyze (Figure 7</w:t>
      </w:r>
      <w:r w:rsidRPr="00FA0302">
        <w:t xml:space="preserve"> shows one illustrative example). </w:t>
      </w:r>
      <w:r>
        <w:t>T</w:t>
      </w:r>
      <w:r w:rsidRPr="00364008">
        <w:t xml:space="preserve">hey note a number of reasons why using </w:t>
      </w:r>
      <w:r>
        <w:t>employment</w:t>
      </w:r>
      <w:r w:rsidRPr="00364008">
        <w:t xml:space="preserve"> as a measure of welfare is problematic. First, </w:t>
      </w:r>
      <w:r w:rsidRPr="00ED46C4">
        <w:t>the number of people employed in the economy is a measure at a given point in time (a stock concept) while GDP and welfare costs are designed to represent the accumulation, depreciation, or depletion of a stock over time (flow concepts). With flow measures, an analyst can sum the changes in welfare or GDP for each year of the policy (discounted appropria</w:t>
      </w:r>
      <w:r w:rsidRPr="00E16A96">
        <w:t>tely) relative to the baseline and interpret it as the effect of the policy on that metric. However, it becomes problematic to apply the same technique to a stock concept (i.e., add up changes in the number of jobs over time due to a policy shock). Krupnic</w:t>
      </w:r>
      <w:r w:rsidRPr="00A77FB2">
        <w:t>k and McLaughlin (2011) give the example of one job created in the first year but not subsequent years of a 20 year policy, which shows up in the model as a new job in each and every year. If these changes are then added up over time, it appears as though the policy create</w:t>
      </w:r>
      <w:r>
        <w:t>s</w:t>
      </w:r>
      <w:r w:rsidRPr="00A77FB2">
        <w:t xml:space="preserve"> 20 jobs, when in fact it still only represents a single job</w:t>
      </w:r>
      <w:r>
        <w:t xml:space="preserve"> created</w:t>
      </w:r>
      <w:r w:rsidRPr="00A77FB2">
        <w:t xml:space="preserve">. Second, a count of how many people are employed may not be indicative of increasing prosperity or economic growth. For example, if workers largely stay employed but take pay cuts during an economic downturn, this would not be reflected in an employment measure. In this case, changes in the total wage bill (number of jobs times the wage rate) </w:t>
      </w:r>
      <w:r>
        <w:t>may</w:t>
      </w:r>
      <w:r w:rsidRPr="00A77FB2">
        <w:t xml:space="preserve"> be a more appropriate metric for capturing effects in the labor marke</w:t>
      </w:r>
      <w:r>
        <w:t>t.  It is worth noting, however, that such measure indicate more about the distributional impacts of a policy its overall effect on welfare</w:t>
      </w:r>
      <w:r w:rsidRPr="00A77FB2">
        <w:t>. (</w:t>
      </w:r>
      <w:r>
        <w:t>The</w:t>
      </w:r>
      <w:r w:rsidRPr="00A77FB2">
        <w:t xml:space="preserve"> economic impacts white paper </w:t>
      </w:r>
      <w:r>
        <w:t>will discuss</w:t>
      </w:r>
      <w:r w:rsidRPr="00A77FB2">
        <w:t xml:space="preserve"> what types of labor market effects can be identified and reported by a CGE model.)</w:t>
      </w:r>
    </w:p>
    <w:p w14:paraId="2CCABC3D" w14:textId="00393C56" w:rsidR="00EA6BEA" w:rsidRPr="00713B93" w:rsidRDefault="00EA6BEA" w:rsidP="00083C21">
      <w:pPr>
        <w:pStyle w:val="Heading2"/>
        <w:numPr>
          <w:ilvl w:val="2"/>
          <w:numId w:val="3"/>
        </w:numPr>
      </w:pPr>
      <w:bookmarkStart w:id="28" w:name="_Toc448481302"/>
      <w:r w:rsidRPr="00713B93">
        <w:t>Engineering and Partial Equilibrium Approaches to Estimating Cost</w:t>
      </w:r>
      <w:bookmarkEnd w:id="27"/>
      <w:bookmarkEnd w:id="28"/>
    </w:p>
    <w:p w14:paraId="49E4E675" w14:textId="0B10093D" w:rsidR="00BA0E8C" w:rsidRPr="00713B93" w:rsidRDefault="003143EB" w:rsidP="00C04050">
      <w:pPr>
        <w:spacing w:line="276" w:lineRule="auto"/>
      </w:pPr>
      <w:r w:rsidRPr="00713B93">
        <w:t>An e</w:t>
      </w:r>
      <w:r w:rsidR="00EA6BEA" w:rsidRPr="00713B93">
        <w:t xml:space="preserve">ngineering </w:t>
      </w:r>
      <w:r w:rsidRPr="00713B93">
        <w:t>approach to estimating costs</w:t>
      </w:r>
      <w:r w:rsidR="00EA6BEA" w:rsidRPr="00713B93">
        <w:t xml:space="preserve"> </w:t>
      </w:r>
      <w:r w:rsidRPr="00713B93">
        <w:t>estimates</w:t>
      </w:r>
      <w:r w:rsidR="00EA6BEA" w:rsidRPr="00713B93">
        <w:t xml:space="preserve"> direct </w:t>
      </w:r>
      <w:r w:rsidR="00506292" w:rsidRPr="00713B93">
        <w:t xml:space="preserve">compliance </w:t>
      </w:r>
      <w:r w:rsidRPr="00713B93">
        <w:t xml:space="preserve">expenditures </w:t>
      </w:r>
      <w:r w:rsidR="006F28FB" w:rsidRPr="00713B93">
        <w:t>from</w:t>
      </w:r>
      <w:r w:rsidR="00EA6BEA" w:rsidRPr="00713B93">
        <w:t xml:space="preserve"> adopting a particular technology </w:t>
      </w:r>
      <w:r w:rsidRPr="00713B93">
        <w:t xml:space="preserve">or process </w:t>
      </w:r>
      <w:r w:rsidR="00EA6BEA" w:rsidRPr="00713B93">
        <w:t xml:space="preserve">(i.e., capital costs, operating and maintenance costs, administrative costs) </w:t>
      </w:r>
      <w:r w:rsidRPr="00713B93">
        <w:t xml:space="preserve">by </w:t>
      </w:r>
      <w:r w:rsidR="00EA6BEA" w:rsidRPr="00713B93">
        <w:t xml:space="preserve">an individual </w:t>
      </w:r>
      <w:r w:rsidRPr="00713B93">
        <w:t xml:space="preserve">emitting </w:t>
      </w:r>
      <w:r w:rsidR="00EA6BEA" w:rsidRPr="00713B93">
        <w:t xml:space="preserve">unit or </w:t>
      </w:r>
      <w:r w:rsidR="005A5D1C" w:rsidRPr="00713B93">
        <w:t xml:space="preserve">facility </w:t>
      </w:r>
      <w:r w:rsidR="00506292" w:rsidRPr="00713B93">
        <w:t xml:space="preserve">conditional on </w:t>
      </w:r>
      <w:r w:rsidRPr="00713B93">
        <w:t xml:space="preserve">a given level of </w:t>
      </w:r>
      <w:r w:rsidR="00506292" w:rsidRPr="00713B93">
        <w:t>output</w:t>
      </w:r>
      <w:r w:rsidR="00EA6BEA" w:rsidRPr="00713B93">
        <w:t xml:space="preserve">. </w:t>
      </w:r>
      <w:r w:rsidRPr="00713B93">
        <w:t xml:space="preserve">It does not attempt to estimate welfares impacts associated with a change in production or use of inputs. </w:t>
      </w:r>
      <w:r w:rsidR="00EA6BEA" w:rsidRPr="00713B93">
        <w:t xml:space="preserve">Its primary advantage is the ability to generate highly detailed </w:t>
      </w:r>
      <w:r w:rsidR="00822E89" w:rsidRPr="00713B93">
        <w:t xml:space="preserve">and, when data are available, fairly precise </w:t>
      </w:r>
      <w:r w:rsidR="006F28FB" w:rsidRPr="00713B93">
        <w:t xml:space="preserve">information on </w:t>
      </w:r>
      <w:r w:rsidR="00BA0E8C" w:rsidRPr="00713B93">
        <w:t xml:space="preserve">compliance options and their associated </w:t>
      </w:r>
      <w:r w:rsidR="00EA6BEA" w:rsidRPr="00713B93">
        <w:t xml:space="preserve">costs that reflect </w:t>
      </w:r>
      <w:r w:rsidR="005A5D1C" w:rsidRPr="00713B93">
        <w:t xml:space="preserve">the </w:t>
      </w:r>
      <w:r w:rsidR="00EA6BEA" w:rsidRPr="00713B93">
        <w:t>heterogeneity</w:t>
      </w:r>
      <w:r w:rsidR="005A5D1C" w:rsidRPr="00713B93">
        <w:t xml:space="preserve"> of regulated entities</w:t>
      </w:r>
      <w:r w:rsidR="00EA6BEA" w:rsidRPr="00713B93">
        <w:t xml:space="preserve">. </w:t>
      </w:r>
      <w:r w:rsidR="00822E89" w:rsidRPr="00713B93">
        <w:t xml:space="preserve">The importance of this detailed information cannot be overemphasized, as key stakeholders are keenly interested in understanding compliance </w:t>
      </w:r>
      <w:r w:rsidR="006F28FB" w:rsidRPr="00713B93">
        <w:t>pathways and the</w:t>
      </w:r>
      <w:r w:rsidR="00775708">
        <w:t xml:space="preserve"> anticipated</w:t>
      </w:r>
      <w:r w:rsidR="006F28FB" w:rsidRPr="00713B93">
        <w:t xml:space="preserve"> </w:t>
      </w:r>
      <w:r w:rsidR="00822E89" w:rsidRPr="00713B93">
        <w:t xml:space="preserve">burden associated with a regulation. </w:t>
      </w:r>
      <w:r w:rsidR="00BB0014" w:rsidRPr="00713B93">
        <w:t xml:space="preserve">A key question </w:t>
      </w:r>
      <w:r w:rsidR="00A207B6" w:rsidRPr="00713B93">
        <w:t>for</w:t>
      </w:r>
      <w:r w:rsidR="00BB0014" w:rsidRPr="00713B93">
        <w:t xml:space="preserve"> analysts</w:t>
      </w:r>
      <w:r w:rsidR="002758FE" w:rsidRPr="00713B93">
        <w:t xml:space="preserve"> and decision</w:t>
      </w:r>
      <w:r w:rsidR="00B16ACA" w:rsidRPr="00713B93">
        <w:t>-</w:t>
      </w:r>
      <w:r w:rsidR="002758FE" w:rsidRPr="00713B93">
        <w:t>makers</w:t>
      </w:r>
      <w:r w:rsidR="00BB0014" w:rsidRPr="00713B93">
        <w:t xml:space="preserve"> </w:t>
      </w:r>
      <w:r w:rsidR="00A207B6" w:rsidRPr="00713B93">
        <w:t xml:space="preserve">is whether </w:t>
      </w:r>
      <w:r w:rsidR="002758FE" w:rsidRPr="00713B93">
        <w:t>it is worth expending additional resources to</w:t>
      </w:r>
      <w:r w:rsidR="00BB0014" w:rsidRPr="00713B93">
        <w:t xml:space="preserve"> expand beyond an engineering cost </w:t>
      </w:r>
      <w:r w:rsidR="00A207B6" w:rsidRPr="00713B93">
        <w:t>approach to capture</w:t>
      </w:r>
      <w:r w:rsidR="00BB0014" w:rsidRPr="00713B93">
        <w:t xml:space="preserve"> other substantial costs either to the industry itself, to related industries, or to the economy as a whole.</w:t>
      </w:r>
    </w:p>
    <w:p w14:paraId="14609A2D" w14:textId="6C51955C" w:rsidR="00EB754A" w:rsidRPr="00713B93" w:rsidRDefault="00412253" w:rsidP="00C04050">
      <w:pPr>
        <w:spacing w:line="276" w:lineRule="auto"/>
      </w:pPr>
      <w:r w:rsidRPr="00713B93">
        <w:t>E</w:t>
      </w:r>
      <w:r w:rsidR="00EA6BEA" w:rsidRPr="00713B93">
        <w:t xml:space="preserve">ngineering analyses </w:t>
      </w:r>
      <w:r w:rsidR="00214B41" w:rsidRPr="00713B93">
        <w:t xml:space="preserve">typically </w:t>
      </w:r>
      <w:r w:rsidR="00291A54" w:rsidRPr="00713B93">
        <w:t>do not account for producer or consumer behavioral change that may be incentivized by the regulation</w:t>
      </w:r>
      <w:r w:rsidR="00EA6BEA" w:rsidRPr="00713B93">
        <w:t xml:space="preserve">. </w:t>
      </w:r>
      <w:r w:rsidR="00885D39" w:rsidRPr="00713B93">
        <w:t>For example, t</w:t>
      </w:r>
      <w:r w:rsidR="00EA6BEA" w:rsidRPr="00713B93">
        <w:t>o the extent that producers</w:t>
      </w:r>
      <w:r w:rsidR="00291A54" w:rsidRPr="00713B93">
        <w:t xml:space="preserve"> respond to the regulation by</w:t>
      </w:r>
      <w:r w:rsidR="00EA6BEA" w:rsidRPr="00713B93">
        <w:t xml:space="preserve"> adjust</w:t>
      </w:r>
      <w:r w:rsidR="00BC56F3" w:rsidRPr="00713B93">
        <w:t>ing</w:t>
      </w:r>
      <w:r w:rsidR="00EA6BEA" w:rsidRPr="00713B93">
        <w:t xml:space="preserve"> inputs</w:t>
      </w:r>
      <w:r w:rsidR="00C91A04" w:rsidRPr="00713B93">
        <w:t xml:space="preserve"> </w:t>
      </w:r>
      <w:r w:rsidR="00775708">
        <w:t>or</w:t>
      </w:r>
      <w:r w:rsidR="00775708" w:rsidRPr="00713B93">
        <w:t xml:space="preserve"> </w:t>
      </w:r>
      <w:r w:rsidR="00EA6BEA" w:rsidRPr="00713B93">
        <w:t xml:space="preserve">processes </w:t>
      </w:r>
      <w:r w:rsidR="00291A54" w:rsidRPr="00713B93">
        <w:t xml:space="preserve">because </w:t>
      </w:r>
      <w:r w:rsidR="00775708">
        <w:t>this</w:t>
      </w:r>
      <w:r w:rsidR="00775708" w:rsidRPr="00713B93">
        <w:t xml:space="preserve"> </w:t>
      </w:r>
      <w:r w:rsidR="00A15903" w:rsidRPr="00713B93">
        <w:t>re</w:t>
      </w:r>
      <w:r w:rsidR="00291A54" w:rsidRPr="00713B93">
        <w:t>presents a cheaper method of compliance</w:t>
      </w:r>
      <w:r w:rsidR="00BC56F3" w:rsidRPr="00713B93">
        <w:t>,</w:t>
      </w:r>
      <w:r w:rsidR="00291A54" w:rsidRPr="00713B93">
        <w:t xml:space="preserve"> relative to the technologies considered in the engineering analysis</w:t>
      </w:r>
      <w:r w:rsidR="00BC56F3" w:rsidRPr="00713B93">
        <w:t>,</w:t>
      </w:r>
      <w:r w:rsidR="00291A54" w:rsidRPr="00713B93">
        <w:t xml:space="preserve"> </w:t>
      </w:r>
      <w:r w:rsidR="00EA6BEA" w:rsidRPr="00713B93">
        <w:t xml:space="preserve">they will </w:t>
      </w:r>
      <w:r w:rsidR="00C91A04" w:rsidRPr="00713B93">
        <w:t xml:space="preserve">incur </w:t>
      </w:r>
      <w:r w:rsidR="00BC56F3" w:rsidRPr="00713B93">
        <w:t xml:space="preserve">a lower </w:t>
      </w:r>
      <w:r w:rsidR="00C91A04" w:rsidRPr="00713B93">
        <w:t>compliance</w:t>
      </w:r>
      <w:r w:rsidR="00BC56F3" w:rsidRPr="00713B93">
        <w:t xml:space="preserve"> cost </w:t>
      </w:r>
      <w:r w:rsidR="002C2A7D" w:rsidRPr="00713B93">
        <w:t xml:space="preserve">than estimated using the engineering </w:t>
      </w:r>
      <w:r w:rsidR="00C91A04" w:rsidRPr="00713B93">
        <w:t>analysis</w:t>
      </w:r>
      <w:r w:rsidR="00EA6BEA" w:rsidRPr="00713B93">
        <w:t xml:space="preserve">. </w:t>
      </w:r>
      <w:r w:rsidR="00BA3529" w:rsidRPr="00713B93">
        <w:t>If</w:t>
      </w:r>
      <w:r w:rsidR="00EA6BEA" w:rsidRPr="00713B93">
        <w:t xml:space="preserve"> </w:t>
      </w:r>
      <w:r w:rsidR="00C91A04" w:rsidRPr="00713B93">
        <w:t xml:space="preserve">the regulation </w:t>
      </w:r>
      <w:r w:rsidR="00EA6BEA" w:rsidRPr="00713B93">
        <w:t>increase</w:t>
      </w:r>
      <w:r w:rsidR="00C91A04" w:rsidRPr="00713B93">
        <w:t>s</w:t>
      </w:r>
      <w:r w:rsidR="00EA6BEA" w:rsidRPr="00713B93">
        <w:t xml:space="preserve"> the cost of production</w:t>
      </w:r>
      <w:r w:rsidR="00BA3529" w:rsidRPr="00713B93">
        <w:t xml:space="preserve">, </w:t>
      </w:r>
      <w:r w:rsidR="00C91A04" w:rsidRPr="00713B93">
        <w:t>which</w:t>
      </w:r>
      <w:r w:rsidR="00AE2A64" w:rsidRPr="00713B93">
        <w:t xml:space="preserve"> is</w:t>
      </w:r>
      <w:r w:rsidR="00EA6BEA" w:rsidRPr="00713B93">
        <w:t xml:space="preserve"> </w:t>
      </w:r>
      <w:r w:rsidR="00C91A04" w:rsidRPr="00713B93">
        <w:t>then</w:t>
      </w:r>
      <w:r w:rsidR="00EA6BEA" w:rsidRPr="00713B93">
        <w:t xml:space="preserve"> passed on</w:t>
      </w:r>
      <w:r w:rsidR="00AE2A64" w:rsidRPr="00713B93">
        <w:t xml:space="preserve">to consumers </w:t>
      </w:r>
      <w:r w:rsidR="00EA6BEA" w:rsidRPr="00713B93">
        <w:t>in the form of higher prices</w:t>
      </w:r>
      <w:r w:rsidR="000838CF" w:rsidRPr="00713B93">
        <w:t xml:space="preserve">, </w:t>
      </w:r>
      <w:r w:rsidR="00396B82" w:rsidRPr="00713B93">
        <w:t xml:space="preserve">an engineering analysis also misses </w:t>
      </w:r>
      <w:r w:rsidR="00DE1732" w:rsidRPr="00713B93">
        <w:t>the</w:t>
      </w:r>
      <w:r w:rsidR="00AE2A64" w:rsidRPr="00713B93">
        <w:t xml:space="preserve"> </w:t>
      </w:r>
      <w:r w:rsidR="00EA6BEA" w:rsidRPr="00713B93">
        <w:t xml:space="preserve">demand response. </w:t>
      </w:r>
      <w:r w:rsidR="00DE1732" w:rsidRPr="00713B93">
        <w:t>(</w:t>
      </w:r>
      <w:r w:rsidR="00EA6BEA" w:rsidRPr="00713B93">
        <w:t xml:space="preserve">The degree to which </w:t>
      </w:r>
      <w:r w:rsidR="00506292" w:rsidRPr="00713B93">
        <w:t xml:space="preserve">a demand response influences </w:t>
      </w:r>
      <w:r w:rsidR="00EA6BEA" w:rsidRPr="00713B93">
        <w:t xml:space="preserve">cost </w:t>
      </w:r>
      <w:r w:rsidR="00506292" w:rsidRPr="00713B93">
        <w:t>depend</w:t>
      </w:r>
      <w:r w:rsidR="00BA3529" w:rsidRPr="00713B93">
        <w:t>s</w:t>
      </w:r>
      <w:r w:rsidR="00506292" w:rsidRPr="00713B93">
        <w:t xml:space="preserve"> </w:t>
      </w:r>
      <w:r w:rsidR="002C2A7D" w:rsidRPr="00713B93">
        <w:t xml:space="preserve">on the </w:t>
      </w:r>
      <w:r w:rsidR="00721412" w:rsidRPr="00713B93">
        <w:t xml:space="preserve">price elasticity of demand for output of the regulated sector and </w:t>
      </w:r>
      <w:r w:rsidR="002C2A7D" w:rsidRPr="00713B93">
        <w:t xml:space="preserve">the </w:t>
      </w:r>
      <w:r w:rsidR="00721412" w:rsidRPr="00713B93">
        <w:t>degree of competition in the market</w:t>
      </w:r>
      <w:r w:rsidR="00EA6BEA" w:rsidRPr="00713B93">
        <w:t>.</w:t>
      </w:r>
      <w:r w:rsidR="00DE1732" w:rsidRPr="00713B93">
        <w:t>)</w:t>
      </w:r>
      <w:r w:rsidR="00BA3529" w:rsidRPr="00713B93">
        <w:t xml:space="preserve"> </w:t>
      </w:r>
      <w:r w:rsidR="008C661C" w:rsidRPr="00713B93">
        <w:t>Likewise, an engineering approach does not capture supply side responses such as changes in the composition of goods produced by the industry or changes in product quality.</w:t>
      </w:r>
      <w:r w:rsidR="00EB754A" w:rsidRPr="00713B93">
        <w:t xml:space="preserve"> </w:t>
      </w:r>
    </w:p>
    <w:p w14:paraId="44BE05F3" w14:textId="26F01AA2" w:rsidR="00C9398D" w:rsidRDefault="00EA6BEA" w:rsidP="00C04050">
      <w:pPr>
        <w:spacing w:line="276" w:lineRule="auto"/>
      </w:pPr>
      <w:r w:rsidRPr="00713B93">
        <w:t>A par</w:t>
      </w:r>
      <w:r w:rsidR="00F65A88" w:rsidRPr="00713B93">
        <w:t>tial equilibrium economic model captures</w:t>
      </w:r>
      <w:r w:rsidRPr="00713B93">
        <w:t xml:space="preserve"> both supply and demand responses in the </w:t>
      </w:r>
      <w:r w:rsidR="0031031D" w:rsidRPr="00713B93">
        <w:t xml:space="preserve">regulated sector </w:t>
      </w:r>
      <w:r w:rsidRPr="00713B93">
        <w:t>and may be extended to consider</w:t>
      </w:r>
      <w:r w:rsidR="00495542" w:rsidRPr="00713B93">
        <w:t xml:space="preserve"> a small number of</w:t>
      </w:r>
      <w:r w:rsidRPr="00713B93">
        <w:t xml:space="preserve"> related sectors</w:t>
      </w:r>
      <w:r w:rsidR="005A4094" w:rsidRPr="00713B93">
        <w:t xml:space="preserve"> </w:t>
      </w:r>
      <w:r w:rsidRPr="00713B93">
        <w:t xml:space="preserve">(e.g., </w:t>
      </w:r>
      <w:r w:rsidR="005A4094" w:rsidRPr="00713B93">
        <w:t>upstream markets that supply intermediate goods to the regulated sector</w:t>
      </w:r>
      <w:r w:rsidRPr="00713B93">
        <w:t xml:space="preserve">, </w:t>
      </w:r>
      <w:r w:rsidR="005A4094" w:rsidRPr="00713B93">
        <w:t>or</w:t>
      </w:r>
      <w:r w:rsidRPr="00713B93">
        <w:t xml:space="preserve"> </w:t>
      </w:r>
      <w:r w:rsidR="005A4094" w:rsidRPr="00713B93">
        <w:t>markets for</w:t>
      </w:r>
      <w:r w:rsidRPr="00713B93">
        <w:t xml:space="preserve"> substitute or complimentary products). </w:t>
      </w:r>
      <w:r w:rsidR="00D25E8F" w:rsidRPr="00713B93">
        <w:t xml:space="preserve">According to </w:t>
      </w:r>
      <w:r w:rsidR="001374D3">
        <w:t xml:space="preserve">the </w:t>
      </w:r>
      <w:r w:rsidR="00D25E8F" w:rsidRPr="00713B93">
        <w:t>EPA’s Economic Guidelines, “partial equilibrium analysis is usually appropriate when the scope of a regulation is limited to a single sector, or to a small number of sectors….The use of partial equilibrium analysis assumes that the effects of the regulation on all other markets will be minimal and can either be ignored or estimated without employing a model of the entire economy” (</w:t>
      </w:r>
      <w:r w:rsidR="004C6E84" w:rsidRPr="00713B93">
        <w:t xml:space="preserve">U.S. </w:t>
      </w:r>
      <w:r w:rsidR="00D25E8F" w:rsidRPr="00713B93">
        <w:t>EPA 2010a). When these assumptions are valid, a partial equ</w:t>
      </w:r>
      <w:r w:rsidR="00D25E8F" w:rsidRPr="009B1C39">
        <w:t>ilibrium measure may adequately capture the social cost of a regulation.</w:t>
      </w:r>
      <w:r w:rsidR="00553EE8" w:rsidRPr="009B1C39">
        <w:t xml:space="preserve"> </w:t>
      </w:r>
      <w:r w:rsidR="00495542" w:rsidRPr="009B1C39">
        <w:t>In contrast to an engineering analysis, a</w:t>
      </w:r>
      <w:r w:rsidR="009B5E15" w:rsidRPr="009B1C39">
        <w:t xml:space="preserve"> partial equilibrium analysis may derive a </w:t>
      </w:r>
      <w:r w:rsidR="00FA7027" w:rsidRPr="009B1C39">
        <w:t>more complete measure of soci</w:t>
      </w:r>
      <w:r w:rsidR="00FA7027" w:rsidRPr="00713B93">
        <w:t>al</w:t>
      </w:r>
      <w:r w:rsidR="009B5E15" w:rsidRPr="00713B93">
        <w:t xml:space="preserve"> cost</w:t>
      </w:r>
      <w:r w:rsidR="00FA7027" w:rsidRPr="00713B93">
        <w:t xml:space="preserve"> because it</w:t>
      </w:r>
      <w:r w:rsidR="009B5E15" w:rsidRPr="00713B93">
        <w:t xml:space="preserve"> takes into account behavioral change </w:t>
      </w:r>
      <w:r w:rsidR="00495542" w:rsidRPr="00713B93">
        <w:t>(</w:t>
      </w:r>
      <w:r w:rsidR="00FA7027" w:rsidRPr="00713B93">
        <w:t xml:space="preserve">i.e., it is </w:t>
      </w:r>
      <w:r w:rsidR="00495542" w:rsidRPr="00713B93">
        <w:t xml:space="preserve">equivalent to </w:t>
      </w:r>
      <w:r w:rsidR="009B5E15" w:rsidRPr="00713B93">
        <w:t xml:space="preserve">a </w:t>
      </w:r>
      <w:r w:rsidRPr="00713B93">
        <w:t xml:space="preserve">measure </w:t>
      </w:r>
      <w:r w:rsidR="009B5E15" w:rsidRPr="00713B93">
        <w:t xml:space="preserve">of </w:t>
      </w:r>
      <w:r w:rsidRPr="00713B93">
        <w:t>the net change in consumer and producer surplus</w:t>
      </w:r>
      <w:r w:rsidR="0084731E" w:rsidRPr="00713B93">
        <w:t xml:space="preserve"> relative to the pre-regulatory equilibrium</w:t>
      </w:r>
      <w:r w:rsidR="00495542" w:rsidRPr="00713B93">
        <w:t>)</w:t>
      </w:r>
      <w:r w:rsidRPr="00713B93">
        <w:t xml:space="preserve">.  </w:t>
      </w:r>
    </w:p>
    <w:p w14:paraId="38F5AD66" w14:textId="32396644" w:rsidR="00D14B3C" w:rsidRPr="00713B93" w:rsidRDefault="00D14B3C" w:rsidP="00C04050">
      <w:pPr>
        <w:spacing w:line="276" w:lineRule="auto"/>
      </w:pPr>
      <w:r w:rsidRPr="00713B93">
        <w:rPr>
          <w:noProof/>
        </w:rPr>
        <mc:AlternateContent>
          <mc:Choice Requires="wps">
            <w:drawing>
              <wp:anchor distT="45720" distB="45720" distL="114300" distR="114300" simplePos="0" relativeHeight="251659264" behindDoc="0" locked="1" layoutInCell="1" allowOverlap="1" wp14:anchorId="5F15170B" wp14:editId="10F01505">
                <wp:simplePos x="0" y="0"/>
                <wp:positionH relativeFrom="margin">
                  <wp:align>right</wp:align>
                </wp:positionH>
                <wp:positionV relativeFrom="paragraph">
                  <wp:posOffset>103505</wp:posOffset>
                </wp:positionV>
                <wp:extent cx="5915025" cy="5295900"/>
                <wp:effectExtent l="0" t="0" r="28575" b="19050"/>
                <wp:wrapTopAndBottom/>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5295900"/>
                        </a:xfrm>
                        <a:prstGeom prst="rect">
                          <a:avLst/>
                        </a:prstGeom>
                        <a:solidFill>
                          <a:srgbClr val="FFFFFF"/>
                        </a:solidFill>
                        <a:ln w="9525">
                          <a:solidFill>
                            <a:srgbClr val="000000"/>
                          </a:solidFill>
                          <a:miter lim="800000"/>
                          <a:headEnd/>
                          <a:tailEnd/>
                        </a:ln>
                      </wps:spPr>
                      <wps:txbx>
                        <w:txbxContent>
                          <w:p w14:paraId="4F0AD698" w14:textId="77777777" w:rsidR="003A0138" w:rsidRDefault="003A0138" w:rsidP="00D14B3C">
                            <w:pPr>
                              <w:jc w:val="left"/>
                              <w:rPr>
                                <w:b/>
                              </w:rPr>
                            </w:pPr>
                            <w:r>
                              <w:rPr>
                                <w:b/>
                              </w:rPr>
                              <w:t xml:space="preserve">Box 1. Cost Concepts and Definitions </w:t>
                            </w:r>
                          </w:p>
                          <w:p w14:paraId="6DD77409" w14:textId="77777777" w:rsidR="003A0138" w:rsidRDefault="003A0138" w:rsidP="00D14B3C">
                            <w:pPr>
                              <w:jc w:val="left"/>
                            </w:pPr>
                            <w:r w:rsidRPr="00422B4A">
                              <w:rPr>
                                <w:b/>
                              </w:rPr>
                              <w:t xml:space="preserve">Compliance costs: </w:t>
                            </w:r>
                            <w:r w:rsidRPr="00422B4A">
                              <w:t>Costs firms incur to reduce or prevent pollution in order to comply with the regulation; the two main components are capital costs and operating costs. Capital costs are often one-time costs related to the installation or retrofit of structures or equipment to reduce emissions; operating costs are reoccurring annual expenditures associated with the operation and maintenance of the equipment.</w:t>
                            </w:r>
                          </w:p>
                          <w:p w14:paraId="7D8B6FE8" w14:textId="77777777" w:rsidR="003A0138" w:rsidRPr="00422B4A" w:rsidRDefault="003A0138" w:rsidP="00D14B3C">
                            <w:pPr>
                              <w:jc w:val="left"/>
                              <w:rPr>
                                <w:b/>
                              </w:rPr>
                            </w:pPr>
                            <w:r>
                              <w:rPr>
                                <w:b/>
                              </w:rPr>
                              <w:t xml:space="preserve">Social cost: </w:t>
                            </w:r>
                            <w:r>
                              <w:t xml:space="preserve">The total burden that a regulation will impose on the economy. It is defined as the sum of all opportunity costs incurred as a result of a regulation, where an opportunity cost is the value lost to society of </w:t>
                            </w:r>
                            <w:r w:rsidRPr="00B31DF0">
                              <w:t xml:space="preserve">all the goods and services that will not be produced and consumed </w:t>
                            </w:r>
                            <w:r>
                              <w:t>in the presence of regulation as resources are</w:t>
                            </w:r>
                            <w:r w:rsidRPr="00B31DF0">
                              <w:t xml:space="preserve"> reallocat</w:t>
                            </w:r>
                            <w:r>
                              <w:t>ed</w:t>
                            </w:r>
                            <w:r w:rsidRPr="00B31DF0">
                              <w:t xml:space="preserve"> towards pollution abatement.</w:t>
                            </w:r>
                          </w:p>
                          <w:p w14:paraId="6951142F" w14:textId="77777777" w:rsidR="003A0138" w:rsidRPr="00422B4A" w:rsidRDefault="003A0138" w:rsidP="00D14B3C">
                            <w:pPr>
                              <w:jc w:val="left"/>
                            </w:pPr>
                            <w:r w:rsidRPr="00422B4A">
                              <w:rPr>
                                <w:b/>
                              </w:rPr>
                              <w:t>Direct costs:</w:t>
                            </w:r>
                            <w:r w:rsidRPr="00422B4A">
                              <w:t xml:space="preserve">  Costs that fall directly on regulated entities as a result of the regulation (often synonymous with compliance costs)</w:t>
                            </w:r>
                          </w:p>
                          <w:p w14:paraId="6680477B" w14:textId="77777777" w:rsidR="003A0138" w:rsidRPr="00422B4A" w:rsidRDefault="003A0138" w:rsidP="00D14B3C">
                            <w:pPr>
                              <w:jc w:val="left"/>
                            </w:pPr>
                            <w:r w:rsidRPr="00422B4A">
                              <w:rPr>
                                <w:b/>
                              </w:rPr>
                              <w:t>Indirect costs:</w:t>
                            </w:r>
                            <w:r w:rsidRPr="00422B4A">
                              <w:t xml:space="preserve"> Costs incurred in related markets or experienced by consumers or government not under the direct scope of the regulation; often transmitted through changes in prices of the goods or services produced in the regulated sector </w:t>
                            </w:r>
                          </w:p>
                          <w:p w14:paraId="624335EA" w14:textId="3E04B704" w:rsidR="003A0138" w:rsidRDefault="003A0138" w:rsidP="00D14B3C">
                            <w:pPr>
                              <w:jc w:val="left"/>
                            </w:pPr>
                            <w:r w:rsidRPr="00422B4A">
                              <w:rPr>
                                <w:b/>
                              </w:rPr>
                              <w:t>Transition costs:</w:t>
                            </w:r>
                            <w:r w:rsidRPr="00422B4A">
                              <w:t xml:space="preserve"> Short term costs incurred only during the time period when the economy is still adjusting to a new equilibrium</w:t>
                            </w:r>
                          </w:p>
                          <w:p w14:paraId="477831FE" w14:textId="77777777" w:rsidR="003A0138" w:rsidRPr="00683BD2" w:rsidRDefault="003A0138" w:rsidP="00D14B3C">
                            <w:pPr>
                              <w:jc w:val="left"/>
                            </w:pPr>
                            <w:r w:rsidRPr="00683BD2">
                              <w:rPr>
                                <w:b/>
                              </w:rPr>
                              <w:t>Interaction effects:</w:t>
                            </w:r>
                            <w:r w:rsidRPr="00683BD2">
                              <w:t xml:space="preserve"> How changes in prices or quantities in one sector interact with other sectors to cause effects in other markets</w:t>
                            </w:r>
                          </w:p>
                          <w:p w14:paraId="6922AAE6" w14:textId="77777777" w:rsidR="003A0138" w:rsidRDefault="003A0138" w:rsidP="00D14B3C">
                            <w:pPr>
                              <w:jc w:val="left"/>
                            </w:pPr>
                            <w:r w:rsidRPr="00683BD2">
                              <w:rPr>
                                <w:b/>
                              </w:rPr>
                              <w:t>Feedback effects:</w:t>
                            </w:r>
                            <w:r w:rsidRPr="00683BD2">
                              <w:t xml:space="preserve"> When</w:t>
                            </w:r>
                            <w:r>
                              <w:t xml:space="preserve"> changes in other sectors </w:t>
                            </w:r>
                            <w:r w:rsidRPr="00683BD2">
                              <w:t>feedback to the regulated sector and cause additional behavioral effects (e.g., requirements to install a scrubber could drive up the price of scrubbers which then, in turn, increases compliance costs in the regulated sector)</w:t>
                            </w:r>
                          </w:p>
                          <w:p w14:paraId="0F2F25B7" w14:textId="4CEE9084" w:rsidR="003A0138" w:rsidRPr="00683BD2" w:rsidRDefault="003A0138" w:rsidP="00D14B3C">
                            <w:pPr>
                              <w:jc w:val="left"/>
                            </w:pPr>
                            <w:r>
                              <w:tab/>
                            </w:r>
                            <w:r>
                              <w:tab/>
                            </w:r>
                            <w:r>
                              <w:tab/>
                            </w:r>
                            <w:r>
                              <w:tab/>
                            </w:r>
                            <w:r>
                              <w:tab/>
                            </w:r>
                            <w:r>
                              <w:tab/>
                            </w:r>
                            <w:r>
                              <w:tab/>
                            </w:r>
                            <w:r>
                              <w:tab/>
                            </w:r>
                            <w:r>
                              <w:tab/>
                              <w:t>Source: U.S. EPA (2010a)</w:t>
                            </w:r>
                          </w:p>
                          <w:p w14:paraId="72031A49" w14:textId="77777777" w:rsidR="003A0138" w:rsidRPr="005B1696" w:rsidRDefault="003A0138" w:rsidP="00D14B3C">
                            <w:pPr>
                              <w:jc w:val="left"/>
                            </w:pPr>
                          </w:p>
                          <w:p w14:paraId="7C144F76" w14:textId="77777777" w:rsidR="003A0138" w:rsidRDefault="003A0138" w:rsidP="00D14B3C">
                            <w:pPr>
                              <w:jc w:val="lef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15170B" id="_x0000_t202" coordsize="21600,21600" o:spt="202" path="m,l,21600r21600,l21600,xe">
                <v:stroke joinstyle="miter"/>
                <v:path gradientshapeok="t" o:connecttype="rect"/>
              </v:shapetype>
              <v:shape id="Text Box 2" o:spid="_x0000_s1026" type="#_x0000_t202" style="position:absolute;left:0;text-align:left;margin-left:414.55pt;margin-top:8.15pt;width:465.75pt;height:417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RuFIQIAAEUEAAAOAAAAZHJzL2Uyb0RvYy54bWysU1Fv0zAQfkfiP1h+p0mjhq1R02l0FCGN&#10;gbTxAxzHaSxsn7HdJuXXc3a6Ug3EA8IPls93/vzdd3erm1ErchDOSzA1nc9ySoTh0Eqzq+nXp+2b&#10;a0p8YKZlCoyo6VF4erN+/Wo12EoU0INqhSMIYnw12Jr2IdgqyzzvhWZ+BlYYdHbgNAtoul3WOjYg&#10;ulZZkedvswFcax1w4T3e3k1Ouk74XSd4+Nx1XgSiaorcQtpd2pu4Z+sVq3aO2V7yEw32Dyw0kwY/&#10;PUPdscDI3snfoLTkDjx0YcZBZ9B1kouUA2Yzz19k89gzK1IuKI63Z5n8/4PlD4cvjsi2pleUGKax&#10;RE9iDOQdjKSI6gzWVxj0aDEsjHiNVU6ZensP/JsnBjY9Mztx6xwMvWAtspvHl9nF0wnHR5Bm+AQt&#10;fsP2ARLQ2DkdpUMxCKJjlY7nykQqHC/L5bzMi5ISjr6yWJbLPNUuY9Xzc+t8+CBAk3ioqcPSJ3h2&#10;uPch0mHVc0j8zYOS7VYqlQy3azbKkQPDNtmmlTJ4EaYMGWq6LJHI3yHytP4EoWXAfldS1/T6HMSq&#10;qNt706ZuDEyq6YyUlTkJGbWbVAxjM54K00B7REkdTH2Nc4iHHtwPSgbs6Zr673vmBCXqo8GyLOeL&#10;RRyCZCzKqwINd+lpLj3McISqaaBkOm5CGpyYuoFbLF8nk7CxzhOTE1fs1aT3aa7iMFzaKerX9K9/&#10;AgAA//8DAFBLAwQUAAYACAAAACEAqkCoGt0AAAAHAQAADwAAAGRycy9kb3ducmV2LnhtbEyPwU7D&#10;MAyG70i8Q2QkLoilo6xspemEkEDsBgPBNWu8tiJxSpJ15e0xJzja/6/Pn6v15KwYMcTek4L5LAOB&#10;1HjTU6vg7fXhcgkiJk1GW0+o4BsjrOvTk0qXxh/pBcdtagVDKJZaQZfSUEoZmw6djjM/IHG298Hp&#10;xGNopQn6yHBn5VWWFdLpnvhCpwe877D53B6cguX10/gRN/nze1Ps7Spd3IyPX0Gp87Pp7hZEwin9&#10;leFXn9WhZqedP5CJwirgRxJvixwEp6t8vgCxY/Qiy0HWlfzvX/8AAAD//wMAUEsBAi0AFAAGAAgA&#10;AAAhALaDOJL+AAAA4QEAABMAAAAAAAAAAAAAAAAAAAAAAFtDb250ZW50X1R5cGVzXS54bWxQSwEC&#10;LQAUAAYACAAAACEAOP0h/9YAAACUAQAACwAAAAAAAAAAAAAAAAAvAQAAX3JlbHMvLnJlbHNQSwEC&#10;LQAUAAYACAAAACEAh60bhSECAABFBAAADgAAAAAAAAAAAAAAAAAuAgAAZHJzL2Uyb0RvYy54bWxQ&#10;SwECLQAUAAYACAAAACEAqkCoGt0AAAAHAQAADwAAAAAAAAAAAAAAAAB7BAAAZHJzL2Rvd25yZXYu&#10;eG1sUEsFBgAAAAAEAAQA8wAAAIUFAAAAAA==&#10;">
                <v:textbox>
                  <w:txbxContent>
                    <w:p w14:paraId="4F0AD698" w14:textId="77777777" w:rsidR="003A0138" w:rsidRDefault="003A0138" w:rsidP="00D14B3C">
                      <w:pPr>
                        <w:jc w:val="left"/>
                        <w:rPr>
                          <w:b/>
                        </w:rPr>
                      </w:pPr>
                      <w:r>
                        <w:rPr>
                          <w:b/>
                        </w:rPr>
                        <w:t xml:space="preserve">Box 1. Cost Concepts and Definitions </w:t>
                      </w:r>
                    </w:p>
                    <w:p w14:paraId="6DD77409" w14:textId="77777777" w:rsidR="003A0138" w:rsidRDefault="003A0138" w:rsidP="00D14B3C">
                      <w:pPr>
                        <w:jc w:val="left"/>
                      </w:pPr>
                      <w:r w:rsidRPr="00422B4A">
                        <w:rPr>
                          <w:b/>
                        </w:rPr>
                        <w:t xml:space="preserve">Compliance costs: </w:t>
                      </w:r>
                      <w:r w:rsidRPr="00422B4A">
                        <w:t>Costs firms incur to reduce or prevent pollution in order to comply with the regulation; the two main components are capital costs and operating costs. Capital costs are often one-time costs related to the installation or retrofit of structures or equipment to reduce emissions; operating costs are reoccurring annual expenditures associated with the operation and maintenance of the equipment.</w:t>
                      </w:r>
                    </w:p>
                    <w:p w14:paraId="7D8B6FE8" w14:textId="77777777" w:rsidR="003A0138" w:rsidRPr="00422B4A" w:rsidRDefault="003A0138" w:rsidP="00D14B3C">
                      <w:pPr>
                        <w:jc w:val="left"/>
                        <w:rPr>
                          <w:b/>
                        </w:rPr>
                      </w:pPr>
                      <w:r>
                        <w:rPr>
                          <w:b/>
                        </w:rPr>
                        <w:t xml:space="preserve">Social cost: </w:t>
                      </w:r>
                      <w:r>
                        <w:t xml:space="preserve">The total burden that a regulation will impose on the economy. It is defined as the sum of all opportunity costs incurred as a result of a regulation, where an opportunity cost is the value lost to society of </w:t>
                      </w:r>
                      <w:r w:rsidRPr="00B31DF0">
                        <w:t xml:space="preserve">all the goods and services that will not be produced and consumed </w:t>
                      </w:r>
                      <w:r>
                        <w:t>in the presence of regulation as resources are</w:t>
                      </w:r>
                      <w:r w:rsidRPr="00B31DF0">
                        <w:t xml:space="preserve"> reallocat</w:t>
                      </w:r>
                      <w:r>
                        <w:t>ed</w:t>
                      </w:r>
                      <w:r w:rsidRPr="00B31DF0">
                        <w:t xml:space="preserve"> towards pollution abatement.</w:t>
                      </w:r>
                    </w:p>
                    <w:p w14:paraId="6951142F" w14:textId="77777777" w:rsidR="003A0138" w:rsidRPr="00422B4A" w:rsidRDefault="003A0138" w:rsidP="00D14B3C">
                      <w:pPr>
                        <w:jc w:val="left"/>
                      </w:pPr>
                      <w:r w:rsidRPr="00422B4A">
                        <w:rPr>
                          <w:b/>
                        </w:rPr>
                        <w:t>Direct costs:</w:t>
                      </w:r>
                      <w:r w:rsidRPr="00422B4A">
                        <w:t xml:space="preserve">  Costs that fall directly on regulated entities as a result of the regulation (often synonymous with compliance costs)</w:t>
                      </w:r>
                    </w:p>
                    <w:p w14:paraId="6680477B" w14:textId="77777777" w:rsidR="003A0138" w:rsidRPr="00422B4A" w:rsidRDefault="003A0138" w:rsidP="00D14B3C">
                      <w:pPr>
                        <w:jc w:val="left"/>
                      </w:pPr>
                      <w:r w:rsidRPr="00422B4A">
                        <w:rPr>
                          <w:b/>
                        </w:rPr>
                        <w:t>Indirect costs:</w:t>
                      </w:r>
                      <w:r w:rsidRPr="00422B4A">
                        <w:t xml:space="preserve"> Costs incurred in related markets or experienced by consumers or government not under the direct scope of the regulation; often transmitted through changes in prices of the goods or services produced in the regulated sector </w:t>
                      </w:r>
                    </w:p>
                    <w:p w14:paraId="624335EA" w14:textId="3E04B704" w:rsidR="003A0138" w:rsidRDefault="003A0138" w:rsidP="00D14B3C">
                      <w:pPr>
                        <w:jc w:val="left"/>
                      </w:pPr>
                      <w:r w:rsidRPr="00422B4A">
                        <w:rPr>
                          <w:b/>
                        </w:rPr>
                        <w:t>Transition costs:</w:t>
                      </w:r>
                      <w:r w:rsidRPr="00422B4A">
                        <w:t xml:space="preserve"> Short term costs incurred only during the time period when the economy is still adjusting to a new equilibrium</w:t>
                      </w:r>
                    </w:p>
                    <w:p w14:paraId="477831FE" w14:textId="77777777" w:rsidR="003A0138" w:rsidRPr="00683BD2" w:rsidRDefault="003A0138" w:rsidP="00D14B3C">
                      <w:pPr>
                        <w:jc w:val="left"/>
                      </w:pPr>
                      <w:r w:rsidRPr="00683BD2">
                        <w:rPr>
                          <w:b/>
                        </w:rPr>
                        <w:t>Interaction effects:</w:t>
                      </w:r>
                      <w:r w:rsidRPr="00683BD2">
                        <w:t xml:space="preserve"> How changes in prices or quantities in one sector interact with other sectors to cause effects in other markets</w:t>
                      </w:r>
                    </w:p>
                    <w:p w14:paraId="6922AAE6" w14:textId="77777777" w:rsidR="003A0138" w:rsidRDefault="003A0138" w:rsidP="00D14B3C">
                      <w:pPr>
                        <w:jc w:val="left"/>
                      </w:pPr>
                      <w:r w:rsidRPr="00683BD2">
                        <w:rPr>
                          <w:b/>
                        </w:rPr>
                        <w:t>Feedback effects:</w:t>
                      </w:r>
                      <w:r w:rsidRPr="00683BD2">
                        <w:t xml:space="preserve"> When</w:t>
                      </w:r>
                      <w:r>
                        <w:t xml:space="preserve"> changes in other sectors </w:t>
                      </w:r>
                      <w:r w:rsidRPr="00683BD2">
                        <w:t>feedback to the regulated sector and cause additional behavioral effects (e.g., requirements to install a scrubber could drive up the price of scrubbers which then, in turn, increases compliance costs in the regulated sector)</w:t>
                      </w:r>
                    </w:p>
                    <w:p w14:paraId="0F2F25B7" w14:textId="4CEE9084" w:rsidR="003A0138" w:rsidRPr="00683BD2" w:rsidRDefault="003A0138" w:rsidP="00D14B3C">
                      <w:pPr>
                        <w:jc w:val="left"/>
                      </w:pPr>
                      <w:r>
                        <w:tab/>
                      </w:r>
                      <w:r>
                        <w:tab/>
                      </w:r>
                      <w:r>
                        <w:tab/>
                      </w:r>
                      <w:r>
                        <w:tab/>
                      </w:r>
                      <w:r>
                        <w:tab/>
                      </w:r>
                      <w:r>
                        <w:tab/>
                      </w:r>
                      <w:r>
                        <w:tab/>
                      </w:r>
                      <w:r>
                        <w:tab/>
                      </w:r>
                      <w:r>
                        <w:tab/>
                        <w:t>Source: U.S. EPA (2010a)</w:t>
                      </w:r>
                    </w:p>
                    <w:p w14:paraId="72031A49" w14:textId="77777777" w:rsidR="003A0138" w:rsidRPr="005B1696" w:rsidRDefault="003A0138" w:rsidP="00D14B3C">
                      <w:pPr>
                        <w:jc w:val="left"/>
                      </w:pPr>
                    </w:p>
                    <w:p w14:paraId="7C144F76" w14:textId="77777777" w:rsidR="003A0138" w:rsidRDefault="003A0138" w:rsidP="00D14B3C">
                      <w:pPr>
                        <w:jc w:val="left"/>
                      </w:pPr>
                    </w:p>
                  </w:txbxContent>
                </v:textbox>
                <w10:wrap type="topAndBottom" anchorx="margin"/>
                <w10:anchorlock/>
              </v:shape>
            </w:pict>
          </mc:Fallback>
        </mc:AlternateContent>
      </w:r>
    </w:p>
    <w:p w14:paraId="7480731C" w14:textId="38540804" w:rsidR="00EA6BEA" w:rsidRPr="00713B93" w:rsidRDefault="00EA6BEA" w:rsidP="00083C21">
      <w:pPr>
        <w:pStyle w:val="Heading2"/>
        <w:numPr>
          <w:ilvl w:val="2"/>
          <w:numId w:val="3"/>
        </w:numPr>
      </w:pPr>
      <w:bookmarkStart w:id="29" w:name="_Toc427324750"/>
      <w:bookmarkStart w:id="30" w:name="_Toc448481303"/>
      <w:r w:rsidRPr="00713B93">
        <w:t xml:space="preserve">General Equilibrium Approaches to Estimating </w:t>
      </w:r>
      <w:r w:rsidR="003A0138">
        <w:t xml:space="preserve">Social </w:t>
      </w:r>
      <w:r w:rsidRPr="00713B93">
        <w:t>Cost</w:t>
      </w:r>
      <w:bookmarkEnd w:id="29"/>
      <w:bookmarkEnd w:id="30"/>
    </w:p>
    <w:p w14:paraId="7ECCDC13" w14:textId="47031FDB" w:rsidR="00F32730" w:rsidRPr="009B1C39" w:rsidRDefault="008F3C91" w:rsidP="00C04050">
      <w:pPr>
        <w:spacing w:line="276" w:lineRule="auto"/>
      </w:pPr>
      <w:r w:rsidRPr="00713B93">
        <w:t>W</w:t>
      </w:r>
      <w:r w:rsidR="00EA6BEA" w:rsidRPr="00713B93">
        <w:t xml:space="preserve">hen a large number of sectors </w:t>
      </w:r>
      <w:r w:rsidRPr="00713B93">
        <w:t xml:space="preserve">are expected </w:t>
      </w:r>
      <w:r w:rsidR="00EA6BEA" w:rsidRPr="00713B93">
        <w:t xml:space="preserve">to </w:t>
      </w:r>
      <w:r w:rsidRPr="00713B93">
        <w:t>experience significant impacts as the result of a regulation, either directly or indirectly,</w:t>
      </w:r>
      <w:r w:rsidR="00EA6BEA" w:rsidRPr="00713B93">
        <w:t xml:space="preserve"> </w:t>
      </w:r>
      <w:r w:rsidRPr="00713B93">
        <w:t xml:space="preserve">such </w:t>
      </w:r>
      <w:r w:rsidR="00EA6BEA" w:rsidRPr="00713B93">
        <w:t xml:space="preserve">that the effects </w:t>
      </w:r>
      <w:r w:rsidR="007758C7" w:rsidRPr="00713B93">
        <w:t>are</w:t>
      </w:r>
      <w:r w:rsidR="00EA6BEA" w:rsidRPr="00713B93">
        <w:t xml:space="preserve"> spread more broadly throughout the economy</w:t>
      </w:r>
      <w:r w:rsidR="008B6AA0" w:rsidRPr="00713B93">
        <w:t>,</w:t>
      </w:r>
      <w:r w:rsidR="00EA6BEA" w:rsidRPr="00713B93">
        <w:t xml:space="preserve"> a general equilibrium approach may </w:t>
      </w:r>
      <w:r w:rsidR="008450AC" w:rsidRPr="00713B93">
        <w:t>more adequately measure social cost</w:t>
      </w:r>
      <w:r w:rsidR="00EA6BEA" w:rsidRPr="00713B93">
        <w:t xml:space="preserve">. </w:t>
      </w:r>
      <w:r w:rsidR="00B2297B" w:rsidRPr="00713B93">
        <w:t>Likewise, a large regulatory change in a single sector may have indirect effects on a myriad of other markets. T</w:t>
      </w:r>
      <w:r w:rsidRPr="00713B93">
        <w:t xml:space="preserve">he EPA’s Economic Guidelines </w:t>
      </w:r>
      <w:r w:rsidR="00B2297B" w:rsidRPr="00713B93">
        <w:t xml:space="preserve">notes that </w:t>
      </w:r>
      <w:r w:rsidR="00EA6BEA" w:rsidRPr="00713B93">
        <w:t>“</w:t>
      </w:r>
      <w:r w:rsidR="00B2297B" w:rsidRPr="00713B93">
        <w:t>i</w:t>
      </w:r>
      <w:r w:rsidR="00EA6BEA" w:rsidRPr="00713B93">
        <w:t>n such cases, a general equilibrium framework, which captures linkages between markets across the entire economy, may be a more appropriate choice”</w:t>
      </w:r>
      <w:r w:rsidR="00EC4A41" w:rsidRPr="009B1C39">
        <w:t xml:space="preserve"> (</w:t>
      </w:r>
      <w:r w:rsidR="00D159E3">
        <w:t xml:space="preserve">U.S. </w:t>
      </w:r>
      <w:r w:rsidR="00EC4A41" w:rsidRPr="009B1C39">
        <w:t>EPA</w:t>
      </w:r>
      <w:r w:rsidR="00197E3A" w:rsidRPr="009B1C39">
        <w:t>,</w:t>
      </w:r>
      <w:r w:rsidR="00EC4A41" w:rsidRPr="009B1C39">
        <w:t xml:space="preserve"> 2010a).</w:t>
      </w:r>
    </w:p>
    <w:p w14:paraId="2EC80274" w14:textId="2016CBF8" w:rsidR="00366656" w:rsidRPr="009B1C39" w:rsidRDefault="009A7C7E" w:rsidP="00C04050">
      <w:pPr>
        <w:spacing w:line="276" w:lineRule="auto"/>
      </w:pPr>
      <w:r w:rsidRPr="009B1C39">
        <w:t xml:space="preserve">The </w:t>
      </w:r>
      <w:r w:rsidR="00EA6BEA" w:rsidRPr="009B1C39">
        <w:t xml:space="preserve">EPA’s Economic Guidelines </w:t>
      </w:r>
      <w:r w:rsidRPr="009B1C39">
        <w:t>provide the example of</w:t>
      </w:r>
      <w:r w:rsidR="00EA6BEA" w:rsidRPr="009B1C39">
        <w:t xml:space="preserve"> </w:t>
      </w:r>
      <w:r w:rsidR="00C63178" w:rsidRPr="009B1C39">
        <w:t>a</w:t>
      </w:r>
      <w:r w:rsidR="00EA6BEA" w:rsidRPr="009B1C39">
        <w:t xml:space="preserve"> regulation that </w:t>
      </w:r>
      <w:r w:rsidR="00C63178" w:rsidRPr="009B1C39">
        <w:t xml:space="preserve">imposes </w:t>
      </w:r>
      <w:r w:rsidRPr="009B1C39">
        <w:t xml:space="preserve">emission </w:t>
      </w:r>
      <w:r w:rsidR="00EA6BEA" w:rsidRPr="009B1C39">
        <w:t xml:space="preserve">limits </w:t>
      </w:r>
      <w:r w:rsidR="00C63178" w:rsidRPr="009B1C39">
        <w:t xml:space="preserve">on </w:t>
      </w:r>
      <w:r w:rsidR="00EA6BEA" w:rsidRPr="009B1C39">
        <w:t>the electric utility sector</w:t>
      </w:r>
      <w:r w:rsidR="00C63178" w:rsidRPr="009B1C39">
        <w:t>. Compliance costs are passed along as</w:t>
      </w:r>
      <w:r w:rsidR="00EA6BEA" w:rsidRPr="009B1C39">
        <w:t xml:space="preserve"> </w:t>
      </w:r>
      <w:r w:rsidRPr="009B1C39">
        <w:t>electricity</w:t>
      </w:r>
      <w:r w:rsidR="00EA6BEA" w:rsidRPr="009B1C39">
        <w:t xml:space="preserve"> price </w:t>
      </w:r>
      <w:r w:rsidRPr="009B1C39">
        <w:t>increase</w:t>
      </w:r>
      <w:r w:rsidR="00C63178" w:rsidRPr="009B1C39">
        <w:t>s</w:t>
      </w:r>
      <w:r w:rsidR="00EA6BEA" w:rsidRPr="009B1C39">
        <w:t xml:space="preserve">. Because electricity is </w:t>
      </w:r>
      <w:r w:rsidR="00B44C1F" w:rsidRPr="009B1C39">
        <w:t xml:space="preserve">used as </w:t>
      </w:r>
      <w:r w:rsidR="00EA6BEA" w:rsidRPr="009B1C39">
        <w:t xml:space="preserve">an input in the production of </w:t>
      </w:r>
      <w:r w:rsidR="0048285D">
        <w:t>many</w:t>
      </w:r>
      <w:r w:rsidR="0048285D" w:rsidRPr="009B1C39">
        <w:t xml:space="preserve"> </w:t>
      </w:r>
      <w:r w:rsidR="00EA6BEA" w:rsidRPr="009B1C39">
        <w:t xml:space="preserve">goods, the prices of these products </w:t>
      </w:r>
      <w:r w:rsidRPr="009B1C39">
        <w:t>may also increase reflecting the increase in the</w:t>
      </w:r>
      <w:r w:rsidR="00B44C1F" w:rsidRPr="009B1C39">
        <w:t>ir</w:t>
      </w:r>
      <w:r w:rsidRPr="009B1C39">
        <w:t xml:space="preserve"> marginal cost of production.</w:t>
      </w:r>
      <w:r w:rsidR="00EA6BEA" w:rsidRPr="009B1C39">
        <w:t xml:space="preserve"> Households </w:t>
      </w:r>
      <w:r w:rsidR="0048285D">
        <w:t>are</w:t>
      </w:r>
      <w:r w:rsidR="00EA6BEA" w:rsidRPr="009B1C39">
        <w:t xml:space="preserve"> affected</w:t>
      </w:r>
      <w:r w:rsidR="0048285D">
        <w:t xml:space="preserve"> through two channels:</w:t>
      </w:r>
      <w:r w:rsidR="00EA6BEA" w:rsidRPr="009B1C39">
        <w:t xml:space="preserve"> as consumers of these goods</w:t>
      </w:r>
      <w:r w:rsidR="0048285D">
        <w:t>,</w:t>
      </w:r>
      <w:r w:rsidR="00EA6BEA" w:rsidRPr="009B1C39">
        <w:t xml:space="preserve"> and as direct consumers of electricity. </w:t>
      </w:r>
      <w:r w:rsidR="002E153A" w:rsidRPr="009B1C39">
        <w:t>I</w:t>
      </w:r>
      <w:r w:rsidR="00EA6BEA" w:rsidRPr="009B1C39">
        <w:t>ncrease</w:t>
      </w:r>
      <w:r w:rsidR="002E153A" w:rsidRPr="009B1C39">
        <w:t>s</w:t>
      </w:r>
      <w:r w:rsidR="00EA6BEA" w:rsidRPr="009B1C39">
        <w:t xml:space="preserve"> in prices may cause </w:t>
      </w:r>
      <w:r w:rsidR="002E153A" w:rsidRPr="009B1C39">
        <w:t xml:space="preserve">households </w:t>
      </w:r>
      <w:r w:rsidR="00EA6BEA" w:rsidRPr="009B1C39">
        <w:t xml:space="preserve">to alter their </w:t>
      </w:r>
      <w:r w:rsidR="002E153A" w:rsidRPr="009B1C39">
        <w:t xml:space="preserve">choices in terms of both </w:t>
      </w:r>
      <w:r w:rsidR="00EA6BEA" w:rsidRPr="009B1C39">
        <w:t>relative consumption of energy-intensive goods and services</w:t>
      </w:r>
      <w:r w:rsidR="00E56701" w:rsidRPr="009B1C39">
        <w:t xml:space="preserve"> and also </w:t>
      </w:r>
      <w:r w:rsidR="007772DE" w:rsidRPr="009B1C39">
        <w:t>the number of hours they are willing to work</w:t>
      </w:r>
      <w:r w:rsidR="00EA6BEA" w:rsidRPr="009B1C39">
        <w:t xml:space="preserve">. The </w:t>
      </w:r>
      <w:r w:rsidR="00E56701" w:rsidRPr="009B1C39">
        <w:t xml:space="preserve">impacts </w:t>
      </w:r>
      <w:r w:rsidR="00EA6BEA" w:rsidRPr="009B1C39">
        <w:t>of a regulation also may interact with pre-existing distortions in other markets, which may cause additional impacts on welfare.</w:t>
      </w:r>
      <w:r w:rsidR="007772DE" w:rsidRPr="009B1C39">
        <w:rPr>
          <w:rStyle w:val="FootnoteReference"/>
        </w:rPr>
        <w:footnoteReference w:id="12"/>
      </w:r>
      <w:r w:rsidR="00EA6BEA" w:rsidRPr="009B1C39">
        <w:t xml:space="preserve"> In cases such as these, a general equilibrium approach </w:t>
      </w:r>
      <w:r w:rsidR="005F5E97" w:rsidRPr="009B1C39">
        <w:t xml:space="preserve">is capable of identifying the direct and indirect impacts of policy as its effects flow through </w:t>
      </w:r>
      <w:r w:rsidR="0048285D">
        <w:t xml:space="preserve">the </w:t>
      </w:r>
      <w:r w:rsidR="005F5E97" w:rsidRPr="009B1C39">
        <w:t xml:space="preserve">economy, including changes in substitution </w:t>
      </w:r>
      <w:r w:rsidR="00F81109" w:rsidRPr="009B1C39">
        <w:t xml:space="preserve">among factors of production, </w:t>
      </w:r>
      <w:r w:rsidR="005F5E97" w:rsidRPr="009B1C39">
        <w:t xml:space="preserve">trade patterns, endogenous demands, and </w:t>
      </w:r>
      <w:r w:rsidR="00F81109" w:rsidRPr="009B1C39">
        <w:t xml:space="preserve">even </w:t>
      </w:r>
      <w:r w:rsidR="005F5E97" w:rsidRPr="009B1C39">
        <w:t>inter-temporal consumption</w:t>
      </w:r>
      <w:r w:rsidR="00F81109" w:rsidRPr="009B1C39">
        <w:t xml:space="preserve">. These effects of compliance with a regulation </w:t>
      </w:r>
      <w:r w:rsidR="00EA6BEA" w:rsidRPr="009B1C39">
        <w:t>are partially or wholly missed by engineering or partial equilibrium approach</w:t>
      </w:r>
      <w:r w:rsidR="00201C9E" w:rsidRPr="009B1C39">
        <w:t>es</w:t>
      </w:r>
      <w:r w:rsidR="00366656" w:rsidRPr="009B1C39">
        <w:t xml:space="preserve"> (Table 1 summarizes the types of costs typically captured by engineering, partial equilibrium, and economy-wide models used by </w:t>
      </w:r>
      <w:r w:rsidR="004C6E84" w:rsidRPr="009B1C39">
        <w:t xml:space="preserve">the </w:t>
      </w:r>
      <w:r w:rsidR="00366656" w:rsidRPr="009B1C39">
        <w:t>EPA to analyze air regulations)</w:t>
      </w:r>
      <w:r w:rsidR="00EA6BEA" w:rsidRPr="009B1C39">
        <w:t xml:space="preserve">. </w:t>
      </w:r>
    </w:p>
    <w:p w14:paraId="199BA1AB" w14:textId="77777777" w:rsidR="00366656" w:rsidRPr="009B1C39" w:rsidRDefault="00366656" w:rsidP="00C04050">
      <w:pPr>
        <w:spacing w:line="276" w:lineRule="auto"/>
        <w:jc w:val="center"/>
        <w:rPr>
          <w:b/>
        </w:rPr>
      </w:pPr>
      <w:r w:rsidRPr="009B1C39">
        <w:rPr>
          <w:b/>
        </w:rPr>
        <w:t>Table 1. Types of Costs Captured by Main EPA Model Types</w:t>
      </w:r>
    </w:p>
    <w:tbl>
      <w:tblPr>
        <w:tblStyle w:val="ListTable1Light-Accent31"/>
        <w:tblW w:w="4122" w:type="pct"/>
        <w:jc w:val="center"/>
        <w:tblLayout w:type="fixed"/>
        <w:tblLook w:val="04A0" w:firstRow="1" w:lastRow="0" w:firstColumn="1" w:lastColumn="0" w:noHBand="0" w:noVBand="1"/>
      </w:tblPr>
      <w:tblGrid>
        <w:gridCol w:w="3060"/>
        <w:gridCol w:w="1463"/>
        <w:gridCol w:w="1463"/>
        <w:gridCol w:w="1730"/>
      </w:tblGrid>
      <w:tr w:rsidR="00351CC0" w:rsidRPr="00713B93" w14:paraId="4B205C68" w14:textId="77777777" w:rsidTr="00713B9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3" w:type="pct"/>
            <w:tcBorders>
              <w:bottom w:val="single" w:sz="4" w:space="0" w:color="auto"/>
            </w:tcBorders>
          </w:tcPr>
          <w:p w14:paraId="0295CCEE" w14:textId="77777777" w:rsidR="00351CC0" w:rsidRPr="00713B93" w:rsidRDefault="00351CC0" w:rsidP="00C04050">
            <w:pPr>
              <w:jc w:val="left"/>
              <w:rPr>
                <w:rFonts w:cstheme="minorHAnsi"/>
                <w:b w:val="0"/>
              </w:rPr>
            </w:pPr>
            <w:r w:rsidRPr="00713B93">
              <w:rPr>
                <w:rFonts w:cstheme="minorHAnsi"/>
                <w:b w:val="0"/>
              </w:rPr>
              <w:t>Attributes</w:t>
            </w:r>
          </w:p>
        </w:tc>
        <w:tc>
          <w:tcPr>
            <w:tcW w:w="948" w:type="pct"/>
            <w:tcBorders>
              <w:bottom w:val="single" w:sz="4" w:space="0" w:color="auto"/>
            </w:tcBorders>
          </w:tcPr>
          <w:p w14:paraId="47E37597" w14:textId="4C8B0769" w:rsidR="00351CC0" w:rsidRPr="00713B93" w:rsidRDefault="00351CC0" w:rsidP="00C04050">
            <w:pPr>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713B93">
              <w:rPr>
                <w:rFonts w:eastAsiaTheme="minorEastAsia" w:cstheme="minorEastAsia"/>
                <w:b w:val="0"/>
              </w:rPr>
              <w:t>Engineering Approach</w:t>
            </w:r>
          </w:p>
        </w:tc>
        <w:tc>
          <w:tcPr>
            <w:tcW w:w="948" w:type="pct"/>
            <w:tcBorders>
              <w:bottom w:val="single" w:sz="4" w:space="0" w:color="auto"/>
            </w:tcBorders>
          </w:tcPr>
          <w:p w14:paraId="669193A7" w14:textId="77777777" w:rsidR="00351CC0" w:rsidRPr="00713B93" w:rsidRDefault="00351CC0" w:rsidP="00C04050">
            <w:pPr>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713B93">
              <w:rPr>
                <w:rFonts w:cstheme="minorHAnsi"/>
                <w:b w:val="0"/>
              </w:rPr>
              <w:t>Partial Equilibrium</w:t>
            </w:r>
          </w:p>
        </w:tc>
        <w:tc>
          <w:tcPr>
            <w:tcW w:w="1121" w:type="pct"/>
            <w:tcBorders>
              <w:bottom w:val="single" w:sz="4" w:space="0" w:color="auto"/>
            </w:tcBorders>
          </w:tcPr>
          <w:p w14:paraId="79DA69F9" w14:textId="77777777" w:rsidR="00351CC0" w:rsidRPr="00713B93" w:rsidRDefault="00351CC0" w:rsidP="00C04050">
            <w:pPr>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713B93">
              <w:rPr>
                <w:rFonts w:cstheme="minorHAnsi"/>
                <w:b w:val="0"/>
              </w:rPr>
              <w:t>CGE</w:t>
            </w:r>
          </w:p>
        </w:tc>
      </w:tr>
      <w:tr w:rsidR="00351CC0" w:rsidRPr="00713B93" w14:paraId="38E06783" w14:textId="77777777" w:rsidTr="00713B9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3" w:type="pct"/>
            <w:tcBorders>
              <w:top w:val="single" w:sz="4" w:space="0" w:color="auto"/>
            </w:tcBorders>
          </w:tcPr>
          <w:p w14:paraId="3385F1CD" w14:textId="155655FA" w:rsidR="00351CC0" w:rsidRPr="00713B93" w:rsidRDefault="00CB6D83" w:rsidP="00CC49AD">
            <w:pPr>
              <w:jc w:val="left"/>
              <w:rPr>
                <w:rFonts w:cstheme="minorHAnsi"/>
                <w:b w:val="0"/>
              </w:rPr>
            </w:pPr>
            <w:r w:rsidRPr="00713B93">
              <w:rPr>
                <w:rFonts w:eastAsiaTheme="minorEastAsia" w:cstheme="minorEastAsia"/>
                <w:b w:val="0"/>
              </w:rPr>
              <w:t>Can estimate welfare effects</w:t>
            </w:r>
            <w:r w:rsidR="00632832" w:rsidRPr="00713B93">
              <w:rPr>
                <w:rFonts w:eastAsiaTheme="minorEastAsia" w:cstheme="minorEastAsia"/>
                <w:b w:val="0"/>
              </w:rPr>
              <w:t xml:space="preserve"> (social cost)</w:t>
            </w:r>
          </w:p>
        </w:tc>
        <w:tc>
          <w:tcPr>
            <w:tcW w:w="948" w:type="pct"/>
            <w:tcBorders>
              <w:top w:val="single" w:sz="4" w:space="0" w:color="auto"/>
            </w:tcBorders>
            <w:vAlign w:val="center"/>
          </w:tcPr>
          <w:p w14:paraId="349A0E27" w14:textId="2C2D0BE6" w:rsidR="00351CC0" w:rsidRPr="00713B93" w:rsidRDefault="00351CC0" w:rsidP="00C04050">
            <w:pPr>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948" w:type="pct"/>
            <w:tcBorders>
              <w:top w:val="single" w:sz="4" w:space="0" w:color="auto"/>
            </w:tcBorders>
            <w:vAlign w:val="center"/>
          </w:tcPr>
          <w:p w14:paraId="33A879BA" w14:textId="77777777" w:rsidR="00351CC0" w:rsidRPr="00713B93" w:rsidRDefault="00351CC0" w:rsidP="00C04050">
            <w:pPr>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1121" w:type="pct"/>
            <w:tcBorders>
              <w:top w:val="single" w:sz="4" w:space="0" w:color="auto"/>
            </w:tcBorders>
            <w:vAlign w:val="center"/>
          </w:tcPr>
          <w:p w14:paraId="615299BA" w14:textId="59617EB2" w:rsidR="00351CC0" w:rsidRPr="00713B93" w:rsidRDefault="00CB6D83" w:rsidP="00CC49AD">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713B93">
              <w:rPr>
                <w:rFonts w:eastAsiaTheme="minorEastAsia" w:cstheme="minorEastAsia"/>
              </w:rPr>
              <w:t>√</w:t>
            </w:r>
          </w:p>
        </w:tc>
      </w:tr>
      <w:tr w:rsidR="00CB6D83" w:rsidRPr="00713B93" w14:paraId="0849623E" w14:textId="77777777" w:rsidTr="00713B93">
        <w:trPr>
          <w:jc w:val="center"/>
        </w:trPr>
        <w:tc>
          <w:tcPr>
            <w:cnfStyle w:val="001000000000" w:firstRow="0" w:lastRow="0" w:firstColumn="1" w:lastColumn="0" w:oddVBand="0" w:evenVBand="0" w:oddHBand="0" w:evenHBand="0" w:firstRowFirstColumn="0" w:firstRowLastColumn="0" w:lastRowFirstColumn="0" w:lastRowLastColumn="0"/>
            <w:tcW w:w="1983" w:type="pct"/>
          </w:tcPr>
          <w:p w14:paraId="2D2E8979" w14:textId="0B3E9684" w:rsidR="00CB6D83" w:rsidRPr="00713B93" w:rsidRDefault="00CB6D83" w:rsidP="00CB6D83">
            <w:pPr>
              <w:jc w:val="left"/>
              <w:rPr>
                <w:rFonts w:cstheme="minorHAnsi"/>
                <w:b w:val="0"/>
              </w:rPr>
            </w:pPr>
            <w:r w:rsidRPr="00713B93">
              <w:rPr>
                <w:rFonts w:eastAsiaTheme="minorEastAsia" w:cstheme="minorEastAsia"/>
                <w:b w:val="0"/>
              </w:rPr>
              <w:t>Can measure direct compliance costs</w:t>
            </w:r>
          </w:p>
        </w:tc>
        <w:tc>
          <w:tcPr>
            <w:tcW w:w="948" w:type="pct"/>
            <w:vAlign w:val="center"/>
          </w:tcPr>
          <w:p w14:paraId="6D5CB016" w14:textId="61E4924A" w:rsidR="00CB6D83" w:rsidRPr="00713B93" w:rsidRDefault="00CB6D83" w:rsidP="00CB6D83">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713B93">
              <w:rPr>
                <w:rFonts w:eastAsiaTheme="minorEastAsia" w:cstheme="minorEastAsia"/>
              </w:rPr>
              <w:t>√</w:t>
            </w:r>
          </w:p>
        </w:tc>
        <w:tc>
          <w:tcPr>
            <w:tcW w:w="948" w:type="pct"/>
            <w:vAlign w:val="center"/>
          </w:tcPr>
          <w:p w14:paraId="17DC20A0" w14:textId="1F596702" w:rsidR="00CB6D83" w:rsidRPr="00713B93" w:rsidRDefault="00791443" w:rsidP="00791443">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713B93">
              <w:rPr>
                <w:rFonts w:eastAsiaTheme="minorEastAsia" w:cstheme="minorEastAsia"/>
              </w:rPr>
              <w:t>Sometimes</w:t>
            </w:r>
          </w:p>
        </w:tc>
        <w:tc>
          <w:tcPr>
            <w:tcW w:w="1121" w:type="pct"/>
            <w:vAlign w:val="center"/>
          </w:tcPr>
          <w:p w14:paraId="72DC4B80" w14:textId="2FAFEDB2" w:rsidR="00CB6D83" w:rsidRPr="00713B93" w:rsidRDefault="00CB6D83" w:rsidP="00CB6D83">
            <w:pPr>
              <w:jc w:val="center"/>
              <w:cnfStyle w:val="000000000000" w:firstRow="0" w:lastRow="0" w:firstColumn="0" w:lastColumn="0" w:oddVBand="0" w:evenVBand="0" w:oddHBand="0" w:evenHBand="0" w:firstRowFirstColumn="0" w:firstRowLastColumn="0" w:lastRowFirstColumn="0" w:lastRowLastColumn="0"/>
              <w:rPr>
                <w:rFonts w:cstheme="minorHAnsi"/>
              </w:rPr>
            </w:pPr>
          </w:p>
        </w:tc>
      </w:tr>
      <w:tr w:rsidR="00CB6D83" w:rsidRPr="00713B93" w14:paraId="606ADE22" w14:textId="77777777" w:rsidTr="00713B9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3" w:type="pct"/>
          </w:tcPr>
          <w:p w14:paraId="1EAA1FAE" w14:textId="259BB3A6" w:rsidR="00CB6D83" w:rsidRPr="00713B93" w:rsidRDefault="00CB6D83" w:rsidP="00CC49AD">
            <w:pPr>
              <w:jc w:val="left"/>
              <w:rPr>
                <w:rFonts w:cstheme="minorHAnsi"/>
                <w:b w:val="0"/>
              </w:rPr>
            </w:pPr>
            <w:r w:rsidRPr="00713B93">
              <w:rPr>
                <w:rFonts w:cstheme="minorHAnsi"/>
                <w:b w:val="0"/>
              </w:rPr>
              <w:t>Can measure transition costs</w:t>
            </w:r>
          </w:p>
          <w:p w14:paraId="13EFD87F" w14:textId="71ED5A6B" w:rsidR="00CB6D83" w:rsidRPr="00713B93" w:rsidRDefault="00CB6D83" w:rsidP="00870AAC">
            <w:pPr>
              <w:jc w:val="left"/>
              <w:rPr>
                <w:rFonts w:cstheme="minorHAnsi"/>
                <w:b w:val="0"/>
              </w:rPr>
            </w:pPr>
          </w:p>
        </w:tc>
        <w:tc>
          <w:tcPr>
            <w:tcW w:w="948" w:type="pct"/>
            <w:vAlign w:val="center"/>
          </w:tcPr>
          <w:p w14:paraId="735133AF" w14:textId="77777777" w:rsidR="00CB6D83" w:rsidRPr="00713B93" w:rsidRDefault="00CB6D83" w:rsidP="00CB6D83">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713B93">
              <w:rPr>
                <w:rFonts w:cstheme="minorHAnsi"/>
              </w:rPr>
              <w:t>√</w:t>
            </w:r>
          </w:p>
        </w:tc>
        <w:tc>
          <w:tcPr>
            <w:tcW w:w="948" w:type="pct"/>
            <w:vAlign w:val="center"/>
          </w:tcPr>
          <w:p w14:paraId="551A661C" w14:textId="77777777" w:rsidR="00CB6D83" w:rsidRPr="00713B93" w:rsidRDefault="00CB6D83" w:rsidP="00CB6D83">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713B93">
              <w:rPr>
                <w:rFonts w:cstheme="minorHAnsi"/>
              </w:rPr>
              <w:t>√</w:t>
            </w:r>
          </w:p>
        </w:tc>
        <w:tc>
          <w:tcPr>
            <w:tcW w:w="1121" w:type="pct"/>
            <w:vAlign w:val="center"/>
          </w:tcPr>
          <w:p w14:paraId="70CC15BD" w14:textId="77777777" w:rsidR="00CB6D83" w:rsidRPr="00713B93" w:rsidRDefault="00CB6D83" w:rsidP="00CB6D83">
            <w:pPr>
              <w:jc w:val="center"/>
              <w:cnfStyle w:val="000000100000" w:firstRow="0" w:lastRow="0" w:firstColumn="0" w:lastColumn="0" w:oddVBand="0" w:evenVBand="0" w:oddHBand="1" w:evenHBand="0" w:firstRowFirstColumn="0" w:firstRowLastColumn="0" w:lastRowFirstColumn="0" w:lastRowLastColumn="0"/>
              <w:rPr>
                <w:rFonts w:cstheme="minorHAnsi"/>
              </w:rPr>
            </w:pPr>
          </w:p>
        </w:tc>
      </w:tr>
      <w:tr w:rsidR="00CB6D83" w:rsidRPr="00713B93" w14:paraId="251DFEF2" w14:textId="77777777" w:rsidTr="00713B93">
        <w:trPr>
          <w:jc w:val="center"/>
        </w:trPr>
        <w:tc>
          <w:tcPr>
            <w:cnfStyle w:val="001000000000" w:firstRow="0" w:lastRow="0" w:firstColumn="1" w:lastColumn="0" w:oddVBand="0" w:evenVBand="0" w:oddHBand="0" w:evenHBand="0" w:firstRowFirstColumn="0" w:firstRowLastColumn="0" w:lastRowFirstColumn="0" w:lastRowLastColumn="0"/>
            <w:tcW w:w="1983" w:type="pct"/>
          </w:tcPr>
          <w:p w14:paraId="54973C36" w14:textId="5DE855B5" w:rsidR="00CB6D83" w:rsidRPr="00713B93" w:rsidRDefault="00CB6D83" w:rsidP="00CB6D83">
            <w:pPr>
              <w:jc w:val="left"/>
              <w:rPr>
                <w:rFonts w:cstheme="minorHAnsi"/>
                <w:b w:val="0"/>
              </w:rPr>
            </w:pPr>
            <w:r w:rsidRPr="00713B93">
              <w:rPr>
                <w:rFonts w:eastAsiaTheme="minorEastAsia" w:cstheme="minorEastAsia"/>
                <w:b w:val="0"/>
              </w:rPr>
              <w:t xml:space="preserve">Can capture indirect </w:t>
            </w:r>
            <w:r w:rsidR="00791443" w:rsidRPr="00713B93">
              <w:rPr>
                <w:rFonts w:eastAsiaTheme="minorEastAsia" w:cstheme="minorEastAsia"/>
                <w:b w:val="0"/>
              </w:rPr>
              <w:t>effect</w:t>
            </w:r>
            <w:r w:rsidRPr="00713B93">
              <w:rPr>
                <w:rFonts w:eastAsiaTheme="minorEastAsia" w:cstheme="minorEastAsia"/>
                <w:b w:val="0"/>
              </w:rPr>
              <w:t>s</w:t>
            </w:r>
          </w:p>
          <w:p w14:paraId="7ED89C88" w14:textId="77777777" w:rsidR="00CB6D83" w:rsidRPr="00713B93" w:rsidRDefault="00CB6D83" w:rsidP="00CB6D83">
            <w:pPr>
              <w:jc w:val="left"/>
              <w:rPr>
                <w:rFonts w:cstheme="minorHAnsi"/>
                <w:b w:val="0"/>
              </w:rPr>
            </w:pPr>
          </w:p>
        </w:tc>
        <w:tc>
          <w:tcPr>
            <w:tcW w:w="948" w:type="pct"/>
            <w:vAlign w:val="center"/>
          </w:tcPr>
          <w:p w14:paraId="56FA19F8" w14:textId="77777777" w:rsidR="00CB6D83" w:rsidRPr="00713B93" w:rsidRDefault="00CB6D83" w:rsidP="00CB6D83">
            <w:pPr>
              <w:jc w:val="center"/>
              <w:cnfStyle w:val="000000000000" w:firstRow="0" w:lastRow="0" w:firstColumn="0" w:lastColumn="0" w:oddVBand="0" w:evenVBand="0" w:oddHBand="0" w:evenHBand="0" w:firstRowFirstColumn="0" w:firstRowLastColumn="0" w:lastRowFirstColumn="0" w:lastRowLastColumn="0"/>
              <w:rPr>
                <w:rFonts w:cstheme="minorHAnsi"/>
              </w:rPr>
            </w:pPr>
          </w:p>
        </w:tc>
        <w:tc>
          <w:tcPr>
            <w:tcW w:w="948" w:type="pct"/>
            <w:vAlign w:val="center"/>
          </w:tcPr>
          <w:p w14:paraId="02FBA852" w14:textId="77777777" w:rsidR="00CB6D83" w:rsidRPr="00713B93" w:rsidRDefault="00CB6D83" w:rsidP="00CB6D83">
            <w:pPr>
              <w:jc w:val="center"/>
              <w:cnfStyle w:val="000000000000" w:firstRow="0" w:lastRow="0" w:firstColumn="0" w:lastColumn="0" w:oddVBand="0" w:evenVBand="0" w:oddHBand="0" w:evenHBand="0" w:firstRowFirstColumn="0" w:firstRowLastColumn="0" w:lastRowFirstColumn="0" w:lastRowLastColumn="0"/>
              <w:rPr>
                <w:rFonts w:cstheme="minorHAnsi"/>
              </w:rPr>
            </w:pPr>
          </w:p>
        </w:tc>
        <w:tc>
          <w:tcPr>
            <w:tcW w:w="1121" w:type="pct"/>
            <w:vAlign w:val="center"/>
          </w:tcPr>
          <w:p w14:paraId="0B75111B" w14:textId="77777777" w:rsidR="00CB6D83" w:rsidRPr="00713B93" w:rsidRDefault="00CB6D83" w:rsidP="00CB6D83">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713B93">
              <w:rPr>
                <w:rFonts w:cstheme="minorHAnsi"/>
              </w:rPr>
              <w:t>√</w:t>
            </w:r>
          </w:p>
        </w:tc>
      </w:tr>
      <w:tr w:rsidR="00CB6D83" w:rsidRPr="00713B93" w14:paraId="4B3FF7AC" w14:textId="41EDA5C7" w:rsidTr="00713B9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3" w:type="pct"/>
            <w:tcBorders>
              <w:bottom w:val="single" w:sz="4" w:space="0" w:color="auto"/>
            </w:tcBorders>
          </w:tcPr>
          <w:p w14:paraId="0ACA54FD" w14:textId="45C732ED" w:rsidR="00CB6D83" w:rsidRPr="00713B93" w:rsidRDefault="00CB6D83" w:rsidP="00CB6D83">
            <w:pPr>
              <w:jc w:val="left"/>
              <w:rPr>
                <w:rFonts w:cstheme="minorHAnsi"/>
                <w:b w:val="0"/>
              </w:rPr>
            </w:pPr>
            <w:r w:rsidRPr="00713B93">
              <w:rPr>
                <w:rFonts w:cstheme="minorHAnsi"/>
                <w:b w:val="0"/>
              </w:rPr>
              <w:t>Can capture feedback and interaction effects</w:t>
            </w:r>
          </w:p>
        </w:tc>
        <w:tc>
          <w:tcPr>
            <w:tcW w:w="948" w:type="pct"/>
            <w:tcBorders>
              <w:bottom w:val="single" w:sz="4" w:space="0" w:color="auto"/>
            </w:tcBorders>
            <w:vAlign w:val="center"/>
          </w:tcPr>
          <w:p w14:paraId="0F2B124B" w14:textId="05F99A73" w:rsidR="00CB6D83" w:rsidRPr="00713B93" w:rsidRDefault="00CB6D83" w:rsidP="00CB6D83">
            <w:pPr>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948" w:type="pct"/>
            <w:tcBorders>
              <w:bottom w:val="single" w:sz="4" w:space="0" w:color="auto"/>
            </w:tcBorders>
            <w:vAlign w:val="center"/>
          </w:tcPr>
          <w:p w14:paraId="21C881A3" w14:textId="53A6D3EA" w:rsidR="00CB6D83" w:rsidRPr="00713B93" w:rsidRDefault="00CB6D83" w:rsidP="00CB6D83">
            <w:pPr>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1121" w:type="pct"/>
            <w:tcBorders>
              <w:bottom w:val="single" w:sz="4" w:space="0" w:color="auto"/>
            </w:tcBorders>
            <w:vAlign w:val="center"/>
          </w:tcPr>
          <w:p w14:paraId="242219AE" w14:textId="5FB1C55F" w:rsidR="00CB6D83" w:rsidRPr="00713B93" w:rsidRDefault="00CB6D83" w:rsidP="00CB6D83">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713B93">
              <w:rPr>
                <w:rFonts w:cstheme="minorHAnsi"/>
              </w:rPr>
              <w:t>√</w:t>
            </w:r>
          </w:p>
        </w:tc>
      </w:tr>
    </w:tbl>
    <w:p w14:paraId="3891147B" w14:textId="77777777" w:rsidR="005F486E" w:rsidRPr="009B1C39" w:rsidRDefault="004C6E84" w:rsidP="00870AAC">
      <w:pPr>
        <w:spacing w:after="0" w:line="276" w:lineRule="auto"/>
      </w:pPr>
      <w:r w:rsidRPr="009B1C39">
        <w:tab/>
      </w:r>
      <w:r w:rsidRPr="009B1C39">
        <w:tab/>
      </w:r>
      <w:r w:rsidRPr="009B1C39">
        <w:tab/>
      </w:r>
      <w:r w:rsidRPr="009B1C39">
        <w:tab/>
      </w:r>
      <w:r w:rsidRPr="009B1C39">
        <w:tab/>
      </w:r>
      <w:r w:rsidRPr="009B1C39">
        <w:tab/>
      </w:r>
      <w:r w:rsidRPr="009B1C39">
        <w:tab/>
      </w:r>
      <w:r w:rsidRPr="009B1C39">
        <w:tab/>
      </w:r>
      <w:r w:rsidRPr="009B1C39">
        <w:tab/>
      </w:r>
    </w:p>
    <w:p w14:paraId="700D604E" w14:textId="30CB75E5" w:rsidR="00366656" w:rsidRPr="009B1C39" w:rsidRDefault="00366656" w:rsidP="00870AAC">
      <w:pPr>
        <w:spacing w:after="200" w:line="276" w:lineRule="auto"/>
        <w:ind w:left="6480"/>
      </w:pPr>
      <w:r w:rsidRPr="009B1C39">
        <w:t xml:space="preserve">Source: </w:t>
      </w:r>
      <w:r w:rsidR="004C6E84" w:rsidRPr="009B1C39">
        <w:t xml:space="preserve">U.S. </w:t>
      </w:r>
      <w:r w:rsidRPr="009B1C39">
        <w:t>EPA (2010a)</w:t>
      </w:r>
    </w:p>
    <w:p w14:paraId="289FD910" w14:textId="6147B6E0" w:rsidR="00E724EF" w:rsidRPr="009B1C39" w:rsidRDefault="00E724EF" w:rsidP="00E724EF">
      <w:pPr>
        <w:spacing w:line="276" w:lineRule="auto"/>
      </w:pPr>
      <w:r w:rsidRPr="00713B93">
        <w:t xml:space="preserve">Another example is provided in the analysis of the benefits </w:t>
      </w:r>
      <w:r w:rsidR="00465573">
        <w:t xml:space="preserve">and costs </w:t>
      </w:r>
      <w:r w:rsidRPr="00713B93">
        <w:t>of the Clean Air Act</w:t>
      </w:r>
      <w:r w:rsidR="0080576A" w:rsidRPr="00713B93">
        <w:t xml:space="preserve"> </w:t>
      </w:r>
      <w:r w:rsidR="00157A67" w:rsidRPr="00713B93">
        <w:t xml:space="preserve">Amendments (CAAA) </w:t>
      </w:r>
      <w:r w:rsidR="0080576A" w:rsidRPr="00713B93">
        <w:t>from 1990 to 2020 (</w:t>
      </w:r>
      <w:r w:rsidR="00D159E3">
        <w:t xml:space="preserve">U.S. </w:t>
      </w:r>
      <w:r w:rsidR="0080576A" w:rsidRPr="00713B93">
        <w:t>EPA</w:t>
      </w:r>
      <w:r w:rsidR="00197E3A" w:rsidRPr="00713B93">
        <w:t>,</w:t>
      </w:r>
      <w:r w:rsidR="0080576A" w:rsidRPr="00713B93">
        <w:t xml:space="preserve"> 2011</w:t>
      </w:r>
      <w:r w:rsidR="00962D61">
        <w:t>a</w:t>
      </w:r>
      <w:r w:rsidR="0080576A" w:rsidRPr="00713B93">
        <w:t xml:space="preserve">). </w:t>
      </w:r>
      <w:r w:rsidR="00157A67" w:rsidRPr="00713B93">
        <w:t>In the cost-only scenario (i.e., no benefits are included) t</w:t>
      </w:r>
      <w:r w:rsidRPr="00713B93">
        <w:t>he EPA found that the total estimated</w:t>
      </w:r>
      <w:r w:rsidR="00157A67" w:rsidRPr="00713B93">
        <w:t xml:space="preserve"> reduction in GDP</w:t>
      </w:r>
      <w:r w:rsidRPr="00713B93">
        <w:t xml:space="preserve"> </w:t>
      </w:r>
      <w:r w:rsidR="00157A67" w:rsidRPr="00713B93">
        <w:t xml:space="preserve">due to the CAAA </w:t>
      </w:r>
      <w:r w:rsidRPr="00713B93">
        <w:t>was 50 to 70 percent larger than the direct compliance cost estimates</w:t>
      </w:r>
      <w:r w:rsidR="00157A67" w:rsidRPr="00713B93">
        <w:t xml:space="preserve"> for 2010 and 2020, respectively</w:t>
      </w:r>
      <w:r w:rsidRPr="00713B93">
        <w:t xml:space="preserve">. It attributes this difference to “secondary effects of compliance costs on the overall economy, </w:t>
      </w:r>
      <w:r w:rsidRPr="009B1C39">
        <w:t>a large portion of which are likely the result of increases in energy prices, which ha</w:t>
      </w:r>
      <w:r w:rsidR="00157A67" w:rsidRPr="009B1C39">
        <w:t>ve</w:t>
      </w:r>
      <w:r w:rsidRPr="009B1C39">
        <w:t xml:space="preserve"> broad effects on overall production. Another factor is that investment in pollution control capital can divert capital from the purpose of enhancing long-term productivity within the industrial sector.”</w:t>
      </w:r>
    </w:p>
    <w:p w14:paraId="398B0C56" w14:textId="2255E0CE" w:rsidR="00366656" w:rsidRPr="009B1C39" w:rsidRDefault="00366656" w:rsidP="00C04050">
      <w:pPr>
        <w:spacing w:line="276" w:lineRule="auto"/>
      </w:pPr>
      <w:r w:rsidRPr="009B1C39">
        <w:t xml:space="preserve">Pizer </w:t>
      </w:r>
      <w:r w:rsidR="007B5C27">
        <w:t xml:space="preserve">and Kopp </w:t>
      </w:r>
      <w:r w:rsidRPr="009B1C39">
        <w:t>(2005) characterize the choice of method for estimating costs as related to the types of costs we anticipate will result from the policy – direct compliance costs, foregone opportunities, lost flexibility, etc. – as well as the degree to which the policy will “meaningfully influence” the prices of goods and services. When a regulation is expected to influence prices, an analyst needs to consider potential welfare consequences due to pre-existing distortions in other markets and other general equilibrium effects such as changes in terms of trade, among others.</w:t>
      </w:r>
      <w:r w:rsidRPr="00713B93">
        <w:rPr>
          <w:rStyle w:val="FootnoteReference"/>
        </w:rPr>
        <w:footnoteReference w:id="13"/>
      </w:r>
      <w:r w:rsidRPr="00713B93">
        <w:t xml:space="preserve"> For instance, if an environmental regulation affects wages such that individuals opt to work fewer hours, this exacerbates an already existing distortion in the labor market, since labor taxes already discourage individuals from working as much as they would otherwise, and has a welfare cost not captured by direct compliance cost estimates.</w:t>
      </w:r>
    </w:p>
    <w:p w14:paraId="58DE6F1C" w14:textId="539DFD40" w:rsidR="00644B5A" w:rsidRPr="009B1C39" w:rsidRDefault="0008788C" w:rsidP="00C04050">
      <w:pPr>
        <w:spacing w:line="276" w:lineRule="auto"/>
      </w:pPr>
      <w:r w:rsidRPr="009B1C39">
        <w:t>To help clarify when a general equilibrium approach is warranted, Pizer</w:t>
      </w:r>
      <w:r w:rsidR="00052E1D" w:rsidRPr="009B1C39">
        <w:t xml:space="preserve"> </w:t>
      </w:r>
      <w:r w:rsidR="007B5C27">
        <w:t xml:space="preserve">and Kopp </w:t>
      </w:r>
      <w:r w:rsidR="00052E1D" w:rsidRPr="009B1C39">
        <w:t xml:space="preserve">define </w:t>
      </w:r>
      <w:r w:rsidR="00826E85" w:rsidRPr="009B1C39">
        <w:t xml:space="preserve">the </w:t>
      </w:r>
      <w:r w:rsidR="00052E1D" w:rsidRPr="009B1C39">
        <w:t>cost</w:t>
      </w:r>
      <w:r w:rsidRPr="009B1C39">
        <w:t xml:space="preserve"> </w:t>
      </w:r>
      <w:r w:rsidR="00826E85" w:rsidRPr="009B1C39">
        <w:t xml:space="preserve">of regulation </w:t>
      </w:r>
      <w:r w:rsidR="000D723B" w:rsidRPr="009B1C39">
        <w:t>as:</w:t>
      </w:r>
    </w:p>
    <w:p w14:paraId="493CB523" w14:textId="38FDED7C" w:rsidR="00644B5A" w:rsidRPr="009B1C39" w:rsidRDefault="00644B5A" w:rsidP="00C04050">
      <w:pPr>
        <w:spacing w:line="276" w:lineRule="auto"/>
        <w:ind w:left="2880" w:firstLine="720"/>
        <w:rPr>
          <w:i/>
        </w:rPr>
      </w:pPr>
      <w:r w:rsidRPr="009B1C39">
        <w:rPr>
          <w:i/>
        </w:rPr>
        <w:t>C</w:t>
      </w:r>
      <w:r w:rsidRPr="009B1C39">
        <w:rPr>
          <w:i/>
          <w:vertAlign w:val="subscript"/>
        </w:rPr>
        <w:t>i</w:t>
      </w:r>
      <w:r w:rsidRPr="009B1C39">
        <w:rPr>
          <w:i/>
        </w:rPr>
        <w:t xml:space="preserve"> (a, z)</w:t>
      </w:r>
    </w:p>
    <w:p w14:paraId="40912508" w14:textId="00E54A18" w:rsidR="000558D6" w:rsidRPr="009B1C39" w:rsidRDefault="00644B5A" w:rsidP="00C04050">
      <w:pPr>
        <w:spacing w:line="276" w:lineRule="auto"/>
      </w:pPr>
      <w:r w:rsidRPr="009B1C39">
        <w:t>where</w:t>
      </w:r>
      <w:r w:rsidRPr="009B1C39">
        <w:rPr>
          <w:i/>
        </w:rPr>
        <w:t xml:space="preserve"> a</w:t>
      </w:r>
      <w:r w:rsidRPr="009B1C39">
        <w:t xml:space="preserve"> is </w:t>
      </w:r>
      <w:r w:rsidR="000558D6" w:rsidRPr="009B1C39">
        <w:t xml:space="preserve">a function of a vector of parameters describing the environmental regulation, </w:t>
      </w:r>
      <w:r w:rsidRPr="009B1C39">
        <w:t>and</w:t>
      </w:r>
      <w:r w:rsidRPr="009B1C39">
        <w:rPr>
          <w:i/>
        </w:rPr>
        <w:t xml:space="preserve"> z</w:t>
      </w:r>
      <w:r w:rsidRPr="009B1C39">
        <w:t xml:space="preserve"> is</w:t>
      </w:r>
      <w:r w:rsidR="000558D6" w:rsidRPr="009B1C39">
        <w:t xml:space="preserve"> a vector of parameters summarizing the current economic equilibrium</w:t>
      </w:r>
      <w:r w:rsidRPr="009B1C39">
        <w:t xml:space="preserve"> (e.g., input prices and output levels for a firm, prices and income for a consumer) for agent </w:t>
      </w:r>
      <w:r w:rsidRPr="009B1C39">
        <w:rPr>
          <w:i/>
        </w:rPr>
        <w:t>i</w:t>
      </w:r>
      <w:r w:rsidRPr="009B1C39">
        <w:t>. When z is fixed and</w:t>
      </w:r>
      <w:r w:rsidRPr="009B1C39">
        <w:rPr>
          <w:i/>
        </w:rPr>
        <w:t xml:space="preserve"> i</w:t>
      </w:r>
      <w:r w:rsidRPr="009B1C39">
        <w:t xml:space="preserve"> is limited to the agents that are directly regulated, then a partial equilibrium estimation approach adequately captures</w:t>
      </w:r>
      <w:r w:rsidR="00052E1D" w:rsidRPr="009B1C39">
        <w:t xml:space="preserve"> the cost</w:t>
      </w:r>
      <w:r w:rsidRPr="009B1C39">
        <w:t xml:space="preserve"> of</w:t>
      </w:r>
      <w:r w:rsidR="00663B09">
        <w:t xml:space="preserve"> </w:t>
      </w:r>
      <w:r w:rsidR="00826E85" w:rsidRPr="009B1C39">
        <w:t xml:space="preserve">regulation. </w:t>
      </w:r>
      <w:r w:rsidRPr="009B1C39">
        <w:t xml:space="preserve">However, when z is endogenous and the </w:t>
      </w:r>
      <w:r w:rsidR="00663B09">
        <w:t>affected agents go</w:t>
      </w:r>
      <w:r w:rsidRPr="009B1C39">
        <w:t xml:space="preserve"> beyond the regulated sector, a general equilibrium approach is needed to capture price and output changes in other markets.</w:t>
      </w:r>
      <w:r w:rsidR="0008788C" w:rsidRPr="009B1C39">
        <w:t xml:space="preserve"> </w:t>
      </w:r>
    </w:p>
    <w:p w14:paraId="0E178C7B" w14:textId="583BF860" w:rsidR="00F55A41" w:rsidRPr="009B1C39" w:rsidRDefault="00F55A41" w:rsidP="00277337">
      <w:pPr>
        <w:spacing w:after="0" w:line="276" w:lineRule="auto"/>
      </w:pPr>
      <w:r w:rsidRPr="009B1C39">
        <w:t xml:space="preserve">The most common approach to estimating the social cost of a regulation in a general equilibrium setting is the use of a computable general equilibrium (CGE) model. CGE models </w:t>
      </w:r>
      <w:r w:rsidR="00663B09">
        <w:t>assume</w:t>
      </w:r>
      <w:r w:rsidRPr="009B1C39">
        <w:t xml:space="preserve"> that f</w:t>
      </w:r>
      <w:r w:rsidR="00663B09">
        <w:t>or some discrete period of time</w:t>
      </w:r>
      <w:r w:rsidRPr="009B1C39">
        <w:t xml:space="preserve"> an economy can be characterized by a set of conditions in which supply equals demand in all markets. When the imposition of a regulation alters conditions in one market, a general equilibrium model determines a new set of relative prices for all markets that return the economy to its long-run equilibrium. These prices in turn determine changes in sector outputs and household consumption of goods, services, and leisure in the new equilibrium. In addition, the model determines a new set of relative prices and demand for factors of production (e.g., labor, capital, and land), the returns to which compose business and household income (</w:t>
      </w:r>
      <w:r w:rsidR="006E7292">
        <w:t xml:space="preserve">U.S. </w:t>
      </w:r>
      <w:r w:rsidRPr="009B1C39">
        <w:t>EPA, 2010a). The social cost of the regulation is estimated in CGE models as the change in economic welfare in the post-regulation, simulated equilibrium compared to the pre-regulation, “baseline” equilibrium. Table 2 compares key attributes of a typical CGE model to those of other model types used by the EPA to estimate costs.</w:t>
      </w:r>
    </w:p>
    <w:p w14:paraId="2EB11A06" w14:textId="79E79022" w:rsidR="00F55A41" w:rsidRPr="009B1C39" w:rsidRDefault="00F55A41" w:rsidP="00277337">
      <w:pPr>
        <w:spacing w:after="0"/>
        <w:jc w:val="left"/>
        <w:rPr>
          <w:b/>
        </w:rPr>
      </w:pPr>
    </w:p>
    <w:p w14:paraId="497DCEEF" w14:textId="77777777" w:rsidR="003A0138" w:rsidRDefault="003A0138">
      <w:pPr>
        <w:jc w:val="left"/>
        <w:rPr>
          <w:b/>
        </w:rPr>
      </w:pPr>
      <w:r>
        <w:rPr>
          <w:b/>
        </w:rPr>
        <w:br w:type="page"/>
      </w:r>
    </w:p>
    <w:p w14:paraId="636B9047" w14:textId="0CA8F9A4" w:rsidR="00B0683D" w:rsidRPr="00713B93" w:rsidRDefault="00B0683D" w:rsidP="00040025">
      <w:pPr>
        <w:spacing w:after="200" w:line="276" w:lineRule="auto"/>
        <w:jc w:val="center"/>
        <w:rPr>
          <w:b/>
        </w:rPr>
      </w:pPr>
      <w:r w:rsidRPr="0052723E">
        <w:rPr>
          <w:b/>
        </w:rPr>
        <w:t>Table 2. Key Attributes by Model Type</w:t>
      </w:r>
    </w:p>
    <w:tbl>
      <w:tblPr>
        <w:tblStyle w:val="ListTable1Light-Accent31"/>
        <w:tblW w:w="4856" w:type="pct"/>
        <w:jc w:val="center"/>
        <w:tblLook w:val="04A0" w:firstRow="1" w:lastRow="0" w:firstColumn="1" w:lastColumn="0" w:noHBand="0" w:noVBand="1"/>
      </w:tblPr>
      <w:tblGrid>
        <w:gridCol w:w="4230"/>
        <w:gridCol w:w="1889"/>
        <w:gridCol w:w="1531"/>
        <w:gridCol w:w="1440"/>
      </w:tblGrid>
      <w:tr w:rsidR="00B0683D" w:rsidRPr="00E17F17" w14:paraId="4F503F94" w14:textId="77777777" w:rsidTr="00E17F1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27" w:type="pct"/>
            <w:tcBorders>
              <w:bottom w:val="single" w:sz="4" w:space="0" w:color="auto"/>
            </w:tcBorders>
          </w:tcPr>
          <w:p w14:paraId="308AD37A" w14:textId="77777777" w:rsidR="00B0683D" w:rsidRPr="00E17F17" w:rsidRDefault="00B0683D" w:rsidP="00C04050">
            <w:pPr>
              <w:jc w:val="left"/>
              <w:rPr>
                <w:rFonts w:cstheme="minorHAnsi"/>
                <w:b w:val="0"/>
              </w:rPr>
            </w:pPr>
          </w:p>
        </w:tc>
        <w:tc>
          <w:tcPr>
            <w:tcW w:w="1881" w:type="pct"/>
            <w:gridSpan w:val="2"/>
            <w:tcBorders>
              <w:bottom w:val="single" w:sz="4" w:space="0" w:color="auto"/>
            </w:tcBorders>
          </w:tcPr>
          <w:p w14:paraId="58DFC76F" w14:textId="32CB3F62" w:rsidR="00B0683D" w:rsidRPr="00E17F17" w:rsidRDefault="00B0683D" w:rsidP="003745A9">
            <w:pPr>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E17F17">
              <w:rPr>
                <w:rFonts w:cstheme="minorHAnsi"/>
                <w:b w:val="0"/>
              </w:rPr>
              <w:t>Sector Models</w:t>
            </w:r>
          </w:p>
        </w:tc>
        <w:tc>
          <w:tcPr>
            <w:tcW w:w="792" w:type="pct"/>
            <w:tcBorders>
              <w:bottom w:val="single" w:sz="4" w:space="0" w:color="auto"/>
            </w:tcBorders>
          </w:tcPr>
          <w:p w14:paraId="1BF2DE8B" w14:textId="77777777" w:rsidR="00B0683D" w:rsidRPr="00E17F17" w:rsidRDefault="00B0683D" w:rsidP="000C0FDC">
            <w:pPr>
              <w:jc w:val="center"/>
              <w:cnfStyle w:val="100000000000" w:firstRow="1" w:lastRow="0" w:firstColumn="0" w:lastColumn="0" w:oddVBand="0" w:evenVBand="0" w:oddHBand="0" w:evenHBand="0" w:firstRowFirstColumn="0" w:firstRowLastColumn="0" w:lastRowFirstColumn="0" w:lastRowLastColumn="0"/>
              <w:rPr>
                <w:rFonts w:cstheme="minorHAnsi"/>
                <w:b w:val="0"/>
              </w:rPr>
            </w:pPr>
            <w:r w:rsidRPr="00E17F17">
              <w:rPr>
                <w:rFonts w:cstheme="minorHAnsi"/>
                <w:b w:val="0"/>
              </w:rPr>
              <w:t>Economy Wide Models</w:t>
            </w:r>
          </w:p>
        </w:tc>
      </w:tr>
      <w:tr w:rsidR="00C80A31" w:rsidRPr="00E17F17" w14:paraId="5A6B39DC" w14:textId="77777777" w:rsidTr="00E17F1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27" w:type="pct"/>
            <w:tcBorders>
              <w:bottom w:val="single" w:sz="4" w:space="0" w:color="auto"/>
            </w:tcBorders>
          </w:tcPr>
          <w:p w14:paraId="54A3FCBD" w14:textId="77777777" w:rsidR="00C80A31" w:rsidRPr="00E17F17" w:rsidRDefault="00C80A31" w:rsidP="00C04050">
            <w:pPr>
              <w:jc w:val="left"/>
              <w:rPr>
                <w:rFonts w:cstheme="minorHAnsi"/>
                <w:b w:val="0"/>
              </w:rPr>
            </w:pPr>
            <w:r w:rsidRPr="00E17F17">
              <w:rPr>
                <w:rFonts w:cstheme="minorHAnsi"/>
                <w:b w:val="0"/>
              </w:rPr>
              <w:t>Attributes</w:t>
            </w:r>
          </w:p>
        </w:tc>
        <w:tc>
          <w:tcPr>
            <w:tcW w:w="1039" w:type="pct"/>
            <w:tcBorders>
              <w:bottom w:val="single" w:sz="4" w:space="0" w:color="auto"/>
            </w:tcBorders>
          </w:tcPr>
          <w:p w14:paraId="1DF1491E" w14:textId="11ED7F4C" w:rsidR="00C80A31" w:rsidRPr="00E17F17" w:rsidRDefault="00C80A31" w:rsidP="00C80A31">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E17F17">
              <w:rPr>
                <w:rFonts w:eastAsiaTheme="minorEastAsia"/>
              </w:rPr>
              <w:t>Engineering Approach</w:t>
            </w:r>
          </w:p>
        </w:tc>
        <w:tc>
          <w:tcPr>
            <w:tcW w:w="842" w:type="pct"/>
            <w:tcBorders>
              <w:bottom w:val="single" w:sz="4" w:space="0" w:color="auto"/>
            </w:tcBorders>
          </w:tcPr>
          <w:p w14:paraId="4C8EB9B2" w14:textId="77777777" w:rsidR="00C80A31" w:rsidRPr="00E17F17" w:rsidRDefault="00C80A31" w:rsidP="00570E7C">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E17F17">
              <w:rPr>
                <w:rFonts w:cstheme="minorHAnsi"/>
              </w:rPr>
              <w:t>Partial Equilibrium</w:t>
            </w:r>
          </w:p>
        </w:tc>
        <w:tc>
          <w:tcPr>
            <w:tcW w:w="792" w:type="pct"/>
            <w:tcBorders>
              <w:bottom w:val="single" w:sz="4" w:space="0" w:color="auto"/>
            </w:tcBorders>
          </w:tcPr>
          <w:p w14:paraId="1A76CB8A" w14:textId="77777777" w:rsidR="00C80A31" w:rsidRPr="00E17F17" w:rsidRDefault="00C80A31" w:rsidP="00570E7C">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E17F17">
              <w:rPr>
                <w:rFonts w:cstheme="minorHAnsi"/>
              </w:rPr>
              <w:t>CGE</w:t>
            </w:r>
          </w:p>
        </w:tc>
      </w:tr>
      <w:tr w:rsidR="00C80A31" w:rsidRPr="00E17F17" w14:paraId="406B556C" w14:textId="77777777" w:rsidTr="00E17F17">
        <w:trPr>
          <w:jc w:val="center"/>
        </w:trPr>
        <w:tc>
          <w:tcPr>
            <w:cnfStyle w:val="001000000000" w:firstRow="0" w:lastRow="0" w:firstColumn="1" w:lastColumn="0" w:oddVBand="0" w:evenVBand="0" w:oddHBand="0" w:evenHBand="0" w:firstRowFirstColumn="0" w:firstRowLastColumn="0" w:lastRowFirstColumn="0" w:lastRowLastColumn="0"/>
            <w:tcW w:w="2327" w:type="pct"/>
            <w:tcBorders>
              <w:top w:val="single" w:sz="4" w:space="0" w:color="auto"/>
            </w:tcBorders>
          </w:tcPr>
          <w:p w14:paraId="5E9786C2" w14:textId="77777777" w:rsidR="00C80A31" w:rsidRPr="00E17F17" w:rsidRDefault="00C80A31" w:rsidP="00C04050">
            <w:pPr>
              <w:jc w:val="left"/>
              <w:rPr>
                <w:rFonts w:cstheme="minorHAnsi"/>
                <w:b w:val="0"/>
              </w:rPr>
            </w:pPr>
            <w:r w:rsidRPr="00E17F17">
              <w:rPr>
                <w:rFonts w:cstheme="minorHAnsi"/>
                <w:b w:val="0"/>
              </w:rPr>
              <w:t>Significant industry detail; rich set of technologies</w:t>
            </w:r>
          </w:p>
        </w:tc>
        <w:tc>
          <w:tcPr>
            <w:tcW w:w="1039" w:type="pct"/>
            <w:tcBorders>
              <w:top w:val="single" w:sz="4" w:space="0" w:color="auto"/>
            </w:tcBorders>
            <w:vAlign w:val="center"/>
          </w:tcPr>
          <w:p w14:paraId="53C852FA" w14:textId="005C6A33" w:rsidR="00C80A31" w:rsidRPr="00E17F17" w:rsidRDefault="00C80A31" w:rsidP="00E17F17">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E17F17">
              <w:rPr>
                <w:rFonts w:cstheme="minorHAnsi"/>
              </w:rPr>
              <w:t>√</w:t>
            </w:r>
          </w:p>
        </w:tc>
        <w:tc>
          <w:tcPr>
            <w:tcW w:w="842" w:type="pct"/>
            <w:tcBorders>
              <w:top w:val="single" w:sz="4" w:space="0" w:color="auto"/>
            </w:tcBorders>
            <w:vAlign w:val="center"/>
          </w:tcPr>
          <w:p w14:paraId="4724357C" w14:textId="77777777" w:rsidR="00C80A31" w:rsidRPr="00E17F17" w:rsidRDefault="00C80A31" w:rsidP="00570E7C">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E17F17">
              <w:rPr>
                <w:rFonts w:cstheme="minorHAnsi"/>
              </w:rPr>
              <w:t>Sometimes</w:t>
            </w:r>
          </w:p>
        </w:tc>
        <w:tc>
          <w:tcPr>
            <w:tcW w:w="792" w:type="pct"/>
            <w:tcBorders>
              <w:top w:val="single" w:sz="4" w:space="0" w:color="auto"/>
            </w:tcBorders>
            <w:vAlign w:val="center"/>
          </w:tcPr>
          <w:p w14:paraId="5324A8C4" w14:textId="77777777" w:rsidR="00C80A31" w:rsidRPr="00E17F17" w:rsidRDefault="00C80A31" w:rsidP="00570E7C">
            <w:pPr>
              <w:jc w:val="center"/>
              <w:cnfStyle w:val="000000000000" w:firstRow="0" w:lastRow="0" w:firstColumn="0" w:lastColumn="0" w:oddVBand="0" w:evenVBand="0" w:oddHBand="0" w:evenHBand="0" w:firstRowFirstColumn="0" w:firstRowLastColumn="0" w:lastRowFirstColumn="0" w:lastRowLastColumn="0"/>
              <w:rPr>
                <w:rFonts w:cstheme="minorHAnsi"/>
              </w:rPr>
            </w:pPr>
          </w:p>
        </w:tc>
      </w:tr>
      <w:tr w:rsidR="00C80A31" w:rsidRPr="00E17F17" w14:paraId="7C5E0319" w14:textId="77777777" w:rsidTr="00E17F1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27" w:type="pct"/>
          </w:tcPr>
          <w:p w14:paraId="719CAF29" w14:textId="19A5431F" w:rsidR="00C80A31" w:rsidRPr="00E17F17" w:rsidRDefault="00C80A31" w:rsidP="00C04050">
            <w:pPr>
              <w:jc w:val="left"/>
              <w:rPr>
                <w:rFonts w:cstheme="minorHAnsi"/>
                <w:b w:val="0"/>
              </w:rPr>
            </w:pPr>
            <w:r w:rsidRPr="00E17F17">
              <w:rPr>
                <w:rFonts w:cstheme="minorHAnsi"/>
                <w:b w:val="0"/>
              </w:rPr>
              <w:t xml:space="preserve">Account for facility or market constraints </w:t>
            </w:r>
          </w:p>
        </w:tc>
        <w:tc>
          <w:tcPr>
            <w:tcW w:w="1039" w:type="pct"/>
            <w:vAlign w:val="center"/>
          </w:tcPr>
          <w:p w14:paraId="79969C6F" w14:textId="77777777" w:rsidR="00C80A31" w:rsidRPr="00E17F17" w:rsidRDefault="00C80A31" w:rsidP="003745A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E17F17">
              <w:rPr>
                <w:rFonts w:eastAsiaTheme="minorEastAsia" w:cstheme="minorEastAsia"/>
              </w:rPr>
              <w:t>Sometimes</w:t>
            </w:r>
          </w:p>
          <w:p w14:paraId="39935613" w14:textId="310EB452" w:rsidR="00C80A31" w:rsidRPr="00E17F17" w:rsidRDefault="00C80A31" w:rsidP="000C0FDC">
            <w:pPr>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842" w:type="pct"/>
            <w:vAlign w:val="center"/>
          </w:tcPr>
          <w:p w14:paraId="6459F2C3" w14:textId="77777777" w:rsidR="00C80A31" w:rsidRPr="00E17F17" w:rsidRDefault="00C80A31" w:rsidP="00570E7C">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E17F17">
              <w:rPr>
                <w:rFonts w:cstheme="minorHAnsi"/>
              </w:rPr>
              <w:t>√</w:t>
            </w:r>
          </w:p>
        </w:tc>
        <w:tc>
          <w:tcPr>
            <w:tcW w:w="792" w:type="pct"/>
            <w:vAlign w:val="center"/>
          </w:tcPr>
          <w:p w14:paraId="69C31734" w14:textId="77777777" w:rsidR="00C80A31" w:rsidRPr="00E17F17" w:rsidRDefault="00C80A31" w:rsidP="00570E7C">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E17F17">
              <w:rPr>
                <w:rFonts w:cstheme="minorHAnsi"/>
              </w:rPr>
              <w:t>√</w:t>
            </w:r>
          </w:p>
        </w:tc>
      </w:tr>
      <w:tr w:rsidR="00C80A31" w:rsidRPr="00E17F17" w14:paraId="3A368FD4" w14:textId="77777777" w:rsidTr="00E17F17">
        <w:trPr>
          <w:jc w:val="center"/>
        </w:trPr>
        <w:tc>
          <w:tcPr>
            <w:cnfStyle w:val="001000000000" w:firstRow="0" w:lastRow="0" w:firstColumn="1" w:lastColumn="0" w:oddVBand="0" w:evenVBand="0" w:oddHBand="0" w:evenHBand="0" w:firstRowFirstColumn="0" w:firstRowLastColumn="0" w:lastRowFirstColumn="0" w:lastRowLastColumn="0"/>
            <w:tcW w:w="2327" w:type="pct"/>
          </w:tcPr>
          <w:p w14:paraId="3DA9D4C9" w14:textId="591346BB" w:rsidR="00C80A31" w:rsidRPr="00E17F17" w:rsidRDefault="00C80A31" w:rsidP="00C80A31">
            <w:pPr>
              <w:jc w:val="left"/>
              <w:rPr>
                <w:rFonts w:cstheme="minorHAnsi"/>
                <w:b w:val="0"/>
              </w:rPr>
            </w:pPr>
            <w:r w:rsidRPr="00E17F17">
              <w:rPr>
                <w:rFonts w:eastAsiaTheme="minorEastAsia" w:cstheme="minorEastAsia"/>
                <w:b w:val="0"/>
              </w:rPr>
              <w:t xml:space="preserve">Model changes in regulated producer behavior (e.g.,  input </w:t>
            </w:r>
            <w:r w:rsidR="00AF08CF" w:rsidRPr="00E17F17">
              <w:rPr>
                <w:rFonts w:eastAsiaTheme="minorEastAsia" w:cstheme="minorEastAsia"/>
                <w:b w:val="0"/>
              </w:rPr>
              <w:t xml:space="preserve">and process </w:t>
            </w:r>
            <w:r w:rsidRPr="00E17F17">
              <w:rPr>
                <w:rFonts w:eastAsiaTheme="minorEastAsia" w:cstheme="minorEastAsia"/>
                <w:b w:val="0"/>
              </w:rPr>
              <w:t>changes)</w:t>
            </w:r>
          </w:p>
        </w:tc>
        <w:tc>
          <w:tcPr>
            <w:tcW w:w="1039" w:type="pct"/>
            <w:vAlign w:val="center"/>
          </w:tcPr>
          <w:p w14:paraId="41DB2254" w14:textId="77777777" w:rsidR="00C80A31" w:rsidRPr="00E17F17" w:rsidRDefault="00C80A31" w:rsidP="003745A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E17F17">
              <w:rPr>
                <w:rFonts w:eastAsiaTheme="minorEastAsia" w:cstheme="minorEastAsia"/>
              </w:rPr>
              <w:t>Sometimes</w:t>
            </w:r>
          </w:p>
          <w:p w14:paraId="535B4B3F" w14:textId="538D4B60" w:rsidR="00C80A31" w:rsidRPr="00E17F17" w:rsidRDefault="00C80A31" w:rsidP="000C0FDC">
            <w:pPr>
              <w:jc w:val="center"/>
              <w:cnfStyle w:val="000000000000" w:firstRow="0" w:lastRow="0" w:firstColumn="0" w:lastColumn="0" w:oddVBand="0" w:evenVBand="0" w:oddHBand="0" w:evenHBand="0" w:firstRowFirstColumn="0" w:firstRowLastColumn="0" w:lastRowFirstColumn="0" w:lastRowLastColumn="0"/>
              <w:rPr>
                <w:rFonts w:cstheme="minorHAnsi"/>
              </w:rPr>
            </w:pPr>
          </w:p>
        </w:tc>
        <w:tc>
          <w:tcPr>
            <w:tcW w:w="842" w:type="pct"/>
            <w:vAlign w:val="center"/>
          </w:tcPr>
          <w:p w14:paraId="706298DC" w14:textId="77777777" w:rsidR="00C80A31" w:rsidRPr="00E17F17" w:rsidRDefault="00C80A31" w:rsidP="00570E7C">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E17F17">
              <w:rPr>
                <w:rFonts w:cstheme="minorHAnsi"/>
              </w:rPr>
              <w:t>√</w:t>
            </w:r>
          </w:p>
        </w:tc>
        <w:tc>
          <w:tcPr>
            <w:tcW w:w="792" w:type="pct"/>
            <w:vAlign w:val="center"/>
          </w:tcPr>
          <w:p w14:paraId="118F1C1F" w14:textId="77777777" w:rsidR="00C80A31" w:rsidRPr="00E17F17" w:rsidRDefault="00C80A31" w:rsidP="00570E7C">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E17F17">
              <w:rPr>
                <w:rFonts w:cstheme="minorHAnsi"/>
              </w:rPr>
              <w:t>√</w:t>
            </w:r>
          </w:p>
        </w:tc>
      </w:tr>
      <w:tr w:rsidR="00C80A31" w:rsidRPr="00E17F17" w14:paraId="612FA58F" w14:textId="77777777" w:rsidTr="00E17F1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27" w:type="pct"/>
          </w:tcPr>
          <w:p w14:paraId="5A388531" w14:textId="0C36770D" w:rsidR="00C80A31" w:rsidRPr="00E17F17" w:rsidRDefault="00C80A31" w:rsidP="00C04050">
            <w:pPr>
              <w:jc w:val="left"/>
              <w:rPr>
                <w:rFonts w:cstheme="minorHAnsi"/>
                <w:b w:val="0"/>
              </w:rPr>
            </w:pPr>
            <w:r w:rsidRPr="00E17F17">
              <w:rPr>
                <w:rFonts w:cstheme="minorHAnsi"/>
                <w:b w:val="0"/>
              </w:rPr>
              <w:t>Represent interactions between multiple sectors</w:t>
            </w:r>
          </w:p>
        </w:tc>
        <w:tc>
          <w:tcPr>
            <w:tcW w:w="1039" w:type="pct"/>
            <w:vAlign w:val="center"/>
          </w:tcPr>
          <w:p w14:paraId="3CD6D94D" w14:textId="77777777" w:rsidR="00C80A31" w:rsidRPr="00E17F17" w:rsidRDefault="00C80A31" w:rsidP="000C0FDC">
            <w:pPr>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842" w:type="pct"/>
            <w:vAlign w:val="center"/>
          </w:tcPr>
          <w:p w14:paraId="195B3A9D" w14:textId="77777777" w:rsidR="00C80A31" w:rsidRPr="00E17F17" w:rsidRDefault="00C80A31" w:rsidP="00570E7C">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E17F17">
              <w:rPr>
                <w:rFonts w:cstheme="minorHAnsi"/>
              </w:rPr>
              <w:t>Limited or none</w:t>
            </w:r>
          </w:p>
        </w:tc>
        <w:tc>
          <w:tcPr>
            <w:tcW w:w="792" w:type="pct"/>
            <w:vAlign w:val="center"/>
          </w:tcPr>
          <w:p w14:paraId="5BE45221" w14:textId="77777777" w:rsidR="00C80A31" w:rsidRPr="00E17F17" w:rsidRDefault="00C80A31" w:rsidP="00570E7C">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E17F17">
              <w:rPr>
                <w:rFonts w:cstheme="minorHAnsi"/>
              </w:rPr>
              <w:t>√</w:t>
            </w:r>
          </w:p>
        </w:tc>
      </w:tr>
      <w:tr w:rsidR="00C80A31" w:rsidRPr="00E17F17" w14:paraId="14AADA97" w14:textId="77777777" w:rsidTr="00E17F17">
        <w:trPr>
          <w:jc w:val="center"/>
        </w:trPr>
        <w:tc>
          <w:tcPr>
            <w:cnfStyle w:val="001000000000" w:firstRow="0" w:lastRow="0" w:firstColumn="1" w:lastColumn="0" w:oddVBand="0" w:evenVBand="0" w:oddHBand="0" w:evenHBand="0" w:firstRowFirstColumn="0" w:firstRowLastColumn="0" w:lastRowFirstColumn="0" w:lastRowLastColumn="0"/>
            <w:tcW w:w="2327" w:type="pct"/>
          </w:tcPr>
          <w:p w14:paraId="7462CBD7" w14:textId="77777777" w:rsidR="00C80A31" w:rsidRDefault="00C80A31" w:rsidP="00C04050">
            <w:pPr>
              <w:jc w:val="left"/>
              <w:rPr>
                <w:rFonts w:cstheme="minorHAnsi"/>
                <w:b w:val="0"/>
              </w:rPr>
            </w:pPr>
            <w:r w:rsidRPr="00E17F17">
              <w:rPr>
                <w:rFonts w:cstheme="minorHAnsi"/>
                <w:b w:val="0"/>
              </w:rPr>
              <w:t>Model demand side response</w:t>
            </w:r>
          </w:p>
          <w:p w14:paraId="7BEF5C87" w14:textId="3210AE8B" w:rsidR="00E17F17" w:rsidRPr="00E17F17" w:rsidRDefault="00E17F17" w:rsidP="00C04050">
            <w:pPr>
              <w:jc w:val="left"/>
              <w:rPr>
                <w:rFonts w:cstheme="minorHAnsi"/>
                <w:b w:val="0"/>
              </w:rPr>
            </w:pPr>
          </w:p>
        </w:tc>
        <w:tc>
          <w:tcPr>
            <w:tcW w:w="1039" w:type="pct"/>
            <w:vAlign w:val="center"/>
          </w:tcPr>
          <w:p w14:paraId="0B7E9366" w14:textId="77777777" w:rsidR="00C80A31" w:rsidRPr="00E17F17" w:rsidRDefault="00C80A31" w:rsidP="000C0FDC">
            <w:pPr>
              <w:jc w:val="center"/>
              <w:cnfStyle w:val="000000000000" w:firstRow="0" w:lastRow="0" w:firstColumn="0" w:lastColumn="0" w:oddVBand="0" w:evenVBand="0" w:oddHBand="0" w:evenHBand="0" w:firstRowFirstColumn="0" w:firstRowLastColumn="0" w:lastRowFirstColumn="0" w:lastRowLastColumn="0"/>
              <w:rPr>
                <w:rFonts w:cstheme="minorHAnsi"/>
              </w:rPr>
            </w:pPr>
          </w:p>
        </w:tc>
        <w:tc>
          <w:tcPr>
            <w:tcW w:w="842" w:type="pct"/>
            <w:vAlign w:val="center"/>
          </w:tcPr>
          <w:p w14:paraId="11E97824" w14:textId="77777777" w:rsidR="00C80A31" w:rsidRPr="00E17F17" w:rsidRDefault="00C80A31" w:rsidP="00570E7C">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E17F17">
              <w:rPr>
                <w:rFonts w:cstheme="minorHAnsi"/>
              </w:rPr>
              <w:t xml:space="preserve">Limited </w:t>
            </w:r>
          </w:p>
        </w:tc>
        <w:tc>
          <w:tcPr>
            <w:tcW w:w="792" w:type="pct"/>
            <w:vAlign w:val="center"/>
          </w:tcPr>
          <w:p w14:paraId="44B2A683" w14:textId="77777777" w:rsidR="00C80A31" w:rsidRPr="00E17F17" w:rsidRDefault="00C80A31" w:rsidP="00570E7C">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E17F17">
              <w:rPr>
                <w:rFonts w:cstheme="minorHAnsi"/>
              </w:rPr>
              <w:t>√</w:t>
            </w:r>
          </w:p>
        </w:tc>
      </w:tr>
      <w:tr w:rsidR="00C80A31" w:rsidRPr="00E17F17" w14:paraId="627897C3" w14:textId="77777777" w:rsidTr="00E17F1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27" w:type="pct"/>
          </w:tcPr>
          <w:p w14:paraId="0D32E27C" w14:textId="77777777" w:rsidR="00C80A31" w:rsidRDefault="00C80A31" w:rsidP="00C04050">
            <w:pPr>
              <w:jc w:val="left"/>
              <w:rPr>
                <w:rFonts w:cstheme="minorHAnsi"/>
                <w:b w:val="0"/>
              </w:rPr>
            </w:pPr>
            <w:r w:rsidRPr="00E17F17">
              <w:rPr>
                <w:rFonts w:cstheme="minorHAnsi"/>
                <w:b w:val="0"/>
              </w:rPr>
              <w:t>Relatively easy to use and interpret results</w:t>
            </w:r>
          </w:p>
          <w:p w14:paraId="79909504" w14:textId="77777777" w:rsidR="00E17F17" w:rsidRPr="00E17F17" w:rsidRDefault="00E17F17" w:rsidP="00C04050">
            <w:pPr>
              <w:jc w:val="left"/>
              <w:rPr>
                <w:rFonts w:cstheme="minorHAnsi"/>
                <w:b w:val="0"/>
              </w:rPr>
            </w:pPr>
          </w:p>
        </w:tc>
        <w:tc>
          <w:tcPr>
            <w:tcW w:w="1039" w:type="pct"/>
            <w:vAlign w:val="center"/>
          </w:tcPr>
          <w:p w14:paraId="4BCED955" w14:textId="2E7C23A5" w:rsidR="00C80A31" w:rsidRPr="00E17F17" w:rsidRDefault="00C80A31" w:rsidP="000C0FDC">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E17F17">
              <w:rPr>
                <w:rFonts w:cstheme="minorHAnsi"/>
              </w:rPr>
              <w:t>√</w:t>
            </w:r>
          </w:p>
        </w:tc>
        <w:tc>
          <w:tcPr>
            <w:tcW w:w="842" w:type="pct"/>
            <w:vAlign w:val="center"/>
          </w:tcPr>
          <w:p w14:paraId="59746ABE" w14:textId="77777777" w:rsidR="00C80A31" w:rsidRPr="00E17F17" w:rsidRDefault="00C80A31" w:rsidP="00570E7C">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E17F17">
              <w:rPr>
                <w:rFonts w:cstheme="minorHAnsi"/>
              </w:rPr>
              <w:t>√</w:t>
            </w:r>
          </w:p>
        </w:tc>
        <w:tc>
          <w:tcPr>
            <w:tcW w:w="792" w:type="pct"/>
            <w:vAlign w:val="center"/>
          </w:tcPr>
          <w:p w14:paraId="622FE532" w14:textId="77777777" w:rsidR="00C80A31" w:rsidRPr="00E17F17" w:rsidRDefault="00C80A31" w:rsidP="00570E7C">
            <w:pPr>
              <w:jc w:val="center"/>
              <w:cnfStyle w:val="000000100000" w:firstRow="0" w:lastRow="0" w:firstColumn="0" w:lastColumn="0" w:oddVBand="0" w:evenVBand="0" w:oddHBand="1" w:evenHBand="0" w:firstRowFirstColumn="0" w:firstRowLastColumn="0" w:lastRowFirstColumn="0" w:lastRowLastColumn="0"/>
              <w:rPr>
                <w:rFonts w:cstheme="minorHAnsi"/>
              </w:rPr>
            </w:pPr>
          </w:p>
        </w:tc>
      </w:tr>
      <w:tr w:rsidR="00C80A31" w:rsidRPr="00E17F17" w14:paraId="696617C5" w14:textId="77777777" w:rsidTr="00E17F17">
        <w:trPr>
          <w:jc w:val="center"/>
        </w:trPr>
        <w:tc>
          <w:tcPr>
            <w:cnfStyle w:val="001000000000" w:firstRow="0" w:lastRow="0" w:firstColumn="1" w:lastColumn="0" w:oddVBand="0" w:evenVBand="0" w:oddHBand="0" w:evenHBand="0" w:firstRowFirstColumn="0" w:firstRowLastColumn="0" w:lastRowFirstColumn="0" w:lastRowLastColumn="0"/>
            <w:tcW w:w="2327" w:type="pct"/>
          </w:tcPr>
          <w:p w14:paraId="4763038F" w14:textId="555A6A0E" w:rsidR="00C80A31" w:rsidRPr="00E17F17" w:rsidRDefault="00C80A31" w:rsidP="00AF08CF">
            <w:pPr>
              <w:jc w:val="left"/>
              <w:rPr>
                <w:rFonts w:cstheme="minorHAnsi"/>
                <w:b w:val="0"/>
              </w:rPr>
            </w:pPr>
            <w:r w:rsidRPr="00E17F17">
              <w:rPr>
                <w:rFonts w:eastAsiaTheme="minorEastAsia" w:cstheme="minorEastAsia"/>
                <w:b w:val="0"/>
              </w:rPr>
              <w:t xml:space="preserve">Relatively easy to modify </w:t>
            </w:r>
            <w:r w:rsidR="00AF08CF" w:rsidRPr="00E17F17">
              <w:rPr>
                <w:rFonts w:eastAsiaTheme="minorEastAsia" w:cstheme="minorEastAsia"/>
                <w:b w:val="0"/>
              </w:rPr>
              <w:t>for analysis of different regulations in the sector</w:t>
            </w:r>
          </w:p>
        </w:tc>
        <w:tc>
          <w:tcPr>
            <w:tcW w:w="1039" w:type="pct"/>
            <w:vAlign w:val="center"/>
          </w:tcPr>
          <w:p w14:paraId="3F27FD4E" w14:textId="77777777" w:rsidR="00C80A31" w:rsidRPr="00E17F17" w:rsidRDefault="00C80A31" w:rsidP="003745A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E17F17">
              <w:rPr>
                <w:rFonts w:eastAsiaTheme="minorEastAsia" w:cstheme="minorEastAsia"/>
              </w:rPr>
              <w:t>Sometimes</w:t>
            </w:r>
          </w:p>
          <w:p w14:paraId="6F1D6890" w14:textId="08A36B6A" w:rsidR="00C80A31" w:rsidRPr="00E17F17" w:rsidRDefault="00C80A31" w:rsidP="000C0FDC">
            <w:pPr>
              <w:jc w:val="center"/>
              <w:cnfStyle w:val="000000000000" w:firstRow="0" w:lastRow="0" w:firstColumn="0" w:lastColumn="0" w:oddVBand="0" w:evenVBand="0" w:oddHBand="0" w:evenHBand="0" w:firstRowFirstColumn="0" w:firstRowLastColumn="0" w:lastRowFirstColumn="0" w:lastRowLastColumn="0"/>
              <w:rPr>
                <w:rFonts w:cstheme="minorHAnsi"/>
              </w:rPr>
            </w:pPr>
          </w:p>
        </w:tc>
        <w:tc>
          <w:tcPr>
            <w:tcW w:w="842" w:type="pct"/>
            <w:vAlign w:val="center"/>
          </w:tcPr>
          <w:p w14:paraId="56414B35" w14:textId="77777777" w:rsidR="00C80A31" w:rsidRPr="00E17F17" w:rsidRDefault="00C80A31" w:rsidP="00570E7C">
            <w:pPr>
              <w:jc w:val="center"/>
              <w:cnfStyle w:val="000000000000" w:firstRow="0" w:lastRow="0" w:firstColumn="0" w:lastColumn="0" w:oddVBand="0" w:evenVBand="0" w:oddHBand="0" w:evenHBand="0" w:firstRowFirstColumn="0" w:firstRowLastColumn="0" w:lastRowFirstColumn="0" w:lastRowLastColumn="0"/>
              <w:rPr>
                <w:rFonts w:cstheme="minorHAnsi"/>
              </w:rPr>
            </w:pPr>
          </w:p>
        </w:tc>
        <w:tc>
          <w:tcPr>
            <w:tcW w:w="792" w:type="pct"/>
            <w:vAlign w:val="center"/>
          </w:tcPr>
          <w:p w14:paraId="21EF0380" w14:textId="77777777" w:rsidR="00C80A31" w:rsidRPr="00E17F17" w:rsidRDefault="00C80A31" w:rsidP="00570E7C">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E17F17">
              <w:rPr>
                <w:rFonts w:cstheme="minorHAnsi"/>
              </w:rPr>
              <w:t>√</w:t>
            </w:r>
          </w:p>
        </w:tc>
      </w:tr>
    </w:tbl>
    <w:p w14:paraId="004D5F50" w14:textId="2B7BBEAF" w:rsidR="00B0683D" w:rsidRPr="00E17F17" w:rsidRDefault="004C6E84" w:rsidP="00F84914">
      <w:pPr>
        <w:spacing w:after="200" w:line="276" w:lineRule="auto"/>
      </w:pPr>
      <w:r w:rsidRPr="00E17F17">
        <w:tab/>
      </w:r>
      <w:r w:rsidRPr="00E17F17">
        <w:tab/>
      </w:r>
      <w:r w:rsidRPr="00E17F17">
        <w:tab/>
      </w:r>
      <w:r w:rsidRPr="00E17F17">
        <w:tab/>
      </w:r>
      <w:r w:rsidRPr="00E17F17">
        <w:tab/>
      </w:r>
      <w:r w:rsidRPr="00E17F17">
        <w:tab/>
      </w:r>
      <w:r w:rsidRPr="00E17F17">
        <w:tab/>
      </w:r>
      <w:r w:rsidRPr="00E17F17">
        <w:tab/>
      </w:r>
      <w:r w:rsidRPr="00E17F17">
        <w:tab/>
      </w:r>
      <w:r w:rsidR="00B0683D" w:rsidRPr="00E17F17">
        <w:t xml:space="preserve">Source: </w:t>
      </w:r>
      <w:r w:rsidRPr="00E17F17">
        <w:t xml:space="preserve">U.S. </w:t>
      </w:r>
      <w:r w:rsidR="00B0683D" w:rsidRPr="00E17F17">
        <w:t>EPA (2010a)</w:t>
      </w:r>
    </w:p>
    <w:p w14:paraId="59392C66" w14:textId="77777777" w:rsidR="002E0E86" w:rsidRDefault="002E0E86" w:rsidP="00FC39FE">
      <w:pPr>
        <w:spacing w:line="276" w:lineRule="auto"/>
      </w:pPr>
    </w:p>
    <w:p w14:paraId="21A6F205" w14:textId="16DCC239" w:rsidR="00003FF9" w:rsidRPr="0052723E" w:rsidRDefault="00003FF9" w:rsidP="00FC39FE">
      <w:pPr>
        <w:spacing w:line="276" w:lineRule="auto"/>
      </w:pPr>
      <w:r w:rsidRPr="0052723E">
        <w:t>Note that absent a credible way to represent environmental externalit</w:t>
      </w:r>
      <w:r w:rsidR="00897777" w:rsidRPr="0052723E">
        <w:t>ies</w:t>
      </w:r>
      <w:r w:rsidRPr="0052723E">
        <w:t xml:space="preserve"> in a CGE model - or the benefits that accrue to society from mitigating </w:t>
      </w:r>
      <w:r w:rsidR="000F6CCA" w:rsidRPr="0052723E">
        <w:t>them</w:t>
      </w:r>
      <w:r w:rsidRPr="0052723E">
        <w:t xml:space="preserve"> </w:t>
      </w:r>
      <w:r w:rsidR="00A20696" w:rsidRPr="0052723E">
        <w:t>–</w:t>
      </w:r>
      <w:r w:rsidRPr="0052723E">
        <w:t xml:space="preserve"> </w:t>
      </w:r>
      <w:r w:rsidR="00A20696" w:rsidRPr="0052723E">
        <w:t xml:space="preserve">a CGE model’s </w:t>
      </w:r>
      <w:r w:rsidRPr="0052723E">
        <w:t xml:space="preserve">economic welfare measure </w:t>
      </w:r>
      <w:r w:rsidR="00387C78" w:rsidRPr="0052723E">
        <w:t xml:space="preserve">is incomplete. </w:t>
      </w:r>
      <w:r w:rsidR="00A20696" w:rsidRPr="0052723E">
        <w:t>The</w:t>
      </w:r>
      <w:r w:rsidRPr="0052723E">
        <w:t xml:space="preserve"> possibility of incorporating benefits into a CGE framework </w:t>
      </w:r>
      <w:r w:rsidR="00A20696" w:rsidRPr="0052723E">
        <w:t xml:space="preserve">is discussed </w:t>
      </w:r>
      <w:r w:rsidRPr="0052723E">
        <w:t>in the benefits white paper.</w:t>
      </w:r>
    </w:p>
    <w:p w14:paraId="44D59278" w14:textId="64E0E102" w:rsidR="00B12DA8" w:rsidRDefault="002E72CE" w:rsidP="00D34962">
      <w:pPr>
        <w:spacing w:after="200" w:line="276" w:lineRule="auto"/>
        <w:rPr>
          <w:rFonts w:eastAsiaTheme="majorEastAsia" w:cstheme="majorBidi"/>
          <w:b/>
          <w:sz w:val="32"/>
          <w:szCs w:val="32"/>
        </w:rPr>
      </w:pPr>
      <w:r w:rsidRPr="0052723E">
        <w:t>CGE models are commonly built around standard</w:t>
      </w:r>
      <w:r w:rsidR="00277337">
        <w:t xml:space="preserve"> set of</w:t>
      </w:r>
      <w:r w:rsidRPr="0052723E">
        <w:t xml:space="preserve"> assumptions, although </w:t>
      </w:r>
      <w:r w:rsidR="004213FC" w:rsidRPr="0052723E">
        <w:t xml:space="preserve">many </w:t>
      </w:r>
      <w:r w:rsidRPr="0052723E">
        <w:t>can be relaxed to incorpor</w:t>
      </w:r>
      <w:r w:rsidR="00277337">
        <w:t>ate alternative specifications.</w:t>
      </w:r>
      <w:r w:rsidRPr="0052723E">
        <w:t xml:space="preserve"> Firms in CGE models are generally assumed to be profit maximizers with constant returns to scale </w:t>
      </w:r>
      <w:r w:rsidR="009D7FF1">
        <w:t xml:space="preserve">in </w:t>
      </w:r>
      <w:r w:rsidR="00277337">
        <w:t>production.</w:t>
      </w:r>
      <w:r w:rsidRPr="0052723E">
        <w:t xml:space="preserve"> Households maximize utility from the consumption of goods and services</w:t>
      </w:r>
      <w:r w:rsidR="00897777" w:rsidRPr="0052723E">
        <w:t xml:space="preserve"> using a specific functional form</w:t>
      </w:r>
      <w:r w:rsidRPr="0052723E">
        <w:t xml:space="preserve">. Markets are perfectly competitive, with labor and capital fully mobile between sectors. </w:t>
      </w:r>
      <w:r w:rsidR="00897777" w:rsidRPr="0052723E">
        <w:t xml:space="preserve">The modeling of international trade follows the Armington assumption with goods differentiated by country of origin to allow for two-way trade for goods </w:t>
      </w:r>
      <w:r w:rsidR="00277337">
        <w:t>in the same sector</w:t>
      </w:r>
      <w:r w:rsidR="00897777" w:rsidRPr="0052723E">
        <w:t xml:space="preserve">.  </w:t>
      </w:r>
      <w:r w:rsidRPr="0052723E">
        <w:t xml:space="preserve">Labor is assumed to be fully employed, with no involuntary unemployment. </w:t>
      </w:r>
      <w:r w:rsidR="00826CFC" w:rsidRPr="0052723E">
        <w:t xml:space="preserve">CGE models are generally more appropriate for analyzing medium- or long-term effects of regulations since they </w:t>
      </w:r>
      <w:r w:rsidR="00507966" w:rsidRPr="0052723E">
        <w:t xml:space="preserve">characterize the new equilibrium </w:t>
      </w:r>
      <w:r w:rsidR="00277337">
        <w:t xml:space="preserve">(i.e., </w:t>
      </w:r>
      <w:r w:rsidR="00507966" w:rsidRPr="0052723E">
        <w:t>when supply once again equals demand in all markets</w:t>
      </w:r>
      <w:r w:rsidR="00277337">
        <w:t>)</w:t>
      </w:r>
      <w:r w:rsidR="00507966" w:rsidRPr="0052723E">
        <w:t xml:space="preserve">. </w:t>
      </w:r>
      <w:r w:rsidRPr="0052723E">
        <w:t xml:space="preserve">The time required to move from one equilibrium to another after a policy shock is not defined in a meaningful way </w:t>
      </w:r>
      <w:r w:rsidR="00507966" w:rsidRPr="0052723E">
        <w:t>(i.e., it is usually an instantaneous adjustment),</w:t>
      </w:r>
      <w:r w:rsidRPr="0052723E">
        <w:t xml:space="preserve"> so CGE models are generally not suited for </w:t>
      </w:r>
      <w:r w:rsidR="00507966" w:rsidRPr="0052723E">
        <w:t xml:space="preserve">analyzing </w:t>
      </w:r>
      <w:r w:rsidR="00031968" w:rsidRPr="0052723E">
        <w:t xml:space="preserve">transition </w:t>
      </w:r>
      <w:r w:rsidR="00507966" w:rsidRPr="0052723E">
        <w:t>costs as the economy moves to th</w:t>
      </w:r>
      <w:r w:rsidR="009D7FF1">
        <w:t>e</w:t>
      </w:r>
      <w:r w:rsidR="00507966" w:rsidRPr="0052723E">
        <w:t xml:space="preserve"> new equilibrium</w:t>
      </w:r>
      <w:r w:rsidRPr="0052723E">
        <w:t xml:space="preserve">. </w:t>
      </w:r>
      <w:r w:rsidR="00826CFC" w:rsidRPr="0052723E">
        <w:t xml:space="preserve">However, </w:t>
      </w:r>
      <w:r w:rsidR="009D7FF1">
        <w:t xml:space="preserve">the </w:t>
      </w:r>
      <w:r w:rsidR="00826CFC" w:rsidRPr="0052723E">
        <w:t>EPA’s Economic Guidelines acknowledge that if a transition path can be appropriately specified it is possible that one could use a CGE model for this purpose</w:t>
      </w:r>
      <w:r w:rsidRPr="0052723E">
        <w:t xml:space="preserve"> </w:t>
      </w:r>
      <w:r w:rsidR="00031968" w:rsidRPr="0052723E">
        <w:t xml:space="preserve">(See section </w:t>
      </w:r>
      <w:r w:rsidR="00791443" w:rsidRPr="0052723E">
        <w:t>5.</w:t>
      </w:r>
      <w:r w:rsidR="00E8604B">
        <w:t>6</w:t>
      </w:r>
      <w:r w:rsidR="00031968" w:rsidRPr="0052723E">
        <w:t xml:space="preserve"> for </w:t>
      </w:r>
      <w:r w:rsidR="00277337">
        <w:t>a</w:t>
      </w:r>
      <w:r w:rsidR="00031968" w:rsidRPr="0052723E">
        <w:t xml:space="preserve"> discussion of transition costs).</w:t>
      </w:r>
      <w:bookmarkStart w:id="31" w:name="_Toc425752768"/>
      <w:bookmarkStart w:id="32" w:name="_Toc425752987"/>
      <w:bookmarkStart w:id="33" w:name="_Toc425753092"/>
      <w:bookmarkStart w:id="34" w:name="_Toc425756526"/>
      <w:bookmarkStart w:id="35" w:name="_Toc425756583"/>
      <w:bookmarkStart w:id="36" w:name="_Toc427324751"/>
      <w:bookmarkEnd w:id="31"/>
      <w:bookmarkEnd w:id="32"/>
      <w:bookmarkEnd w:id="33"/>
      <w:bookmarkEnd w:id="34"/>
      <w:bookmarkEnd w:id="35"/>
    </w:p>
    <w:p w14:paraId="7F25C64F" w14:textId="77777777" w:rsidR="003A0138" w:rsidRDefault="003A0138">
      <w:pPr>
        <w:jc w:val="left"/>
        <w:rPr>
          <w:rFonts w:eastAsiaTheme="majorEastAsia" w:cstheme="majorBidi"/>
          <w:b/>
          <w:sz w:val="32"/>
          <w:szCs w:val="32"/>
        </w:rPr>
      </w:pPr>
      <w:r>
        <w:br w:type="page"/>
      </w:r>
    </w:p>
    <w:p w14:paraId="2C1AF3B7" w14:textId="7A78962A" w:rsidR="00FA743C" w:rsidRPr="00E17F17" w:rsidRDefault="00FA743C" w:rsidP="003A0138">
      <w:pPr>
        <w:pStyle w:val="Heading1"/>
      </w:pPr>
      <w:bookmarkStart w:id="37" w:name="_Toc448481304"/>
      <w:r w:rsidRPr="00E17F17">
        <w:t>Representing an Air Regulation in a CGE Model</w:t>
      </w:r>
      <w:bookmarkEnd w:id="36"/>
      <w:bookmarkEnd w:id="37"/>
    </w:p>
    <w:p w14:paraId="2BA1CC7C" w14:textId="77777777" w:rsidR="00A80E88" w:rsidRDefault="00A80E88" w:rsidP="00FC39FE">
      <w:pPr>
        <w:spacing w:line="276" w:lineRule="auto"/>
      </w:pPr>
    </w:p>
    <w:p w14:paraId="1FFC775B" w14:textId="3A30B9B1" w:rsidR="000D55D6" w:rsidRDefault="00FA743C" w:rsidP="00FC39FE">
      <w:pPr>
        <w:spacing w:line="276" w:lineRule="auto"/>
      </w:pPr>
      <w:r w:rsidRPr="00E17F17">
        <w:t>Recent years have seen extensive use of CGE models in academic analyses of policies to mitigate climate change. In contrast, since the pioneering work of Hazilla and Kopp (1990) and Jorgenson and Wilcoxen (1990), there has been relatively little academic work using</w:t>
      </w:r>
      <w:r w:rsidRPr="00B12DA8">
        <w:t xml:space="preserve"> CGE models for analyses of non-</w:t>
      </w:r>
      <w:r w:rsidR="000D55D6">
        <w:t>greenhouse gas</w:t>
      </w:r>
      <w:r w:rsidR="000D55D6" w:rsidRPr="00B12DA8">
        <w:t xml:space="preserve"> </w:t>
      </w:r>
      <w:r w:rsidR="000D55D6">
        <w:t xml:space="preserve">(GHG) air </w:t>
      </w:r>
      <w:r w:rsidRPr="00B12DA8">
        <w:t>regulations. Exceptions include Nestor and Pasurka (1995a, 19</w:t>
      </w:r>
      <w:r w:rsidR="0077081B" w:rsidRPr="00B12DA8">
        <w:t xml:space="preserve">95b) and Dellink (2004, 2005). </w:t>
      </w:r>
      <w:r w:rsidRPr="00B12DA8">
        <w:t>One reason for this focus is that the policies to mitigate climate change are likely to have much larger impacts on the economy than regulations</w:t>
      </w:r>
      <w:r w:rsidR="000D55D6">
        <w:t xml:space="preserve"> on other types of air pollutants</w:t>
      </w:r>
      <w:r w:rsidRPr="00B12DA8">
        <w:t xml:space="preserve">.  </w:t>
      </w:r>
    </w:p>
    <w:p w14:paraId="5E05AAA6" w14:textId="739668F8" w:rsidR="00FA743C" w:rsidRPr="00B12DA8" w:rsidRDefault="00FA743C" w:rsidP="00FC39FE">
      <w:pPr>
        <w:spacing w:line="276" w:lineRule="auto"/>
      </w:pPr>
      <w:r w:rsidRPr="00B12DA8">
        <w:t xml:space="preserve">Furthermore, market-based policies </w:t>
      </w:r>
      <w:r w:rsidR="0060267D" w:rsidRPr="00B12DA8">
        <w:t xml:space="preserve">commonly </w:t>
      </w:r>
      <w:r w:rsidRPr="00B12DA8">
        <w:t>favored by economists, such as carbon taxes and cap-and-trade systems, are relatively straightforward to analyze with CGE models.  Most CGE models include a range of taxes and other distortions. As emissions of CO</w:t>
      </w:r>
      <w:r w:rsidRPr="00B12DA8">
        <w:rPr>
          <w:vertAlign w:val="subscript"/>
        </w:rPr>
        <w:t>2</w:t>
      </w:r>
      <w:r w:rsidRPr="00B12DA8">
        <w:t xml:space="preserve"> from fossil fuels are </w:t>
      </w:r>
      <w:r w:rsidR="0077081B" w:rsidRPr="00B12DA8">
        <w:t xml:space="preserve">generally closely linked to </w:t>
      </w:r>
      <w:r w:rsidRPr="00B12DA8">
        <w:t>fuel</w:t>
      </w:r>
      <w:r w:rsidR="0077081B" w:rsidRPr="00B12DA8">
        <w:t xml:space="preserve"> u</w:t>
      </w:r>
      <w:r w:rsidRPr="00B12DA8">
        <w:t>s</w:t>
      </w:r>
      <w:r w:rsidR="0077081B" w:rsidRPr="00B12DA8">
        <w:t>e</w:t>
      </w:r>
      <w:r w:rsidRPr="00B12DA8">
        <w:t>, a carbon tax can be directly tied to fuel use in the model.  Allowance prices in a cap-and-trade system are analogous to carbon taxes.  A large literature, much of it developed using CGE models, examine</w:t>
      </w:r>
      <w:r w:rsidR="00A20696" w:rsidRPr="00B12DA8">
        <w:t>s</w:t>
      </w:r>
      <w:r w:rsidRPr="00B12DA8">
        <w:t xml:space="preserve"> how carbon taxes or allowance prices interact with pre-existing taxes, particularly on labor</w:t>
      </w:r>
      <w:r w:rsidR="00A20696" w:rsidRPr="00B12DA8">
        <w:t xml:space="preserve"> </w:t>
      </w:r>
      <w:r w:rsidRPr="00B12DA8">
        <w:t>(Bovenberg and de Mooij</w:t>
      </w:r>
      <w:r w:rsidR="00197E3A" w:rsidRPr="00B12DA8">
        <w:t>, 1994;</w:t>
      </w:r>
      <w:r w:rsidRPr="00B12DA8">
        <w:t xml:space="preserve"> Parry</w:t>
      </w:r>
      <w:r w:rsidR="00197E3A" w:rsidRPr="00B12DA8">
        <w:t>, 1995;</w:t>
      </w:r>
      <w:r w:rsidRPr="00B12DA8">
        <w:t xml:space="preserve"> Bovenberg and Goulder</w:t>
      </w:r>
      <w:r w:rsidR="00197E3A" w:rsidRPr="00B12DA8">
        <w:t>,</w:t>
      </w:r>
      <w:r w:rsidRPr="00B12DA8">
        <w:t xml:space="preserve"> 1996).  </w:t>
      </w:r>
    </w:p>
    <w:p w14:paraId="1A707EB2" w14:textId="243DBCA3" w:rsidR="00FA743C" w:rsidRPr="00B12DA8" w:rsidRDefault="00FA743C" w:rsidP="00FC39FE">
      <w:pPr>
        <w:spacing w:line="276" w:lineRule="auto"/>
      </w:pPr>
      <w:r w:rsidRPr="00B12DA8">
        <w:t xml:space="preserve">Although some countries use taxes </w:t>
      </w:r>
      <w:r w:rsidR="00A20696" w:rsidRPr="00B12DA8">
        <w:t>to control</w:t>
      </w:r>
      <w:r w:rsidRPr="00B12DA8">
        <w:t xml:space="preserve"> </w:t>
      </w:r>
      <w:r w:rsidR="000D55D6">
        <w:t xml:space="preserve">non-GHG </w:t>
      </w:r>
      <w:r w:rsidR="009E08C5" w:rsidRPr="00B12DA8">
        <w:t>air</w:t>
      </w:r>
      <w:r w:rsidRPr="00B12DA8">
        <w:t xml:space="preserve"> pollutants, they are rare in the United States. Instead, </w:t>
      </w:r>
      <w:r w:rsidR="008604BA" w:rsidRPr="00B12DA8">
        <w:t xml:space="preserve">many </w:t>
      </w:r>
      <w:r w:rsidRPr="00B12DA8">
        <w:t xml:space="preserve">U.S. </w:t>
      </w:r>
      <w:r w:rsidR="000D55D6">
        <w:t xml:space="preserve">air </w:t>
      </w:r>
      <w:r w:rsidRPr="00B12DA8">
        <w:t>regulations take the form of a</w:t>
      </w:r>
      <w:r w:rsidR="009E08C5" w:rsidRPr="00B12DA8">
        <w:t>n emissions rate</w:t>
      </w:r>
      <w:r w:rsidRPr="00B12DA8">
        <w:t xml:space="preserve"> standard</w:t>
      </w:r>
      <w:r w:rsidR="009E08C5" w:rsidRPr="00B12DA8">
        <w:t xml:space="preserve"> or specify the use of</w:t>
      </w:r>
      <w:r w:rsidRPr="00B12DA8">
        <w:t xml:space="preserve"> </w:t>
      </w:r>
      <w:r w:rsidR="009E08C5" w:rsidRPr="00B12DA8">
        <w:t xml:space="preserve">particular types of </w:t>
      </w:r>
      <w:r w:rsidRPr="00B12DA8">
        <w:t xml:space="preserve">pollution control equipment and/or the alteration of a productive process. Most CGE models </w:t>
      </w:r>
      <w:r w:rsidR="009E08C5" w:rsidRPr="00B12DA8">
        <w:t xml:space="preserve">also </w:t>
      </w:r>
      <w:r w:rsidRPr="00B12DA8">
        <w:t xml:space="preserve">do not include </w:t>
      </w:r>
      <w:r w:rsidR="000D55D6">
        <w:t>non-GHG</w:t>
      </w:r>
      <w:r w:rsidR="000D55D6" w:rsidRPr="00B12DA8">
        <w:t xml:space="preserve"> </w:t>
      </w:r>
      <w:r w:rsidRPr="00B12DA8">
        <w:t>air pollutants such as sulfur dioxide, nitrogen oxides, particulate matter</w:t>
      </w:r>
      <w:r w:rsidR="000D55D6">
        <w:t>, or air toxics</w:t>
      </w:r>
      <w:r w:rsidR="009E08C5" w:rsidRPr="00B12DA8">
        <w:t>. While some abatement options are likely similar to the case of CO</w:t>
      </w:r>
      <w:r w:rsidR="009E08C5" w:rsidRPr="00B12DA8">
        <w:rPr>
          <w:vertAlign w:val="subscript"/>
        </w:rPr>
        <w:t>2</w:t>
      </w:r>
      <w:r w:rsidR="009E08C5" w:rsidRPr="00B12DA8">
        <w:t xml:space="preserve"> (e.g. modifying input use to reduce emissions), others may be ruled out by the nature of the </w:t>
      </w:r>
      <w:r w:rsidR="008604BA" w:rsidRPr="00B12DA8">
        <w:t>regulation</w:t>
      </w:r>
      <w:r w:rsidR="009E08C5" w:rsidRPr="00B12DA8">
        <w:t xml:space="preserve"> (e.g., reducing output does not aid facilities in meeting an emission rate standard)</w:t>
      </w:r>
      <w:r w:rsidR="000D55D6">
        <w:t>.</w:t>
      </w:r>
      <w:r w:rsidRPr="00B12DA8">
        <w:t xml:space="preserve"> </w:t>
      </w:r>
      <w:r w:rsidR="009E08C5" w:rsidRPr="00B12DA8">
        <w:t>In addition,</w:t>
      </w:r>
      <w:r w:rsidRPr="00B12DA8">
        <w:t xml:space="preserve"> </w:t>
      </w:r>
      <w:r w:rsidR="009E08C5" w:rsidRPr="00B12DA8">
        <w:t xml:space="preserve">end-of-pipe technologies are available for many </w:t>
      </w:r>
      <w:r w:rsidR="000D55D6">
        <w:t xml:space="preserve">non-GHG </w:t>
      </w:r>
      <w:r w:rsidR="009E08C5" w:rsidRPr="00B12DA8">
        <w:t>air pollutants, which</w:t>
      </w:r>
      <w:r w:rsidR="00A20696" w:rsidRPr="00B12DA8">
        <w:t>,</w:t>
      </w:r>
      <w:r w:rsidR="009E08C5" w:rsidRPr="00B12DA8">
        <w:t xml:space="preserve"> when used</w:t>
      </w:r>
      <w:r w:rsidR="00A20696" w:rsidRPr="00B12DA8">
        <w:t>,</w:t>
      </w:r>
      <w:r w:rsidR="009E08C5" w:rsidRPr="00B12DA8">
        <w:t xml:space="preserve"> change the nature of the relationship between emissions and fuel combustion (i.e., gross </w:t>
      </w:r>
      <w:r w:rsidRPr="00B12DA8">
        <w:t>emissions</w:t>
      </w:r>
      <w:r w:rsidR="009E08C5" w:rsidRPr="00B12DA8">
        <w:t xml:space="preserve"> are often</w:t>
      </w:r>
      <w:r w:rsidRPr="00B12DA8">
        <w:t xml:space="preserve"> tied directly to </w:t>
      </w:r>
      <w:r w:rsidR="009E08C5" w:rsidRPr="00B12DA8">
        <w:t xml:space="preserve">fuel </w:t>
      </w:r>
      <w:r w:rsidRPr="00B12DA8">
        <w:t xml:space="preserve">use </w:t>
      </w:r>
      <w:r w:rsidR="009E08C5" w:rsidRPr="00B12DA8">
        <w:t>similar to</w:t>
      </w:r>
      <w:r w:rsidRPr="00B12DA8">
        <w:t xml:space="preserve"> </w:t>
      </w:r>
      <w:r w:rsidR="009E08C5" w:rsidRPr="00B12DA8">
        <w:t xml:space="preserve">the case of </w:t>
      </w:r>
      <w:r w:rsidRPr="00B12DA8">
        <w:t>CO</w:t>
      </w:r>
      <w:r w:rsidRPr="00B12DA8">
        <w:rPr>
          <w:vertAlign w:val="subscript"/>
        </w:rPr>
        <w:t>2</w:t>
      </w:r>
      <w:r w:rsidR="00A20696" w:rsidRPr="00B12DA8">
        <w:t xml:space="preserve">; </w:t>
      </w:r>
      <w:r w:rsidR="009E08C5" w:rsidRPr="00B12DA8">
        <w:t xml:space="preserve">an end-of pipe technology </w:t>
      </w:r>
      <w:r w:rsidR="006A7795" w:rsidRPr="00B12DA8">
        <w:t>disrupts</w:t>
      </w:r>
      <w:r w:rsidR="008604BA" w:rsidRPr="00B12DA8">
        <w:t xml:space="preserve"> this relationship</w:t>
      </w:r>
      <w:r w:rsidR="009E08C5" w:rsidRPr="00B12DA8">
        <w:t>)</w:t>
      </w:r>
      <w:r w:rsidRPr="00B12DA8">
        <w:t xml:space="preserve">. </w:t>
      </w:r>
      <w:r w:rsidR="00A20696" w:rsidRPr="00B12DA8">
        <w:t>S</w:t>
      </w:r>
      <w:r w:rsidR="008A294A" w:rsidRPr="00B12DA8">
        <w:t xml:space="preserve">ee section </w:t>
      </w:r>
      <w:r w:rsidR="00FD434F" w:rsidRPr="00B12DA8">
        <w:t>7</w:t>
      </w:r>
      <w:r w:rsidR="001D58BE" w:rsidRPr="00B12DA8">
        <w:t xml:space="preserve"> </w:t>
      </w:r>
      <w:r w:rsidR="006859B7">
        <w:t>on</w:t>
      </w:r>
      <w:r w:rsidR="001D58BE" w:rsidRPr="00B12DA8">
        <w:t xml:space="preserve"> </w:t>
      </w:r>
      <w:r w:rsidR="00744E24">
        <w:t xml:space="preserve">the </w:t>
      </w:r>
      <w:r w:rsidR="001D58BE" w:rsidRPr="00B12DA8">
        <w:t xml:space="preserve">linking </w:t>
      </w:r>
      <w:r w:rsidR="00744E24">
        <w:t xml:space="preserve">of </w:t>
      </w:r>
      <w:r w:rsidR="001D58BE" w:rsidRPr="00B12DA8">
        <w:t xml:space="preserve">CGE and detailed sector models to reflect the costs of </w:t>
      </w:r>
      <w:r w:rsidR="008A294A" w:rsidRPr="00B12DA8">
        <w:t>CO</w:t>
      </w:r>
      <w:r w:rsidR="008A294A" w:rsidRPr="00B12DA8">
        <w:rPr>
          <w:vertAlign w:val="subscript"/>
        </w:rPr>
        <w:t>2</w:t>
      </w:r>
      <w:r w:rsidR="001D58BE" w:rsidRPr="00B12DA8">
        <w:t xml:space="preserve"> abatement technologies.</w:t>
      </w:r>
      <w:r w:rsidRPr="00B12DA8">
        <w:t xml:space="preserve"> </w:t>
      </w:r>
    </w:p>
    <w:p w14:paraId="68B924B7" w14:textId="1935509B" w:rsidR="00FA743C" w:rsidRPr="00B12DA8" w:rsidRDefault="00B91A65" w:rsidP="00FC39FE">
      <w:pPr>
        <w:spacing w:line="276" w:lineRule="auto"/>
      </w:pPr>
      <w:r>
        <w:t>In</w:t>
      </w:r>
      <w:r w:rsidR="00FA743C" w:rsidRPr="00B12DA8">
        <w:t xml:space="preserve"> a CGE analysis, the imposition of a regulation </w:t>
      </w:r>
      <w:r w:rsidR="00C6675E" w:rsidRPr="00B12DA8">
        <w:t xml:space="preserve">is </w:t>
      </w:r>
      <w:r w:rsidR="00FA743C" w:rsidRPr="00B12DA8">
        <w:t xml:space="preserve">frequently modeled as a “productivity shock,” in which complying with the regulation takes the form of a need for additional inputs (capital, labor, intermediate goods) on top of those used to produce the </w:t>
      </w:r>
      <w:r>
        <w:t>good or service of</w:t>
      </w:r>
      <w:r w:rsidR="00FA743C" w:rsidRPr="00B12DA8">
        <w:t xml:space="preserve"> the sector being</w:t>
      </w:r>
      <w:r w:rsidR="00197E3A" w:rsidRPr="00B12DA8">
        <w:t xml:space="preserve"> regulated (Pizer and Kopp, 2005;</w:t>
      </w:r>
      <w:r w:rsidR="00FA743C" w:rsidRPr="00B12DA8">
        <w:t xml:space="preserve"> Pizer et al.</w:t>
      </w:r>
      <w:r w:rsidR="00197E3A" w:rsidRPr="00B12DA8">
        <w:t>,</w:t>
      </w:r>
      <w:r w:rsidR="00FA743C" w:rsidRPr="00B12DA8">
        <w:t xml:space="preserve"> 2006).</w:t>
      </w:r>
      <w:r w:rsidR="00AA5517">
        <w:rPr>
          <w:rStyle w:val="FootnoteReference"/>
        </w:rPr>
        <w:footnoteReference w:id="14"/>
      </w:r>
      <w:r w:rsidR="00FA743C" w:rsidRPr="00B12DA8">
        <w:t xml:space="preserve">  This normally result</w:t>
      </w:r>
      <w:r>
        <w:t>s</w:t>
      </w:r>
      <w:r w:rsidR="00FA743C" w:rsidRPr="00B12DA8">
        <w:t xml:space="preserve"> in an upward movement of the sectoral supply curve.  Unlike in the case of a carbon tax or cap-and-trade system, there </w:t>
      </w:r>
      <w:r>
        <w:t>are no</w:t>
      </w:r>
      <w:r w:rsidR="00FA743C" w:rsidRPr="00B12DA8">
        <w:t xml:space="preserve"> revenues </w:t>
      </w:r>
      <w:r>
        <w:t>generated</w:t>
      </w:r>
      <w:r w:rsidRPr="00B12DA8">
        <w:t xml:space="preserve"> </w:t>
      </w:r>
      <w:r w:rsidR="00FA743C" w:rsidRPr="00B12DA8">
        <w:t xml:space="preserve">to offset other taxes.  As discussed in section </w:t>
      </w:r>
      <w:r w:rsidR="00E8604B">
        <w:t>4</w:t>
      </w:r>
      <w:r w:rsidR="00FA743C" w:rsidRPr="00B12DA8">
        <w:t>.3, how pollution control costs are allocated across inputs can have a significant effect on sectoral output, labor supply and other macroeconomic variables</w:t>
      </w:r>
      <w:r>
        <w:t xml:space="preserve"> in the model</w:t>
      </w:r>
      <w:r w:rsidR="00FA743C" w:rsidRPr="00B12DA8">
        <w:t xml:space="preserve">. </w:t>
      </w:r>
    </w:p>
    <w:p w14:paraId="21C26736" w14:textId="2BBFB009" w:rsidR="00FA743C" w:rsidRPr="00B12DA8" w:rsidRDefault="00FA743C" w:rsidP="00FC39FE">
      <w:pPr>
        <w:spacing w:line="276" w:lineRule="auto"/>
      </w:pPr>
      <w:r w:rsidRPr="00B12DA8">
        <w:t xml:space="preserve">In this section, we </w:t>
      </w:r>
      <w:r w:rsidR="007A025A" w:rsidRPr="00B12DA8">
        <w:t xml:space="preserve">briefly describe the range and complexity of EPA </w:t>
      </w:r>
      <w:r w:rsidR="00283008">
        <w:t xml:space="preserve">non-GHG </w:t>
      </w:r>
      <w:r w:rsidR="007A025A" w:rsidRPr="00B12DA8">
        <w:t xml:space="preserve">air regulations and then </w:t>
      </w:r>
      <w:r w:rsidRPr="00B12DA8">
        <w:t xml:space="preserve">discuss the main challenges that may be encountered when attempting to represent </w:t>
      </w:r>
      <w:r w:rsidR="007A025A" w:rsidRPr="00B12DA8">
        <w:t>them</w:t>
      </w:r>
      <w:r w:rsidRPr="00B12DA8">
        <w:t xml:space="preserve"> in a CGE model. For example, are certain representations simpler/more difficult </w:t>
      </w:r>
      <w:r w:rsidR="007A025A" w:rsidRPr="00B12DA8">
        <w:t xml:space="preserve">to represent in a CGE model </w:t>
      </w:r>
      <w:r w:rsidRPr="00B12DA8">
        <w:t>(e.g., there is more/less information available related to certain aspects of compliance costs or the affected universe, information maps more/less cleanly to the production function/particular industry sectors)? We anticipate that there are instances where detailed information on who is affected and how they comply may not map well or in clear cut ways to a more aggregate representation in a CGE model.  Note that a number of key decision points with regard to how to represent a</w:t>
      </w:r>
      <w:r w:rsidR="007A025A" w:rsidRPr="00B12DA8">
        <w:t xml:space="preserve">n air </w:t>
      </w:r>
      <w:r w:rsidRPr="00B12DA8">
        <w:t xml:space="preserve"> </w:t>
      </w:r>
      <w:r w:rsidR="007A025A" w:rsidRPr="00B12DA8">
        <w:t>regulation</w:t>
      </w:r>
      <w:r w:rsidRPr="00B12DA8">
        <w:t xml:space="preserve"> in a CGE model, for instance, how to enter compliance costs (e.g. through capital or labor, in a Hicks neutral way),</w:t>
      </w:r>
      <w:r w:rsidR="00744E24">
        <w:rPr>
          <w:rStyle w:val="FootnoteReference"/>
        </w:rPr>
        <w:footnoteReference w:id="15"/>
      </w:r>
      <w:r w:rsidRPr="00B12DA8">
        <w:t xml:space="preserve"> </w:t>
      </w:r>
      <w:r w:rsidR="00283008">
        <w:t>and</w:t>
      </w:r>
      <w:r w:rsidR="00283008" w:rsidRPr="00B12DA8">
        <w:t xml:space="preserve"> </w:t>
      </w:r>
      <w:r w:rsidR="007A025A" w:rsidRPr="00B12DA8">
        <w:t xml:space="preserve">how to characterize uncertainty, </w:t>
      </w:r>
      <w:r w:rsidRPr="00B12DA8">
        <w:t xml:space="preserve">are discussed in later sections </w:t>
      </w:r>
      <w:r w:rsidR="007A025A" w:rsidRPr="00B12DA8">
        <w:t>of this white paper</w:t>
      </w:r>
      <w:r w:rsidRPr="00B12DA8">
        <w:t xml:space="preserve">. </w:t>
      </w:r>
    </w:p>
    <w:p w14:paraId="488CFEA4" w14:textId="53F19373" w:rsidR="00B84BA3" w:rsidRPr="00B12DA8" w:rsidRDefault="00FA743C" w:rsidP="00FC39FE">
      <w:pPr>
        <w:spacing w:line="276" w:lineRule="auto"/>
      </w:pPr>
      <w:r w:rsidRPr="00B12DA8">
        <w:t xml:space="preserve">While a single modeling approach may be sufficient for estimating social cost in some cases, </w:t>
      </w:r>
      <w:r w:rsidR="004C6E84" w:rsidRPr="00B12DA8">
        <w:t xml:space="preserve">the </w:t>
      </w:r>
      <w:r w:rsidRPr="00B12DA8">
        <w:t xml:space="preserve">EPA often uses more than one modeling framework to leverage the different information that each may provide. For instance, </w:t>
      </w:r>
      <w:r w:rsidR="004C6E84" w:rsidRPr="00B12DA8">
        <w:t xml:space="preserve">the </w:t>
      </w:r>
      <w:r w:rsidRPr="00B12DA8">
        <w:t>EPA may rely on detailed engi</w:t>
      </w:r>
      <w:r w:rsidR="00663B09">
        <w:t>neering analysis to identify</w:t>
      </w:r>
      <w:r w:rsidRPr="00B12DA8">
        <w:t xml:space="preserve"> direct compliance costs associated with the use of particular technologies. These compliance costs may then serve as a starting point for a partial or general equilibrium modeling exercise. However, care needs to be taken when using estimates from multiple sources, particularly partial equilibrium approaches that go beyond direct compliance cost</w:t>
      </w:r>
      <w:r w:rsidR="00E07917">
        <w:t xml:space="preserve"> estimation</w:t>
      </w:r>
      <w:r w:rsidR="00C2506C" w:rsidRPr="00B12DA8">
        <w:t>,</w:t>
      </w:r>
      <w:r w:rsidRPr="00B12DA8">
        <w:t xml:space="preserve"> as adding together social cost estimates from multiple modeling approaches can lead to double counting.  See section </w:t>
      </w:r>
      <w:r w:rsidR="00FD434F" w:rsidRPr="00B12DA8">
        <w:t xml:space="preserve">7 </w:t>
      </w:r>
      <w:r w:rsidRPr="00B12DA8">
        <w:t>for a more in-depth discussion of the challenges enco</w:t>
      </w:r>
      <w:r w:rsidR="005452D9" w:rsidRPr="00B12DA8">
        <w:t>untered when linking outputs fro</w:t>
      </w:r>
      <w:r w:rsidRPr="00B12DA8">
        <w:t>m detailed sector models with CGE models to estimate social cost.</w:t>
      </w:r>
      <w:bookmarkStart w:id="38" w:name="_Toc425762408"/>
      <w:bookmarkEnd w:id="38"/>
    </w:p>
    <w:p w14:paraId="25938E44" w14:textId="7F6D57F8" w:rsidR="00B84BA3" w:rsidRPr="00B12DA8" w:rsidRDefault="00B84BA3" w:rsidP="00083C21">
      <w:pPr>
        <w:pStyle w:val="Heading2"/>
        <w:numPr>
          <w:ilvl w:val="1"/>
          <w:numId w:val="6"/>
        </w:numPr>
      </w:pPr>
      <w:bookmarkStart w:id="39" w:name="_Toc427324752"/>
      <w:bookmarkStart w:id="40" w:name="_Toc448481305"/>
      <w:r w:rsidRPr="00B12DA8">
        <w:t>Overview of Air Regulations</w:t>
      </w:r>
      <w:bookmarkEnd w:id="39"/>
      <w:bookmarkEnd w:id="40"/>
    </w:p>
    <w:p w14:paraId="66D4CE30" w14:textId="58E52429" w:rsidR="007A025A" w:rsidRPr="00B12DA8" w:rsidRDefault="00072074" w:rsidP="00FC39FE">
      <w:pPr>
        <w:spacing w:line="276" w:lineRule="auto"/>
      </w:pPr>
      <w:r w:rsidRPr="00B12DA8">
        <w:t>Before evaluating the challenges of representing an air regulation in a CGE model</w:t>
      </w:r>
      <w:r w:rsidR="00EA6BEA" w:rsidRPr="00B12DA8">
        <w:t xml:space="preserve">, we </w:t>
      </w:r>
      <w:r w:rsidR="007A025A" w:rsidRPr="00B12DA8">
        <w:t xml:space="preserve">describe the main ways EPA air regulations vary within four very broad categories, providing several specific examples in accompanying tables. The four categories are: single sector emission rate limits; regional or state-implemented emission targets; multi-sector boiler or engine-level emission limits; and federal product standards.  We organize the regulations this way as a heuristic device as there are likely other valuable ways to categorize air regulations for purposes of discussion. In addition, there may be regulations that do not fit neatly into any of these categories and, in fact, it is possible that we have missed some types of rules entirely. Still, we feel that this typology adequately captures a sufficient number of recent EPA air regulations to give the reader a sense of the regulatory landscape in which </w:t>
      </w:r>
      <w:r w:rsidR="004C6E84" w:rsidRPr="00B12DA8">
        <w:t xml:space="preserve">the </w:t>
      </w:r>
      <w:r w:rsidR="007A025A" w:rsidRPr="00B12DA8">
        <w:t>EPA operates.</w:t>
      </w:r>
    </w:p>
    <w:p w14:paraId="274E97CE" w14:textId="58508768" w:rsidR="00F32730" w:rsidRPr="00B12DA8" w:rsidRDefault="007A025A" w:rsidP="00FC39FE">
      <w:pPr>
        <w:spacing w:line="276" w:lineRule="auto"/>
      </w:pPr>
      <w:r w:rsidRPr="00B12DA8">
        <w:t>For each of the four categories</w:t>
      </w:r>
      <w:r w:rsidR="00463CE3" w:rsidRPr="00B12DA8">
        <w:t xml:space="preserve"> of air regulations</w:t>
      </w:r>
      <w:r w:rsidRPr="00B12DA8">
        <w:t xml:space="preserve">, we characterize several key </w:t>
      </w:r>
      <w:r w:rsidR="00EA6BEA" w:rsidRPr="00B12DA8">
        <w:t xml:space="preserve">attributes that may be important to consider when evaluating the relative merits of various </w:t>
      </w:r>
      <w:r w:rsidR="00537CC6" w:rsidRPr="00B12DA8">
        <w:t xml:space="preserve">modeling </w:t>
      </w:r>
      <w:r w:rsidR="00EA6BEA" w:rsidRPr="00B12DA8">
        <w:t>approaches:</w:t>
      </w:r>
    </w:p>
    <w:p w14:paraId="0D22891D" w14:textId="3DCC6445" w:rsidR="00F32730" w:rsidRPr="00B12DA8" w:rsidRDefault="00EA6BEA" w:rsidP="00083C21">
      <w:pPr>
        <w:pStyle w:val="ListParagraph"/>
        <w:numPr>
          <w:ilvl w:val="0"/>
          <w:numId w:val="1"/>
        </w:numPr>
        <w:spacing w:before="160" w:after="0" w:line="276" w:lineRule="auto"/>
        <w:contextualSpacing w:val="0"/>
        <w:jc w:val="both"/>
      </w:pPr>
      <w:r w:rsidRPr="00B12DA8">
        <w:t xml:space="preserve">Form of the standard: </w:t>
      </w:r>
      <w:r w:rsidR="008644F0" w:rsidRPr="00B12DA8">
        <w:t>I</w:t>
      </w:r>
      <w:r w:rsidRPr="00B12DA8">
        <w:t xml:space="preserve">s the regulation an emission rate or technology standard? Are limits applied at the sub-facility or facility level? Is trading/crediting </w:t>
      </w:r>
      <w:r w:rsidR="008644F0" w:rsidRPr="00B12DA8">
        <w:t>allowed within or across firms</w:t>
      </w:r>
      <w:r w:rsidRPr="00B12DA8">
        <w:t>? Is the rule vintage</w:t>
      </w:r>
      <w:r w:rsidR="00A50933" w:rsidRPr="00B12DA8">
        <w:t>-</w:t>
      </w:r>
      <w:r w:rsidRPr="00B12DA8">
        <w:t xml:space="preserve">based or </w:t>
      </w:r>
      <w:r w:rsidR="005570D2" w:rsidRPr="00B12DA8">
        <w:t>differentiated along</w:t>
      </w:r>
      <w:r w:rsidR="008644F0" w:rsidRPr="00B12DA8">
        <w:t xml:space="preserve"> other attributes</w:t>
      </w:r>
      <w:r w:rsidRPr="00B12DA8">
        <w:t xml:space="preserve"> </w:t>
      </w:r>
      <w:r w:rsidR="008644F0" w:rsidRPr="00B12DA8">
        <w:t xml:space="preserve">(e.g., </w:t>
      </w:r>
      <w:r w:rsidRPr="00B12DA8">
        <w:t>plants</w:t>
      </w:r>
      <w:r w:rsidR="008644F0" w:rsidRPr="00B12DA8">
        <w:t xml:space="preserve">, </w:t>
      </w:r>
      <w:r w:rsidRPr="00B12DA8">
        <w:t>units</w:t>
      </w:r>
      <w:r w:rsidR="008644F0" w:rsidRPr="00B12DA8">
        <w:t>, location)</w:t>
      </w:r>
      <w:r w:rsidRPr="00B12DA8">
        <w:t xml:space="preserve">? </w:t>
      </w:r>
    </w:p>
    <w:p w14:paraId="00F2D7C2" w14:textId="37A59BD2" w:rsidR="00F32730" w:rsidRPr="00B12DA8" w:rsidRDefault="00EA6BEA" w:rsidP="00083C21">
      <w:pPr>
        <w:pStyle w:val="ListParagraph"/>
        <w:numPr>
          <w:ilvl w:val="0"/>
          <w:numId w:val="1"/>
        </w:numPr>
        <w:spacing w:before="160" w:after="0" w:line="276" w:lineRule="auto"/>
        <w:contextualSpacing w:val="0"/>
        <w:jc w:val="both"/>
      </w:pPr>
      <w:r w:rsidRPr="00B12DA8">
        <w:t xml:space="preserve">Methods of compliance: Are </w:t>
      </w:r>
      <w:r w:rsidR="005570D2" w:rsidRPr="00B12DA8">
        <w:t xml:space="preserve">the </w:t>
      </w:r>
      <w:r w:rsidRPr="00B12DA8">
        <w:t xml:space="preserve">compliance </w:t>
      </w:r>
      <w:r w:rsidR="00B96C47">
        <w:t xml:space="preserve">methods </w:t>
      </w:r>
      <w:r w:rsidR="00A64791" w:rsidRPr="00B12DA8">
        <w:t>available to regulated entities known</w:t>
      </w:r>
      <w:r w:rsidRPr="00B12DA8">
        <w:t xml:space="preserve">? Is it expected that </w:t>
      </w:r>
      <w:r w:rsidR="005570D2" w:rsidRPr="00B12DA8">
        <w:t>the</w:t>
      </w:r>
      <w:r w:rsidR="00A64791" w:rsidRPr="00B12DA8">
        <w:t>se</w:t>
      </w:r>
      <w:r w:rsidR="005570D2" w:rsidRPr="00B12DA8">
        <w:t xml:space="preserve"> </w:t>
      </w:r>
      <w:r w:rsidRPr="00B12DA8">
        <w:t xml:space="preserve">methods of compliance will vary </w:t>
      </w:r>
      <w:r w:rsidR="005570D2" w:rsidRPr="00B12DA8">
        <w:t>across units, firms, sectors, locations, etc.</w:t>
      </w:r>
      <w:r w:rsidRPr="00B12DA8">
        <w:t xml:space="preserve">?  </w:t>
      </w:r>
    </w:p>
    <w:p w14:paraId="7F4BE61E" w14:textId="053A386D" w:rsidR="00F32730" w:rsidRPr="00B12DA8" w:rsidRDefault="00EA6BEA" w:rsidP="00083C21">
      <w:pPr>
        <w:pStyle w:val="ListParagraph"/>
        <w:numPr>
          <w:ilvl w:val="0"/>
          <w:numId w:val="1"/>
        </w:numPr>
        <w:spacing w:before="160" w:after="0" w:line="276" w:lineRule="auto"/>
        <w:contextualSpacing w:val="0"/>
        <w:jc w:val="both"/>
      </w:pPr>
      <w:r w:rsidRPr="00B12DA8">
        <w:t xml:space="preserve">Regulated </w:t>
      </w:r>
      <w:r w:rsidR="00FB0F6A" w:rsidRPr="00B12DA8">
        <w:t>sources</w:t>
      </w:r>
      <w:r w:rsidRPr="00B12DA8">
        <w:t xml:space="preserve">: </w:t>
      </w:r>
      <w:r w:rsidR="005570D2" w:rsidRPr="00B12DA8">
        <w:t xml:space="preserve">Is the </w:t>
      </w:r>
      <w:r w:rsidRPr="00B12DA8">
        <w:t xml:space="preserve">regulated </w:t>
      </w:r>
      <w:r w:rsidR="005570D2" w:rsidRPr="00B12DA8">
        <w:t>universe</w:t>
      </w:r>
      <w:r w:rsidRPr="00B12DA8">
        <w:t xml:space="preserve"> readily identifie</w:t>
      </w:r>
      <w:r w:rsidR="005570D2" w:rsidRPr="00B12DA8">
        <w:t>d</w:t>
      </w:r>
      <w:r w:rsidRPr="00B12DA8">
        <w:t>? In which sector</w:t>
      </w:r>
      <w:r w:rsidR="00FB0F6A" w:rsidRPr="00B12DA8">
        <w:t>(s)</w:t>
      </w:r>
      <w:r w:rsidRPr="00B12DA8">
        <w:t xml:space="preserve"> are the </w:t>
      </w:r>
      <w:r w:rsidR="005570D2" w:rsidRPr="00B12DA8">
        <w:t xml:space="preserve">directly affected </w:t>
      </w:r>
      <w:r w:rsidR="00FB0F6A" w:rsidRPr="00B12DA8">
        <w:t>sources</w:t>
      </w:r>
      <w:r w:rsidRPr="00B12DA8">
        <w:t xml:space="preserve">? How easy is it to map regulated </w:t>
      </w:r>
      <w:r w:rsidR="00FB0F6A" w:rsidRPr="00B12DA8">
        <w:t>sources</w:t>
      </w:r>
      <w:r w:rsidRPr="00B12DA8">
        <w:t xml:space="preserve"> to sectors? </w:t>
      </w:r>
    </w:p>
    <w:p w14:paraId="1DC81964" w14:textId="199CAEE6" w:rsidR="00F32730" w:rsidRPr="00B12DA8" w:rsidRDefault="00EA6BEA" w:rsidP="00083C21">
      <w:pPr>
        <w:pStyle w:val="ListParagraph"/>
        <w:numPr>
          <w:ilvl w:val="0"/>
          <w:numId w:val="1"/>
        </w:numPr>
        <w:spacing w:before="160" w:after="0" w:line="276" w:lineRule="auto"/>
        <w:contextualSpacing w:val="0"/>
        <w:jc w:val="both"/>
      </w:pPr>
      <w:r w:rsidRPr="00B12DA8">
        <w:t xml:space="preserve">Unit compliance cost estimates: Are </w:t>
      </w:r>
      <w:r w:rsidR="00FB0F6A" w:rsidRPr="00B12DA8">
        <w:t xml:space="preserve">estimates of </w:t>
      </w:r>
      <w:r w:rsidRPr="00B12DA8">
        <w:t xml:space="preserve">unit compliance costs </w:t>
      </w:r>
      <w:r w:rsidR="00FB0F6A" w:rsidRPr="00B12DA8">
        <w:t>a</w:t>
      </w:r>
      <w:r w:rsidRPr="00B12DA8">
        <w:t xml:space="preserve">vailable? Is </w:t>
      </w:r>
      <w:r w:rsidR="00FB0F6A" w:rsidRPr="00B12DA8">
        <w:t xml:space="preserve">the decomposition of compliance costs by input (e.g., </w:t>
      </w:r>
      <w:r w:rsidRPr="00B12DA8">
        <w:t>capital</w:t>
      </w:r>
      <w:r w:rsidR="00FB0F6A" w:rsidRPr="00B12DA8">
        <w:t xml:space="preserve">, </w:t>
      </w:r>
      <w:r w:rsidRPr="00B12DA8">
        <w:t>labor</w:t>
      </w:r>
      <w:r w:rsidR="00FB0F6A" w:rsidRPr="00B12DA8">
        <w:t>, intermediate inputs) available</w:t>
      </w:r>
      <w:r w:rsidRPr="00B12DA8">
        <w:t xml:space="preserve">?  Are some </w:t>
      </w:r>
      <w:r w:rsidR="00FB0F6A" w:rsidRPr="00B12DA8">
        <w:t xml:space="preserve">components </w:t>
      </w:r>
      <w:r w:rsidRPr="00B12DA8">
        <w:t>of costs more uncertain</w:t>
      </w:r>
      <w:r w:rsidR="00FB0F6A" w:rsidRPr="00B12DA8">
        <w:t xml:space="preserve"> or </w:t>
      </w:r>
      <w:r w:rsidRPr="00B12DA8">
        <w:t xml:space="preserve">not </w:t>
      </w:r>
      <w:r w:rsidR="00FB0F6A" w:rsidRPr="00B12DA8">
        <w:t>available</w:t>
      </w:r>
      <w:r w:rsidRPr="00B12DA8">
        <w:t xml:space="preserve">? </w:t>
      </w:r>
    </w:p>
    <w:p w14:paraId="2082E686" w14:textId="58C7CFA3" w:rsidR="00F32730" w:rsidRPr="00B12DA8" w:rsidRDefault="00EA6BEA" w:rsidP="00083C21">
      <w:pPr>
        <w:pStyle w:val="ListParagraph"/>
        <w:numPr>
          <w:ilvl w:val="0"/>
          <w:numId w:val="1"/>
        </w:numPr>
        <w:spacing w:before="160" w:after="0" w:line="276" w:lineRule="auto"/>
        <w:contextualSpacing w:val="0"/>
        <w:jc w:val="both"/>
      </w:pPr>
      <w:r w:rsidRPr="00B12DA8">
        <w:t>Aggregate Compliance Cost: What is the expect</w:t>
      </w:r>
      <w:r w:rsidR="00FB0F6A" w:rsidRPr="00B12DA8">
        <w:t>ed</w:t>
      </w:r>
      <w:r w:rsidRPr="00B12DA8">
        <w:t xml:space="preserve"> magnitude of aggregate compliance cost?</w:t>
      </w:r>
      <w:r w:rsidR="00FB0F6A" w:rsidRPr="00B12DA8">
        <w:t xml:space="preserve"> How </w:t>
      </w:r>
      <w:r w:rsidR="0037120D" w:rsidRPr="00B12DA8">
        <w:t>does it compare to</w:t>
      </w:r>
      <w:r w:rsidR="00FB0F6A" w:rsidRPr="00B12DA8">
        <w:t xml:space="preserve"> the size of the regulated sector?</w:t>
      </w:r>
    </w:p>
    <w:p w14:paraId="58D26A4F" w14:textId="65EC0474" w:rsidR="00F32730" w:rsidRPr="00B12DA8" w:rsidRDefault="00EA6BEA" w:rsidP="00083C21">
      <w:pPr>
        <w:pStyle w:val="ListParagraph"/>
        <w:numPr>
          <w:ilvl w:val="0"/>
          <w:numId w:val="1"/>
        </w:numPr>
        <w:spacing w:before="160" w:line="276" w:lineRule="auto"/>
        <w:contextualSpacing w:val="0"/>
        <w:jc w:val="both"/>
      </w:pPr>
      <w:r w:rsidRPr="00B12DA8">
        <w:t xml:space="preserve">Implementation: Is implementation </w:t>
      </w:r>
      <w:r w:rsidR="00FB0F6A" w:rsidRPr="00B12DA8">
        <w:t xml:space="preserve">defined directly in the regulation or are </w:t>
      </w:r>
      <w:r w:rsidRPr="00B12DA8">
        <w:t>key aspects left to the states or other government entities?</w:t>
      </w:r>
    </w:p>
    <w:p w14:paraId="2A88BA28" w14:textId="053C32E2" w:rsidR="007A025A" w:rsidRPr="00B12DA8" w:rsidRDefault="00EA6BEA" w:rsidP="00083C21">
      <w:pPr>
        <w:pStyle w:val="ListParagraph"/>
        <w:numPr>
          <w:ilvl w:val="0"/>
          <w:numId w:val="1"/>
        </w:numPr>
        <w:spacing w:before="160" w:line="276" w:lineRule="auto"/>
        <w:contextualSpacing w:val="0"/>
        <w:jc w:val="both"/>
      </w:pPr>
      <w:r w:rsidRPr="00B12DA8">
        <w:t>Timeframe for compliance: What is the time period over which compliance occurs? What is assumed about technological innovation?</w:t>
      </w:r>
    </w:p>
    <w:p w14:paraId="3911A56F" w14:textId="29C41DAA" w:rsidR="00555CCC" w:rsidRPr="00B12DA8" w:rsidRDefault="00555CCC" w:rsidP="00FC39FE">
      <w:pPr>
        <w:spacing w:line="276" w:lineRule="auto"/>
      </w:pPr>
      <w:r w:rsidRPr="00B12DA8">
        <w:rPr>
          <w:i/>
        </w:rPr>
        <w:t>CATEGORY #1: Single Sector Emission Rate Limits</w:t>
      </w:r>
    </w:p>
    <w:p w14:paraId="75045ABA" w14:textId="37D56B03" w:rsidR="00555CCC" w:rsidRPr="00B12DA8" w:rsidRDefault="00555CCC" w:rsidP="00FC39FE">
      <w:pPr>
        <w:spacing w:line="276" w:lineRule="auto"/>
      </w:pPr>
      <w:r w:rsidRPr="00B12DA8">
        <w:t xml:space="preserve">This category of regulations can be characterized as rate-based emission limits applied to an individual production unit or facility within a single sector (for example, refineries or other aspects of the oil and gas sector, cement, aluminum, iron and steel, pulp and paper, chemical production, and transportation). Regulated sectors in this category often </w:t>
      </w:r>
      <w:r w:rsidR="006679D8" w:rsidRPr="00B12DA8">
        <w:t>provide</w:t>
      </w:r>
      <w:r w:rsidRPr="00B12DA8">
        <w:t xml:space="preserve"> key inputs to other upstream economic sectors. The </w:t>
      </w:r>
      <w:r w:rsidR="004D0BC2">
        <w:t>regulations</w:t>
      </w:r>
      <w:r w:rsidR="004D0BC2" w:rsidRPr="00B12DA8">
        <w:t xml:space="preserve"> </w:t>
      </w:r>
      <w:r w:rsidRPr="00B12DA8">
        <w:t xml:space="preserve">are typically national in scope, though a sector may be geographically concentrated in a particular region of the country. They are performance-based standards that do not require specific control measures. The regulations vary widely with regard to magnitude of costs and benefits. </w:t>
      </w:r>
    </w:p>
    <w:p w14:paraId="431995BE" w14:textId="1177159A" w:rsidR="00555CCC" w:rsidRPr="00B12DA8" w:rsidRDefault="00555CCC" w:rsidP="00FC39FE">
      <w:pPr>
        <w:spacing w:line="276" w:lineRule="auto"/>
        <w:rPr>
          <w:b/>
        </w:rPr>
      </w:pPr>
      <w:r w:rsidRPr="00B12DA8">
        <w:t>The cost estimates generated by</w:t>
      </w:r>
      <w:r w:rsidR="004C6E84" w:rsidRPr="00B12DA8">
        <w:t xml:space="preserve"> the</w:t>
      </w:r>
      <w:r w:rsidRPr="00B12DA8">
        <w:t xml:space="preserve"> EPA </w:t>
      </w:r>
      <w:r w:rsidR="00226A9D" w:rsidRPr="00B12DA8">
        <w:t xml:space="preserve">for this category of regulations </w:t>
      </w:r>
      <w:r w:rsidRPr="00B12DA8">
        <w:t xml:space="preserve">are based on the expected method the facilities will use to comply. However facilities may choose alternative compliance approaches that also meet the performance standard, including changing the production process (e.g. preventing emissions by reengineering a product instead of installing control technology to capture emissions after the fact). In some cases, the standards may be vintage based (i.e., apply only to new sources). Some rules also affect private costs due to changes in fuel consumption. Rules in this category often have a relatively shorter timeframe </w:t>
      </w:r>
      <w:r w:rsidR="00A50933" w:rsidRPr="00B12DA8">
        <w:t xml:space="preserve">to achieve compliance </w:t>
      </w:r>
      <w:r w:rsidRPr="00B12DA8">
        <w:t>(</w:t>
      </w:r>
      <w:r w:rsidR="004C132D">
        <w:t>five</w:t>
      </w:r>
      <w:r w:rsidRPr="00B12DA8">
        <w:t xml:space="preserve"> years or less). Examples of regulations that fall into this category are presented in Table </w:t>
      </w:r>
      <w:r w:rsidR="003866B8" w:rsidRPr="00B12DA8">
        <w:t>3</w:t>
      </w:r>
      <w:r w:rsidRPr="00B12DA8">
        <w:t xml:space="preserve"> along with a description of key attributes.</w:t>
      </w:r>
    </w:p>
    <w:p w14:paraId="17AC981D" w14:textId="77777777" w:rsidR="00111BE1" w:rsidRDefault="00111BE1">
      <w:pPr>
        <w:jc w:val="left"/>
        <w:rPr>
          <w:b/>
        </w:rPr>
      </w:pPr>
      <w:r>
        <w:rPr>
          <w:b/>
        </w:rPr>
        <w:br w:type="page"/>
      </w:r>
    </w:p>
    <w:p w14:paraId="5AD51B8A" w14:textId="4A401684" w:rsidR="00555CCC" w:rsidRPr="00B12DA8" w:rsidRDefault="00555CCC" w:rsidP="00FC39FE">
      <w:pPr>
        <w:spacing w:after="0" w:line="276" w:lineRule="auto"/>
      </w:pPr>
      <w:r w:rsidRPr="00B12DA8">
        <w:rPr>
          <w:b/>
        </w:rPr>
        <w:t xml:space="preserve">Table </w:t>
      </w:r>
      <w:r w:rsidR="003866B8" w:rsidRPr="00B12DA8">
        <w:rPr>
          <w:b/>
        </w:rPr>
        <w:t>3</w:t>
      </w:r>
      <w:r w:rsidRPr="00B12DA8">
        <w:rPr>
          <w:b/>
        </w:rPr>
        <w:t>: Examples of Single Sector Emission Rate Limits</w:t>
      </w:r>
    </w:p>
    <w:tbl>
      <w:tblPr>
        <w:tblStyle w:val="PlainTable31"/>
        <w:tblW w:w="9361" w:type="dxa"/>
        <w:tblLayout w:type="fixed"/>
        <w:tblLook w:val="04A0" w:firstRow="1" w:lastRow="0" w:firstColumn="1" w:lastColumn="0" w:noHBand="0" w:noVBand="1"/>
      </w:tblPr>
      <w:tblGrid>
        <w:gridCol w:w="2178"/>
        <w:gridCol w:w="2340"/>
        <w:gridCol w:w="2142"/>
        <w:gridCol w:w="90"/>
        <w:gridCol w:w="18"/>
        <w:gridCol w:w="2593"/>
      </w:tblGrid>
      <w:tr w:rsidR="00555CCC" w:rsidRPr="00111BE1" w14:paraId="62440992" w14:textId="77777777" w:rsidTr="00277337">
        <w:trPr>
          <w:cnfStyle w:val="100000000000" w:firstRow="1" w:lastRow="0" w:firstColumn="0" w:lastColumn="0" w:oddVBand="0" w:evenVBand="0" w:oddHBand="0" w:evenHBand="0" w:firstRowFirstColumn="0" w:firstRowLastColumn="0" w:lastRowFirstColumn="0" w:lastRowLastColumn="0"/>
          <w:trHeight w:val="1005"/>
        </w:trPr>
        <w:tc>
          <w:tcPr>
            <w:cnfStyle w:val="001000000100" w:firstRow="0" w:lastRow="0" w:firstColumn="1" w:lastColumn="0" w:oddVBand="0" w:evenVBand="0" w:oddHBand="0" w:evenHBand="0" w:firstRowFirstColumn="1" w:firstRowLastColumn="0" w:lastRowFirstColumn="0" w:lastRowLastColumn="0"/>
            <w:tcW w:w="2178" w:type="dxa"/>
            <w:tcBorders>
              <w:top w:val="single" w:sz="12" w:space="0" w:color="auto"/>
              <w:bottom w:val="single" w:sz="12" w:space="0" w:color="auto"/>
              <w:right w:val="none" w:sz="0" w:space="0" w:color="auto"/>
            </w:tcBorders>
          </w:tcPr>
          <w:p w14:paraId="3C8E5F37" w14:textId="77777777" w:rsidR="00555CCC" w:rsidRPr="00111BE1" w:rsidRDefault="00555CCC" w:rsidP="00F84914">
            <w:pPr>
              <w:jc w:val="left"/>
              <w:rPr>
                <w:b w:val="0"/>
                <w:bCs w:val="0"/>
                <w:caps w:val="0"/>
                <w:sz w:val="20"/>
                <w:szCs w:val="20"/>
              </w:rPr>
            </w:pPr>
            <w:r w:rsidRPr="00111BE1">
              <w:rPr>
                <w:sz w:val="20"/>
                <w:szCs w:val="20"/>
              </w:rPr>
              <w:t>Attribute</w:t>
            </w:r>
          </w:p>
        </w:tc>
        <w:tc>
          <w:tcPr>
            <w:tcW w:w="2340" w:type="dxa"/>
            <w:tcBorders>
              <w:top w:val="single" w:sz="12" w:space="0" w:color="auto"/>
              <w:bottom w:val="single" w:sz="12" w:space="0" w:color="auto"/>
            </w:tcBorders>
          </w:tcPr>
          <w:p w14:paraId="3CE791E7" w14:textId="646A656F" w:rsidR="00555CCC" w:rsidRPr="00111BE1" w:rsidRDefault="00555CCC" w:rsidP="00FC39FE">
            <w:pPr>
              <w:spacing w:after="160"/>
              <w:jc w:val="left"/>
              <w:cnfStyle w:val="100000000000" w:firstRow="1" w:lastRow="0" w:firstColumn="0" w:lastColumn="0" w:oddVBand="0" w:evenVBand="0" w:oddHBand="0" w:evenHBand="0" w:firstRowFirstColumn="0" w:firstRowLastColumn="0" w:lastRowFirstColumn="0" w:lastRowLastColumn="0"/>
              <w:rPr>
                <w:b w:val="0"/>
                <w:bCs w:val="0"/>
                <w:caps w:val="0"/>
                <w:sz w:val="20"/>
                <w:szCs w:val="20"/>
              </w:rPr>
            </w:pPr>
            <w:r w:rsidRPr="00111BE1">
              <w:rPr>
                <w:rFonts w:eastAsia="Times New Roman" w:cs="Calibri"/>
                <w:sz w:val="20"/>
                <w:szCs w:val="20"/>
              </w:rPr>
              <w:t>Automobile and Light Duty TRUCK SURFACE COATING NESHAP (</w:t>
            </w:r>
            <w:r w:rsidR="008F4506" w:rsidRPr="00111BE1">
              <w:rPr>
                <w:rFonts w:eastAsia="Times New Roman" w:cs="Calibri"/>
                <w:sz w:val="20"/>
                <w:szCs w:val="20"/>
              </w:rPr>
              <w:t xml:space="preserve">U.S. EPA, </w:t>
            </w:r>
            <w:r w:rsidRPr="00111BE1">
              <w:rPr>
                <w:rFonts w:eastAsia="Times New Roman" w:cs="Calibri"/>
                <w:sz w:val="20"/>
                <w:szCs w:val="20"/>
              </w:rPr>
              <w:t>2004)</w:t>
            </w:r>
            <w:r w:rsidR="008F4506" w:rsidRPr="00111BE1">
              <w:rPr>
                <w:rStyle w:val="FootnoteReference"/>
                <w:rFonts w:eastAsia="Times New Roman" w:cs="Calibri"/>
                <w:sz w:val="20"/>
                <w:szCs w:val="20"/>
              </w:rPr>
              <w:footnoteReference w:id="16"/>
            </w:r>
          </w:p>
        </w:tc>
        <w:tc>
          <w:tcPr>
            <w:tcW w:w="2142" w:type="dxa"/>
            <w:tcBorders>
              <w:top w:val="single" w:sz="12" w:space="0" w:color="auto"/>
              <w:bottom w:val="single" w:sz="12" w:space="0" w:color="auto"/>
            </w:tcBorders>
          </w:tcPr>
          <w:p w14:paraId="1AD52B5A" w14:textId="208481AD" w:rsidR="00555CCC" w:rsidRPr="00111BE1" w:rsidRDefault="00555CCC" w:rsidP="005D33F3">
            <w:pPr>
              <w:jc w:val="left"/>
              <w:cnfStyle w:val="100000000000" w:firstRow="1" w:lastRow="0" w:firstColumn="0" w:lastColumn="0" w:oddVBand="0" w:evenVBand="0" w:oddHBand="0" w:evenHBand="0" w:firstRowFirstColumn="0" w:firstRowLastColumn="0" w:lastRowFirstColumn="0" w:lastRowLastColumn="0"/>
              <w:rPr>
                <w:rFonts w:eastAsiaTheme="majorEastAsia" w:cstheme="majorBidi"/>
                <w:b w:val="0"/>
                <w:bCs w:val="0"/>
                <w:i/>
                <w:iCs/>
                <w:caps w:val="0"/>
                <w:color w:val="272727" w:themeColor="text1" w:themeTint="D8"/>
                <w:sz w:val="20"/>
                <w:szCs w:val="20"/>
              </w:rPr>
            </w:pPr>
            <w:r w:rsidRPr="00111BE1">
              <w:rPr>
                <w:sz w:val="20"/>
                <w:szCs w:val="20"/>
              </w:rPr>
              <w:t>NESHAP and NSPS: Portland Cement MACT (</w:t>
            </w:r>
            <w:r w:rsidR="008F4506" w:rsidRPr="00111BE1">
              <w:rPr>
                <w:sz w:val="20"/>
                <w:szCs w:val="20"/>
              </w:rPr>
              <w:t xml:space="preserve">U.S. EPA, </w:t>
            </w:r>
            <w:r w:rsidRPr="00111BE1">
              <w:rPr>
                <w:sz w:val="20"/>
                <w:szCs w:val="20"/>
              </w:rPr>
              <w:t>201</w:t>
            </w:r>
            <w:r w:rsidR="008F4506" w:rsidRPr="00111BE1">
              <w:rPr>
                <w:sz w:val="20"/>
                <w:szCs w:val="20"/>
              </w:rPr>
              <w:t>0</w:t>
            </w:r>
            <w:r w:rsidR="00962D61" w:rsidRPr="00111BE1">
              <w:rPr>
                <w:caps w:val="0"/>
                <w:sz w:val="20"/>
                <w:szCs w:val="20"/>
              </w:rPr>
              <w:t>c</w:t>
            </w:r>
            <w:r w:rsidRPr="00111BE1">
              <w:rPr>
                <w:sz w:val="20"/>
                <w:szCs w:val="20"/>
              </w:rPr>
              <w:t>)</w:t>
            </w:r>
          </w:p>
        </w:tc>
        <w:tc>
          <w:tcPr>
            <w:tcW w:w="2701" w:type="dxa"/>
            <w:gridSpan w:val="3"/>
            <w:tcBorders>
              <w:top w:val="single" w:sz="12" w:space="0" w:color="auto"/>
              <w:bottom w:val="single" w:sz="12" w:space="0" w:color="auto"/>
            </w:tcBorders>
          </w:tcPr>
          <w:p w14:paraId="7EECECC4" w14:textId="6D522EB2" w:rsidR="00555CCC" w:rsidRPr="00111BE1" w:rsidRDefault="00555CCC" w:rsidP="00040025">
            <w:pPr>
              <w:jc w:val="left"/>
              <w:cnfStyle w:val="100000000000" w:firstRow="1" w:lastRow="0" w:firstColumn="0" w:lastColumn="0" w:oddVBand="0" w:evenVBand="0" w:oddHBand="0" w:evenHBand="0" w:firstRowFirstColumn="0" w:firstRowLastColumn="0" w:lastRowFirstColumn="0" w:lastRowLastColumn="0"/>
              <w:rPr>
                <w:rFonts w:eastAsiaTheme="majorEastAsia" w:cstheme="majorBidi"/>
                <w:b w:val="0"/>
                <w:bCs w:val="0"/>
                <w:i/>
                <w:iCs/>
                <w:caps w:val="0"/>
                <w:color w:val="272727" w:themeColor="text1" w:themeTint="D8"/>
                <w:sz w:val="20"/>
                <w:szCs w:val="20"/>
              </w:rPr>
            </w:pPr>
            <w:r w:rsidRPr="00111BE1">
              <w:rPr>
                <w:sz w:val="20"/>
                <w:szCs w:val="20"/>
              </w:rPr>
              <w:t>MERCURY and AIR TOXIC</w:t>
            </w:r>
            <w:r w:rsidR="001C43A7" w:rsidRPr="00111BE1">
              <w:rPr>
                <w:sz w:val="20"/>
                <w:szCs w:val="20"/>
              </w:rPr>
              <w:t>S</w:t>
            </w:r>
            <w:r w:rsidRPr="00111BE1">
              <w:rPr>
                <w:sz w:val="20"/>
                <w:szCs w:val="20"/>
              </w:rPr>
              <w:t xml:space="preserve"> STANDARDS  (</w:t>
            </w:r>
            <w:r w:rsidR="008F4506" w:rsidRPr="00111BE1">
              <w:rPr>
                <w:sz w:val="20"/>
                <w:szCs w:val="20"/>
              </w:rPr>
              <w:t xml:space="preserve">u.s. epa, </w:t>
            </w:r>
            <w:r w:rsidRPr="00111BE1">
              <w:rPr>
                <w:sz w:val="20"/>
                <w:szCs w:val="20"/>
              </w:rPr>
              <w:t>2011</w:t>
            </w:r>
            <w:r w:rsidR="00962D61" w:rsidRPr="00111BE1">
              <w:rPr>
                <w:caps w:val="0"/>
                <w:sz w:val="20"/>
                <w:szCs w:val="20"/>
              </w:rPr>
              <w:t>b</w:t>
            </w:r>
            <w:r w:rsidRPr="00111BE1">
              <w:rPr>
                <w:sz w:val="20"/>
                <w:szCs w:val="20"/>
              </w:rPr>
              <w:t>)</w:t>
            </w:r>
          </w:p>
        </w:tc>
      </w:tr>
      <w:tr w:rsidR="00555CCC" w:rsidRPr="00111BE1" w14:paraId="1AC857ED" w14:textId="77777777" w:rsidTr="0027733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78" w:type="dxa"/>
            <w:tcBorders>
              <w:top w:val="single" w:sz="12" w:space="0" w:color="auto"/>
              <w:right w:val="none" w:sz="0" w:space="0" w:color="auto"/>
            </w:tcBorders>
          </w:tcPr>
          <w:p w14:paraId="6730154E" w14:textId="77777777" w:rsidR="00555CCC" w:rsidRPr="00111BE1" w:rsidRDefault="00555CCC" w:rsidP="00F84914">
            <w:pPr>
              <w:spacing w:after="120"/>
              <w:jc w:val="left"/>
              <w:rPr>
                <w:b w:val="0"/>
                <w:bCs w:val="0"/>
                <w:caps w:val="0"/>
                <w:sz w:val="20"/>
                <w:szCs w:val="20"/>
              </w:rPr>
            </w:pPr>
            <w:r w:rsidRPr="00111BE1">
              <w:rPr>
                <w:sz w:val="20"/>
                <w:szCs w:val="20"/>
              </w:rPr>
              <w:t>Form of standard</w:t>
            </w:r>
          </w:p>
        </w:tc>
        <w:tc>
          <w:tcPr>
            <w:tcW w:w="2340" w:type="dxa"/>
            <w:tcBorders>
              <w:top w:val="single" w:sz="12" w:space="0" w:color="auto"/>
            </w:tcBorders>
          </w:tcPr>
          <w:p w14:paraId="3AAE476C" w14:textId="77777777" w:rsidR="00555CCC" w:rsidRPr="00111BE1" w:rsidRDefault="00555CCC" w:rsidP="00FC39FE">
            <w:pPr>
              <w:spacing w:after="120"/>
              <w:jc w:val="left"/>
              <w:cnfStyle w:val="000000100000" w:firstRow="0" w:lastRow="0" w:firstColumn="0" w:lastColumn="0" w:oddVBand="0" w:evenVBand="0" w:oddHBand="1" w:evenHBand="0" w:firstRowFirstColumn="0" w:firstRowLastColumn="0" w:lastRowFirstColumn="0" w:lastRowLastColumn="0"/>
              <w:rPr>
                <w:sz w:val="20"/>
                <w:szCs w:val="20"/>
              </w:rPr>
            </w:pPr>
            <w:r w:rsidRPr="00111BE1">
              <w:rPr>
                <w:sz w:val="20"/>
                <w:szCs w:val="20"/>
              </w:rPr>
              <w:t xml:space="preserve">Air toxic performance  standards for existing </w:t>
            </w:r>
            <w:r w:rsidRPr="00111BE1">
              <w:rPr>
                <w:rFonts w:cs="Calibri"/>
                <w:sz w:val="20"/>
                <w:szCs w:val="20"/>
              </w:rPr>
              <w:t xml:space="preserve">and new facilities </w:t>
            </w:r>
            <w:r w:rsidRPr="00111BE1">
              <w:rPr>
                <w:rFonts w:eastAsia="Times New Roman" w:cs="Calibri"/>
                <w:sz w:val="20"/>
                <w:szCs w:val="20"/>
              </w:rPr>
              <w:t xml:space="preserve"> generating emissions during the automobile coating process</w:t>
            </w:r>
          </w:p>
        </w:tc>
        <w:tc>
          <w:tcPr>
            <w:tcW w:w="2142" w:type="dxa"/>
            <w:tcBorders>
              <w:top w:val="single" w:sz="12" w:space="0" w:color="auto"/>
            </w:tcBorders>
          </w:tcPr>
          <w:p w14:paraId="4AF6DE43" w14:textId="77777777" w:rsidR="00555CCC" w:rsidRPr="00111BE1" w:rsidRDefault="00555CCC" w:rsidP="00F84914">
            <w:pPr>
              <w:spacing w:after="120"/>
              <w:jc w:val="left"/>
              <w:cnfStyle w:val="000000100000" w:firstRow="0" w:lastRow="0" w:firstColumn="0" w:lastColumn="0" w:oddVBand="0" w:evenVBand="0" w:oddHBand="1" w:evenHBand="0" w:firstRowFirstColumn="0" w:firstRowLastColumn="0" w:lastRowFirstColumn="0" w:lastRowLastColumn="0"/>
              <w:rPr>
                <w:rFonts w:eastAsiaTheme="majorEastAsia" w:cstheme="majorBidi"/>
                <w:i/>
                <w:iCs/>
                <w:color w:val="272727" w:themeColor="text1" w:themeTint="D8"/>
                <w:sz w:val="20"/>
                <w:szCs w:val="20"/>
              </w:rPr>
            </w:pPr>
            <w:r w:rsidRPr="00111BE1">
              <w:rPr>
                <w:sz w:val="20"/>
                <w:szCs w:val="20"/>
              </w:rPr>
              <w:t>Separate air toxics performance standards for new and existing cement kilns</w:t>
            </w:r>
          </w:p>
        </w:tc>
        <w:tc>
          <w:tcPr>
            <w:tcW w:w="2701" w:type="dxa"/>
            <w:gridSpan w:val="3"/>
            <w:tcBorders>
              <w:top w:val="single" w:sz="12" w:space="0" w:color="auto"/>
            </w:tcBorders>
          </w:tcPr>
          <w:p w14:paraId="7BB99CFC" w14:textId="32A8B55A" w:rsidR="00555CCC" w:rsidRPr="00111BE1" w:rsidRDefault="00555CCC">
            <w:pPr>
              <w:spacing w:after="120"/>
              <w:jc w:val="left"/>
              <w:cnfStyle w:val="000000100000" w:firstRow="0" w:lastRow="0" w:firstColumn="0" w:lastColumn="0" w:oddVBand="0" w:evenVBand="0" w:oddHBand="1" w:evenHBand="0" w:firstRowFirstColumn="0" w:firstRowLastColumn="0" w:lastRowFirstColumn="0" w:lastRowLastColumn="0"/>
              <w:rPr>
                <w:rFonts w:eastAsiaTheme="majorEastAsia" w:cstheme="majorBidi"/>
                <w:i/>
                <w:iCs/>
                <w:color w:val="272727" w:themeColor="text1" w:themeTint="D8"/>
                <w:sz w:val="20"/>
                <w:szCs w:val="20"/>
              </w:rPr>
            </w:pPr>
            <w:r w:rsidRPr="00111BE1">
              <w:rPr>
                <w:sz w:val="20"/>
                <w:szCs w:val="20"/>
              </w:rPr>
              <w:t xml:space="preserve">National sub-facility emissions rate or output standards for </w:t>
            </w:r>
            <w:r w:rsidR="005A6B63" w:rsidRPr="00111BE1">
              <w:rPr>
                <w:sz w:val="20"/>
                <w:szCs w:val="20"/>
              </w:rPr>
              <w:t xml:space="preserve">25MW+ </w:t>
            </w:r>
            <w:r w:rsidRPr="00111BE1">
              <w:rPr>
                <w:sz w:val="20"/>
                <w:szCs w:val="20"/>
              </w:rPr>
              <w:t xml:space="preserve">power plants; vary by </w:t>
            </w:r>
            <w:r w:rsidR="005A6B63" w:rsidRPr="00111BE1">
              <w:rPr>
                <w:sz w:val="20"/>
                <w:szCs w:val="20"/>
              </w:rPr>
              <w:t xml:space="preserve">pollutant, </w:t>
            </w:r>
            <w:r w:rsidRPr="00111BE1">
              <w:rPr>
                <w:sz w:val="20"/>
                <w:szCs w:val="20"/>
              </w:rPr>
              <w:t>plant vintage, fuel type (e.g., virgin v</w:t>
            </w:r>
            <w:r w:rsidR="005A6B63" w:rsidRPr="00111BE1">
              <w:rPr>
                <w:sz w:val="20"/>
                <w:szCs w:val="20"/>
              </w:rPr>
              <w:t>s.</w:t>
            </w:r>
            <w:r w:rsidRPr="00111BE1">
              <w:rPr>
                <w:sz w:val="20"/>
                <w:szCs w:val="20"/>
              </w:rPr>
              <w:t xml:space="preserve"> non-virgin coal, oil), technology, location; work practice standards for some </w:t>
            </w:r>
            <w:r w:rsidR="0058736C" w:rsidRPr="00111BE1">
              <w:rPr>
                <w:sz w:val="20"/>
                <w:szCs w:val="20"/>
              </w:rPr>
              <w:t>pollutants</w:t>
            </w:r>
          </w:p>
        </w:tc>
      </w:tr>
      <w:tr w:rsidR="00555CCC" w:rsidRPr="00111BE1" w14:paraId="271904BF" w14:textId="77777777" w:rsidTr="00277337">
        <w:trPr>
          <w:trHeight w:val="288"/>
        </w:trPr>
        <w:tc>
          <w:tcPr>
            <w:cnfStyle w:val="001000000000" w:firstRow="0" w:lastRow="0" w:firstColumn="1" w:lastColumn="0" w:oddVBand="0" w:evenVBand="0" w:oddHBand="0" w:evenHBand="0" w:firstRowFirstColumn="0" w:firstRowLastColumn="0" w:lastRowFirstColumn="0" w:lastRowLastColumn="0"/>
            <w:tcW w:w="2178" w:type="dxa"/>
            <w:tcBorders>
              <w:right w:val="none" w:sz="0" w:space="0" w:color="auto"/>
            </w:tcBorders>
          </w:tcPr>
          <w:p w14:paraId="12E1D3A0" w14:textId="77777777" w:rsidR="00555CCC" w:rsidRPr="00111BE1" w:rsidRDefault="00555CCC" w:rsidP="00F84914">
            <w:pPr>
              <w:spacing w:after="120"/>
              <w:jc w:val="left"/>
              <w:rPr>
                <w:sz w:val="20"/>
                <w:szCs w:val="20"/>
              </w:rPr>
            </w:pPr>
            <w:r w:rsidRPr="00111BE1">
              <w:rPr>
                <w:sz w:val="20"/>
                <w:szCs w:val="20"/>
              </w:rPr>
              <w:t>Methods of compliance</w:t>
            </w:r>
          </w:p>
        </w:tc>
        <w:tc>
          <w:tcPr>
            <w:tcW w:w="2340" w:type="dxa"/>
          </w:tcPr>
          <w:p w14:paraId="7C806143" w14:textId="0D421238" w:rsidR="00555CCC" w:rsidRPr="00111BE1" w:rsidRDefault="00555CCC">
            <w:pPr>
              <w:spacing w:after="120"/>
              <w:jc w:val="left"/>
              <w:cnfStyle w:val="000000000000" w:firstRow="0" w:lastRow="0" w:firstColumn="0" w:lastColumn="0" w:oddVBand="0" w:evenVBand="0" w:oddHBand="0" w:evenHBand="0" w:firstRowFirstColumn="0" w:firstRowLastColumn="0" w:lastRowFirstColumn="0" w:lastRowLastColumn="0"/>
              <w:rPr>
                <w:sz w:val="20"/>
                <w:szCs w:val="20"/>
              </w:rPr>
            </w:pPr>
            <w:r w:rsidRPr="00111BE1">
              <w:rPr>
                <w:sz w:val="20"/>
                <w:szCs w:val="20"/>
              </w:rPr>
              <w:t xml:space="preserve">Flexibility in </w:t>
            </w:r>
            <w:r w:rsidR="00B12DA8" w:rsidRPr="00111BE1">
              <w:rPr>
                <w:sz w:val="20"/>
                <w:szCs w:val="20"/>
              </w:rPr>
              <w:t xml:space="preserve">method of </w:t>
            </w:r>
            <w:r w:rsidR="00425406" w:rsidRPr="00111BE1">
              <w:rPr>
                <w:sz w:val="20"/>
                <w:szCs w:val="20"/>
              </w:rPr>
              <w:t>compliance</w:t>
            </w:r>
            <w:r w:rsidRPr="00111BE1">
              <w:rPr>
                <w:sz w:val="20"/>
                <w:szCs w:val="20"/>
              </w:rPr>
              <w:t xml:space="preserve">; expect addition of control </w:t>
            </w:r>
            <w:r w:rsidR="005A6B63" w:rsidRPr="00111BE1">
              <w:rPr>
                <w:sz w:val="20"/>
                <w:szCs w:val="20"/>
              </w:rPr>
              <w:t xml:space="preserve">technology </w:t>
            </w:r>
            <w:r w:rsidRPr="00111BE1">
              <w:rPr>
                <w:sz w:val="20"/>
                <w:szCs w:val="20"/>
              </w:rPr>
              <w:t>(e.g., oxidizer, exhaust controls) and/or modification of coating material</w:t>
            </w:r>
          </w:p>
        </w:tc>
        <w:tc>
          <w:tcPr>
            <w:tcW w:w="2142" w:type="dxa"/>
          </w:tcPr>
          <w:p w14:paraId="642033C2" w14:textId="30C8CE34" w:rsidR="00555CCC" w:rsidRPr="00111BE1" w:rsidRDefault="00555CCC">
            <w:pPr>
              <w:spacing w:after="120"/>
              <w:jc w:val="left"/>
              <w:cnfStyle w:val="000000000000" w:firstRow="0" w:lastRow="0" w:firstColumn="0" w:lastColumn="0" w:oddVBand="0" w:evenVBand="0" w:oddHBand="0" w:evenHBand="0" w:firstRowFirstColumn="0" w:firstRowLastColumn="0" w:lastRowFirstColumn="0" w:lastRowLastColumn="0"/>
              <w:rPr>
                <w:rFonts w:eastAsiaTheme="majorEastAsia" w:cstheme="majorBidi"/>
                <w:i/>
                <w:iCs/>
                <w:color w:val="272727" w:themeColor="text1" w:themeTint="D8"/>
                <w:sz w:val="20"/>
                <w:szCs w:val="20"/>
              </w:rPr>
            </w:pPr>
            <w:r w:rsidRPr="00111BE1">
              <w:rPr>
                <w:sz w:val="20"/>
                <w:szCs w:val="20"/>
              </w:rPr>
              <w:t>Flexibility in</w:t>
            </w:r>
            <w:r w:rsidR="00425406" w:rsidRPr="00111BE1">
              <w:rPr>
                <w:sz w:val="20"/>
                <w:szCs w:val="20"/>
              </w:rPr>
              <w:t xml:space="preserve"> </w:t>
            </w:r>
            <w:r w:rsidR="00B12DA8" w:rsidRPr="00111BE1">
              <w:rPr>
                <w:sz w:val="20"/>
                <w:szCs w:val="20"/>
              </w:rPr>
              <w:t xml:space="preserve">method of </w:t>
            </w:r>
            <w:r w:rsidR="00425406" w:rsidRPr="00111BE1">
              <w:rPr>
                <w:sz w:val="20"/>
                <w:szCs w:val="20"/>
              </w:rPr>
              <w:t>compliance</w:t>
            </w:r>
            <w:r w:rsidR="00616FCF" w:rsidRPr="00111BE1">
              <w:rPr>
                <w:sz w:val="20"/>
                <w:szCs w:val="20"/>
              </w:rPr>
              <w:t xml:space="preserve">; </w:t>
            </w:r>
            <w:r w:rsidR="00564B9C" w:rsidRPr="00111BE1">
              <w:rPr>
                <w:sz w:val="20"/>
                <w:szCs w:val="20"/>
              </w:rPr>
              <w:t xml:space="preserve">mainly expect </w:t>
            </w:r>
            <w:r w:rsidRPr="00111BE1">
              <w:rPr>
                <w:sz w:val="20"/>
                <w:szCs w:val="20"/>
              </w:rPr>
              <w:t xml:space="preserve">installation and operation of </w:t>
            </w:r>
            <w:r w:rsidR="005A6B63" w:rsidRPr="00111BE1">
              <w:rPr>
                <w:sz w:val="20"/>
                <w:szCs w:val="20"/>
              </w:rPr>
              <w:t>control technology</w:t>
            </w:r>
            <w:r w:rsidRPr="00111BE1">
              <w:rPr>
                <w:sz w:val="20"/>
                <w:szCs w:val="20"/>
              </w:rPr>
              <w:t xml:space="preserve"> (e.g., scrubber, activated carbon injection)</w:t>
            </w:r>
          </w:p>
        </w:tc>
        <w:tc>
          <w:tcPr>
            <w:tcW w:w="2701" w:type="dxa"/>
            <w:gridSpan w:val="3"/>
          </w:tcPr>
          <w:p w14:paraId="426E9363" w14:textId="6095CC7A" w:rsidR="00555CCC" w:rsidRPr="00111BE1" w:rsidRDefault="00555CCC">
            <w:pPr>
              <w:spacing w:after="120"/>
              <w:jc w:val="left"/>
              <w:cnfStyle w:val="000000000000" w:firstRow="0" w:lastRow="0" w:firstColumn="0" w:lastColumn="0" w:oddVBand="0" w:evenVBand="0" w:oddHBand="0" w:evenHBand="0" w:firstRowFirstColumn="0" w:firstRowLastColumn="0" w:lastRowFirstColumn="0" w:lastRowLastColumn="0"/>
              <w:rPr>
                <w:rFonts w:eastAsiaTheme="majorEastAsia" w:cstheme="majorBidi"/>
                <w:i/>
                <w:iCs/>
                <w:color w:val="272727" w:themeColor="text1" w:themeTint="D8"/>
                <w:sz w:val="20"/>
                <w:szCs w:val="20"/>
              </w:rPr>
            </w:pPr>
            <w:r w:rsidRPr="00111BE1">
              <w:rPr>
                <w:sz w:val="20"/>
                <w:szCs w:val="20"/>
              </w:rPr>
              <w:t>Flexibility in method of compliance</w:t>
            </w:r>
            <w:r w:rsidR="0058736C" w:rsidRPr="00111BE1">
              <w:rPr>
                <w:sz w:val="20"/>
                <w:szCs w:val="20"/>
              </w:rPr>
              <w:t xml:space="preserve"> </w:t>
            </w:r>
            <w:r w:rsidRPr="00111BE1">
              <w:rPr>
                <w:sz w:val="20"/>
                <w:szCs w:val="20"/>
              </w:rPr>
              <w:t>(install control technology</w:t>
            </w:r>
            <w:r w:rsidR="005A6B63" w:rsidRPr="00111BE1">
              <w:rPr>
                <w:sz w:val="20"/>
                <w:szCs w:val="20"/>
              </w:rPr>
              <w:t>;</w:t>
            </w:r>
            <w:r w:rsidRPr="00111BE1">
              <w:rPr>
                <w:sz w:val="20"/>
                <w:szCs w:val="20"/>
              </w:rPr>
              <w:t xml:space="preserve"> switch fuels</w:t>
            </w:r>
            <w:r w:rsidR="005A6B63" w:rsidRPr="00111BE1">
              <w:rPr>
                <w:sz w:val="20"/>
                <w:szCs w:val="20"/>
              </w:rPr>
              <w:t>;</w:t>
            </w:r>
            <w:r w:rsidRPr="00111BE1">
              <w:rPr>
                <w:sz w:val="20"/>
                <w:szCs w:val="20"/>
              </w:rPr>
              <w:t xml:space="preserve"> shut down units that can no longer profitably produce electricity)</w:t>
            </w:r>
          </w:p>
        </w:tc>
      </w:tr>
      <w:tr w:rsidR="00555CCC" w:rsidRPr="00111BE1" w14:paraId="22145D44" w14:textId="77777777" w:rsidTr="0027733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78" w:type="dxa"/>
            <w:tcBorders>
              <w:right w:val="none" w:sz="0" w:space="0" w:color="auto"/>
            </w:tcBorders>
          </w:tcPr>
          <w:p w14:paraId="05D7EDAE" w14:textId="77777777" w:rsidR="00555CCC" w:rsidRPr="00111BE1" w:rsidRDefault="00555CCC" w:rsidP="00F84914">
            <w:pPr>
              <w:spacing w:after="120"/>
              <w:jc w:val="left"/>
              <w:rPr>
                <w:b w:val="0"/>
                <w:bCs w:val="0"/>
                <w:caps w:val="0"/>
                <w:sz w:val="20"/>
                <w:szCs w:val="20"/>
              </w:rPr>
            </w:pPr>
            <w:r w:rsidRPr="00111BE1">
              <w:rPr>
                <w:sz w:val="20"/>
                <w:szCs w:val="20"/>
              </w:rPr>
              <w:t>Regulated entities</w:t>
            </w:r>
          </w:p>
        </w:tc>
        <w:tc>
          <w:tcPr>
            <w:tcW w:w="2340" w:type="dxa"/>
          </w:tcPr>
          <w:p w14:paraId="47C5DAF7" w14:textId="77777777" w:rsidR="00555CCC" w:rsidRPr="00111BE1" w:rsidRDefault="00555CCC" w:rsidP="00040025">
            <w:pPr>
              <w:spacing w:after="120"/>
              <w:jc w:val="left"/>
              <w:cnfStyle w:val="000000100000" w:firstRow="0" w:lastRow="0" w:firstColumn="0" w:lastColumn="0" w:oddVBand="0" w:evenVBand="0" w:oddHBand="1" w:evenHBand="0" w:firstRowFirstColumn="0" w:firstRowLastColumn="0" w:lastRowFirstColumn="0" w:lastRowLastColumn="0"/>
              <w:rPr>
                <w:sz w:val="20"/>
                <w:szCs w:val="20"/>
              </w:rPr>
            </w:pPr>
            <w:r w:rsidRPr="00111BE1">
              <w:rPr>
                <w:sz w:val="20"/>
                <w:szCs w:val="20"/>
              </w:rPr>
              <w:t>Good information on number, type, and location of automobile manufacturers</w:t>
            </w:r>
          </w:p>
        </w:tc>
        <w:tc>
          <w:tcPr>
            <w:tcW w:w="2142" w:type="dxa"/>
          </w:tcPr>
          <w:p w14:paraId="0C6E1CC3" w14:textId="77777777" w:rsidR="00555CCC" w:rsidRPr="00111BE1" w:rsidRDefault="00555CCC" w:rsidP="00275FAF">
            <w:pPr>
              <w:spacing w:after="120"/>
              <w:jc w:val="left"/>
              <w:cnfStyle w:val="000000100000" w:firstRow="0" w:lastRow="0" w:firstColumn="0" w:lastColumn="0" w:oddVBand="0" w:evenVBand="0" w:oddHBand="1" w:evenHBand="0" w:firstRowFirstColumn="0" w:firstRowLastColumn="0" w:lastRowFirstColumn="0" w:lastRowLastColumn="0"/>
              <w:rPr>
                <w:rFonts w:eastAsiaTheme="majorEastAsia" w:cstheme="majorBidi"/>
                <w:i/>
                <w:iCs/>
                <w:color w:val="272727" w:themeColor="text1" w:themeTint="D8"/>
                <w:sz w:val="20"/>
                <w:szCs w:val="20"/>
              </w:rPr>
            </w:pPr>
            <w:r w:rsidRPr="00111BE1">
              <w:rPr>
                <w:sz w:val="20"/>
                <w:szCs w:val="20"/>
              </w:rPr>
              <w:t>Good information on number, type, and location of cement kilns; project new kilns</w:t>
            </w:r>
          </w:p>
        </w:tc>
        <w:tc>
          <w:tcPr>
            <w:tcW w:w="2701" w:type="dxa"/>
            <w:gridSpan w:val="3"/>
          </w:tcPr>
          <w:p w14:paraId="77520EF2" w14:textId="1C817119" w:rsidR="00555CCC" w:rsidRPr="00111BE1" w:rsidRDefault="00555CCC" w:rsidP="003745A9">
            <w:pPr>
              <w:spacing w:after="120"/>
              <w:jc w:val="left"/>
              <w:cnfStyle w:val="000000100000" w:firstRow="0" w:lastRow="0" w:firstColumn="0" w:lastColumn="0" w:oddVBand="0" w:evenVBand="0" w:oddHBand="1" w:evenHBand="0" w:firstRowFirstColumn="0" w:firstRowLastColumn="0" w:lastRowFirstColumn="0" w:lastRowLastColumn="0"/>
              <w:rPr>
                <w:rFonts w:eastAsiaTheme="majorEastAsia" w:cstheme="majorBidi"/>
                <w:i/>
                <w:iCs/>
                <w:color w:val="272727" w:themeColor="text1" w:themeTint="D8"/>
                <w:sz w:val="20"/>
                <w:szCs w:val="20"/>
              </w:rPr>
            </w:pPr>
            <w:r w:rsidRPr="00111BE1">
              <w:rPr>
                <w:sz w:val="20"/>
                <w:szCs w:val="20"/>
              </w:rPr>
              <w:t>Can identify 1,400 existing coal and oil-fired EGUs; co</w:t>
            </w:r>
            <w:r w:rsidR="00616FCF" w:rsidRPr="00111BE1">
              <w:rPr>
                <w:sz w:val="20"/>
                <w:szCs w:val="20"/>
              </w:rPr>
              <w:t>-</w:t>
            </w:r>
            <w:r w:rsidRPr="00111BE1">
              <w:rPr>
                <w:sz w:val="20"/>
                <w:szCs w:val="20"/>
              </w:rPr>
              <w:t>generating units well known and few in number, but identifying which are subject to rule is difficult (may reduce electricity for sale to no longer be subject to rule</w:t>
            </w:r>
            <w:r w:rsidR="00C41766" w:rsidRPr="00111BE1">
              <w:rPr>
                <w:sz w:val="20"/>
                <w:szCs w:val="20"/>
              </w:rPr>
              <w:t>)</w:t>
            </w:r>
          </w:p>
        </w:tc>
      </w:tr>
      <w:tr w:rsidR="00555CCC" w:rsidRPr="00111BE1" w14:paraId="259F588B" w14:textId="77777777" w:rsidTr="00277337">
        <w:trPr>
          <w:trHeight w:val="288"/>
        </w:trPr>
        <w:tc>
          <w:tcPr>
            <w:cnfStyle w:val="001000000000" w:firstRow="0" w:lastRow="0" w:firstColumn="1" w:lastColumn="0" w:oddVBand="0" w:evenVBand="0" w:oddHBand="0" w:evenHBand="0" w:firstRowFirstColumn="0" w:firstRowLastColumn="0" w:lastRowFirstColumn="0" w:lastRowLastColumn="0"/>
            <w:tcW w:w="2178" w:type="dxa"/>
            <w:tcBorders>
              <w:right w:val="none" w:sz="0" w:space="0" w:color="auto"/>
            </w:tcBorders>
          </w:tcPr>
          <w:p w14:paraId="024ABD38" w14:textId="77777777" w:rsidR="00555CCC" w:rsidRPr="00111BE1" w:rsidRDefault="00555CCC" w:rsidP="00F84914">
            <w:pPr>
              <w:spacing w:after="120"/>
              <w:jc w:val="left"/>
              <w:rPr>
                <w:sz w:val="20"/>
                <w:szCs w:val="20"/>
              </w:rPr>
            </w:pPr>
            <w:r w:rsidRPr="00111BE1">
              <w:rPr>
                <w:sz w:val="20"/>
                <w:szCs w:val="20"/>
              </w:rPr>
              <w:t>Unit compliance costs</w:t>
            </w:r>
          </w:p>
        </w:tc>
        <w:tc>
          <w:tcPr>
            <w:tcW w:w="2340" w:type="dxa"/>
          </w:tcPr>
          <w:p w14:paraId="0849B3B6" w14:textId="77777777" w:rsidR="00555CCC" w:rsidRPr="00111BE1" w:rsidRDefault="00555CCC" w:rsidP="00FC39FE">
            <w:pPr>
              <w:spacing w:after="120"/>
              <w:jc w:val="left"/>
              <w:cnfStyle w:val="000000000000" w:firstRow="0" w:lastRow="0" w:firstColumn="0" w:lastColumn="0" w:oddVBand="0" w:evenVBand="0" w:oddHBand="0" w:evenHBand="0" w:firstRowFirstColumn="0" w:firstRowLastColumn="0" w:lastRowFirstColumn="0" w:lastRowLastColumn="0"/>
              <w:rPr>
                <w:sz w:val="20"/>
                <w:szCs w:val="20"/>
              </w:rPr>
            </w:pPr>
            <w:r w:rsidRPr="00111BE1">
              <w:rPr>
                <w:rFonts w:eastAsia="Times New Roman" w:cs="Calibri"/>
                <w:sz w:val="20"/>
                <w:szCs w:val="20"/>
              </w:rPr>
              <w:t>Capital costs; operation and maintenance costs; R&amp;D for process change not quantified</w:t>
            </w:r>
          </w:p>
        </w:tc>
        <w:tc>
          <w:tcPr>
            <w:tcW w:w="2232" w:type="dxa"/>
            <w:gridSpan w:val="2"/>
          </w:tcPr>
          <w:p w14:paraId="0E800099" w14:textId="77777777" w:rsidR="00555CCC" w:rsidRPr="00111BE1" w:rsidRDefault="00555CCC" w:rsidP="00F84914">
            <w:pPr>
              <w:spacing w:after="120"/>
              <w:jc w:val="left"/>
              <w:cnfStyle w:val="000000000000" w:firstRow="0" w:lastRow="0" w:firstColumn="0" w:lastColumn="0" w:oddVBand="0" w:evenVBand="0" w:oddHBand="0" w:evenHBand="0" w:firstRowFirstColumn="0" w:firstRowLastColumn="0" w:lastRowFirstColumn="0" w:lastRowLastColumn="0"/>
              <w:rPr>
                <w:rFonts w:eastAsiaTheme="majorEastAsia" w:cstheme="majorBidi"/>
                <w:i/>
                <w:iCs/>
                <w:color w:val="272727" w:themeColor="text1" w:themeTint="D8"/>
                <w:sz w:val="20"/>
                <w:szCs w:val="20"/>
              </w:rPr>
            </w:pPr>
            <w:r w:rsidRPr="00111BE1">
              <w:rPr>
                <w:sz w:val="20"/>
                <w:szCs w:val="20"/>
              </w:rPr>
              <w:t>Capital costs; operation and monitoring costs</w:t>
            </w:r>
          </w:p>
        </w:tc>
        <w:tc>
          <w:tcPr>
            <w:tcW w:w="2611" w:type="dxa"/>
            <w:gridSpan w:val="2"/>
          </w:tcPr>
          <w:p w14:paraId="5FA3AFE2" w14:textId="4E545919" w:rsidR="00555CCC" w:rsidRPr="00111BE1" w:rsidRDefault="00555CCC" w:rsidP="0058736C">
            <w:pPr>
              <w:spacing w:after="120"/>
              <w:ind w:left="-108"/>
              <w:jc w:val="left"/>
              <w:cnfStyle w:val="000000000000" w:firstRow="0" w:lastRow="0" w:firstColumn="0" w:lastColumn="0" w:oddVBand="0" w:evenVBand="0" w:oddHBand="0" w:evenHBand="0" w:firstRowFirstColumn="0" w:firstRowLastColumn="0" w:lastRowFirstColumn="0" w:lastRowLastColumn="0"/>
              <w:rPr>
                <w:rFonts w:eastAsiaTheme="majorEastAsia" w:cstheme="majorBidi"/>
                <w:i/>
                <w:iCs/>
                <w:color w:val="272727" w:themeColor="text1" w:themeTint="D8"/>
                <w:sz w:val="20"/>
                <w:szCs w:val="20"/>
              </w:rPr>
            </w:pPr>
            <w:r w:rsidRPr="00111BE1">
              <w:rPr>
                <w:sz w:val="20"/>
                <w:szCs w:val="20"/>
              </w:rPr>
              <w:t>Capital costs; operation and monitoring costs; fuel costs due to shifts in fuel mix; reporting and record-keeping costs; labor cost</w:t>
            </w:r>
            <w:r w:rsidR="00616FCF" w:rsidRPr="00111BE1">
              <w:rPr>
                <w:sz w:val="20"/>
                <w:szCs w:val="20"/>
              </w:rPr>
              <w:t>s</w:t>
            </w:r>
            <w:r w:rsidRPr="00111BE1">
              <w:rPr>
                <w:sz w:val="20"/>
                <w:szCs w:val="20"/>
              </w:rPr>
              <w:t xml:space="preserve"> for work practices </w:t>
            </w:r>
          </w:p>
        </w:tc>
      </w:tr>
      <w:tr w:rsidR="00555CCC" w:rsidRPr="00111BE1" w14:paraId="13C29737" w14:textId="77777777" w:rsidTr="00663B0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78" w:type="dxa"/>
            <w:tcBorders>
              <w:right w:val="none" w:sz="0" w:space="0" w:color="auto"/>
            </w:tcBorders>
          </w:tcPr>
          <w:p w14:paraId="6D1489C9" w14:textId="422C129B" w:rsidR="00555CCC" w:rsidRPr="00111BE1" w:rsidRDefault="00555CCC" w:rsidP="00F84914">
            <w:pPr>
              <w:spacing w:after="120"/>
              <w:jc w:val="left"/>
              <w:rPr>
                <w:b w:val="0"/>
                <w:bCs w:val="0"/>
                <w:caps w:val="0"/>
                <w:sz w:val="20"/>
                <w:szCs w:val="20"/>
              </w:rPr>
            </w:pPr>
            <w:r w:rsidRPr="00111BE1">
              <w:rPr>
                <w:sz w:val="20"/>
                <w:szCs w:val="20"/>
              </w:rPr>
              <w:t>Aggregate compliance cost</w:t>
            </w:r>
          </w:p>
        </w:tc>
        <w:tc>
          <w:tcPr>
            <w:tcW w:w="2340" w:type="dxa"/>
          </w:tcPr>
          <w:p w14:paraId="47F6D430" w14:textId="77777777" w:rsidR="00555CCC" w:rsidRPr="00111BE1" w:rsidRDefault="00555CCC" w:rsidP="00040025">
            <w:pPr>
              <w:spacing w:after="120"/>
              <w:jc w:val="left"/>
              <w:cnfStyle w:val="000000100000" w:firstRow="0" w:lastRow="0" w:firstColumn="0" w:lastColumn="0" w:oddVBand="0" w:evenVBand="0" w:oddHBand="1" w:evenHBand="0" w:firstRowFirstColumn="0" w:firstRowLastColumn="0" w:lastRowFirstColumn="0" w:lastRowLastColumn="0"/>
              <w:rPr>
                <w:sz w:val="20"/>
                <w:szCs w:val="20"/>
              </w:rPr>
            </w:pPr>
            <w:r w:rsidRPr="00111BE1">
              <w:rPr>
                <w:sz w:val="20"/>
                <w:szCs w:val="20"/>
              </w:rPr>
              <w:t>$154 million (1999$)</w:t>
            </w:r>
          </w:p>
        </w:tc>
        <w:tc>
          <w:tcPr>
            <w:tcW w:w="2250" w:type="dxa"/>
            <w:gridSpan w:val="3"/>
          </w:tcPr>
          <w:p w14:paraId="63370C21" w14:textId="2FD2A7F7" w:rsidR="00555CCC" w:rsidRPr="00111BE1" w:rsidRDefault="00555CCC" w:rsidP="00275FAF">
            <w:pPr>
              <w:spacing w:after="120"/>
              <w:jc w:val="left"/>
              <w:cnfStyle w:val="000000100000" w:firstRow="0" w:lastRow="0" w:firstColumn="0" w:lastColumn="0" w:oddVBand="0" w:evenVBand="0" w:oddHBand="1" w:evenHBand="0" w:firstRowFirstColumn="0" w:firstRowLastColumn="0" w:lastRowFirstColumn="0" w:lastRowLastColumn="0"/>
              <w:rPr>
                <w:rFonts w:eastAsiaTheme="majorEastAsia" w:cstheme="majorBidi"/>
                <w:i/>
                <w:iCs/>
                <w:color w:val="272727" w:themeColor="text1" w:themeTint="D8"/>
                <w:sz w:val="20"/>
                <w:szCs w:val="20"/>
              </w:rPr>
            </w:pPr>
            <w:r w:rsidRPr="00111BE1">
              <w:rPr>
                <w:sz w:val="20"/>
                <w:szCs w:val="20"/>
              </w:rPr>
              <w:t>Annualized cost in 2013 of $466 million (2005$)</w:t>
            </w:r>
          </w:p>
        </w:tc>
        <w:tc>
          <w:tcPr>
            <w:tcW w:w="2593" w:type="dxa"/>
          </w:tcPr>
          <w:p w14:paraId="51D92DE5" w14:textId="4825383E" w:rsidR="00555CCC" w:rsidRPr="00111BE1" w:rsidRDefault="00555CCC" w:rsidP="003745A9">
            <w:pPr>
              <w:spacing w:after="120"/>
              <w:jc w:val="left"/>
              <w:cnfStyle w:val="000000100000" w:firstRow="0" w:lastRow="0" w:firstColumn="0" w:lastColumn="0" w:oddVBand="0" w:evenVBand="0" w:oddHBand="1" w:evenHBand="0" w:firstRowFirstColumn="0" w:firstRowLastColumn="0" w:lastRowFirstColumn="0" w:lastRowLastColumn="0"/>
              <w:rPr>
                <w:rFonts w:eastAsiaTheme="majorEastAsia" w:cstheme="majorBidi"/>
                <w:i/>
                <w:iCs/>
                <w:color w:val="272727" w:themeColor="text1" w:themeTint="D8"/>
                <w:sz w:val="20"/>
                <w:szCs w:val="20"/>
              </w:rPr>
            </w:pPr>
            <w:r w:rsidRPr="00111BE1">
              <w:rPr>
                <w:sz w:val="20"/>
                <w:szCs w:val="20"/>
              </w:rPr>
              <w:t>Annual cost in 2016 of $9.6B (2007$)</w:t>
            </w:r>
          </w:p>
        </w:tc>
      </w:tr>
      <w:tr w:rsidR="00555CCC" w:rsidRPr="00111BE1" w14:paraId="2D18F876" w14:textId="77777777" w:rsidTr="00663B09">
        <w:trPr>
          <w:trHeight w:val="288"/>
        </w:trPr>
        <w:tc>
          <w:tcPr>
            <w:cnfStyle w:val="001000000000" w:firstRow="0" w:lastRow="0" w:firstColumn="1" w:lastColumn="0" w:oddVBand="0" w:evenVBand="0" w:oddHBand="0" w:evenHBand="0" w:firstRowFirstColumn="0" w:firstRowLastColumn="0" w:lastRowFirstColumn="0" w:lastRowLastColumn="0"/>
            <w:tcW w:w="2178" w:type="dxa"/>
            <w:tcBorders>
              <w:right w:val="none" w:sz="0" w:space="0" w:color="auto"/>
            </w:tcBorders>
          </w:tcPr>
          <w:p w14:paraId="2B2FD779" w14:textId="77777777" w:rsidR="00555CCC" w:rsidRPr="00111BE1" w:rsidRDefault="00555CCC" w:rsidP="00F84914">
            <w:pPr>
              <w:spacing w:after="120"/>
              <w:jc w:val="left"/>
              <w:rPr>
                <w:sz w:val="20"/>
                <w:szCs w:val="20"/>
              </w:rPr>
            </w:pPr>
            <w:r w:rsidRPr="00111BE1">
              <w:rPr>
                <w:sz w:val="20"/>
                <w:szCs w:val="20"/>
              </w:rPr>
              <w:t>Implementation</w:t>
            </w:r>
          </w:p>
        </w:tc>
        <w:tc>
          <w:tcPr>
            <w:tcW w:w="2340" w:type="dxa"/>
          </w:tcPr>
          <w:p w14:paraId="656A032A" w14:textId="77777777" w:rsidR="00555CCC" w:rsidRPr="00111BE1" w:rsidRDefault="00555CCC" w:rsidP="00040025">
            <w:pPr>
              <w:spacing w:after="120"/>
              <w:jc w:val="left"/>
              <w:cnfStyle w:val="000000000000" w:firstRow="0" w:lastRow="0" w:firstColumn="0" w:lastColumn="0" w:oddVBand="0" w:evenVBand="0" w:oddHBand="0" w:evenHBand="0" w:firstRowFirstColumn="0" w:firstRowLastColumn="0" w:lastRowFirstColumn="0" w:lastRowLastColumn="0"/>
              <w:rPr>
                <w:sz w:val="20"/>
                <w:szCs w:val="20"/>
              </w:rPr>
            </w:pPr>
            <w:r w:rsidRPr="00111BE1">
              <w:rPr>
                <w:sz w:val="20"/>
                <w:szCs w:val="20"/>
              </w:rPr>
              <w:t>Federally implemented</w:t>
            </w:r>
          </w:p>
        </w:tc>
        <w:tc>
          <w:tcPr>
            <w:tcW w:w="2250" w:type="dxa"/>
            <w:gridSpan w:val="3"/>
          </w:tcPr>
          <w:p w14:paraId="2F0843AA" w14:textId="77777777" w:rsidR="00555CCC" w:rsidRPr="00111BE1" w:rsidRDefault="00555CCC" w:rsidP="00275FAF">
            <w:pPr>
              <w:spacing w:after="120"/>
              <w:jc w:val="left"/>
              <w:cnfStyle w:val="000000000000" w:firstRow="0" w:lastRow="0" w:firstColumn="0" w:lastColumn="0" w:oddVBand="0" w:evenVBand="0" w:oddHBand="0" w:evenHBand="0" w:firstRowFirstColumn="0" w:firstRowLastColumn="0" w:lastRowFirstColumn="0" w:lastRowLastColumn="0"/>
              <w:rPr>
                <w:rFonts w:eastAsiaTheme="majorEastAsia" w:cstheme="majorBidi"/>
                <w:i/>
                <w:iCs/>
                <w:color w:val="272727" w:themeColor="text1" w:themeTint="D8"/>
                <w:sz w:val="20"/>
                <w:szCs w:val="20"/>
              </w:rPr>
            </w:pPr>
            <w:r w:rsidRPr="00111BE1">
              <w:rPr>
                <w:sz w:val="20"/>
                <w:szCs w:val="20"/>
              </w:rPr>
              <w:t>Federally implemented</w:t>
            </w:r>
          </w:p>
        </w:tc>
        <w:tc>
          <w:tcPr>
            <w:tcW w:w="2593" w:type="dxa"/>
          </w:tcPr>
          <w:p w14:paraId="6B18AFB1" w14:textId="77777777" w:rsidR="00555CCC" w:rsidRPr="00111BE1" w:rsidRDefault="00555CCC" w:rsidP="003745A9">
            <w:pPr>
              <w:spacing w:after="120"/>
              <w:jc w:val="left"/>
              <w:cnfStyle w:val="000000000000" w:firstRow="0" w:lastRow="0" w:firstColumn="0" w:lastColumn="0" w:oddVBand="0" w:evenVBand="0" w:oddHBand="0" w:evenHBand="0" w:firstRowFirstColumn="0" w:firstRowLastColumn="0" w:lastRowFirstColumn="0" w:lastRowLastColumn="0"/>
              <w:rPr>
                <w:sz w:val="20"/>
                <w:szCs w:val="20"/>
              </w:rPr>
            </w:pPr>
            <w:r w:rsidRPr="00111BE1">
              <w:rPr>
                <w:sz w:val="20"/>
                <w:szCs w:val="20"/>
              </w:rPr>
              <w:t>Federally implemented</w:t>
            </w:r>
          </w:p>
        </w:tc>
      </w:tr>
      <w:tr w:rsidR="00555CCC" w:rsidRPr="00111BE1" w14:paraId="7819BA6D" w14:textId="77777777" w:rsidTr="00663B09">
        <w:trPr>
          <w:cnfStyle w:val="000000100000" w:firstRow="0" w:lastRow="0" w:firstColumn="0" w:lastColumn="0" w:oddVBand="0" w:evenVBand="0" w:oddHBand="1" w:evenHBand="0" w:firstRowFirstColumn="0" w:firstRowLastColumn="0" w:lastRowFirstColumn="0" w:lastRowLastColumn="0"/>
          <w:trHeight w:val="756"/>
        </w:trPr>
        <w:tc>
          <w:tcPr>
            <w:cnfStyle w:val="001000000000" w:firstRow="0" w:lastRow="0" w:firstColumn="1" w:lastColumn="0" w:oddVBand="0" w:evenVBand="0" w:oddHBand="0" w:evenHBand="0" w:firstRowFirstColumn="0" w:firstRowLastColumn="0" w:lastRowFirstColumn="0" w:lastRowLastColumn="0"/>
            <w:tcW w:w="2178" w:type="dxa"/>
            <w:tcBorders>
              <w:bottom w:val="single" w:sz="12" w:space="0" w:color="auto"/>
              <w:right w:val="none" w:sz="0" w:space="0" w:color="auto"/>
            </w:tcBorders>
          </w:tcPr>
          <w:p w14:paraId="320094B8" w14:textId="77777777" w:rsidR="00555CCC" w:rsidRPr="00111BE1" w:rsidRDefault="00555CCC" w:rsidP="00F84914">
            <w:pPr>
              <w:spacing w:after="120"/>
              <w:jc w:val="left"/>
              <w:rPr>
                <w:b w:val="0"/>
                <w:bCs w:val="0"/>
                <w:caps w:val="0"/>
                <w:sz w:val="20"/>
                <w:szCs w:val="20"/>
              </w:rPr>
            </w:pPr>
            <w:r w:rsidRPr="00111BE1">
              <w:rPr>
                <w:sz w:val="20"/>
                <w:szCs w:val="20"/>
              </w:rPr>
              <w:t>Timeframe for compliance</w:t>
            </w:r>
          </w:p>
        </w:tc>
        <w:tc>
          <w:tcPr>
            <w:tcW w:w="2340" w:type="dxa"/>
            <w:tcBorders>
              <w:bottom w:val="single" w:sz="12" w:space="0" w:color="auto"/>
            </w:tcBorders>
          </w:tcPr>
          <w:p w14:paraId="5B56261E" w14:textId="6DD259A8" w:rsidR="00555CCC" w:rsidRPr="00111BE1" w:rsidRDefault="00555CCC">
            <w:pPr>
              <w:spacing w:after="120"/>
              <w:jc w:val="left"/>
              <w:cnfStyle w:val="000000100000" w:firstRow="0" w:lastRow="0" w:firstColumn="0" w:lastColumn="0" w:oddVBand="0" w:evenVBand="0" w:oddHBand="1" w:evenHBand="0" w:firstRowFirstColumn="0" w:firstRowLastColumn="0" w:lastRowFirstColumn="0" w:lastRowLastColumn="0"/>
              <w:rPr>
                <w:sz w:val="20"/>
                <w:szCs w:val="20"/>
              </w:rPr>
            </w:pPr>
            <w:r w:rsidRPr="00111BE1">
              <w:rPr>
                <w:sz w:val="20"/>
                <w:szCs w:val="20"/>
              </w:rPr>
              <w:t>Allow 3 years for existing sources; states may offer additional year</w:t>
            </w:r>
          </w:p>
        </w:tc>
        <w:tc>
          <w:tcPr>
            <w:tcW w:w="2250" w:type="dxa"/>
            <w:gridSpan w:val="3"/>
            <w:tcBorders>
              <w:bottom w:val="single" w:sz="12" w:space="0" w:color="auto"/>
            </w:tcBorders>
          </w:tcPr>
          <w:p w14:paraId="13012D7C" w14:textId="39C66D1B" w:rsidR="00555CCC" w:rsidRPr="00111BE1" w:rsidRDefault="00555CCC">
            <w:pPr>
              <w:spacing w:after="120"/>
              <w:jc w:val="left"/>
              <w:cnfStyle w:val="000000100000" w:firstRow="0" w:lastRow="0" w:firstColumn="0" w:lastColumn="0" w:oddVBand="0" w:evenVBand="0" w:oddHBand="1" w:evenHBand="0" w:firstRowFirstColumn="0" w:firstRowLastColumn="0" w:lastRowFirstColumn="0" w:lastRowLastColumn="0"/>
              <w:rPr>
                <w:rFonts w:eastAsiaTheme="majorEastAsia" w:cstheme="majorBidi"/>
                <w:i/>
                <w:iCs/>
                <w:color w:val="272727" w:themeColor="text1" w:themeTint="D8"/>
                <w:sz w:val="20"/>
                <w:szCs w:val="20"/>
              </w:rPr>
            </w:pPr>
            <w:r w:rsidRPr="00111BE1">
              <w:rPr>
                <w:sz w:val="20"/>
                <w:szCs w:val="20"/>
              </w:rPr>
              <w:t>Allow 3 years for existing sources; states may offer additional year</w:t>
            </w:r>
          </w:p>
        </w:tc>
        <w:tc>
          <w:tcPr>
            <w:tcW w:w="2593" w:type="dxa"/>
            <w:tcBorders>
              <w:bottom w:val="single" w:sz="12" w:space="0" w:color="auto"/>
            </w:tcBorders>
          </w:tcPr>
          <w:p w14:paraId="2F3AA6B2" w14:textId="1B48BDC2" w:rsidR="00555CCC" w:rsidRPr="00111BE1" w:rsidRDefault="00555CCC">
            <w:pPr>
              <w:spacing w:after="120"/>
              <w:jc w:val="left"/>
              <w:cnfStyle w:val="000000100000" w:firstRow="0" w:lastRow="0" w:firstColumn="0" w:lastColumn="0" w:oddVBand="0" w:evenVBand="0" w:oddHBand="1" w:evenHBand="0" w:firstRowFirstColumn="0" w:firstRowLastColumn="0" w:lastRowFirstColumn="0" w:lastRowLastColumn="0"/>
              <w:rPr>
                <w:rFonts w:eastAsiaTheme="majorEastAsia" w:cstheme="majorBidi"/>
                <w:i/>
                <w:iCs/>
                <w:color w:val="272727" w:themeColor="text1" w:themeTint="D8"/>
                <w:sz w:val="20"/>
                <w:szCs w:val="20"/>
              </w:rPr>
            </w:pPr>
            <w:r w:rsidRPr="00111BE1">
              <w:rPr>
                <w:sz w:val="20"/>
                <w:szCs w:val="20"/>
              </w:rPr>
              <w:t>Allow 3 years for existing sources; states may offer additional year</w:t>
            </w:r>
          </w:p>
        </w:tc>
      </w:tr>
    </w:tbl>
    <w:p w14:paraId="2224F001" w14:textId="77777777" w:rsidR="00277337" w:rsidRDefault="00277337" w:rsidP="00FC39FE">
      <w:pPr>
        <w:spacing w:line="276" w:lineRule="auto"/>
        <w:rPr>
          <w:i/>
        </w:rPr>
      </w:pPr>
    </w:p>
    <w:p w14:paraId="358CD3E6" w14:textId="77777777" w:rsidR="00CC2FF6" w:rsidRDefault="00CC2FF6">
      <w:pPr>
        <w:jc w:val="left"/>
        <w:rPr>
          <w:i/>
        </w:rPr>
      </w:pPr>
      <w:r>
        <w:rPr>
          <w:i/>
        </w:rPr>
        <w:br w:type="page"/>
      </w:r>
    </w:p>
    <w:p w14:paraId="35F3DBB4" w14:textId="21AE44A9" w:rsidR="00F32730" w:rsidRPr="00564B9C" w:rsidRDefault="00CA39A6" w:rsidP="00FC39FE">
      <w:pPr>
        <w:spacing w:line="276" w:lineRule="auto"/>
        <w:rPr>
          <w:b/>
          <w:i/>
        </w:rPr>
      </w:pPr>
      <w:r w:rsidRPr="00564B9C">
        <w:rPr>
          <w:i/>
        </w:rPr>
        <w:t>CATEGORY #</w:t>
      </w:r>
      <w:r w:rsidR="00555CCC" w:rsidRPr="00564B9C">
        <w:rPr>
          <w:i/>
        </w:rPr>
        <w:t>2</w:t>
      </w:r>
      <w:r w:rsidRPr="00564B9C">
        <w:rPr>
          <w:i/>
        </w:rPr>
        <w:t xml:space="preserve">:  </w:t>
      </w:r>
      <w:r w:rsidR="00274801" w:rsidRPr="00564B9C">
        <w:rPr>
          <w:i/>
        </w:rPr>
        <w:t xml:space="preserve">Regional or </w:t>
      </w:r>
      <w:r w:rsidRPr="00564B9C">
        <w:rPr>
          <w:i/>
        </w:rPr>
        <w:t xml:space="preserve">State-Implemented </w:t>
      </w:r>
      <w:r w:rsidR="00274801" w:rsidRPr="00564B9C">
        <w:rPr>
          <w:i/>
        </w:rPr>
        <w:t>Emission Targets</w:t>
      </w:r>
    </w:p>
    <w:p w14:paraId="5A22E3D1" w14:textId="76F29FBB" w:rsidR="00B41708" w:rsidRDefault="00274801" w:rsidP="00D34962">
      <w:pPr>
        <w:spacing w:line="276" w:lineRule="auto"/>
        <w:rPr>
          <w:b/>
        </w:rPr>
      </w:pPr>
      <w:r w:rsidRPr="00FA0302">
        <w:t>Regulations in this category are</w:t>
      </w:r>
      <w:r w:rsidR="00EA6BEA" w:rsidRPr="00FA0302">
        <w:t xml:space="preserve"> typically set to meet region</w:t>
      </w:r>
      <w:r w:rsidR="005F1667" w:rsidRPr="00FA0302">
        <w:t>al</w:t>
      </w:r>
      <w:r w:rsidR="00EA6BEA" w:rsidRPr="00FA0302">
        <w:t xml:space="preserve"> or state-defined target</w:t>
      </w:r>
      <w:r w:rsidR="005F1667" w:rsidRPr="00FA0302">
        <w:t>s</w:t>
      </w:r>
      <w:r w:rsidR="00EA6BEA" w:rsidRPr="00FA0302">
        <w:t xml:space="preserve"> for emission levels or air-quality standards. The</w:t>
      </w:r>
      <w:r w:rsidR="00EA6BEA" w:rsidRPr="00ED46C4">
        <w:t>y often cover multiple sectors</w:t>
      </w:r>
      <w:r w:rsidR="00552BB5" w:rsidRPr="00291A63">
        <w:t xml:space="preserve">, implemented over </w:t>
      </w:r>
      <w:r w:rsidR="00BE7453" w:rsidRPr="00291A63">
        <w:t>an extended period of time</w:t>
      </w:r>
      <w:r w:rsidR="00552BB5" w:rsidRPr="00D2605D">
        <w:t xml:space="preserve"> (5-10 years)</w:t>
      </w:r>
      <w:r w:rsidR="00EA6BEA" w:rsidRPr="00E8604B">
        <w:t>, are typically (though not always) large in magnitude in terms of benefits and compliance costs</w:t>
      </w:r>
      <w:r w:rsidR="00552BB5" w:rsidRPr="00E8604B">
        <w:t>, and</w:t>
      </w:r>
      <w:r w:rsidR="00EA6BEA" w:rsidRPr="007140BD">
        <w:t xml:space="preserve"> may be national or regional</w:t>
      </w:r>
      <w:r w:rsidR="00BE7453" w:rsidRPr="007140BD">
        <w:t>ly focused</w:t>
      </w:r>
      <w:r w:rsidR="00EA6BEA" w:rsidRPr="007140BD">
        <w:t xml:space="preserve">. </w:t>
      </w:r>
      <w:r w:rsidR="005F1667" w:rsidRPr="007140BD">
        <w:t>T</w:t>
      </w:r>
      <w:r w:rsidR="00EA6BEA" w:rsidRPr="007140BD">
        <w:t xml:space="preserve">hese </w:t>
      </w:r>
      <w:r w:rsidRPr="007140BD">
        <w:t xml:space="preserve">types of </w:t>
      </w:r>
      <w:r w:rsidR="004D0BC2">
        <w:t>regulations</w:t>
      </w:r>
      <w:r w:rsidR="004D0BC2" w:rsidRPr="007140BD">
        <w:t xml:space="preserve"> </w:t>
      </w:r>
      <w:r w:rsidR="00552BB5" w:rsidRPr="007140BD">
        <w:t>often</w:t>
      </w:r>
      <w:r w:rsidR="005F1667" w:rsidRPr="007140BD">
        <w:t xml:space="preserve"> </w:t>
      </w:r>
      <w:r w:rsidR="00EA6BEA" w:rsidRPr="007140BD">
        <w:t xml:space="preserve">allow for flexibility </w:t>
      </w:r>
      <w:r w:rsidR="005F1667" w:rsidRPr="007140BD">
        <w:t xml:space="preserve">at both at the firm and jurisdictional level </w:t>
      </w:r>
      <w:r w:rsidR="00EA6BEA" w:rsidRPr="007140BD">
        <w:t xml:space="preserve">in </w:t>
      </w:r>
      <w:r w:rsidR="005F1667" w:rsidRPr="007140BD">
        <w:t xml:space="preserve">terms </w:t>
      </w:r>
      <w:r w:rsidR="004D0BC2">
        <w:t xml:space="preserve">of </w:t>
      </w:r>
      <w:r w:rsidR="00EA6BEA" w:rsidRPr="007140BD">
        <w:t xml:space="preserve">what controls or approaches are used </w:t>
      </w:r>
      <w:r w:rsidR="005F1667" w:rsidRPr="007140BD">
        <w:t>to achieve the emission levels or air quality standards. F</w:t>
      </w:r>
      <w:r w:rsidR="00EA6BEA" w:rsidRPr="007140BD">
        <w:t xml:space="preserve">or </w:t>
      </w:r>
      <w:r w:rsidR="005F1667" w:rsidRPr="007140BD">
        <w:t>example</w:t>
      </w:r>
      <w:r w:rsidR="00EA6BEA" w:rsidRPr="007140BD">
        <w:t>, National Ambient Air Quality Standards (NAAQS) are implemented by the states</w:t>
      </w:r>
      <w:r w:rsidR="005F1667" w:rsidRPr="007140BD">
        <w:t xml:space="preserve"> and</w:t>
      </w:r>
      <w:r w:rsidR="00EA6BEA" w:rsidRPr="007140BD">
        <w:t xml:space="preserve"> transport </w:t>
      </w:r>
      <w:r w:rsidR="004D0BC2">
        <w:t>regulations</w:t>
      </w:r>
      <w:r w:rsidR="004D0BC2" w:rsidRPr="007140BD">
        <w:t xml:space="preserve"> </w:t>
      </w:r>
      <w:r w:rsidR="004D0BC2">
        <w:t xml:space="preserve">(i.e., when pollutants travel long distances and potentially cross state borders) </w:t>
      </w:r>
      <w:r w:rsidR="00EA6BEA" w:rsidRPr="007140BD">
        <w:t>may include emission</w:t>
      </w:r>
      <w:r w:rsidR="005F1667" w:rsidRPr="007140BD">
        <w:t>s</w:t>
      </w:r>
      <w:r w:rsidR="00EA6BEA" w:rsidRPr="007140BD">
        <w:t xml:space="preserve"> trading</w:t>
      </w:r>
      <w:r w:rsidR="005F1667" w:rsidRPr="007140BD">
        <w:t>.</w:t>
      </w:r>
      <w:r w:rsidR="00EA6BEA" w:rsidRPr="007140BD">
        <w:t xml:space="preserve"> </w:t>
      </w:r>
      <w:r w:rsidR="00226A9D" w:rsidRPr="007140BD">
        <w:t xml:space="preserve"> </w:t>
      </w:r>
      <w:r w:rsidR="00821327" w:rsidRPr="007140BD">
        <w:t>Examples of regulations that fall into this category are presented in Table</w:t>
      </w:r>
      <w:r w:rsidR="00251C96" w:rsidRPr="007140BD">
        <w:t xml:space="preserve"> </w:t>
      </w:r>
      <w:r w:rsidR="003866B8" w:rsidRPr="007140BD">
        <w:t>4</w:t>
      </w:r>
      <w:r w:rsidR="00821327" w:rsidRPr="007140BD">
        <w:t xml:space="preserve"> along with a description of key attributes.</w:t>
      </w:r>
      <w:r w:rsidR="00EA6BEA" w:rsidRPr="007140BD">
        <w:t xml:space="preserve"> </w:t>
      </w:r>
    </w:p>
    <w:p w14:paraId="63651FE5" w14:textId="72D46B3C" w:rsidR="00EA6BEA" w:rsidRPr="00BF483F" w:rsidRDefault="00EA6BEA" w:rsidP="00D34962">
      <w:pPr>
        <w:jc w:val="left"/>
        <w:rPr>
          <w:b/>
        </w:rPr>
      </w:pPr>
      <w:r w:rsidRPr="00564B9C">
        <w:rPr>
          <w:b/>
        </w:rPr>
        <w:t xml:space="preserve">Table </w:t>
      </w:r>
      <w:r w:rsidR="003866B8" w:rsidRPr="00564B9C">
        <w:rPr>
          <w:b/>
        </w:rPr>
        <w:t>4</w:t>
      </w:r>
      <w:r w:rsidRPr="00564B9C">
        <w:rPr>
          <w:b/>
        </w:rPr>
        <w:t>: Examples of Regional or State-Implemented Emission Targets</w:t>
      </w:r>
      <w:r w:rsidR="0063139D" w:rsidRPr="00564B9C">
        <w:t xml:space="preserve"> </w:t>
      </w:r>
    </w:p>
    <w:tbl>
      <w:tblPr>
        <w:tblStyle w:val="PlainTable31"/>
        <w:tblW w:w="9360" w:type="dxa"/>
        <w:tblLayout w:type="fixed"/>
        <w:tblLook w:val="04A0" w:firstRow="1" w:lastRow="0" w:firstColumn="1" w:lastColumn="0" w:noHBand="0" w:noVBand="1"/>
      </w:tblPr>
      <w:tblGrid>
        <w:gridCol w:w="1890"/>
        <w:gridCol w:w="2430"/>
        <w:gridCol w:w="2610"/>
        <w:gridCol w:w="2430"/>
      </w:tblGrid>
      <w:tr w:rsidR="00EA6BEA" w:rsidRPr="00CC2FF6" w14:paraId="7B6F0E33" w14:textId="77777777" w:rsidTr="0081128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890" w:type="dxa"/>
            <w:tcBorders>
              <w:top w:val="single" w:sz="12" w:space="0" w:color="auto"/>
              <w:bottom w:val="single" w:sz="12" w:space="0" w:color="auto"/>
              <w:right w:val="none" w:sz="0" w:space="0" w:color="auto"/>
            </w:tcBorders>
          </w:tcPr>
          <w:p w14:paraId="3985717A" w14:textId="77777777" w:rsidR="00F32730" w:rsidRPr="00CC2FF6" w:rsidRDefault="00EA6BEA" w:rsidP="00F84914">
            <w:pPr>
              <w:jc w:val="left"/>
              <w:rPr>
                <w:b w:val="0"/>
                <w:bCs w:val="0"/>
                <w:caps w:val="0"/>
                <w:sz w:val="20"/>
                <w:szCs w:val="20"/>
              </w:rPr>
            </w:pPr>
            <w:r w:rsidRPr="00CC2FF6">
              <w:rPr>
                <w:sz w:val="20"/>
                <w:szCs w:val="20"/>
              </w:rPr>
              <w:t>Attribute</w:t>
            </w:r>
          </w:p>
        </w:tc>
        <w:tc>
          <w:tcPr>
            <w:tcW w:w="2430" w:type="dxa"/>
            <w:tcBorders>
              <w:top w:val="single" w:sz="12" w:space="0" w:color="auto"/>
              <w:bottom w:val="single" w:sz="12" w:space="0" w:color="auto"/>
            </w:tcBorders>
          </w:tcPr>
          <w:p w14:paraId="4F5F34A1" w14:textId="4A2DBA09" w:rsidR="00F32730" w:rsidRPr="00CC2FF6" w:rsidRDefault="0027625D" w:rsidP="00F63650">
            <w:pPr>
              <w:jc w:val="left"/>
              <w:cnfStyle w:val="100000000000" w:firstRow="1" w:lastRow="0" w:firstColumn="0" w:lastColumn="0" w:oddVBand="0" w:evenVBand="0" w:oddHBand="0" w:evenHBand="0" w:firstRowFirstColumn="0" w:firstRowLastColumn="0" w:lastRowFirstColumn="0" w:lastRowLastColumn="0"/>
              <w:rPr>
                <w:rFonts w:eastAsiaTheme="majorEastAsia" w:cstheme="majorBidi"/>
                <w:b w:val="0"/>
                <w:bCs w:val="0"/>
                <w:i/>
                <w:iCs/>
                <w:caps w:val="0"/>
                <w:color w:val="272727" w:themeColor="text1" w:themeTint="D8"/>
                <w:sz w:val="20"/>
                <w:szCs w:val="20"/>
              </w:rPr>
            </w:pPr>
            <w:r w:rsidRPr="00CC2FF6">
              <w:rPr>
                <w:sz w:val="20"/>
                <w:szCs w:val="20"/>
              </w:rPr>
              <w:t xml:space="preserve">Primary </w:t>
            </w:r>
            <w:r w:rsidR="00EA6BEA" w:rsidRPr="00CC2FF6">
              <w:rPr>
                <w:sz w:val="20"/>
                <w:szCs w:val="20"/>
              </w:rPr>
              <w:t>Lead NAAQS</w:t>
            </w:r>
            <w:r w:rsidR="00F63650" w:rsidRPr="00CC2FF6">
              <w:rPr>
                <w:sz w:val="20"/>
                <w:szCs w:val="20"/>
              </w:rPr>
              <w:t xml:space="preserve"> (2008</w:t>
            </w:r>
            <w:r w:rsidR="00815FD4" w:rsidRPr="00CC2FF6">
              <w:rPr>
                <w:caps w:val="0"/>
                <w:sz w:val="20"/>
                <w:szCs w:val="20"/>
              </w:rPr>
              <w:t>a</w:t>
            </w:r>
            <w:r w:rsidR="00F63650" w:rsidRPr="00CC2FF6">
              <w:rPr>
                <w:sz w:val="20"/>
                <w:szCs w:val="20"/>
              </w:rPr>
              <w:t>)</w:t>
            </w:r>
          </w:p>
        </w:tc>
        <w:tc>
          <w:tcPr>
            <w:tcW w:w="2610" w:type="dxa"/>
            <w:tcBorders>
              <w:top w:val="single" w:sz="12" w:space="0" w:color="auto"/>
              <w:bottom w:val="single" w:sz="12" w:space="0" w:color="auto"/>
            </w:tcBorders>
          </w:tcPr>
          <w:p w14:paraId="1272E021" w14:textId="529142FF" w:rsidR="00F32730" w:rsidRPr="00CC2FF6" w:rsidRDefault="0027625D" w:rsidP="00F63650">
            <w:pPr>
              <w:jc w:val="left"/>
              <w:cnfStyle w:val="100000000000" w:firstRow="1" w:lastRow="0" w:firstColumn="0" w:lastColumn="0" w:oddVBand="0" w:evenVBand="0" w:oddHBand="0" w:evenHBand="0" w:firstRowFirstColumn="0" w:firstRowLastColumn="0" w:lastRowFirstColumn="0" w:lastRowLastColumn="0"/>
              <w:rPr>
                <w:rFonts w:eastAsiaTheme="majorEastAsia" w:cstheme="majorBidi"/>
                <w:b w:val="0"/>
                <w:bCs w:val="0"/>
                <w:i/>
                <w:iCs/>
                <w:caps w:val="0"/>
                <w:color w:val="272727" w:themeColor="text1" w:themeTint="D8"/>
                <w:sz w:val="20"/>
                <w:szCs w:val="20"/>
              </w:rPr>
            </w:pPr>
            <w:r w:rsidRPr="00CC2FF6">
              <w:rPr>
                <w:sz w:val="20"/>
                <w:szCs w:val="20"/>
              </w:rPr>
              <w:t xml:space="preserve">Primary </w:t>
            </w:r>
            <w:r w:rsidR="00EA6BEA" w:rsidRPr="00CC2FF6">
              <w:rPr>
                <w:sz w:val="20"/>
                <w:szCs w:val="20"/>
              </w:rPr>
              <w:t>Ozone NAAQS</w:t>
            </w:r>
            <w:r w:rsidR="00F63650" w:rsidRPr="00CC2FF6">
              <w:rPr>
                <w:sz w:val="20"/>
                <w:szCs w:val="20"/>
              </w:rPr>
              <w:t xml:space="preserve"> (2008</w:t>
            </w:r>
            <w:r w:rsidR="00815FD4" w:rsidRPr="00CC2FF6">
              <w:rPr>
                <w:caps w:val="0"/>
                <w:sz w:val="20"/>
                <w:szCs w:val="20"/>
              </w:rPr>
              <w:t>b</w:t>
            </w:r>
            <w:r w:rsidR="00F63650" w:rsidRPr="00CC2FF6">
              <w:rPr>
                <w:sz w:val="20"/>
                <w:szCs w:val="20"/>
              </w:rPr>
              <w:t>)</w:t>
            </w:r>
          </w:p>
        </w:tc>
        <w:tc>
          <w:tcPr>
            <w:tcW w:w="2430" w:type="dxa"/>
            <w:tcBorders>
              <w:top w:val="single" w:sz="12" w:space="0" w:color="auto"/>
              <w:bottom w:val="single" w:sz="12" w:space="0" w:color="auto"/>
            </w:tcBorders>
          </w:tcPr>
          <w:p w14:paraId="5C0D0B15" w14:textId="3355CBB8" w:rsidR="00F32730" w:rsidRPr="00CC2FF6" w:rsidRDefault="00EA6BEA" w:rsidP="003745A9">
            <w:pPr>
              <w:jc w:val="left"/>
              <w:cnfStyle w:val="100000000000" w:firstRow="1" w:lastRow="0" w:firstColumn="0" w:lastColumn="0" w:oddVBand="0" w:evenVBand="0" w:oddHBand="0" w:evenHBand="0" w:firstRowFirstColumn="0" w:firstRowLastColumn="0" w:lastRowFirstColumn="0" w:lastRowLastColumn="0"/>
              <w:rPr>
                <w:rFonts w:eastAsiaTheme="majorEastAsia" w:cstheme="majorBidi"/>
                <w:b w:val="0"/>
                <w:bCs w:val="0"/>
                <w:i/>
                <w:iCs/>
                <w:caps w:val="0"/>
                <w:color w:val="272727" w:themeColor="text1" w:themeTint="D8"/>
                <w:sz w:val="20"/>
                <w:szCs w:val="20"/>
              </w:rPr>
            </w:pPr>
            <w:r w:rsidRPr="00CC2FF6">
              <w:rPr>
                <w:sz w:val="20"/>
                <w:szCs w:val="20"/>
              </w:rPr>
              <w:t xml:space="preserve">Cross-State Air Pollution Rule (CSAPR) </w:t>
            </w:r>
            <w:r w:rsidR="00F63650" w:rsidRPr="00CC2FF6">
              <w:rPr>
                <w:sz w:val="20"/>
                <w:szCs w:val="20"/>
              </w:rPr>
              <w:t>(2011</w:t>
            </w:r>
            <w:r w:rsidR="00815FD4" w:rsidRPr="00CC2FF6">
              <w:rPr>
                <w:caps w:val="0"/>
                <w:sz w:val="20"/>
                <w:szCs w:val="20"/>
              </w:rPr>
              <w:t>c</w:t>
            </w:r>
            <w:r w:rsidR="00F63650" w:rsidRPr="00CC2FF6">
              <w:rPr>
                <w:sz w:val="20"/>
                <w:szCs w:val="20"/>
              </w:rPr>
              <w:t>)</w:t>
            </w:r>
          </w:p>
        </w:tc>
      </w:tr>
      <w:tr w:rsidR="00EA6BEA" w:rsidRPr="00CC2FF6" w14:paraId="480EC678" w14:textId="77777777" w:rsidTr="008112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tcBorders>
              <w:top w:val="single" w:sz="12" w:space="0" w:color="auto"/>
              <w:right w:val="none" w:sz="0" w:space="0" w:color="auto"/>
            </w:tcBorders>
          </w:tcPr>
          <w:p w14:paraId="6E80B81B" w14:textId="77777777" w:rsidR="00F32730" w:rsidRPr="00CC2FF6" w:rsidRDefault="00EA6BEA" w:rsidP="00F84914">
            <w:pPr>
              <w:spacing w:after="120"/>
              <w:jc w:val="left"/>
              <w:rPr>
                <w:b w:val="0"/>
                <w:bCs w:val="0"/>
                <w:caps w:val="0"/>
                <w:sz w:val="20"/>
                <w:szCs w:val="20"/>
              </w:rPr>
            </w:pPr>
            <w:r w:rsidRPr="00CC2FF6">
              <w:rPr>
                <w:sz w:val="20"/>
                <w:szCs w:val="20"/>
              </w:rPr>
              <w:t>Form of standard</w:t>
            </w:r>
          </w:p>
        </w:tc>
        <w:tc>
          <w:tcPr>
            <w:tcW w:w="2430" w:type="dxa"/>
            <w:tcBorders>
              <w:top w:val="single" w:sz="12" w:space="0" w:color="auto"/>
            </w:tcBorders>
          </w:tcPr>
          <w:p w14:paraId="5B23CE21" w14:textId="2CEC488E" w:rsidR="00F32730" w:rsidRPr="00CC2FF6" w:rsidRDefault="006E3896" w:rsidP="00651453">
            <w:pPr>
              <w:spacing w:after="120"/>
              <w:jc w:val="left"/>
              <w:cnfStyle w:val="000000100000" w:firstRow="0" w:lastRow="0" w:firstColumn="0" w:lastColumn="0" w:oddVBand="0" w:evenVBand="0" w:oddHBand="1" w:evenHBand="0" w:firstRowFirstColumn="0" w:firstRowLastColumn="0" w:lastRowFirstColumn="0" w:lastRowLastColumn="0"/>
              <w:rPr>
                <w:rFonts w:eastAsia="Times New Roman" w:cs="Calibri"/>
                <w:sz w:val="20"/>
                <w:szCs w:val="20"/>
              </w:rPr>
            </w:pPr>
            <w:r w:rsidRPr="00CC2FF6">
              <w:rPr>
                <w:sz w:val="20"/>
                <w:szCs w:val="20"/>
              </w:rPr>
              <w:t>I</w:t>
            </w:r>
            <w:r w:rsidR="00720FAB" w:rsidRPr="00CC2FF6">
              <w:rPr>
                <w:sz w:val="20"/>
                <w:szCs w:val="20"/>
              </w:rPr>
              <w:t xml:space="preserve">mplemented </w:t>
            </w:r>
            <w:r w:rsidR="00651453" w:rsidRPr="00CC2FF6">
              <w:rPr>
                <w:sz w:val="20"/>
                <w:szCs w:val="20"/>
              </w:rPr>
              <w:t xml:space="preserve">by states; </w:t>
            </w:r>
            <w:r w:rsidR="00720FAB" w:rsidRPr="00CC2FF6">
              <w:rPr>
                <w:sz w:val="20"/>
                <w:szCs w:val="20"/>
              </w:rPr>
              <w:t xml:space="preserve">differentiated </w:t>
            </w:r>
            <w:r w:rsidR="00B82C10" w:rsidRPr="00CC2FF6">
              <w:rPr>
                <w:sz w:val="20"/>
                <w:szCs w:val="20"/>
              </w:rPr>
              <w:t xml:space="preserve">local </w:t>
            </w:r>
            <w:r w:rsidR="00720FAB" w:rsidRPr="00CC2FF6">
              <w:rPr>
                <w:sz w:val="20"/>
                <w:szCs w:val="20"/>
              </w:rPr>
              <w:t xml:space="preserve">emission targets; potentially </w:t>
            </w:r>
            <w:r w:rsidR="001604F0" w:rsidRPr="00CC2FF6">
              <w:rPr>
                <w:sz w:val="20"/>
                <w:szCs w:val="20"/>
              </w:rPr>
              <w:t>applies</w:t>
            </w:r>
            <w:r w:rsidR="00720FAB" w:rsidRPr="00CC2FF6">
              <w:rPr>
                <w:sz w:val="20"/>
                <w:szCs w:val="20"/>
              </w:rPr>
              <w:t xml:space="preserve"> to any </w:t>
            </w:r>
            <w:r w:rsidR="005A7842" w:rsidRPr="00CC2FF6">
              <w:rPr>
                <w:sz w:val="20"/>
                <w:szCs w:val="20"/>
              </w:rPr>
              <w:t xml:space="preserve">point or area </w:t>
            </w:r>
            <w:r w:rsidR="00720FAB" w:rsidRPr="00CC2FF6">
              <w:rPr>
                <w:sz w:val="20"/>
                <w:szCs w:val="20"/>
              </w:rPr>
              <w:t xml:space="preserve">source of lead emissions </w:t>
            </w:r>
          </w:p>
        </w:tc>
        <w:tc>
          <w:tcPr>
            <w:tcW w:w="2610" w:type="dxa"/>
            <w:tcBorders>
              <w:top w:val="single" w:sz="12" w:space="0" w:color="auto"/>
            </w:tcBorders>
          </w:tcPr>
          <w:p w14:paraId="07A7BE9B" w14:textId="4E94B073" w:rsidR="00F32730" w:rsidRPr="00CC2FF6" w:rsidRDefault="006E3896" w:rsidP="00651453">
            <w:pPr>
              <w:spacing w:after="120"/>
              <w:jc w:val="left"/>
              <w:cnfStyle w:val="000000100000" w:firstRow="0" w:lastRow="0" w:firstColumn="0" w:lastColumn="0" w:oddVBand="0" w:evenVBand="0" w:oddHBand="1" w:evenHBand="0" w:firstRowFirstColumn="0" w:firstRowLastColumn="0" w:lastRowFirstColumn="0" w:lastRowLastColumn="0"/>
              <w:rPr>
                <w:rFonts w:eastAsiaTheme="majorEastAsia" w:cstheme="majorBidi"/>
                <w:i/>
                <w:iCs/>
                <w:color w:val="272727" w:themeColor="text1" w:themeTint="D8"/>
                <w:sz w:val="20"/>
                <w:szCs w:val="20"/>
              </w:rPr>
            </w:pPr>
            <w:r w:rsidRPr="00CC2FF6">
              <w:rPr>
                <w:sz w:val="20"/>
                <w:szCs w:val="20"/>
              </w:rPr>
              <w:t>I</w:t>
            </w:r>
            <w:r w:rsidR="00651453" w:rsidRPr="00CC2FF6">
              <w:rPr>
                <w:sz w:val="20"/>
                <w:szCs w:val="20"/>
              </w:rPr>
              <w:t xml:space="preserve">mplemented by states; </w:t>
            </w:r>
            <w:r w:rsidR="00760AA1" w:rsidRPr="00CC2FF6">
              <w:rPr>
                <w:sz w:val="20"/>
                <w:szCs w:val="20"/>
              </w:rPr>
              <w:t>differentiated local</w:t>
            </w:r>
            <w:r w:rsidR="0087173F" w:rsidRPr="00CC2FF6">
              <w:rPr>
                <w:sz w:val="20"/>
                <w:szCs w:val="20"/>
              </w:rPr>
              <w:t xml:space="preserve"> and regional</w:t>
            </w:r>
            <w:r w:rsidR="00EA6BEA" w:rsidRPr="00CC2FF6">
              <w:rPr>
                <w:sz w:val="20"/>
                <w:szCs w:val="20"/>
              </w:rPr>
              <w:t xml:space="preserve"> emission targets; </w:t>
            </w:r>
            <w:r w:rsidR="0087173F" w:rsidRPr="00CC2FF6">
              <w:rPr>
                <w:sz w:val="20"/>
                <w:szCs w:val="20"/>
              </w:rPr>
              <w:t xml:space="preserve">potentially </w:t>
            </w:r>
            <w:r w:rsidR="001604F0" w:rsidRPr="00CC2FF6">
              <w:rPr>
                <w:sz w:val="20"/>
                <w:szCs w:val="20"/>
              </w:rPr>
              <w:t>applies</w:t>
            </w:r>
            <w:r w:rsidR="00EA6BEA" w:rsidRPr="00CC2FF6">
              <w:rPr>
                <w:sz w:val="20"/>
                <w:szCs w:val="20"/>
              </w:rPr>
              <w:t xml:space="preserve"> to </w:t>
            </w:r>
            <w:r w:rsidR="0087173F" w:rsidRPr="00CC2FF6">
              <w:rPr>
                <w:sz w:val="20"/>
                <w:szCs w:val="20"/>
              </w:rPr>
              <w:t xml:space="preserve">any </w:t>
            </w:r>
            <w:r w:rsidR="005A7842" w:rsidRPr="00CC2FF6">
              <w:rPr>
                <w:sz w:val="20"/>
                <w:szCs w:val="20"/>
              </w:rPr>
              <w:t xml:space="preserve">point or area </w:t>
            </w:r>
            <w:r w:rsidR="0087173F" w:rsidRPr="00CC2FF6">
              <w:rPr>
                <w:sz w:val="20"/>
                <w:szCs w:val="20"/>
              </w:rPr>
              <w:t xml:space="preserve">source of emissions that form </w:t>
            </w:r>
            <w:r w:rsidR="00B82C10" w:rsidRPr="00CC2FF6">
              <w:rPr>
                <w:sz w:val="20"/>
                <w:szCs w:val="20"/>
              </w:rPr>
              <w:t>o</w:t>
            </w:r>
            <w:r w:rsidR="00CA043C" w:rsidRPr="00CC2FF6">
              <w:rPr>
                <w:sz w:val="20"/>
                <w:szCs w:val="20"/>
              </w:rPr>
              <w:t>zone</w:t>
            </w:r>
          </w:p>
        </w:tc>
        <w:tc>
          <w:tcPr>
            <w:tcW w:w="2430" w:type="dxa"/>
            <w:tcBorders>
              <w:top w:val="single" w:sz="12" w:space="0" w:color="auto"/>
            </w:tcBorders>
          </w:tcPr>
          <w:p w14:paraId="3715529B" w14:textId="466487A5" w:rsidR="00F32730" w:rsidRPr="00CC2FF6" w:rsidRDefault="00A479DA">
            <w:pPr>
              <w:spacing w:after="120"/>
              <w:jc w:val="left"/>
              <w:cnfStyle w:val="000000100000" w:firstRow="0" w:lastRow="0" w:firstColumn="0" w:lastColumn="0" w:oddVBand="0" w:evenVBand="0" w:oddHBand="1" w:evenHBand="0" w:firstRowFirstColumn="0" w:firstRowLastColumn="0" w:lastRowFirstColumn="0" w:lastRowLastColumn="0"/>
              <w:rPr>
                <w:rFonts w:eastAsiaTheme="majorEastAsia" w:cstheme="majorBidi"/>
                <w:i/>
                <w:iCs/>
                <w:color w:val="272727" w:themeColor="text1" w:themeTint="D8"/>
                <w:sz w:val="20"/>
                <w:szCs w:val="20"/>
              </w:rPr>
            </w:pPr>
            <w:r w:rsidRPr="00CC2FF6">
              <w:rPr>
                <w:sz w:val="20"/>
                <w:szCs w:val="20"/>
              </w:rPr>
              <w:t>S</w:t>
            </w:r>
            <w:r w:rsidR="00F725AC" w:rsidRPr="00CC2FF6">
              <w:rPr>
                <w:sz w:val="20"/>
                <w:szCs w:val="20"/>
              </w:rPr>
              <w:t xml:space="preserve">ets </w:t>
            </w:r>
            <w:r w:rsidR="00AE55F8" w:rsidRPr="00CC2FF6">
              <w:rPr>
                <w:sz w:val="20"/>
                <w:szCs w:val="20"/>
              </w:rPr>
              <w:t xml:space="preserve">annual/seasonal </w:t>
            </w:r>
            <w:r w:rsidR="00F725AC" w:rsidRPr="00CC2FF6">
              <w:rPr>
                <w:sz w:val="20"/>
                <w:szCs w:val="20"/>
              </w:rPr>
              <w:t xml:space="preserve">emission budgets </w:t>
            </w:r>
            <w:r w:rsidR="0058736C" w:rsidRPr="00CC2FF6">
              <w:rPr>
                <w:sz w:val="20"/>
                <w:szCs w:val="20"/>
              </w:rPr>
              <w:t xml:space="preserve">for </w:t>
            </w:r>
            <w:r w:rsidR="00BA2A27" w:rsidRPr="00CC2FF6">
              <w:rPr>
                <w:sz w:val="20"/>
                <w:szCs w:val="20"/>
              </w:rPr>
              <w:t>power plants</w:t>
            </w:r>
            <w:r w:rsidR="0058736C" w:rsidRPr="00CC2FF6">
              <w:rPr>
                <w:sz w:val="20"/>
                <w:szCs w:val="20"/>
              </w:rPr>
              <w:t xml:space="preserve"> in </w:t>
            </w:r>
            <w:r w:rsidR="00132BBE" w:rsidRPr="00CC2FF6">
              <w:rPr>
                <w:sz w:val="20"/>
                <w:szCs w:val="20"/>
              </w:rPr>
              <w:t xml:space="preserve">certain </w:t>
            </w:r>
            <w:r w:rsidR="0058736C" w:rsidRPr="00CC2FF6">
              <w:rPr>
                <w:sz w:val="20"/>
                <w:szCs w:val="20"/>
              </w:rPr>
              <w:t xml:space="preserve">states </w:t>
            </w:r>
            <w:r w:rsidR="00F725AC" w:rsidRPr="00CC2FF6">
              <w:rPr>
                <w:sz w:val="20"/>
                <w:szCs w:val="20"/>
              </w:rPr>
              <w:t xml:space="preserve">(primarily </w:t>
            </w:r>
            <w:r w:rsidR="0058736C" w:rsidRPr="00CC2FF6">
              <w:rPr>
                <w:sz w:val="20"/>
                <w:szCs w:val="20"/>
              </w:rPr>
              <w:t xml:space="preserve">in </w:t>
            </w:r>
            <w:r w:rsidR="00F725AC" w:rsidRPr="00CC2FF6">
              <w:rPr>
                <w:sz w:val="20"/>
                <w:szCs w:val="20"/>
              </w:rPr>
              <w:t>Eastern U.S.)</w:t>
            </w:r>
            <w:r w:rsidR="00616A4D" w:rsidRPr="00CC2FF6">
              <w:rPr>
                <w:sz w:val="20"/>
                <w:szCs w:val="20"/>
              </w:rPr>
              <w:t xml:space="preserve"> for two pollutants</w:t>
            </w:r>
            <w:r w:rsidR="00BA2A27" w:rsidRPr="00CC2FF6">
              <w:rPr>
                <w:sz w:val="20"/>
                <w:szCs w:val="20"/>
              </w:rPr>
              <w:t>; trading</w:t>
            </w:r>
          </w:p>
        </w:tc>
      </w:tr>
      <w:tr w:rsidR="00EA6BEA" w:rsidRPr="00CC2FF6" w14:paraId="322359A4" w14:textId="77777777" w:rsidTr="00811281">
        <w:tc>
          <w:tcPr>
            <w:cnfStyle w:val="001000000000" w:firstRow="0" w:lastRow="0" w:firstColumn="1" w:lastColumn="0" w:oddVBand="0" w:evenVBand="0" w:oddHBand="0" w:evenHBand="0" w:firstRowFirstColumn="0" w:firstRowLastColumn="0" w:lastRowFirstColumn="0" w:lastRowLastColumn="0"/>
            <w:tcW w:w="1890" w:type="dxa"/>
            <w:tcBorders>
              <w:right w:val="none" w:sz="0" w:space="0" w:color="auto"/>
            </w:tcBorders>
          </w:tcPr>
          <w:p w14:paraId="79E0D257" w14:textId="77777777" w:rsidR="00F32730" w:rsidRPr="00CC2FF6" w:rsidRDefault="00EA6BEA" w:rsidP="00F84914">
            <w:pPr>
              <w:spacing w:after="120"/>
              <w:jc w:val="left"/>
              <w:rPr>
                <w:b w:val="0"/>
                <w:bCs w:val="0"/>
                <w:caps w:val="0"/>
                <w:sz w:val="20"/>
                <w:szCs w:val="20"/>
              </w:rPr>
            </w:pPr>
            <w:r w:rsidRPr="00CC2FF6">
              <w:rPr>
                <w:sz w:val="20"/>
                <w:szCs w:val="20"/>
              </w:rPr>
              <w:t>Methods of compliance</w:t>
            </w:r>
          </w:p>
        </w:tc>
        <w:tc>
          <w:tcPr>
            <w:tcW w:w="2430" w:type="dxa"/>
          </w:tcPr>
          <w:p w14:paraId="40F25143" w14:textId="4CA410B8" w:rsidR="00F32730" w:rsidRPr="00CC2FF6" w:rsidRDefault="006E3896" w:rsidP="00277337">
            <w:pPr>
              <w:spacing w:after="120"/>
              <w:jc w:val="left"/>
              <w:cnfStyle w:val="000000000000" w:firstRow="0" w:lastRow="0" w:firstColumn="0" w:lastColumn="0" w:oddVBand="0" w:evenVBand="0" w:oddHBand="0" w:evenHBand="0" w:firstRowFirstColumn="0" w:firstRowLastColumn="0" w:lastRowFirstColumn="0" w:lastRowLastColumn="0"/>
              <w:rPr>
                <w:sz w:val="20"/>
                <w:szCs w:val="20"/>
              </w:rPr>
            </w:pPr>
            <w:r w:rsidRPr="00CC2FF6">
              <w:rPr>
                <w:sz w:val="20"/>
                <w:szCs w:val="20"/>
              </w:rPr>
              <w:t>D</w:t>
            </w:r>
            <w:r w:rsidR="00720FAB" w:rsidRPr="00CC2FF6">
              <w:rPr>
                <w:sz w:val="20"/>
                <w:szCs w:val="20"/>
              </w:rPr>
              <w:t>epe</w:t>
            </w:r>
            <w:r w:rsidR="00277337" w:rsidRPr="00CC2FF6">
              <w:rPr>
                <w:sz w:val="20"/>
                <w:szCs w:val="20"/>
              </w:rPr>
              <w:t>nd on state implementation; show</w:t>
            </w:r>
            <w:r w:rsidR="00720FAB" w:rsidRPr="00CC2FF6">
              <w:rPr>
                <w:sz w:val="20"/>
                <w:szCs w:val="20"/>
              </w:rPr>
              <w:t xml:space="preserve"> how target may be met based on existing technologies.</w:t>
            </w:r>
          </w:p>
        </w:tc>
        <w:tc>
          <w:tcPr>
            <w:tcW w:w="2610" w:type="dxa"/>
          </w:tcPr>
          <w:p w14:paraId="2B244258" w14:textId="36CC483F" w:rsidR="00F32730" w:rsidRPr="00CC2FF6" w:rsidRDefault="006E3896" w:rsidP="00277337">
            <w:pPr>
              <w:spacing w:after="120"/>
              <w:jc w:val="left"/>
              <w:cnfStyle w:val="000000000000" w:firstRow="0" w:lastRow="0" w:firstColumn="0" w:lastColumn="0" w:oddVBand="0" w:evenVBand="0" w:oddHBand="0" w:evenHBand="0" w:firstRowFirstColumn="0" w:firstRowLastColumn="0" w:lastRowFirstColumn="0" w:lastRowLastColumn="0"/>
              <w:rPr>
                <w:rFonts w:eastAsiaTheme="majorEastAsia" w:cstheme="majorBidi"/>
                <w:b/>
                <w:i/>
                <w:iCs/>
                <w:color w:val="272727" w:themeColor="text1" w:themeTint="D8"/>
                <w:sz w:val="20"/>
                <w:szCs w:val="20"/>
              </w:rPr>
            </w:pPr>
            <w:r w:rsidRPr="00CC2FF6">
              <w:rPr>
                <w:sz w:val="20"/>
                <w:szCs w:val="20"/>
              </w:rPr>
              <w:t>D</w:t>
            </w:r>
            <w:r w:rsidR="00EA6BEA" w:rsidRPr="00CC2FF6">
              <w:rPr>
                <w:sz w:val="20"/>
                <w:szCs w:val="20"/>
              </w:rPr>
              <w:t>epe</w:t>
            </w:r>
            <w:r w:rsidR="00277337" w:rsidRPr="00CC2FF6">
              <w:rPr>
                <w:sz w:val="20"/>
                <w:szCs w:val="20"/>
              </w:rPr>
              <w:t>nd on state implementation; show</w:t>
            </w:r>
            <w:r w:rsidR="00EA6BEA" w:rsidRPr="00CC2FF6">
              <w:rPr>
                <w:sz w:val="20"/>
                <w:szCs w:val="20"/>
              </w:rPr>
              <w:t xml:space="preserve"> how target may be met based on existing technologies</w:t>
            </w:r>
            <w:r w:rsidR="00720FAB" w:rsidRPr="00CC2FF6">
              <w:rPr>
                <w:sz w:val="20"/>
                <w:szCs w:val="20"/>
              </w:rPr>
              <w:t>.</w:t>
            </w:r>
          </w:p>
        </w:tc>
        <w:tc>
          <w:tcPr>
            <w:tcW w:w="2430" w:type="dxa"/>
          </w:tcPr>
          <w:p w14:paraId="2911FCFE" w14:textId="4FD04D0A" w:rsidR="00F32730" w:rsidRPr="00CC2FF6" w:rsidRDefault="004861E1">
            <w:pPr>
              <w:spacing w:after="120"/>
              <w:jc w:val="left"/>
              <w:cnfStyle w:val="000000000000" w:firstRow="0" w:lastRow="0" w:firstColumn="0" w:lastColumn="0" w:oddVBand="0" w:evenVBand="0" w:oddHBand="0" w:evenHBand="0" w:firstRowFirstColumn="0" w:firstRowLastColumn="0" w:lastRowFirstColumn="0" w:lastRowLastColumn="0"/>
              <w:rPr>
                <w:rFonts w:eastAsiaTheme="majorEastAsia" w:cstheme="majorBidi"/>
                <w:b/>
                <w:i/>
                <w:iCs/>
                <w:color w:val="272727" w:themeColor="text1" w:themeTint="D8"/>
                <w:sz w:val="20"/>
                <w:szCs w:val="20"/>
              </w:rPr>
            </w:pPr>
            <w:r w:rsidRPr="00CC2FF6">
              <w:rPr>
                <w:sz w:val="20"/>
                <w:szCs w:val="20"/>
              </w:rPr>
              <w:t>Flexibility in</w:t>
            </w:r>
            <w:r w:rsidR="00EA6BEA" w:rsidRPr="00CC2FF6">
              <w:rPr>
                <w:sz w:val="20"/>
                <w:szCs w:val="20"/>
              </w:rPr>
              <w:t xml:space="preserve"> </w:t>
            </w:r>
            <w:r w:rsidR="004406D4" w:rsidRPr="00CC2FF6">
              <w:rPr>
                <w:sz w:val="20"/>
                <w:szCs w:val="20"/>
              </w:rPr>
              <w:t xml:space="preserve">compliance </w:t>
            </w:r>
            <w:r w:rsidRPr="00CC2FF6">
              <w:rPr>
                <w:sz w:val="20"/>
                <w:szCs w:val="20"/>
              </w:rPr>
              <w:t>method</w:t>
            </w:r>
            <w:r w:rsidR="00A479DA" w:rsidRPr="00CC2FF6">
              <w:rPr>
                <w:sz w:val="20"/>
                <w:szCs w:val="20"/>
              </w:rPr>
              <w:t>: States can</w:t>
            </w:r>
            <w:r w:rsidR="00EA6BEA" w:rsidRPr="00CC2FF6">
              <w:rPr>
                <w:sz w:val="20"/>
                <w:szCs w:val="20"/>
              </w:rPr>
              <w:t xml:space="preserve"> </w:t>
            </w:r>
            <w:r w:rsidRPr="00CC2FF6">
              <w:rPr>
                <w:sz w:val="20"/>
                <w:szCs w:val="20"/>
              </w:rPr>
              <w:t>participate in</w:t>
            </w:r>
            <w:r w:rsidR="00EA6BEA" w:rsidRPr="00CC2FF6">
              <w:rPr>
                <w:sz w:val="20"/>
                <w:szCs w:val="20"/>
              </w:rPr>
              <w:t xml:space="preserve"> EPA interst</w:t>
            </w:r>
            <w:r w:rsidR="00A479DA" w:rsidRPr="00CC2FF6">
              <w:rPr>
                <w:sz w:val="20"/>
                <w:szCs w:val="20"/>
              </w:rPr>
              <w:t>ate cap and trade or</w:t>
            </w:r>
            <w:r w:rsidR="00EA6BEA" w:rsidRPr="00CC2FF6">
              <w:rPr>
                <w:sz w:val="20"/>
                <w:szCs w:val="20"/>
              </w:rPr>
              <w:t xml:space="preserve"> meet</w:t>
            </w:r>
            <w:r w:rsidRPr="00CC2FF6">
              <w:rPr>
                <w:sz w:val="20"/>
                <w:szCs w:val="20"/>
              </w:rPr>
              <w:t xml:space="preserve"> </w:t>
            </w:r>
            <w:r w:rsidR="00EA6BEA" w:rsidRPr="00CC2FF6">
              <w:rPr>
                <w:sz w:val="20"/>
                <w:szCs w:val="20"/>
              </w:rPr>
              <w:t>individual state emissions budget</w:t>
            </w:r>
          </w:p>
        </w:tc>
      </w:tr>
      <w:tr w:rsidR="00EA6BEA" w:rsidRPr="00CC2FF6" w14:paraId="2784E663" w14:textId="77777777" w:rsidTr="008112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tcBorders>
              <w:right w:val="none" w:sz="0" w:space="0" w:color="auto"/>
            </w:tcBorders>
          </w:tcPr>
          <w:p w14:paraId="1132B95B" w14:textId="77777777" w:rsidR="00F32730" w:rsidRPr="00CC2FF6" w:rsidRDefault="00EA6BEA" w:rsidP="00F84914">
            <w:pPr>
              <w:spacing w:after="120"/>
              <w:jc w:val="left"/>
              <w:rPr>
                <w:b w:val="0"/>
                <w:bCs w:val="0"/>
                <w:caps w:val="0"/>
                <w:sz w:val="20"/>
                <w:szCs w:val="20"/>
              </w:rPr>
            </w:pPr>
            <w:r w:rsidRPr="00CC2FF6">
              <w:rPr>
                <w:sz w:val="20"/>
                <w:szCs w:val="20"/>
              </w:rPr>
              <w:t>Regulated entities</w:t>
            </w:r>
          </w:p>
        </w:tc>
        <w:tc>
          <w:tcPr>
            <w:tcW w:w="2430" w:type="dxa"/>
          </w:tcPr>
          <w:p w14:paraId="61FD8431" w14:textId="3A04E3BC" w:rsidR="00F32730" w:rsidRPr="00CC2FF6" w:rsidRDefault="004406D4" w:rsidP="00040025">
            <w:pPr>
              <w:spacing w:after="120"/>
              <w:jc w:val="left"/>
              <w:cnfStyle w:val="000000100000" w:firstRow="0" w:lastRow="0" w:firstColumn="0" w:lastColumn="0" w:oddVBand="0" w:evenVBand="0" w:oddHBand="1" w:evenHBand="0" w:firstRowFirstColumn="0" w:firstRowLastColumn="0" w:lastRowFirstColumn="0" w:lastRowLastColumn="0"/>
              <w:rPr>
                <w:sz w:val="20"/>
                <w:szCs w:val="20"/>
              </w:rPr>
            </w:pPr>
            <w:r w:rsidRPr="00CC2FF6">
              <w:rPr>
                <w:sz w:val="20"/>
                <w:szCs w:val="20"/>
              </w:rPr>
              <w:t xml:space="preserve">Expected to affect a wide array of sectors but which </w:t>
            </w:r>
            <w:r w:rsidR="00720FAB" w:rsidRPr="00CC2FF6">
              <w:rPr>
                <w:sz w:val="20"/>
                <w:szCs w:val="20"/>
              </w:rPr>
              <w:t xml:space="preserve">entities </w:t>
            </w:r>
            <w:r w:rsidRPr="00CC2FF6">
              <w:rPr>
                <w:sz w:val="20"/>
                <w:szCs w:val="20"/>
              </w:rPr>
              <w:t xml:space="preserve">and in which sectors </w:t>
            </w:r>
            <w:r w:rsidR="00720FAB" w:rsidRPr="00CC2FF6">
              <w:rPr>
                <w:sz w:val="20"/>
                <w:szCs w:val="20"/>
              </w:rPr>
              <w:t>is uncertain</w:t>
            </w:r>
          </w:p>
        </w:tc>
        <w:tc>
          <w:tcPr>
            <w:tcW w:w="2610" w:type="dxa"/>
          </w:tcPr>
          <w:p w14:paraId="55C5251D" w14:textId="68A1703F" w:rsidR="00F32730" w:rsidRPr="00CC2FF6" w:rsidRDefault="004406D4" w:rsidP="00275FAF">
            <w:pPr>
              <w:spacing w:after="120"/>
              <w:jc w:val="left"/>
              <w:cnfStyle w:val="000000100000" w:firstRow="0" w:lastRow="0" w:firstColumn="0" w:lastColumn="0" w:oddVBand="0" w:evenVBand="0" w:oddHBand="1" w:evenHBand="0" w:firstRowFirstColumn="0" w:firstRowLastColumn="0" w:lastRowFirstColumn="0" w:lastRowLastColumn="0"/>
              <w:rPr>
                <w:rFonts w:eastAsiaTheme="majorEastAsia" w:cstheme="majorBidi"/>
                <w:i/>
                <w:iCs/>
                <w:color w:val="272727" w:themeColor="text1" w:themeTint="D8"/>
                <w:sz w:val="20"/>
                <w:szCs w:val="20"/>
              </w:rPr>
            </w:pPr>
            <w:r w:rsidRPr="00CC2FF6">
              <w:rPr>
                <w:sz w:val="20"/>
                <w:szCs w:val="20"/>
              </w:rPr>
              <w:t>Expected to affect a wide array of sectors but which entities and in which sectors is uncertain</w:t>
            </w:r>
          </w:p>
        </w:tc>
        <w:tc>
          <w:tcPr>
            <w:tcW w:w="2430" w:type="dxa"/>
          </w:tcPr>
          <w:p w14:paraId="7FD84967" w14:textId="691F34B8" w:rsidR="00F32730" w:rsidRPr="00CC2FF6" w:rsidRDefault="004406D4">
            <w:pPr>
              <w:spacing w:after="120"/>
              <w:jc w:val="left"/>
              <w:cnfStyle w:val="000000100000" w:firstRow="0" w:lastRow="0" w:firstColumn="0" w:lastColumn="0" w:oddVBand="0" w:evenVBand="0" w:oddHBand="1" w:evenHBand="0" w:firstRowFirstColumn="0" w:firstRowLastColumn="0" w:lastRowFirstColumn="0" w:lastRowLastColumn="0"/>
              <w:rPr>
                <w:rFonts w:eastAsiaTheme="majorEastAsia" w:cstheme="majorBidi"/>
                <w:i/>
                <w:iCs/>
                <w:color w:val="272727" w:themeColor="text1" w:themeTint="D8"/>
                <w:sz w:val="20"/>
                <w:szCs w:val="20"/>
              </w:rPr>
            </w:pPr>
            <w:r w:rsidRPr="00CC2FF6">
              <w:rPr>
                <w:sz w:val="20"/>
                <w:szCs w:val="20"/>
              </w:rPr>
              <w:t>R</w:t>
            </w:r>
            <w:r w:rsidR="00AB363C" w:rsidRPr="00CC2FF6">
              <w:rPr>
                <w:sz w:val="20"/>
                <w:szCs w:val="20"/>
              </w:rPr>
              <w:t xml:space="preserve">egulates emissions from </w:t>
            </w:r>
            <w:r w:rsidR="00BA2A27" w:rsidRPr="00CC2FF6">
              <w:rPr>
                <w:sz w:val="20"/>
                <w:szCs w:val="20"/>
              </w:rPr>
              <w:t xml:space="preserve">25 MW+ </w:t>
            </w:r>
            <w:r w:rsidR="00BA2A27" w:rsidRPr="00CC2FF6">
              <w:rPr>
                <w:rFonts w:eastAsia="Times New Roman" w:cs="Calibri"/>
                <w:sz w:val="20"/>
                <w:szCs w:val="20"/>
              </w:rPr>
              <w:t>power plant</w:t>
            </w:r>
            <w:r w:rsidR="00AB363C" w:rsidRPr="00CC2FF6">
              <w:rPr>
                <w:rFonts w:eastAsia="Times New Roman" w:cs="Calibri"/>
                <w:sz w:val="20"/>
                <w:szCs w:val="20"/>
              </w:rPr>
              <w:t>s in covered states</w:t>
            </w:r>
          </w:p>
        </w:tc>
      </w:tr>
      <w:tr w:rsidR="00EA6BEA" w:rsidRPr="00CC2FF6" w14:paraId="482AC155" w14:textId="77777777" w:rsidTr="00811281">
        <w:tc>
          <w:tcPr>
            <w:cnfStyle w:val="001000000000" w:firstRow="0" w:lastRow="0" w:firstColumn="1" w:lastColumn="0" w:oddVBand="0" w:evenVBand="0" w:oddHBand="0" w:evenHBand="0" w:firstRowFirstColumn="0" w:firstRowLastColumn="0" w:lastRowFirstColumn="0" w:lastRowLastColumn="0"/>
            <w:tcW w:w="1890" w:type="dxa"/>
            <w:tcBorders>
              <w:right w:val="none" w:sz="0" w:space="0" w:color="auto"/>
            </w:tcBorders>
          </w:tcPr>
          <w:p w14:paraId="30872215" w14:textId="77777777" w:rsidR="00F32730" w:rsidRPr="00CC2FF6" w:rsidRDefault="00EA6BEA" w:rsidP="00F84914">
            <w:pPr>
              <w:spacing w:after="120"/>
              <w:jc w:val="left"/>
              <w:rPr>
                <w:b w:val="0"/>
                <w:bCs w:val="0"/>
                <w:caps w:val="0"/>
                <w:sz w:val="20"/>
                <w:szCs w:val="20"/>
              </w:rPr>
            </w:pPr>
            <w:r w:rsidRPr="00CC2FF6">
              <w:rPr>
                <w:sz w:val="20"/>
                <w:szCs w:val="20"/>
              </w:rPr>
              <w:t>Unit compliance costs</w:t>
            </w:r>
          </w:p>
        </w:tc>
        <w:tc>
          <w:tcPr>
            <w:tcW w:w="2430" w:type="dxa"/>
          </w:tcPr>
          <w:p w14:paraId="4B33495C" w14:textId="37F1F8FE" w:rsidR="00F32730" w:rsidRPr="00CC2FF6" w:rsidRDefault="00004959" w:rsidP="00004959">
            <w:pPr>
              <w:spacing w:after="120"/>
              <w:jc w:val="left"/>
              <w:cnfStyle w:val="000000000000" w:firstRow="0" w:lastRow="0" w:firstColumn="0" w:lastColumn="0" w:oddVBand="0" w:evenVBand="0" w:oddHBand="0" w:evenHBand="0" w:firstRowFirstColumn="0" w:firstRowLastColumn="0" w:lastRowFirstColumn="0" w:lastRowLastColumn="0"/>
              <w:rPr>
                <w:sz w:val="20"/>
                <w:szCs w:val="20"/>
              </w:rPr>
            </w:pPr>
            <w:r w:rsidRPr="00CC2FF6">
              <w:rPr>
                <w:sz w:val="20"/>
                <w:szCs w:val="20"/>
              </w:rPr>
              <w:t>F</w:t>
            </w:r>
            <w:r w:rsidR="00720FAB" w:rsidRPr="00CC2FF6">
              <w:rPr>
                <w:sz w:val="20"/>
                <w:szCs w:val="20"/>
              </w:rPr>
              <w:t xml:space="preserve">or illustrative control </w:t>
            </w:r>
            <w:r w:rsidR="00151A2D" w:rsidRPr="00CC2FF6">
              <w:rPr>
                <w:sz w:val="20"/>
                <w:szCs w:val="20"/>
              </w:rPr>
              <w:t>strategy</w:t>
            </w:r>
            <w:r w:rsidR="00720FAB" w:rsidRPr="00CC2FF6">
              <w:rPr>
                <w:sz w:val="20"/>
                <w:szCs w:val="20"/>
              </w:rPr>
              <w:t xml:space="preserve">; when all </w:t>
            </w:r>
            <w:r w:rsidR="002A2233" w:rsidRPr="00CC2FF6">
              <w:rPr>
                <w:sz w:val="20"/>
                <w:szCs w:val="20"/>
              </w:rPr>
              <w:t xml:space="preserve">identified </w:t>
            </w:r>
            <w:r w:rsidR="00720FAB" w:rsidRPr="00CC2FF6">
              <w:rPr>
                <w:sz w:val="20"/>
                <w:szCs w:val="20"/>
              </w:rPr>
              <w:t xml:space="preserve">controls </w:t>
            </w:r>
            <w:r w:rsidR="004D0BC2" w:rsidRPr="00CC2FF6">
              <w:rPr>
                <w:sz w:val="20"/>
                <w:szCs w:val="20"/>
              </w:rPr>
              <w:t xml:space="preserve">are </w:t>
            </w:r>
            <w:r w:rsidR="00720FAB" w:rsidRPr="00CC2FF6">
              <w:rPr>
                <w:sz w:val="20"/>
                <w:szCs w:val="20"/>
              </w:rPr>
              <w:t xml:space="preserve">applied but region </w:t>
            </w:r>
            <w:r w:rsidR="00711965" w:rsidRPr="00CC2FF6">
              <w:rPr>
                <w:sz w:val="20"/>
                <w:szCs w:val="20"/>
              </w:rPr>
              <w:t xml:space="preserve">still </w:t>
            </w:r>
            <w:r w:rsidR="00720FAB" w:rsidRPr="00CC2FF6">
              <w:rPr>
                <w:sz w:val="20"/>
                <w:szCs w:val="20"/>
              </w:rPr>
              <w:t>not in compliance</w:t>
            </w:r>
            <w:r w:rsidR="00151A2D" w:rsidRPr="00CC2FF6">
              <w:rPr>
                <w:sz w:val="20"/>
                <w:szCs w:val="20"/>
              </w:rPr>
              <w:t>,</w:t>
            </w:r>
            <w:r w:rsidR="00720FAB" w:rsidRPr="00CC2FF6">
              <w:rPr>
                <w:sz w:val="20"/>
                <w:szCs w:val="20"/>
              </w:rPr>
              <w:t xml:space="preserve"> </w:t>
            </w:r>
            <w:r w:rsidRPr="00CC2FF6">
              <w:rPr>
                <w:sz w:val="20"/>
                <w:szCs w:val="20"/>
              </w:rPr>
              <w:t xml:space="preserve">use </w:t>
            </w:r>
            <w:r w:rsidR="00720FAB" w:rsidRPr="00CC2FF6">
              <w:rPr>
                <w:sz w:val="20"/>
                <w:szCs w:val="20"/>
              </w:rPr>
              <w:t>extra</w:t>
            </w:r>
            <w:r w:rsidR="00711965" w:rsidRPr="00CC2FF6">
              <w:rPr>
                <w:sz w:val="20"/>
                <w:szCs w:val="20"/>
              </w:rPr>
              <w:t>polate</w:t>
            </w:r>
            <w:r w:rsidRPr="00CC2FF6">
              <w:rPr>
                <w:sz w:val="20"/>
                <w:szCs w:val="20"/>
              </w:rPr>
              <w:t>d</w:t>
            </w:r>
            <w:r w:rsidR="00720FAB" w:rsidRPr="00CC2FF6">
              <w:rPr>
                <w:sz w:val="20"/>
                <w:szCs w:val="20"/>
              </w:rPr>
              <w:t xml:space="preserve"> cost </w:t>
            </w:r>
            <w:r w:rsidR="00E051BD" w:rsidRPr="00CC2FF6">
              <w:rPr>
                <w:sz w:val="20"/>
                <w:szCs w:val="20"/>
              </w:rPr>
              <w:t>for</w:t>
            </w:r>
            <w:r w:rsidR="00720FAB" w:rsidRPr="00CC2FF6">
              <w:rPr>
                <w:sz w:val="20"/>
                <w:szCs w:val="20"/>
              </w:rPr>
              <w:t xml:space="preserve"> </w:t>
            </w:r>
            <w:r w:rsidR="002A2233" w:rsidRPr="00CC2FF6">
              <w:rPr>
                <w:sz w:val="20"/>
                <w:szCs w:val="20"/>
              </w:rPr>
              <w:t xml:space="preserve">unidentified </w:t>
            </w:r>
            <w:r w:rsidRPr="00CC2FF6">
              <w:rPr>
                <w:sz w:val="20"/>
                <w:szCs w:val="20"/>
              </w:rPr>
              <w:t>technologies</w:t>
            </w:r>
          </w:p>
        </w:tc>
        <w:tc>
          <w:tcPr>
            <w:tcW w:w="2610" w:type="dxa"/>
          </w:tcPr>
          <w:p w14:paraId="09921E13" w14:textId="58E9FC91" w:rsidR="00F32730" w:rsidRPr="00CC2FF6" w:rsidRDefault="00004959" w:rsidP="00004959">
            <w:pPr>
              <w:spacing w:after="120"/>
              <w:jc w:val="left"/>
              <w:cnfStyle w:val="000000000000" w:firstRow="0" w:lastRow="0" w:firstColumn="0" w:lastColumn="0" w:oddVBand="0" w:evenVBand="0" w:oddHBand="0" w:evenHBand="0" w:firstRowFirstColumn="0" w:firstRowLastColumn="0" w:lastRowFirstColumn="0" w:lastRowLastColumn="0"/>
              <w:rPr>
                <w:rFonts w:eastAsiaTheme="majorEastAsia" w:cstheme="majorBidi"/>
                <w:i/>
                <w:iCs/>
                <w:color w:val="272727" w:themeColor="text1" w:themeTint="D8"/>
                <w:sz w:val="20"/>
                <w:szCs w:val="20"/>
              </w:rPr>
            </w:pPr>
            <w:r w:rsidRPr="00CC2FF6">
              <w:rPr>
                <w:sz w:val="20"/>
                <w:szCs w:val="20"/>
              </w:rPr>
              <w:t>For</w:t>
            </w:r>
            <w:r w:rsidR="004406D4" w:rsidRPr="00CC2FF6">
              <w:rPr>
                <w:sz w:val="20"/>
                <w:szCs w:val="20"/>
              </w:rPr>
              <w:t xml:space="preserve"> illustrative control </w:t>
            </w:r>
            <w:r w:rsidR="00151A2D" w:rsidRPr="00CC2FF6">
              <w:rPr>
                <w:sz w:val="20"/>
                <w:szCs w:val="20"/>
              </w:rPr>
              <w:t>strategy</w:t>
            </w:r>
            <w:r w:rsidR="004406D4" w:rsidRPr="00CC2FF6">
              <w:rPr>
                <w:sz w:val="20"/>
                <w:szCs w:val="20"/>
              </w:rPr>
              <w:t xml:space="preserve">; when all </w:t>
            </w:r>
            <w:r w:rsidR="002A2233" w:rsidRPr="00CC2FF6">
              <w:rPr>
                <w:sz w:val="20"/>
                <w:szCs w:val="20"/>
              </w:rPr>
              <w:t xml:space="preserve">identified </w:t>
            </w:r>
            <w:r w:rsidR="004406D4" w:rsidRPr="00CC2FF6">
              <w:rPr>
                <w:sz w:val="20"/>
                <w:szCs w:val="20"/>
              </w:rPr>
              <w:t xml:space="preserve">controls </w:t>
            </w:r>
            <w:r w:rsidR="004D0BC2" w:rsidRPr="00CC2FF6">
              <w:rPr>
                <w:sz w:val="20"/>
                <w:szCs w:val="20"/>
              </w:rPr>
              <w:t xml:space="preserve">are </w:t>
            </w:r>
            <w:r w:rsidR="004406D4" w:rsidRPr="00CC2FF6">
              <w:rPr>
                <w:sz w:val="20"/>
                <w:szCs w:val="20"/>
              </w:rPr>
              <w:t xml:space="preserve">applied but region </w:t>
            </w:r>
            <w:r w:rsidR="00711965" w:rsidRPr="00CC2FF6">
              <w:rPr>
                <w:sz w:val="20"/>
                <w:szCs w:val="20"/>
              </w:rPr>
              <w:t xml:space="preserve">still </w:t>
            </w:r>
            <w:r w:rsidR="004406D4" w:rsidRPr="00CC2FF6">
              <w:rPr>
                <w:sz w:val="20"/>
                <w:szCs w:val="20"/>
              </w:rPr>
              <w:t>not in compliance</w:t>
            </w:r>
            <w:r w:rsidR="00151A2D" w:rsidRPr="00CC2FF6">
              <w:rPr>
                <w:sz w:val="20"/>
                <w:szCs w:val="20"/>
              </w:rPr>
              <w:t>,</w:t>
            </w:r>
            <w:r w:rsidR="00711965" w:rsidRPr="00CC2FF6">
              <w:rPr>
                <w:sz w:val="20"/>
                <w:szCs w:val="20"/>
              </w:rPr>
              <w:t xml:space="preserve"> </w:t>
            </w:r>
            <w:r w:rsidRPr="00CC2FF6">
              <w:rPr>
                <w:sz w:val="20"/>
                <w:szCs w:val="20"/>
              </w:rPr>
              <w:t xml:space="preserve">use </w:t>
            </w:r>
            <w:r w:rsidR="00711965" w:rsidRPr="00CC2FF6">
              <w:rPr>
                <w:sz w:val="20"/>
                <w:szCs w:val="20"/>
              </w:rPr>
              <w:t>extrapolate</w:t>
            </w:r>
            <w:r w:rsidRPr="00CC2FF6">
              <w:rPr>
                <w:sz w:val="20"/>
                <w:szCs w:val="20"/>
              </w:rPr>
              <w:t>d</w:t>
            </w:r>
            <w:r w:rsidR="004406D4" w:rsidRPr="00CC2FF6">
              <w:rPr>
                <w:sz w:val="20"/>
                <w:szCs w:val="20"/>
              </w:rPr>
              <w:t xml:space="preserve"> cost </w:t>
            </w:r>
            <w:r w:rsidR="00E051BD" w:rsidRPr="00CC2FF6">
              <w:rPr>
                <w:sz w:val="20"/>
                <w:szCs w:val="20"/>
              </w:rPr>
              <w:t>for</w:t>
            </w:r>
            <w:r w:rsidR="004406D4" w:rsidRPr="00CC2FF6">
              <w:rPr>
                <w:sz w:val="20"/>
                <w:szCs w:val="20"/>
              </w:rPr>
              <w:t xml:space="preserve"> </w:t>
            </w:r>
            <w:r w:rsidR="002A2233" w:rsidRPr="00CC2FF6">
              <w:rPr>
                <w:sz w:val="20"/>
                <w:szCs w:val="20"/>
              </w:rPr>
              <w:t xml:space="preserve">unidentified </w:t>
            </w:r>
            <w:r w:rsidR="004406D4" w:rsidRPr="00CC2FF6">
              <w:rPr>
                <w:sz w:val="20"/>
                <w:szCs w:val="20"/>
              </w:rPr>
              <w:t xml:space="preserve">technologies </w:t>
            </w:r>
          </w:p>
        </w:tc>
        <w:tc>
          <w:tcPr>
            <w:tcW w:w="2430" w:type="dxa"/>
          </w:tcPr>
          <w:p w14:paraId="04E45F5A" w14:textId="06749E9A" w:rsidR="00F32730" w:rsidRPr="00CC2FF6" w:rsidRDefault="002B0248" w:rsidP="003745A9">
            <w:pPr>
              <w:spacing w:after="120"/>
              <w:jc w:val="left"/>
              <w:cnfStyle w:val="000000000000" w:firstRow="0" w:lastRow="0" w:firstColumn="0" w:lastColumn="0" w:oddVBand="0" w:evenVBand="0" w:oddHBand="0" w:evenHBand="0" w:firstRowFirstColumn="0" w:firstRowLastColumn="0" w:lastRowFirstColumn="0" w:lastRowLastColumn="0"/>
              <w:rPr>
                <w:rFonts w:eastAsiaTheme="majorEastAsia" w:cstheme="majorBidi"/>
                <w:i/>
                <w:iCs/>
                <w:color w:val="272727" w:themeColor="text1" w:themeTint="D8"/>
                <w:sz w:val="20"/>
                <w:szCs w:val="20"/>
              </w:rPr>
            </w:pPr>
            <w:r w:rsidRPr="00CC2FF6">
              <w:rPr>
                <w:sz w:val="20"/>
                <w:szCs w:val="20"/>
              </w:rPr>
              <w:t xml:space="preserve">Incremental capital costs, and fixed and variable operating costs </w:t>
            </w:r>
            <w:r w:rsidR="00132BBE" w:rsidRPr="00CC2FF6">
              <w:rPr>
                <w:sz w:val="20"/>
                <w:szCs w:val="20"/>
              </w:rPr>
              <w:t>including fuel switching</w:t>
            </w:r>
            <w:r w:rsidRPr="00CC2FF6">
              <w:rPr>
                <w:sz w:val="20"/>
                <w:szCs w:val="20"/>
                <w:highlight w:val="yellow"/>
              </w:rPr>
              <w:t xml:space="preserve"> </w:t>
            </w:r>
          </w:p>
        </w:tc>
      </w:tr>
      <w:tr w:rsidR="00EA6BEA" w:rsidRPr="00CC2FF6" w14:paraId="7997F21F" w14:textId="77777777" w:rsidTr="008112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tcBorders>
              <w:right w:val="none" w:sz="0" w:space="0" w:color="auto"/>
            </w:tcBorders>
          </w:tcPr>
          <w:p w14:paraId="2B47B837" w14:textId="1ED78E80" w:rsidR="00F32730" w:rsidRPr="00CC2FF6" w:rsidRDefault="00EA6BEA" w:rsidP="00F84914">
            <w:pPr>
              <w:spacing w:after="120"/>
              <w:jc w:val="left"/>
              <w:rPr>
                <w:b w:val="0"/>
                <w:bCs w:val="0"/>
                <w:caps w:val="0"/>
                <w:sz w:val="20"/>
                <w:szCs w:val="20"/>
              </w:rPr>
            </w:pPr>
            <w:r w:rsidRPr="00CC2FF6">
              <w:rPr>
                <w:sz w:val="20"/>
                <w:szCs w:val="20"/>
              </w:rPr>
              <w:t>Aggregate compliance cost</w:t>
            </w:r>
          </w:p>
        </w:tc>
        <w:tc>
          <w:tcPr>
            <w:tcW w:w="2430" w:type="dxa"/>
          </w:tcPr>
          <w:p w14:paraId="479851C8" w14:textId="3A6FA4DA" w:rsidR="00F32730" w:rsidRPr="00CC2FF6" w:rsidRDefault="00761D62" w:rsidP="003A10B4">
            <w:pPr>
              <w:spacing w:after="120"/>
              <w:jc w:val="left"/>
              <w:cnfStyle w:val="000000100000" w:firstRow="0" w:lastRow="0" w:firstColumn="0" w:lastColumn="0" w:oddVBand="0" w:evenVBand="0" w:oddHBand="1" w:evenHBand="0" w:firstRowFirstColumn="0" w:firstRowLastColumn="0" w:lastRowFirstColumn="0" w:lastRowLastColumn="0"/>
              <w:rPr>
                <w:sz w:val="20"/>
                <w:szCs w:val="20"/>
              </w:rPr>
            </w:pPr>
            <w:r w:rsidRPr="00CC2FF6">
              <w:rPr>
                <w:sz w:val="20"/>
                <w:szCs w:val="20"/>
              </w:rPr>
              <w:t>$</w:t>
            </w:r>
            <w:r w:rsidR="004073AE" w:rsidRPr="00CC2FF6">
              <w:rPr>
                <w:sz w:val="20"/>
                <w:szCs w:val="20"/>
              </w:rPr>
              <w:t>0.15B</w:t>
            </w:r>
            <w:r w:rsidRPr="00CC2FF6">
              <w:rPr>
                <w:sz w:val="20"/>
                <w:szCs w:val="20"/>
              </w:rPr>
              <w:t xml:space="preserve"> </w:t>
            </w:r>
            <w:r w:rsidR="000702FB" w:rsidRPr="00CC2FF6">
              <w:rPr>
                <w:sz w:val="20"/>
                <w:szCs w:val="20"/>
              </w:rPr>
              <w:t>to 3.2B</w:t>
            </w:r>
            <w:r w:rsidR="003A10B4" w:rsidRPr="00CC2FF6">
              <w:rPr>
                <w:sz w:val="20"/>
                <w:szCs w:val="20"/>
              </w:rPr>
              <w:t xml:space="preserve"> </w:t>
            </w:r>
            <w:r w:rsidR="00741E55" w:rsidRPr="00CC2FF6">
              <w:rPr>
                <w:sz w:val="20"/>
                <w:szCs w:val="20"/>
              </w:rPr>
              <w:t xml:space="preserve">in </w:t>
            </w:r>
            <w:r w:rsidRPr="00CC2FF6">
              <w:rPr>
                <w:sz w:val="20"/>
                <w:szCs w:val="20"/>
              </w:rPr>
              <w:t>2016 (2006$)</w:t>
            </w:r>
          </w:p>
        </w:tc>
        <w:tc>
          <w:tcPr>
            <w:tcW w:w="2610" w:type="dxa"/>
          </w:tcPr>
          <w:p w14:paraId="6FE269ED" w14:textId="4990C622" w:rsidR="00F32730" w:rsidRPr="00CC2FF6" w:rsidRDefault="00EA6BEA" w:rsidP="003A10B4">
            <w:pPr>
              <w:spacing w:after="120"/>
              <w:jc w:val="left"/>
              <w:cnfStyle w:val="000000100000" w:firstRow="0" w:lastRow="0" w:firstColumn="0" w:lastColumn="0" w:oddVBand="0" w:evenVBand="0" w:oddHBand="1" w:evenHBand="0" w:firstRowFirstColumn="0" w:firstRowLastColumn="0" w:lastRowFirstColumn="0" w:lastRowLastColumn="0"/>
              <w:rPr>
                <w:rFonts w:eastAsiaTheme="majorEastAsia" w:cstheme="majorBidi"/>
                <w:i/>
                <w:iCs/>
                <w:color w:val="272727" w:themeColor="text1" w:themeTint="D8"/>
                <w:sz w:val="20"/>
                <w:szCs w:val="20"/>
              </w:rPr>
            </w:pPr>
            <w:r w:rsidRPr="00CC2FF6">
              <w:rPr>
                <w:sz w:val="20"/>
                <w:szCs w:val="20"/>
              </w:rPr>
              <w:t>$</w:t>
            </w:r>
            <w:r w:rsidR="003A10B4" w:rsidRPr="00CC2FF6">
              <w:rPr>
                <w:sz w:val="20"/>
                <w:szCs w:val="20"/>
              </w:rPr>
              <w:t>7.6B to 8.8B</w:t>
            </w:r>
            <w:r w:rsidRPr="00CC2FF6">
              <w:rPr>
                <w:sz w:val="20"/>
                <w:szCs w:val="20"/>
              </w:rPr>
              <w:t xml:space="preserve"> </w:t>
            </w:r>
            <w:r w:rsidR="00741E55" w:rsidRPr="00CC2FF6">
              <w:rPr>
                <w:sz w:val="20"/>
                <w:szCs w:val="20"/>
              </w:rPr>
              <w:t xml:space="preserve">in </w:t>
            </w:r>
            <w:r w:rsidRPr="00CC2FF6">
              <w:rPr>
                <w:sz w:val="20"/>
                <w:szCs w:val="20"/>
              </w:rPr>
              <w:t>2020 (2006$)</w:t>
            </w:r>
          </w:p>
        </w:tc>
        <w:tc>
          <w:tcPr>
            <w:tcW w:w="2430" w:type="dxa"/>
          </w:tcPr>
          <w:p w14:paraId="029A6EC3" w14:textId="59D30373" w:rsidR="00F32730" w:rsidRPr="00CC2FF6" w:rsidRDefault="00EA6BEA" w:rsidP="00646488">
            <w:pPr>
              <w:spacing w:after="120"/>
              <w:jc w:val="left"/>
              <w:cnfStyle w:val="000000100000" w:firstRow="0" w:lastRow="0" w:firstColumn="0" w:lastColumn="0" w:oddVBand="0" w:evenVBand="0" w:oddHBand="1" w:evenHBand="0" w:firstRowFirstColumn="0" w:firstRowLastColumn="0" w:lastRowFirstColumn="0" w:lastRowLastColumn="0"/>
              <w:rPr>
                <w:rFonts w:eastAsiaTheme="majorEastAsia" w:cstheme="majorBidi"/>
                <w:i/>
                <w:iCs/>
                <w:color w:val="272727" w:themeColor="text1" w:themeTint="D8"/>
                <w:sz w:val="20"/>
                <w:szCs w:val="20"/>
              </w:rPr>
            </w:pPr>
            <w:r w:rsidRPr="00CC2FF6">
              <w:rPr>
                <w:sz w:val="20"/>
                <w:szCs w:val="20"/>
              </w:rPr>
              <w:t>$</w:t>
            </w:r>
            <w:r w:rsidR="009D3EF4" w:rsidRPr="00CC2FF6">
              <w:rPr>
                <w:sz w:val="20"/>
                <w:szCs w:val="20"/>
              </w:rPr>
              <w:t>0.8</w:t>
            </w:r>
            <w:r w:rsidR="00761D62" w:rsidRPr="00CC2FF6">
              <w:rPr>
                <w:sz w:val="20"/>
                <w:szCs w:val="20"/>
              </w:rPr>
              <w:t xml:space="preserve"> B </w:t>
            </w:r>
            <w:r w:rsidRPr="00CC2FF6">
              <w:rPr>
                <w:sz w:val="20"/>
                <w:szCs w:val="20"/>
              </w:rPr>
              <w:t>(</w:t>
            </w:r>
            <w:r w:rsidR="009D3EF4" w:rsidRPr="00CC2FF6">
              <w:rPr>
                <w:sz w:val="20"/>
                <w:szCs w:val="20"/>
              </w:rPr>
              <w:t>2007</w:t>
            </w:r>
            <w:r w:rsidRPr="00CC2FF6">
              <w:rPr>
                <w:sz w:val="20"/>
                <w:szCs w:val="20"/>
              </w:rPr>
              <w:t>$)</w:t>
            </w:r>
            <w:r w:rsidR="00761D62" w:rsidRPr="00CC2FF6">
              <w:rPr>
                <w:sz w:val="20"/>
                <w:szCs w:val="20"/>
              </w:rPr>
              <w:t xml:space="preserve"> </w:t>
            </w:r>
            <w:r w:rsidR="00741E55" w:rsidRPr="00CC2FF6">
              <w:rPr>
                <w:sz w:val="20"/>
                <w:szCs w:val="20"/>
              </w:rPr>
              <w:t xml:space="preserve">in </w:t>
            </w:r>
            <w:r w:rsidR="00761D62" w:rsidRPr="00CC2FF6">
              <w:rPr>
                <w:sz w:val="20"/>
                <w:szCs w:val="20"/>
              </w:rPr>
              <w:t xml:space="preserve">2014 </w:t>
            </w:r>
          </w:p>
        </w:tc>
      </w:tr>
      <w:tr w:rsidR="00EA6BEA" w:rsidRPr="00CC2FF6" w14:paraId="7E074993" w14:textId="77777777" w:rsidTr="00811281">
        <w:tc>
          <w:tcPr>
            <w:cnfStyle w:val="001000000000" w:firstRow="0" w:lastRow="0" w:firstColumn="1" w:lastColumn="0" w:oddVBand="0" w:evenVBand="0" w:oddHBand="0" w:evenHBand="0" w:firstRowFirstColumn="0" w:firstRowLastColumn="0" w:lastRowFirstColumn="0" w:lastRowLastColumn="0"/>
            <w:tcW w:w="1890" w:type="dxa"/>
            <w:tcBorders>
              <w:right w:val="none" w:sz="0" w:space="0" w:color="auto"/>
            </w:tcBorders>
          </w:tcPr>
          <w:p w14:paraId="553093D0" w14:textId="77777777" w:rsidR="00F32730" w:rsidRPr="00CC2FF6" w:rsidRDefault="00EA6BEA" w:rsidP="00F84914">
            <w:pPr>
              <w:spacing w:after="120"/>
              <w:jc w:val="left"/>
              <w:rPr>
                <w:b w:val="0"/>
                <w:bCs w:val="0"/>
                <w:caps w:val="0"/>
                <w:sz w:val="20"/>
                <w:szCs w:val="20"/>
              </w:rPr>
            </w:pPr>
            <w:r w:rsidRPr="00CC2FF6">
              <w:rPr>
                <w:sz w:val="20"/>
                <w:szCs w:val="20"/>
              </w:rPr>
              <w:t>Implementation</w:t>
            </w:r>
          </w:p>
        </w:tc>
        <w:tc>
          <w:tcPr>
            <w:tcW w:w="2430" w:type="dxa"/>
          </w:tcPr>
          <w:p w14:paraId="43A36968" w14:textId="42E79586" w:rsidR="00F32730" w:rsidRPr="00CC2FF6" w:rsidRDefault="009B4D26" w:rsidP="00040025">
            <w:pPr>
              <w:spacing w:after="120"/>
              <w:jc w:val="left"/>
              <w:cnfStyle w:val="000000000000" w:firstRow="0" w:lastRow="0" w:firstColumn="0" w:lastColumn="0" w:oddVBand="0" w:evenVBand="0" w:oddHBand="0" w:evenHBand="0" w:firstRowFirstColumn="0" w:firstRowLastColumn="0" w:lastRowFirstColumn="0" w:lastRowLastColumn="0"/>
              <w:rPr>
                <w:sz w:val="20"/>
                <w:szCs w:val="20"/>
              </w:rPr>
            </w:pPr>
            <w:r w:rsidRPr="00CC2FF6">
              <w:rPr>
                <w:sz w:val="20"/>
                <w:szCs w:val="20"/>
              </w:rPr>
              <w:t>Implemented by states</w:t>
            </w:r>
          </w:p>
        </w:tc>
        <w:tc>
          <w:tcPr>
            <w:tcW w:w="2610" w:type="dxa"/>
          </w:tcPr>
          <w:p w14:paraId="6F0F8243" w14:textId="718EBAE9" w:rsidR="00F32730" w:rsidRPr="00CC2FF6" w:rsidRDefault="00EA6BEA" w:rsidP="00275FAF">
            <w:pPr>
              <w:spacing w:after="120"/>
              <w:jc w:val="left"/>
              <w:cnfStyle w:val="000000000000" w:firstRow="0" w:lastRow="0" w:firstColumn="0" w:lastColumn="0" w:oddVBand="0" w:evenVBand="0" w:oddHBand="0" w:evenHBand="0" w:firstRowFirstColumn="0" w:firstRowLastColumn="0" w:lastRowFirstColumn="0" w:lastRowLastColumn="0"/>
              <w:rPr>
                <w:rFonts w:eastAsiaTheme="majorEastAsia" w:cstheme="majorBidi"/>
                <w:i/>
                <w:iCs/>
                <w:color w:val="272727" w:themeColor="text1" w:themeTint="D8"/>
                <w:sz w:val="20"/>
                <w:szCs w:val="20"/>
              </w:rPr>
            </w:pPr>
            <w:r w:rsidRPr="00CC2FF6">
              <w:rPr>
                <w:sz w:val="20"/>
                <w:szCs w:val="20"/>
              </w:rPr>
              <w:t xml:space="preserve">Implemented by states </w:t>
            </w:r>
          </w:p>
        </w:tc>
        <w:tc>
          <w:tcPr>
            <w:tcW w:w="2430" w:type="dxa"/>
          </w:tcPr>
          <w:p w14:paraId="4105291E" w14:textId="0F383529" w:rsidR="00F32730" w:rsidRPr="00CC2FF6" w:rsidRDefault="0058736C" w:rsidP="003745A9">
            <w:pPr>
              <w:spacing w:after="120"/>
              <w:jc w:val="left"/>
              <w:cnfStyle w:val="000000000000" w:firstRow="0" w:lastRow="0" w:firstColumn="0" w:lastColumn="0" w:oddVBand="0" w:evenVBand="0" w:oddHBand="0" w:evenHBand="0" w:firstRowFirstColumn="0" w:firstRowLastColumn="0" w:lastRowFirstColumn="0" w:lastRowLastColumn="0"/>
              <w:rPr>
                <w:rFonts w:eastAsiaTheme="majorEastAsia" w:cstheme="majorBidi"/>
                <w:i/>
                <w:iCs/>
                <w:color w:val="272727" w:themeColor="text1" w:themeTint="D8"/>
                <w:sz w:val="20"/>
                <w:szCs w:val="20"/>
              </w:rPr>
            </w:pPr>
            <w:r w:rsidRPr="00CC2FF6">
              <w:rPr>
                <w:sz w:val="20"/>
                <w:szCs w:val="20"/>
              </w:rPr>
              <w:t>Federally i</w:t>
            </w:r>
            <w:r w:rsidR="00EA6BEA" w:rsidRPr="00CC2FF6">
              <w:rPr>
                <w:sz w:val="20"/>
                <w:szCs w:val="20"/>
              </w:rPr>
              <w:t>mplemented</w:t>
            </w:r>
            <w:r w:rsidRPr="00CC2FF6">
              <w:rPr>
                <w:sz w:val="20"/>
                <w:szCs w:val="20"/>
              </w:rPr>
              <w:t>, but</w:t>
            </w:r>
            <w:r w:rsidR="00EA6BEA" w:rsidRPr="00CC2FF6">
              <w:rPr>
                <w:sz w:val="20"/>
                <w:szCs w:val="20"/>
              </w:rPr>
              <w:t xml:space="preserve"> states</w:t>
            </w:r>
            <w:r w:rsidRPr="00CC2FF6">
              <w:rPr>
                <w:sz w:val="20"/>
                <w:szCs w:val="20"/>
              </w:rPr>
              <w:t xml:space="preserve"> </w:t>
            </w:r>
            <w:r w:rsidR="00616A4D" w:rsidRPr="00CC2FF6">
              <w:rPr>
                <w:sz w:val="20"/>
                <w:szCs w:val="20"/>
              </w:rPr>
              <w:t xml:space="preserve">have option to </w:t>
            </w:r>
            <w:r w:rsidRPr="00CC2FF6">
              <w:rPr>
                <w:sz w:val="20"/>
                <w:szCs w:val="20"/>
              </w:rPr>
              <w:t xml:space="preserve">implement </w:t>
            </w:r>
          </w:p>
        </w:tc>
      </w:tr>
      <w:tr w:rsidR="00EA6BEA" w:rsidRPr="00CC2FF6" w14:paraId="6C437DF4" w14:textId="77777777" w:rsidTr="008112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0" w:type="dxa"/>
            <w:tcBorders>
              <w:bottom w:val="single" w:sz="12" w:space="0" w:color="auto"/>
              <w:right w:val="none" w:sz="0" w:space="0" w:color="auto"/>
            </w:tcBorders>
          </w:tcPr>
          <w:p w14:paraId="789E78E5" w14:textId="77777777" w:rsidR="00F32730" w:rsidRPr="00CC2FF6" w:rsidRDefault="00EA6BEA" w:rsidP="00F84914">
            <w:pPr>
              <w:spacing w:after="120"/>
              <w:jc w:val="left"/>
              <w:rPr>
                <w:b w:val="0"/>
                <w:bCs w:val="0"/>
                <w:caps w:val="0"/>
                <w:sz w:val="20"/>
                <w:szCs w:val="20"/>
              </w:rPr>
            </w:pPr>
            <w:r w:rsidRPr="00CC2FF6">
              <w:rPr>
                <w:sz w:val="20"/>
                <w:szCs w:val="20"/>
              </w:rPr>
              <w:t>Timeframe for compliance</w:t>
            </w:r>
          </w:p>
        </w:tc>
        <w:tc>
          <w:tcPr>
            <w:tcW w:w="2430" w:type="dxa"/>
            <w:tcBorders>
              <w:bottom w:val="single" w:sz="12" w:space="0" w:color="auto"/>
            </w:tcBorders>
          </w:tcPr>
          <w:p w14:paraId="7290E9FE" w14:textId="77777777" w:rsidR="00F32730" w:rsidRPr="00CC2FF6" w:rsidRDefault="009B4D26" w:rsidP="00040025">
            <w:pPr>
              <w:spacing w:after="120"/>
              <w:jc w:val="left"/>
              <w:cnfStyle w:val="000000100000" w:firstRow="0" w:lastRow="0" w:firstColumn="0" w:lastColumn="0" w:oddVBand="0" w:evenVBand="0" w:oddHBand="1" w:evenHBand="0" w:firstRowFirstColumn="0" w:firstRowLastColumn="0" w:lastRowFirstColumn="0" w:lastRowLastColumn="0"/>
              <w:rPr>
                <w:sz w:val="20"/>
                <w:szCs w:val="20"/>
              </w:rPr>
            </w:pPr>
            <w:r w:rsidRPr="00CC2FF6">
              <w:rPr>
                <w:sz w:val="20"/>
                <w:szCs w:val="20"/>
              </w:rPr>
              <w:t>8 years</w:t>
            </w:r>
          </w:p>
        </w:tc>
        <w:tc>
          <w:tcPr>
            <w:tcW w:w="2610" w:type="dxa"/>
            <w:tcBorders>
              <w:bottom w:val="single" w:sz="12" w:space="0" w:color="auto"/>
            </w:tcBorders>
          </w:tcPr>
          <w:p w14:paraId="3C6D9867" w14:textId="77777777" w:rsidR="00F32730" w:rsidRPr="00CC2FF6" w:rsidRDefault="00EA6BEA" w:rsidP="00275FAF">
            <w:pPr>
              <w:spacing w:after="120"/>
              <w:jc w:val="left"/>
              <w:cnfStyle w:val="000000100000" w:firstRow="0" w:lastRow="0" w:firstColumn="0" w:lastColumn="0" w:oddVBand="0" w:evenVBand="0" w:oddHBand="1" w:evenHBand="0" w:firstRowFirstColumn="0" w:firstRowLastColumn="0" w:lastRowFirstColumn="0" w:lastRowLastColumn="0"/>
              <w:rPr>
                <w:sz w:val="20"/>
                <w:szCs w:val="20"/>
              </w:rPr>
            </w:pPr>
            <w:r w:rsidRPr="00CC2FF6">
              <w:rPr>
                <w:sz w:val="20"/>
                <w:szCs w:val="20"/>
              </w:rPr>
              <w:t>10+ years</w:t>
            </w:r>
          </w:p>
        </w:tc>
        <w:tc>
          <w:tcPr>
            <w:tcW w:w="2430" w:type="dxa"/>
            <w:tcBorders>
              <w:bottom w:val="single" w:sz="12" w:space="0" w:color="auto"/>
            </w:tcBorders>
          </w:tcPr>
          <w:p w14:paraId="537C8D3F" w14:textId="347547DA" w:rsidR="00F32730" w:rsidRPr="00CC2FF6" w:rsidRDefault="00616A4D" w:rsidP="00FC39FE">
            <w:pPr>
              <w:spacing w:after="120"/>
              <w:jc w:val="left"/>
              <w:cnfStyle w:val="000000100000" w:firstRow="0" w:lastRow="0" w:firstColumn="0" w:lastColumn="0" w:oddVBand="0" w:evenVBand="0" w:oddHBand="1" w:evenHBand="0" w:firstRowFirstColumn="0" w:firstRowLastColumn="0" w:lastRowFirstColumn="0" w:lastRowLastColumn="0"/>
              <w:rPr>
                <w:rFonts w:eastAsiaTheme="majorEastAsia" w:cstheme="majorBidi"/>
                <w:i/>
                <w:iCs/>
                <w:color w:val="272727" w:themeColor="text1" w:themeTint="D8"/>
                <w:sz w:val="20"/>
                <w:szCs w:val="20"/>
              </w:rPr>
            </w:pPr>
            <w:r w:rsidRPr="00CC2FF6">
              <w:rPr>
                <w:sz w:val="20"/>
                <w:szCs w:val="20"/>
              </w:rPr>
              <w:t>Ph</w:t>
            </w:r>
            <w:r w:rsidR="00CC2FF6">
              <w:rPr>
                <w:sz w:val="20"/>
                <w:szCs w:val="20"/>
              </w:rPr>
              <w:t>ase 1 starting in 2012, Phase 2</w:t>
            </w:r>
            <w:r w:rsidRPr="00CC2FF6">
              <w:rPr>
                <w:sz w:val="20"/>
                <w:szCs w:val="20"/>
              </w:rPr>
              <w:t>starting in 2014.</w:t>
            </w:r>
          </w:p>
        </w:tc>
      </w:tr>
    </w:tbl>
    <w:p w14:paraId="1E2A57BE" w14:textId="3B4B1D7A" w:rsidR="00F32730" w:rsidRPr="00B12DA8" w:rsidRDefault="00CA39A6" w:rsidP="00FC39FE">
      <w:pPr>
        <w:spacing w:line="276" w:lineRule="auto"/>
        <w:rPr>
          <w:i/>
        </w:rPr>
      </w:pPr>
      <w:r w:rsidRPr="00B12DA8">
        <w:rPr>
          <w:i/>
        </w:rPr>
        <w:t>CATEGORY #3: Multi-Sector Boiler or Engine-Level Emission Rate Limits</w:t>
      </w:r>
    </w:p>
    <w:p w14:paraId="164DCF3A" w14:textId="319A39AD" w:rsidR="00536609" w:rsidRPr="00564B9C" w:rsidRDefault="004D35C2" w:rsidP="00FC39FE">
      <w:pPr>
        <w:spacing w:line="276" w:lineRule="auto"/>
      </w:pPr>
      <w:r w:rsidRPr="00B12DA8">
        <w:t>Th</w:t>
      </w:r>
      <w:r w:rsidR="002A6C24" w:rsidRPr="00B12DA8">
        <w:t>e</w:t>
      </w:r>
      <w:r w:rsidRPr="00B12DA8">
        <w:t>s</w:t>
      </w:r>
      <w:r w:rsidR="002A6C24" w:rsidRPr="00B12DA8">
        <w:t>e</w:t>
      </w:r>
      <w:r w:rsidRPr="00B12DA8">
        <w:t xml:space="preserve"> regulations</w:t>
      </w:r>
      <w:r w:rsidR="00EA6BEA" w:rsidRPr="00B12DA8">
        <w:t xml:space="preserve"> are usually </w:t>
      </w:r>
      <w:r w:rsidRPr="00B12DA8">
        <w:t xml:space="preserve">federally set </w:t>
      </w:r>
      <w:r w:rsidR="00EA6BEA" w:rsidRPr="00B12DA8">
        <w:t xml:space="preserve">rate-based emission limits but </w:t>
      </w:r>
      <w:r w:rsidR="001610E3">
        <w:t xml:space="preserve">are </w:t>
      </w:r>
      <w:r w:rsidR="00EA6BEA" w:rsidRPr="00B12DA8">
        <w:t xml:space="preserve">applied to </w:t>
      </w:r>
      <w:r w:rsidR="00226A9D" w:rsidRPr="00B12DA8">
        <w:t xml:space="preserve">a disparate </w:t>
      </w:r>
      <w:r w:rsidR="00663B09">
        <w:t>set</w:t>
      </w:r>
      <w:r w:rsidR="00226A9D" w:rsidRPr="00B12DA8">
        <w:t xml:space="preserve"> of </w:t>
      </w:r>
      <w:r w:rsidR="00EA6BEA" w:rsidRPr="00B12DA8">
        <w:t xml:space="preserve">boilers or engines </w:t>
      </w:r>
      <w:r w:rsidRPr="00B12DA8">
        <w:t xml:space="preserve">used </w:t>
      </w:r>
      <w:r w:rsidR="00EA6BEA" w:rsidRPr="00B12DA8">
        <w:t xml:space="preserve">across multiple sectors. These </w:t>
      </w:r>
      <w:r w:rsidR="001610E3" w:rsidRPr="00B12DA8">
        <w:t>r</w:t>
      </w:r>
      <w:r w:rsidR="001610E3">
        <w:t xml:space="preserve">egulations </w:t>
      </w:r>
      <w:r w:rsidR="00EA6BEA" w:rsidRPr="00B12DA8">
        <w:t xml:space="preserve">are typically national in scope and have large aggregate compliance costs due to the large number of units to which </w:t>
      </w:r>
      <w:r w:rsidRPr="00564B9C">
        <w:t xml:space="preserve">the </w:t>
      </w:r>
      <w:r w:rsidR="00EA6BEA" w:rsidRPr="00564B9C">
        <w:t xml:space="preserve">emission </w:t>
      </w:r>
      <w:r w:rsidRPr="00564B9C">
        <w:t xml:space="preserve">rate limits </w:t>
      </w:r>
      <w:r w:rsidR="00EA6BEA" w:rsidRPr="00564B9C">
        <w:t xml:space="preserve">apply. The compliance time is typically </w:t>
      </w:r>
      <w:r w:rsidR="004C132D">
        <w:t>five</w:t>
      </w:r>
      <w:r w:rsidR="00EA6BEA" w:rsidRPr="00564B9C">
        <w:t xml:space="preserve"> years or less from promulgation.</w:t>
      </w:r>
      <w:r w:rsidRPr="00564B9C">
        <w:t xml:space="preserve"> </w:t>
      </w:r>
      <w:r w:rsidR="00536609" w:rsidRPr="00564B9C">
        <w:t xml:space="preserve">Examples of regulations that fall into this category are presented in Table </w:t>
      </w:r>
      <w:r w:rsidR="003866B8" w:rsidRPr="00564B9C">
        <w:t>5</w:t>
      </w:r>
      <w:r w:rsidR="00251C96" w:rsidRPr="00564B9C">
        <w:t xml:space="preserve"> </w:t>
      </w:r>
      <w:r w:rsidR="00536609" w:rsidRPr="00564B9C">
        <w:t>along with a description of key attributes.</w:t>
      </w:r>
    </w:p>
    <w:p w14:paraId="0EDDD42E" w14:textId="77777777" w:rsidR="009467AB" w:rsidRDefault="009467AB" w:rsidP="0063139D">
      <w:pPr>
        <w:spacing w:line="240" w:lineRule="auto"/>
        <w:jc w:val="left"/>
        <w:rPr>
          <w:b/>
        </w:rPr>
      </w:pPr>
    </w:p>
    <w:p w14:paraId="3595BF51" w14:textId="1558D500" w:rsidR="00EA6BEA" w:rsidRPr="00564B9C" w:rsidRDefault="00EA6BEA" w:rsidP="0063139D">
      <w:pPr>
        <w:spacing w:line="240" w:lineRule="auto"/>
        <w:jc w:val="left"/>
      </w:pPr>
      <w:r w:rsidRPr="00564B9C">
        <w:rPr>
          <w:b/>
        </w:rPr>
        <w:t xml:space="preserve">Table </w:t>
      </w:r>
      <w:r w:rsidR="003866B8" w:rsidRPr="00564B9C">
        <w:rPr>
          <w:b/>
        </w:rPr>
        <w:t>5</w:t>
      </w:r>
      <w:r w:rsidRPr="00564B9C">
        <w:rPr>
          <w:b/>
        </w:rPr>
        <w:t>: Examples of Multi-Sector Boiler or Engine-Level Emission Rate Limits</w:t>
      </w:r>
    </w:p>
    <w:tbl>
      <w:tblPr>
        <w:tblStyle w:val="PlainTable31"/>
        <w:tblW w:w="5000" w:type="pct"/>
        <w:tblLook w:val="04A0" w:firstRow="1" w:lastRow="0" w:firstColumn="1" w:lastColumn="0" w:noHBand="0" w:noVBand="1"/>
      </w:tblPr>
      <w:tblGrid>
        <w:gridCol w:w="1933"/>
        <w:gridCol w:w="3737"/>
        <w:gridCol w:w="3690"/>
      </w:tblGrid>
      <w:tr w:rsidR="000B1B6B" w:rsidRPr="00CC2FF6" w14:paraId="1EDAF994" w14:textId="77777777" w:rsidTr="00BF483F">
        <w:trPr>
          <w:cnfStyle w:val="100000000000" w:firstRow="1" w:lastRow="0" w:firstColumn="0" w:lastColumn="0" w:oddVBand="0" w:evenVBand="0" w:oddHBand="0" w:evenHBand="0" w:firstRowFirstColumn="0" w:firstRowLastColumn="0" w:lastRowFirstColumn="0" w:lastRowLastColumn="0"/>
          <w:trHeight w:val="663"/>
        </w:trPr>
        <w:tc>
          <w:tcPr>
            <w:cnfStyle w:val="001000000100" w:firstRow="0" w:lastRow="0" w:firstColumn="1" w:lastColumn="0" w:oddVBand="0" w:evenVBand="0" w:oddHBand="0" w:evenHBand="0" w:firstRowFirstColumn="1" w:firstRowLastColumn="0" w:lastRowFirstColumn="0" w:lastRowLastColumn="0"/>
            <w:tcW w:w="1033" w:type="pct"/>
            <w:tcBorders>
              <w:top w:val="single" w:sz="12" w:space="0" w:color="auto"/>
              <w:bottom w:val="single" w:sz="12" w:space="0" w:color="auto"/>
            </w:tcBorders>
          </w:tcPr>
          <w:p w14:paraId="4CD95314" w14:textId="77777777" w:rsidR="000B1B6B" w:rsidRPr="00CC2FF6" w:rsidRDefault="000B1B6B" w:rsidP="00F84914">
            <w:pPr>
              <w:jc w:val="left"/>
              <w:rPr>
                <w:b w:val="0"/>
                <w:bCs w:val="0"/>
                <w:caps w:val="0"/>
                <w:sz w:val="20"/>
                <w:szCs w:val="20"/>
              </w:rPr>
            </w:pPr>
            <w:r w:rsidRPr="00CC2FF6">
              <w:rPr>
                <w:sz w:val="20"/>
                <w:szCs w:val="20"/>
              </w:rPr>
              <w:t>Attribute</w:t>
            </w:r>
          </w:p>
        </w:tc>
        <w:tc>
          <w:tcPr>
            <w:tcW w:w="1996" w:type="pct"/>
            <w:tcBorders>
              <w:top w:val="single" w:sz="12" w:space="0" w:color="auto"/>
              <w:bottom w:val="single" w:sz="12" w:space="0" w:color="auto"/>
            </w:tcBorders>
          </w:tcPr>
          <w:p w14:paraId="02DF5D36" w14:textId="6B791BA8" w:rsidR="000B1B6B" w:rsidRPr="00CC2FF6" w:rsidRDefault="006F3DD1" w:rsidP="00EC1A7A">
            <w:pPr>
              <w:jc w:val="left"/>
              <w:cnfStyle w:val="100000000000" w:firstRow="1" w:lastRow="0" w:firstColumn="0" w:lastColumn="0" w:oddVBand="0" w:evenVBand="0" w:oddHBand="0" w:evenHBand="0" w:firstRowFirstColumn="0" w:firstRowLastColumn="0" w:lastRowFirstColumn="0" w:lastRowLastColumn="0"/>
              <w:rPr>
                <w:sz w:val="20"/>
                <w:szCs w:val="20"/>
              </w:rPr>
            </w:pPr>
            <w:r w:rsidRPr="00CC2FF6">
              <w:rPr>
                <w:sz w:val="20"/>
                <w:szCs w:val="20"/>
              </w:rPr>
              <w:t xml:space="preserve">national emission standards for Boilers </w:t>
            </w:r>
            <w:r w:rsidR="000B1B6B" w:rsidRPr="00CC2FF6">
              <w:rPr>
                <w:sz w:val="20"/>
                <w:szCs w:val="20"/>
              </w:rPr>
              <w:t>(major sources)</w:t>
            </w:r>
            <w:r w:rsidR="000B1B6B" w:rsidRPr="00CC2FF6">
              <w:rPr>
                <w:rStyle w:val="FootnoteReference"/>
                <w:sz w:val="20"/>
                <w:szCs w:val="20"/>
              </w:rPr>
              <w:footnoteReference w:id="17"/>
            </w:r>
          </w:p>
          <w:p w14:paraId="4854F923" w14:textId="3727F9EF" w:rsidR="00AF4F14" w:rsidRPr="00CC2FF6" w:rsidRDefault="00AF4F14" w:rsidP="00040025">
            <w:pPr>
              <w:jc w:val="left"/>
              <w:cnfStyle w:val="100000000000" w:firstRow="1" w:lastRow="0" w:firstColumn="0" w:lastColumn="0" w:oddVBand="0" w:evenVBand="0" w:oddHBand="0" w:evenHBand="0" w:firstRowFirstColumn="0" w:firstRowLastColumn="0" w:lastRowFirstColumn="0" w:lastRowLastColumn="0"/>
              <w:rPr>
                <w:rFonts w:eastAsiaTheme="majorEastAsia" w:cstheme="majorBidi"/>
                <w:b w:val="0"/>
                <w:bCs w:val="0"/>
                <w:i/>
                <w:iCs/>
                <w:caps w:val="0"/>
                <w:color w:val="272727" w:themeColor="text1" w:themeTint="D8"/>
                <w:sz w:val="20"/>
                <w:szCs w:val="20"/>
              </w:rPr>
            </w:pPr>
            <w:r w:rsidRPr="00CC2FF6">
              <w:rPr>
                <w:sz w:val="20"/>
                <w:szCs w:val="20"/>
              </w:rPr>
              <w:t>(</w:t>
            </w:r>
            <w:r w:rsidR="0067592A" w:rsidRPr="00CC2FF6">
              <w:rPr>
                <w:sz w:val="20"/>
                <w:szCs w:val="20"/>
              </w:rPr>
              <w:t>201</w:t>
            </w:r>
            <w:r w:rsidR="00E248F3" w:rsidRPr="00CC2FF6">
              <w:rPr>
                <w:sz w:val="20"/>
                <w:szCs w:val="20"/>
              </w:rPr>
              <w:t>1</w:t>
            </w:r>
            <w:r w:rsidR="00815FD4" w:rsidRPr="00CC2FF6">
              <w:rPr>
                <w:caps w:val="0"/>
                <w:sz w:val="20"/>
                <w:szCs w:val="20"/>
              </w:rPr>
              <w:t>d</w:t>
            </w:r>
            <w:r w:rsidRPr="00CC2FF6">
              <w:rPr>
                <w:sz w:val="20"/>
                <w:szCs w:val="20"/>
              </w:rPr>
              <w:t>)</w:t>
            </w:r>
          </w:p>
        </w:tc>
        <w:tc>
          <w:tcPr>
            <w:tcW w:w="1971" w:type="pct"/>
            <w:tcBorders>
              <w:top w:val="single" w:sz="12" w:space="0" w:color="auto"/>
              <w:bottom w:val="single" w:sz="12" w:space="0" w:color="auto"/>
            </w:tcBorders>
          </w:tcPr>
          <w:p w14:paraId="230C02FA" w14:textId="3A6B3ED1" w:rsidR="000B1B6B" w:rsidRPr="00CC2FF6" w:rsidRDefault="006F3DD1" w:rsidP="006F3DD1">
            <w:pPr>
              <w:jc w:val="left"/>
              <w:cnfStyle w:val="100000000000" w:firstRow="1" w:lastRow="0" w:firstColumn="0" w:lastColumn="0" w:oddVBand="0" w:evenVBand="0" w:oddHBand="0" w:evenHBand="0" w:firstRowFirstColumn="0" w:firstRowLastColumn="0" w:lastRowFirstColumn="0" w:lastRowLastColumn="0"/>
              <w:rPr>
                <w:rFonts w:eastAsiaTheme="majorEastAsia" w:cstheme="majorBidi"/>
                <w:b w:val="0"/>
                <w:bCs w:val="0"/>
                <w:i/>
                <w:iCs/>
                <w:caps w:val="0"/>
                <w:color w:val="272727" w:themeColor="text1" w:themeTint="D8"/>
                <w:sz w:val="20"/>
                <w:szCs w:val="20"/>
              </w:rPr>
            </w:pPr>
            <w:r w:rsidRPr="00CC2FF6">
              <w:rPr>
                <w:sz w:val="20"/>
                <w:szCs w:val="20"/>
              </w:rPr>
              <w:t xml:space="preserve">national emission standards for </w:t>
            </w:r>
            <w:r w:rsidR="001C7AC2" w:rsidRPr="00CC2FF6">
              <w:rPr>
                <w:sz w:val="20"/>
                <w:szCs w:val="20"/>
              </w:rPr>
              <w:t xml:space="preserve">stationary </w:t>
            </w:r>
            <w:r w:rsidR="001C7AC2" w:rsidRPr="00CC2FF6">
              <w:rPr>
                <w:rFonts w:eastAsia="Times New Roman" w:cs="Calibri"/>
                <w:sz w:val="20"/>
                <w:szCs w:val="20"/>
              </w:rPr>
              <w:t xml:space="preserve">Internal combustion engines </w:t>
            </w:r>
            <w:r w:rsidR="00AF4F14" w:rsidRPr="00CC2FF6">
              <w:rPr>
                <w:rFonts w:eastAsia="Times New Roman" w:cs="Calibri"/>
                <w:sz w:val="20"/>
                <w:szCs w:val="20"/>
              </w:rPr>
              <w:t>(</w:t>
            </w:r>
            <w:r w:rsidR="00D30BDC" w:rsidRPr="00CC2FF6">
              <w:rPr>
                <w:rFonts w:eastAsia="Times New Roman" w:cs="Calibri"/>
                <w:sz w:val="20"/>
                <w:szCs w:val="20"/>
              </w:rPr>
              <w:t>2013</w:t>
            </w:r>
            <w:r w:rsidR="002D02DD" w:rsidRPr="00CC2FF6">
              <w:rPr>
                <w:rFonts w:eastAsia="Times New Roman" w:cs="Calibri"/>
                <w:caps w:val="0"/>
                <w:sz w:val="20"/>
                <w:szCs w:val="20"/>
              </w:rPr>
              <w:t>b</w:t>
            </w:r>
            <w:r w:rsidR="00AF4F14" w:rsidRPr="00CC2FF6">
              <w:rPr>
                <w:rFonts w:eastAsia="Times New Roman" w:cs="Calibri"/>
                <w:sz w:val="20"/>
                <w:szCs w:val="20"/>
              </w:rPr>
              <w:t>)</w:t>
            </w:r>
          </w:p>
        </w:tc>
      </w:tr>
      <w:tr w:rsidR="000B1B6B" w:rsidRPr="00CC2FF6" w14:paraId="1710C3D0" w14:textId="77777777" w:rsidTr="00BF48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3" w:type="pct"/>
            <w:tcBorders>
              <w:top w:val="single" w:sz="12" w:space="0" w:color="auto"/>
            </w:tcBorders>
          </w:tcPr>
          <w:p w14:paraId="51A5648D" w14:textId="77777777" w:rsidR="000B1B6B" w:rsidRPr="00CC2FF6" w:rsidRDefault="000B1B6B" w:rsidP="00F84914">
            <w:pPr>
              <w:spacing w:after="120"/>
              <w:jc w:val="left"/>
              <w:rPr>
                <w:b w:val="0"/>
                <w:bCs w:val="0"/>
                <w:caps w:val="0"/>
                <w:sz w:val="20"/>
                <w:szCs w:val="20"/>
              </w:rPr>
            </w:pPr>
            <w:r w:rsidRPr="00CC2FF6">
              <w:rPr>
                <w:sz w:val="20"/>
                <w:szCs w:val="20"/>
              </w:rPr>
              <w:t>Form of standard</w:t>
            </w:r>
          </w:p>
        </w:tc>
        <w:tc>
          <w:tcPr>
            <w:tcW w:w="1996" w:type="pct"/>
            <w:tcBorders>
              <w:top w:val="single" w:sz="12" w:space="0" w:color="auto"/>
            </w:tcBorders>
          </w:tcPr>
          <w:p w14:paraId="0CD2318B" w14:textId="5790F4BC" w:rsidR="000B1B6B" w:rsidRPr="00CC2FF6" w:rsidRDefault="000B1B6B" w:rsidP="00040025">
            <w:pPr>
              <w:spacing w:after="120"/>
              <w:jc w:val="left"/>
              <w:cnfStyle w:val="000000100000" w:firstRow="0" w:lastRow="0" w:firstColumn="0" w:lastColumn="0" w:oddVBand="0" w:evenVBand="0" w:oddHBand="1" w:evenHBand="0" w:firstRowFirstColumn="0" w:firstRowLastColumn="0" w:lastRowFirstColumn="0" w:lastRowLastColumn="0"/>
              <w:rPr>
                <w:sz w:val="20"/>
                <w:szCs w:val="20"/>
              </w:rPr>
            </w:pPr>
            <w:r w:rsidRPr="00CC2FF6">
              <w:rPr>
                <w:sz w:val="20"/>
                <w:szCs w:val="20"/>
              </w:rPr>
              <w:t>Separate air toxics standards for new and existing i</w:t>
            </w:r>
            <w:r w:rsidRPr="00CC2FF6">
              <w:rPr>
                <w:rFonts w:eastAsia="Times New Roman" w:cs="Calibri"/>
                <w:sz w:val="20"/>
                <w:szCs w:val="20"/>
              </w:rPr>
              <w:t>ndustrial, commercial, and institutional boilers and process heaters</w:t>
            </w:r>
          </w:p>
        </w:tc>
        <w:tc>
          <w:tcPr>
            <w:tcW w:w="1971" w:type="pct"/>
            <w:tcBorders>
              <w:top w:val="single" w:sz="12" w:space="0" w:color="auto"/>
            </w:tcBorders>
          </w:tcPr>
          <w:p w14:paraId="2C821FF5" w14:textId="1E6D6D6C" w:rsidR="000B1B6B" w:rsidRPr="00CC2FF6" w:rsidRDefault="000B1B6B" w:rsidP="00275FAF">
            <w:pPr>
              <w:spacing w:after="120"/>
              <w:jc w:val="left"/>
              <w:cnfStyle w:val="000000100000" w:firstRow="0" w:lastRow="0" w:firstColumn="0" w:lastColumn="0" w:oddVBand="0" w:evenVBand="0" w:oddHBand="1" w:evenHBand="0" w:firstRowFirstColumn="0" w:firstRowLastColumn="0" w:lastRowFirstColumn="0" w:lastRowLastColumn="0"/>
              <w:rPr>
                <w:sz w:val="20"/>
                <w:szCs w:val="20"/>
              </w:rPr>
            </w:pPr>
            <w:r w:rsidRPr="00CC2FF6">
              <w:rPr>
                <w:rFonts w:eastAsia="Times New Roman" w:cs="Calibri"/>
                <w:sz w:val="20"/>
                <w:szCs w:val="20"/>
              </w:rPr>
              <w:t>National emission standards for hazardous air pollutants for existing stationary spark-ignition (SI) reciprocating internal combustion engines (RICE)</w:t>
            </w:r>
          </w:p>
        </w:tc>
      </w:tr>
      <w:tr w:rsidR="000B1B6B" w:rsidRPr="00CC2FF6" w14:paraId="61D540CE" w14:textId="77777777" w:rsidTr="00BF483F">
        <w:tc>
          <w:tcPr>
            <w:cnfStyle w:val="001000000000" w:firstRow="0" w:lastRow="0" w:firstColumn="1" w:lastColumn="0" w:oddVBand="0" w:evenVBand="0" w:oddHBand="0" w:evenHBand="0" w:firstRowFirstColumn="0" w:firstRowLastColumn="0" w:lastRowFirstColumn="0" w:lastRowLastColumn="0"/>
            <w:tcW w:w="1033" w:type="pct"/>
          </w:tcPr>
          <w:p w14:paraId="7934B2D0" w14:textId="77777777" w:rsidR="000B1B6B" w:rsidRPr="00CC2FF6" w:rsidRDefault="000B1B6B" w:rsidP="00F84914">
            <w:pPr>
              <w:spacing w:after="120"/>
              <w:jc w:val="left"/>
              <w:rPr>
                <w:sz w:val="20"/>
                <w:szCs w:val="20"/>
              </w:rPr>
            </w:pPr>
            <w:r w:rsidRPr="00CC2FF6">
              <w:rPr>
                <w:sz w:val="20"/>
                <w:szCs w:val="20"/>
              </w:rPr>
              <w:t>Methods of compliance</w:t>
            </w:r>
          </w:p>
        </w:tc>
        <w:tc>
          <w:tcPr>
            <w:tcW w:w="1996" w:type="pct"/>
          </w:tcPr>
          <w:p w14:paraId="683F1380" w14:textId="207A3CF3" w:rsidR="000B1B6B" w:rsidRPr="00CC2FF6" w:rsidRDefault="000B1B6B" w:rsidP="00C555AF">
            <w:pPr>
              <w:spacing w:after="120"/>
              <w:jc w:val="left"/>
              <w:cnfStyle w:val="000000000000" w:firstRow="0" w:lastRow="0" w:firstColumn="0" w:lastColumn="0" w:oddVBand="0" w:evenVBand="0" w:oddHBand="0" w:evenHBand="0" w:firstRowFirstColumn="0" w:firstRowLastColumn="0" w:lastRowFirstColumn="0" w:lastRowLastColumn="0"/>
              <w:rPr>
                <w:sz w:val="20"/>
                <w:szCs w:val="20"/>
              </w:rPr>
            </w:pPr>
            <w:r w:rsidRPr="00CC2FF6">
              <w:rPr>
                <w:sz w:val="20"/>
                <w:szCs w:val="20"/>
              </w:rPr>
              <w:t xml:space="preserve">Flexibility in </w:t>
            </w:r>
            <w:r w:rsidR="0020443F" w:rsidRPr="00CC2FF6">
              <w:rPr>
                <w:sz w:val="20"/>
                <w:szCs w:val="20"/>
              </w:rPr>
              <w:t xml:space="preserve">compliance </w:t>
            </w:r>
            <w:r w:rsidR="00C555AF" w:rsidRPr="00CC2FF6">
              <w:rPr>
                <w:sz w:val="20"/>
                <w:szCs w:val="20"/>
              </w:rPr>
              <w:t xml:space="preserve">method; </w:t>
            </w:r>
            <w:r w:rsidRPr="00CC2FF6">
              <w:rPr>
                <w:sz w:val="20"/>
                <w:szCs w:val="20"/>
              </w:rPr>
              <w:t>expect mostly installation and operation of capital equipment</w:t>
            </w:r>
            <w:r w:rsidR="00334FFC" w:rsidRPr="00CC2FF6">
              <w:rPr>
                <w:sz w:val="20"/>
                <w:szCs w:val="20"/>
              </w:rPr>
              <w:t xml:space="preserve"> (e.g., fabric filters, electrostatic precipitators, wet scrubbers, tune-ups, combustion controls, </w:t>
            </w:r>
            <w:r w:rsidR="00C555AF" w:rsidRPr="00CC2FF6">
              <w:rPr>
                <w:sz w:val="20"/>
                <w:szCs w:val="20"/>
              </w:rPr>
              <w:t>etc.</w:t>
            </w:r>
            <w:r w:rsidR="00334FFC" w:rsidRPr="00CC2FF6">
              <w:rPr>
                <w:sz w:val="20"/>
                <w:szCs w:val="20"/>
              </w:rPr>
              <w:t>)</w:t>
            </w:r>
          </w:p>
        </w:tc>
        <w:tc>
          <w:tcPr>
            <w:tcW w:w="1971" w:type="pct"/>
          </w:tcPr>
          <w:p w14:paraId="3E83D027" w14:textId="582B9718" w:rsidR="000B1B6B" w:rsidRPr="00CC2FF6" w:rsidRDefault="000B1B6B" w:rsidP="00C555AF">
            <w:pPr>
              <w:spacing w:after="120"/>
              <w:jc w:val="left"/>
              <w:cnfStyle w:val="000000000000" w:firstRow="0" w:lastRow="0" w:firstColumn="0" w:lastColumn="0" w:oddVBand="0" w:evenVBand="0" w:oddHBand="0" w:evenHBand="0" w:firstRowFirstColumn="0" w:firstRowLastColumn="0" w:lastRowFirstColumn="0" w:lastRowLastColumn="0"/>
              <w:rPr>
                <w:sz w:val="20"/>
                <w:szCs w:val="20"/>
              </w:rPr>
            </w:pPr>
            <w:r w:rsidRPr="00CC2FF6">
              <w:rPr>
                <w:sz w:val="20"/>
                <w:szCs w:val="20"/>
              </w:rPr>
              <w:t>Flexibility in compliance</w:t>
            </w:r>
            <w:r w:rsidR="00C555AF" w:rsidRPr="00CC2FF6">
              <w:rPr>
                <w:sz w:val="20"/>
                <w:szCs w:val="20"/>
              </w:rPr>
              <w:t xml:space="preserve"> method</w:t>
            </w:r>
            <w:r w:rsidRPr="00CC2FF6">
              <w:rPr>
                <w:sz w:val="20"/>
                <w:szCs w:val="20"/>
              </w:rPr>
              <w:t xml:space="preserve">; expect mostly installation and operation of add-on equipment (e.g., </w:t>
            </w:r>
            <w:r w:rsidRPr="00CC2FF6">
              <w:rPr>
                <w:rFonts w:eastAsia="Times New Roman" w:cs="Calibri"/>
                <w:sz w:val="20"/>
                <w:szCs w:val="20"/>
              </w:rPr>
              <w:t>oxidation catalysts or selective catalytic reduction)</w:t>
            </w:r>
          </w:p>
        </w:tc>
      </w:tr>
      <w:tr w:rsidR="000B1B6B" w:rsidRPr="00CC2FF6" w14:paraId="16BDB390" w14:textId="77777777" w:rsidTr="00BF48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3" w:type="pct"/>
          </w:tcPr>
          <w:p w14:paraId="4D241A78" w14:textId="77777777" w:rsidR="000B1B6B" w:rsidRPr="00CC2FF6" w:rsidRDefault="000B1B6B" w:rsidP="00F84914">
            <w:pPr>
              <w:spacing w:after="120"/>
              <w:jc w:val="left"/>
              <w:rPr>
                <w:b w:val="0"/>
                <w:bCs w:val="0"/>
                <w:caps w:val="0"/>
                <w:sz w:val="20"/>
                <w:szCs w:val="20"/>
              </w:rPr>
            </w:pPr>
            <w:r w:rsidRPr="00CC2FF6">
              <w:rPr>
                <w:sz w:val="20"/>
                <w:szCs w:val="20"/>
              </w:rPr>
              <w:t>Regulated entities</w:t>
            </w:r>
          </w:p>
        </w:tc>
        <w:tc>
          <w:tcPr>
            <w:tcW w:w="1996" w:type="pct"/>
          </w:tcPr>
          <w:p w14:paraId="25CA1266" w14:textId="2B5741E1" w:rsidR="000B1B6B" w:rsidRPr="00CC2FF6" w:rsidRDefault="000B1B6B" w:rsidP="00040025">
            <w:pPr>
              <w:spacing w:after="120"/>
              <w:jc w:val="left"/>
              <w:cnfStyle w:val="000000100000" w:firstRow="0" w:lastRow="0" w:firstColumn="0" w:lastColumn="0" w:oddVBand="0" w:evenVBand="0" w:oddHBand="1" w:evenHBand="0" w:firstRowFirstColumn="0" w:firstRowLastColumn="0" w:lastRowFirstColumn="0" w:lastRowLastColumn="0"/>
              <w:rPr>
                <w:sz w:val="20"/>
                <w:szCs w:val="20"/>
              </w:rPr>
            </w:pPr>
            <w:r w:rsidRPr="00CC2FF6">
              <w:rPr>
                <w:sz w:val="20"/>
                <w:szCs w:val="20"/>
              </w:rPr>
              <w:t xml:space="preserve">Multiple sectors; </w:t>
            </w:r>
            <w:r w:rsidR="00334FFC" w:rsidRPr="00CC2FF6">
              <w:rPr>
                <w:sz w:val="20"/>
                <w:szCs w:val="20"/>
              </w:rPr>
              <w:t xml:space="preserve">total </w:t>
            </w:r>
            <w:r w:rsidRPr="00CC2FF6">
              <w:rPr>
                <w:sz w:val="20"/>
                <w:szCs w:val="20"/>
              </w:rPr>
              <w:t xml:space="preserve">number </w:t>
            </w:r>
            <w:r w:rsidR="00334FFC" w:rsidRPr="00CC2FF6">
              <w:rPr>
                <w:sz w:val="20"/>
                <w:szCs w:val="20"/>
              </w:rPr>
              <w:t>and types of boilers known but</w:t>
            </w:r>
            <w:r w:rsidRPr="00CC2FF6">
              <w:rPr>
                <w:sz w:val="20"/>
                <w:szCs w:val="20"/>
              </w:rPr>
              <w:t xml:space="preserve"> location</w:t>
            </w:r>
            <w:r w:rsidR="00334FFC" w:rsidRPr="00CC2FF6">
              <w:rPr>
                <w:sz w:val="20"/>
                <w:szCs w:val="20"/>
              </w:rPr>
              <w:t>/specific sectors</w:t>
            </w:r>
            <w:r w:rsidRPr="00CC2FF6">
              <w:rPr>
                <w:sz w:val="20"/>
                <w:szCs w:val="20"/>
              </w:rPr>
              <w:t xml:space="preserve"> of boilers and process heaters difficult to estimate</w:t>
            </w:r>
            <w:r w:rsidR="00ED1035" w:rsidRPr="00CC2FF6">
              <w:rPr>
                <w:sz w:val="20"/>
                <w:szCs w:val="20"/>
              </w:rPr>
              <w:t xml:space="preserve"> </w:t>
            </w:r>
          </w:p>
        </w:tc>
        <w:tc>
          <w:tcPr>
            <w:tcW w:w="1971" w:type="pct"/>
          </w:tcPr>
          <w:p w14:paraId="1E49F80C" w14:textId="4D8715A0" w:rsidR="000B1B6B" w:rsidRPr="00CC2FF6" w:rsidRDefault="000B1B6B" w:rsidP="00275FAF">
            <w:pPr>
              <w:spacing w:after="120"/>
              <w:jc w:val="left"/>
              <w:cnfStyle w:val="000000100000" w:firstRow="0" w:lastRow="0" w:firstColumn="0" w:lastColumn="0" w:oddVBand="0" w:evenVBand="0" w:oddHBand="1" w:evenHBand="0" w:firstRowFirstColumn="0" w:firstRowLastColumn="0" w:lastRowFirstColumn="0" w:lastRowLastColumn="0"/>
              <w:rPr>
                <w:sz w:val="20"/>
                <w:szCs w:val="20"/>
              </w:rPr>
            </w:pPr>
            <w:r w:rsidRPr="00CC2FF6">
              <w:rPr>
                <w:sz w:val="20"/>
                <w:szCs w:val="20"/>
              </w:rPr>
              <w:t>Multiple sectors</w:t>
            </w:r>
            <w:r w:rsidRPr="00CC2FF6">
              <w:rPr>
                <w:rFonts w:cs="Calibri"/>
                <w:sz w:val="20"/>
                <w:szCs w:val="20"/>
              </w:rPr>
              <w:t xml:space="preserve">; </w:t>
            </w:r>
            <w:r w:rsidRPr="00CC2FF6">
              <w:rPr>
                <w:rFonts w:eastAsia="Times New Roman" w:cs="Calibri"/>
                <w:sz w:val="20"/>
                <w:szCs w:val="20"/>
              </w:rPr>
              <w:t>internal combustion engines generate electric power, pump gas or other fluids, or compressed air for machinery</w:t>
            </w:r>
          </w:p>
        </w:tc>
      </w:tr>
      <w:tr w:rsidR="000B1B6B" w:rsidRPr="00CC2FF6" w14:paraId="4152ED97" w14:textId="77777777" w:rsidTr="00BF483F">
        <w:tc>
          <w:tcPr>
            <w:cnfStyle w:val="001000000000" w:firstRow="0" w:lastRow="0" w:firstColumn="1" w:lastColumn="0" w:oddVBand="0" w:evenVBand="0" w:oddHBand="0" w:evenHBand="0" w:firstRowFirstColumn="0" w:firstRowLastColumn="0" w:lastRowFirstColumn="0" w:lastRowLastColumn="0"/>
            <w:tcW w:w="1033" w:type="pct"/>
          </w:tcPr>
          <w:p w14:paraId="069E4E91" w14:textId="77777777" w:rsidR="000B1B6B" w:rsidRPr="00CC2FF6" w:rsidRDefault="000B1B6B" w:rsidP="00F84914">
            <w:pPr>
              <w:spacing w:after="120"/>
              <w:jc w:val="left"/>
              <w:rPr>
                <w:sz w:val="20"/>
                <w:szCs w:val="20"/>
              </w:rPr>
            </w:pPr>
            <w:r w:rsidRPr="00CC2FF6">
              <w:rPr>
                <w:sz w:val="20"/>
                <w:szCs w:val="20"/>
              </w:rPr>
              <w:t>Unit compliance costs</w:t>
            </w:r>
          </w:p>
        </w:tc>
        <w:tc>
          <w:tcPr>
            <w:tcW w:w="1996" w:type="pct"/>
          </w:tcPr>
          <w:p w14:paraId="582E4DCD" w14:textId="381B547F" w:rsidR="000B1B6B" w:rsidRPr="00CC2FF6" w:rsidRDefault="000B1B6B" w:rsidP="00040025">
            <w:pPr>
              <w:spacing w:after="120"/>
              <w:jc w:val="left"/>
              <w:cnfStyle w:val="000000000000" w:firstRow="0" w:lastRow="0" w:firstColumn="0" w:lastColumn="0" w:oddVBand="0" w:evenVBand="0" w:oddHBand="0" w:evenHBand="0" w:firstRowFirstColumn="0" w:firstRowLastColumn="0" w:lastRowFirstColumn="0" w:lastRowLastColumn="0"/>
              <w:rPr>
                <w:sz w:val="20"/>
                <w:szCs w:val="20"/>
              </w:rPr>
            </w:pPr>
            <w:r w:rsidRPr="00CC2FF6">
              <w:rPr>
                <w:sz w:val="20"/>
                <w:szCs w:val="20"/>
              </w:rPr>
              <w:t xml:space="preserve">Installation and annual costs of capital equipment; monitoring </w:t>
            </w:r>
            <w:r w:rsidR="00334FFC" w:rsidRPr="00CC2FF6">
              <w:rPr>
                <w:sz w:val="20"/>
                <w:szCs w:val="20"/>
              </w:rPr>
              <w:t xml:space="preserve">and testing </w:t>
            </w:r>
            <w:r w:rsidRPr="00CC2FF6">
              <w:rPr>
                <w:sz w:val="20"/>
                <w:szCs w:val="20"/>
              </w:rPr>
              <w:t>costs</w:t>
            </w:r>
          </w:p>
        </w:tc>
        <w:tc>
          <w:tcPr>
            <w:tcW w:w="1971" w:type="pct"/>
          </w:tcPr>
          <w:p w14:paraId="53A37882" w14:textId="52558081" w:rsidR="000B1B6B" w:rsidRPr="00CC2FF6" w:rsidRDefault="001610E3" w:rsidP="00275FAF">
            <w:pPr>
              <w:spacing w:after="120"/>
              <w:jc w:val="left"/>
              <w:cnfStyle w:val="000000000000" w:firstRow="0" w:lastRow="0" w:firstColumn="0" w:lastColumn="0" w:oddVBand="0" w:evenVBand="0" w:oddHBand="0" w:evenHBand="0" w:firstRowFirstColumn="0" w:firstRowLastColumn="0" w:lastRowFirstColumn="0" w:lastRowLastColumn="0"/>
              <w:rPr>
                <w:sz w:val="20"/>
                <w:szCs w:val="20"/>
              </w:rPr>
            </w:pPr>
            <w:r w:rsidRPr="00CC2FF6">
              <w:rPr>
                <w:sz w:val="20"/>
                <w:szCs w:val="20"/>
              </w:rPr>
              <w:t>I</w:t>
            </w:r>
            <w:r w:rsidR="000B1B6B" w:rsidRPr="00CC2FF6">
              <w:rPr>
                <w:sz w:val="20"/>
                <w:szCs w:val="20"/>
              </w:rPr>
              <w:t>nstallation and annual costs of capital equipment; monitoring costs</w:t>
            </w:r>
          </w:p>
        </w:tc>
      </w:tr>
      <w:tr w:rsidR="000B1B6B" w:rsidRPr="00CC2FF6" w14:paraId="00F03FFE" w14:textId="77777777" w:rsidTr="00BF48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3" w:type="pct"/>
          </w:tcPr>
          <w:p w14:paraId="257195F2" w14:textId="0BF02124" w:rsidR="000B1B6B" w:rsidRPr="00CC2FF6" w:rsidRDefault="000B1B6B" w:rsidP="00F84914">
            <w:pPr>
              <w:spacing w:after="120"/>
              <w:jc w:val="left"/>
              <w:rPr>
                <w:b w:val="0"/>
                <w:bCs w:val="0"/>
                <w:caps w:val="0"/>
                <w:sz w:val="20"/>
                <w:szCs w:val="20"/>
              </w:rPr>
            </w:pPr>
            <w:r w:rsidRPr="00CC2FF6">
              <w:rPr>
                <w:sz w:val="20"/>
                <w:szCs w:val="20"/>
              </w:rPr>
              <w:t>Aggregate compliance cost</w:t>
            </w:r>
          </w:p>
        </w:tc>
        <w:tc>
          <w:tcPr>
            <w:tcW w:w="1996" w:type="pct"/>
          </w:tcPr>
          <w:p w14:paraId="2E1A565A" w14:textId="50364A24" w:rsidR="000B1B6B" w:rsidRPr="00CC2FF6" w:rsidRDefault="000B1B6B" w:rsidP="003A10B4">
            <w:pPr>
              <w:spacing w:after="120"/>
              <w:jc w:val="left"/>
              <w:cnfStyle w:val="000000100000" w:firstRow="0" w:lastRow="0" w:firstColumn="0" w:lastColumn="0" w:oddVBand="0" w:evenVBand="0" w:oddHBand="1" w:evenHBand="0" w:firstRowFirstColumn="0" w:firstRowLastColumn="0" w:lastRowFirstColumn="0" w:lastRowLastColumn="0"/>
              <w:rPr>
                <w:sz w:val="20"/>
                <w:szCs w:val="20"/>
              </w:rPr>
            </w:pPr>
            <w:r w:rsidRPr="00CC2FF6">
              <w:rPr>
                <w:sz w:val="20"/>
                <w:szCs w:val="20"/>
              </w:rPr>
              <w:t>Annualized cost in 2016 of $1.4</w:t>
            </w:r>
            <w:r w:rsidR="003A10B4" w:rsidRPr="00CC2FF6">
              <w:rPr>
                <w:sz w:val="20"/>
                <w:szCs w:val="20"/>
              </w:rPr>
              <w:t>B</w:t>
            </w:r>
            <w:r w:rsidRPr="00CC2FF6">
              <w:rPr>
                <w:sz w:val="20"/>
                <w:szCs w:val="20"/>
              </w:rPr>
              <w:t xml:space="preserve"> to $1.6</w:t>
            </w:r>
            <w:r w:rsidR="003A10B4" w:rsidRPr="00CC2FF6">
              <w:rPr>
                <w:sz w:val="20"/>
                <w:szCs w:val="20"/>
              </w:rPr>
              <w:t>B</w:t>
            </w:r>
            <w:r w:rsidR="004C132D" w:rsidRPr="00CC2FF6">
              <w:rPr>
                <w:sz w:val="20"/>
                <w:szCs w:val="20"/>
              </w:rPr>
              <w:t xml:space="preserve"> </w:t>
            </w:r>
            <w:r w:rsidRPr="00CC2FF6">
              <w:rPr>
                <w:sz w:val="20"/>
                <w:szCs w:val="20"/>
              </w:rPr>
              <w:t>(2008$)</w:t>
            </w:r>
          </w:p>
        </w:tc>
        <w:tc>
          <w:tcPr>
            <w:tcW w:w="1971" w:type="pct"/>
          </w:tcPr>
          <w:p w14:paraId="2A93BE17" w14:textId="69F49A2F" w:rsidR="000B1B6B" w:rsidRPr="00CC2FF6" w:rsidRDefault="000B1B6B" w:rsidP="00275FAF">
            <w:pPr>
              <w:spacing w:after="120"/>
              <w:jc w:val="left"/>
              <w:cnfStyle w:val="000000100000" w:firstRow="0" w:lastRow="0" w:firstColumn="0" w:lastColumn="0" w:oddVBand="0" w:evenVBand="0" w:oddHBand="1" w:evenHBand="0" w:firstRowFirstColumn="0" w:firstRowLastColumn="0" w:lastRowFirstColumn="0" w:lastRowLastColumn="0"/>
              <w:rPr>
                <w:sz w:val="20"/>
                <w:szCs w:val="20"/>
              </w:rPr>
            </w:pPr>
            <w:r w:rsidRPr="00CC2FF6">
              <w:rPr>
                <w:sz w:val="20"/>
                <w:szCs w:val="20"/>
              </w:rPr>
              <w:t>Annualized cost in 2013 of $115 million (2010$)</w:t>
            </w:r>
          </w:p>
        </w:tc>
      </w:tr>
      <w:tr w:rsidR="000B1B6B" w:rsidRPr="00CC2FF6" w14:paraId="779D60C1" w14:textId="77777777" w:rsidTr="00BF483F">
        <w:tc>
          <w:tcPr>
            <w:cnfStyle w:val="001000000000" w:firstRow="0" w:lastRow="0" w:firstColumn="1" w:lastColumn="0" w:oddVBand="0" w:evenVBand="0" w:oddHBand="0" w:evenHBand="0" w:firstRowFirstColumn="0" w:firstRowLastColumn="0" w:lastRowFirstColumn="0" w:lastRowLastColumn="0"/>
            <w:tcW w:w="1033" w:type="pct"/>
          </w:tcPr>
          <w:p w14:paraId="1BD39944" w14:textId="77777777" w:rsidR="000B1B6B" w:rsidRPr="00CC2FF6" w:rsidRDefault="000B1B6B" w:rsidP="00F84914">
            <w:pPr>
              <w:spacing w:after="120"/>
              <w:jc w:val="left"/>
              <w:rPr>
                <w:sz w:val="20"/>
                <w:szCs w:val="20"/>
              </w:rPr>
            </w:pPr>
            <w:r w:rsidRPr="00CC2FF6">
              <w:rPr>
                <w:sz w:val="20"/>
                <w:szCs w:val="20"/>
              </w:rPr>
              <w:t>Implementation</w:t>
            </w:r>
          </w:p>
        </w:tc>
        <w:tc>
          <w:tcPr>
            <w:tcW w:w="1996" w:type="pct"/>
          </w:tcPr>
          <w:p w14:paraId="10DBD0CF" w14:textId="77777777" w:rsidR="000B1B6B" w:rsidRPr="00CC2FF6" w:rsidRDefault="000B1B6B" w:rsidP="00040025">
            <w:pPr>
              <w:spacing w:after="120"/>
              <w:jc w:val="left"/>
              <w:cnfStyle w:val="000000000000" w:firstRow="0" w:lastRow="0" w:firstColumn="0" w:lastColumn="0" w:oddVBand="0" w:evenVBand="0" w:oddHBand="0" w:evenHBand="0" w:firstRowFirstColumn="0" w:firstRowLastColumn="0" w:lastRowFirstColumn="0" w:lastRowLastColumn="0"/>
              <w:rPr>
                <w:sz w:val="20"/>
                <w:szCs w:val="20"/>
              </w:rPr>
            </w:pPr>
            <w:r w:rsidRPr="00CC2FF6">
              <w:rPr>
                <w:sz w:val="20"/>
                <w:szCs w:val="20"/>
              </w:rPr>
              <w:t>Federally implemented</w:t>
            </w:r>
          </w:p>
        </w:tc>
        <w:tc>
          <w:tcPr>
            <w:tcW w:w="1971" w:type="pct"/>
          </w:tcPr>
          <w:p w14:paraId="2E57C13F" w14:textId="77777777" w:rsidR="000B1B6B" w:rsidRPr="00CC2FF6" w:rsidRDefault="000B1B6B" w:rsidP="00275FAF">
            <w:pPr>
              <w:spacing w:after="120"/>
              <w:jc w:val="left"/>
              <w:cnfStyle w:val="000000000000" w:firstRow="0" w:lastRow="0" w:firstColumn="0" w:lastColumn="0" w:oddVBand="0" w:evenVBand="0" w:oddHBand="0" w:evenHBand="0" w:firstRowFirstColumn="0" w:firstRowLastColumn="0" w:lastRowFirstColumn="0" w:lastRowLastColumn="0"/>
              <w:rPr>
                <w:sz w:val="20"/>
                <w:szCs w:val="20"/>
              </w:rPr>
            </w:pPr>
            <w:r w:rsidRPr="00CC2FF6">
              <w:rPr>
                <w:sz w:val="20"/>
                <w:szCs w:val="20"/>
              </w:rPr>
              <w:t>Federally implemented</w:t>
            </w:r>
          </w:p>
        </w:tc>
      </w:tr>
      <w:tr w:rsidR="000B1B6B" w:rsidRPr="00CC2FF6" w14:paraId="1BC50C83" w14:textId="77777777" w:rsidTr="00BF48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3" w:type="pct"/>
            <w:tcBorders>
              <w:bottom w:val="single" w:sz="12" w:space="0" w:color="auto"/>
            </w:tcBorders>
          </w:tcPr>
          <w:p w14:paraId="6B95C844" w14:textId="77777777" w:rsidR="000B1B6B" w:rsidRPr="00CC2FF6" w:rsidRDefault="000B1B6B" w:rsidP="00F84914">
            <w:pPr>
              <w:spacing w:after="120"/>
              <w:jc w:val="left"/>
              <w:rPr>
                <w:b w:val="0"/>
                <w:bCs w:val="0"/>
                <w:caps w:val="0"/>
                <w:sz w:val="20"/>
                <w:szCs w:val="20"/>
              </w:rPr>
            </w:pPr>
            <w:r w:rsidRPr="00CC2FF6">
              <w:rPr>
                <w:sz w:val="20"/>
                <w:szCs w:val="20"/>
              </w:rPr>
              <w:t>Timeframe for compliance</w:t>
            </w:r>
          </w:p>
        </w:tc>
        <w:tc>
          <w:tcPr>
            <w:tcW w:w="1996" w:type="pct"/>
            <w:tcBorders>
              <w:bottom w:val="single" w:sz="12" w:space="0" w:color="auto"/>
            </w:tcBorders>
          </w:tcPr>
          <w:p w14:paraId="28E14F53" w14:textId="352FA57D" w:rsidR="000B1B6B" w:rsidRPr="00CC2FF6" w:rsidRDefault="000B1B6B">
            <w:pPr>
              <w:spacing w:after="120"/>
              <w:jc w:val="left"/>
              <w:cnfStyle w:val="000000100000" w:firstRow="0" w:lastRow="0" w:firstColumn="0" w:lastColumn="0" w:oddVBand="0" w:evenVBand="0" w:oddHBand="1" w:evenHBand="0" w:firstRowFirstColumn="0" w:firstRowLastColumn="0" w:lastRowFirstColumn="0" w:lastRowLastColumn="0"/>
              <w:rPr>
                <w:sz w:val="20"/>
                <w:szCs w:val="20"/>
              </w:rPr>
            </w:pPr>
            <w:r w:rsidRPr="00CC2FF6">
              <w:rPr>
                <w:sz w:val="20"/>
                <w:szCs w:val="20"/>
              </w:rPr>
              <w:t>Allow 3 years for existing; states may offer additional year</w:t>
            </w:r>
          </w:p>
        </w:tc>
        <w:tc>
          <w:tcPr>
            <w:tcW w:w="1971" w:type="pct"/>
            <w:tcBorders>
              <w:bottom w:val="single" w:sz="12" w:space="0" w:color="auto"/>
            </w:tcBorders>
          </w:tcPr>
          <w:p w14:paraId="111CDFDE" w14:textId="7FEC70F7" w:rsidR="000B1B6B" w:rsidRPr="00CC2FF6" w:rsidRDefault="000B1B6B">
            <w:pPr>
              <w:spacing w:after="120"/>
              <w:jc w:val="left"/>
              <w:cnfStyle w:val="000000100000" w:firstRow="0" w:lastRow="0" w:firstColumn="0" w:lastColumn="0" w:oddVBand="0" w:evenVBand="0" w:oddHBand="1" w:evenHBand="0" w:firstRowFirstColumn="0" w:firstRowLastColumn="0" w:lastRowFirstColumn="0" w:lastRowLastColumn="0"/>
              <w:rPr>
                <w:sz w:val="20"/>
                <w:szCs w:val="20"/>
              </w:rPr>
            </w:pPr>
            <w:r w:rsidRPr="00CC2FF6">
              <w:rPr>
                <w:sz w:val="20"/>
                <w:szCs w:val="20"/>
              </w:rPr>
              <w:t>Allow 3 years for existing sources; states may offer additional year</w:t>
            </w:r>
          </w:p>
        </w:tc>
      </w:tr>
    </w:tbl>
    <w:p w14:paraId="3DBFD258" w14:textId="77777777" w:rsidR="00EA6BEA" w:rsidRPr="00564B9C" w:rsidRDefault="00EA6BEA" w:rsidP="00FC39FE">
      <w:pPr>
        <w:spacing w:after="0" w:line="276" w:lineRule="auto"/>
      </w:pPr>
    </w:p>
    <w:p w14:paraId="777121FF" w14:textId="77777777" w:rsidR="00CC2FF6" w:rsidRDefault="00CC2FF6">
      <w:pPr>
        <w:jc w:val="left"/>
        <w:rPr>
          <w:i/>
        </w:rPr>
      </w:pPr>
      <w:r>
        <w:rPr>
          <w:i/>
        </w:rPr>
        <w:br w:type="page"/>
      </w:r>
    </w:p>
    <w:p w14:paraId="15D9DDB0" w14:textId="12523969" w:rsidR="00F32730" w:rsidRPr="00564B9C" w:rsidRDefault="00CA39A6" w:rsidP="00FC39FE">
      <w:pPr>
        <w:spacing w:line="276" w:lineRule="auto"/>
        <w:rPr>
          <w:i/>
        </w:rPr>
      </w:pPr>
      <w:r w:rsidRPr="00564B9C">
        <w:rPr>
          <w:i/>
        </w:rPr>
        <w:t>C</w:t>
      </w:r>
      <w:r w:rsidR="004D35C2" w:rsidRPr="00564B9C">
        <w:rPr>
          <w:i/>
        </w:rPr>
        <w:t>ATEGORY</w:t>
      </w:r>
      <w:r w:rsidRPr="00564B9C">
        <w:rPr>
          <w:i/>
        </w:rPr>
        <w:t xml:space="preserve"> #4: Federal Product Standards </w:t>
      </w:r>
    </w:p>
    <w:p w14:paraId="66654B6F" w14:textId="58424417" w:rsidR="00F32730" w:rsidRPr="00564B9C" w:rsidRDefault="00E77F5F" w:rsidP="00FC39FE">
      <w:pPr>
        <w:spacing w:line="276" w:lineRule="auto"/>
      </w:pPr>
      <w:r w:rsidRPr="00564B9C">
        <w:t xml:space="preserve">This category includes </w:t>
      </w:r>
      <w:r w:rsidR="00EA6BEA" w:rsidRPr="00564B9C">
        <w:t xml:space="preserve">federal standards </w:t>
      </w:r>
      <w:r w:rsidR="000862F1" w:rsidRPr="00564B9C">
        <w:t>that regulate</w:t>
      </w:r>
      <w:r w:rsidR="00EA6BEA" w:rsidRPr="00564B9C">
        <w:t xml:space="preserve"> features of manufactured products used by households and other </w:t>
      </w:r>
      <w:r w:rsidRPr="00564B9C">
        <w:t>sectors</w:t>
      </w:r>
      <w:r w:rsidR="000862F1" w:rsidRPr="00564B9C">
        <w:t xml:space="preserve">. </w:t>
      </w:r>
      <w:r w:rsidR="00A44C1A">
        <w:t>E</w:t>
      </w:r>
      <w:r w:rsidR="00EA6BEA" w:rsidRPr="00564B9C">
        <w:t xml:space="preserve">xamples </w:t>
      </w:r>
      <w:r w:rsidR="00A44C1A">
        <w:t>include</w:t>
      </w:r>
      <w:r w:rsidR="00A44C1A" w:rsidRPr="00564B9C">
        <w:t xml:space="preserve"> </w:t>
      </w:r>
      <w:r w:rsidR="00463E48" w:rsidRPr="00564B9C">
        <w:t xml:space="preserve">in-use </w:t>
      </w:r>
      <w:r w:rsidR="00973A84" w:rsidRPr="00564B9C">
        <w:t xml:space="preserve">emission rate </w:t>
      </w:r>
      <w:r w:rsidR="00EA6BEA" w:rsidRPr="00564B9C">
        <w:t xml:space="preserve">requirements </w:t>
      </w:r>
      <w:r w:rsidR="00973A84" w:rsidRPr="00564B9C">
        <w:t>for</w:t>
      </w:r>
      <w:r w:rsidR="00EA6BEA" w:rsidRPr="00564B9C">
        <w:t xml:space="preserve"> </w:t>
      </w:r>
      <w:r w:rsidR="001B65BA" w:rsidRPr="00564B9C">
        <w:t>vehicles</w:t>
      </w:r>
      <w:r w:rsidR="00973A84" w:rsidRPr="00564B9C">
        <w:t xml:space="preserve"> </w:t>
      </w:r>
      <w:r w:rsidR="00EA6BEA" w:rsidRPr="00564B9C">
        <w:t xml:space="preserve">and </w:t>
      </w:r>
      <w:r w:rsidR="001B65BA" w:rsidRPr="00564B9C">
        <w:t xml:space="preserve">product content requirements </w:t>
      </w:r>
      <w:r w:rsidR="00973A84" w:rsidRPr="00564B9C">
        <w:t>for</w:t>
      </w:r>
      <w:r w:rsidR="001B65BA" w:rsidRPr="00564B9C">
        <w:t xml:space="preserve"> </w:t>
      </w:r>
      <w:r w:rsidR="00EA6BEA" w:rsidRPr="00564B9C">
        <w:t>fuels</w:t>
      </w:r>
      <w:r w:rsidR="001B65BA" w:rsidRPr="00564B9C">
        <w:t>, coatings, or consumer products</w:t>
      </w:r>
      <w:r w:rsidR="00EA6BEA" w:rsidRPr="00564B9C">
        <w:t>.</w:t>
      </w:r>
      <w:r w:rsidR="00A65EC9" w:rsidRPr="00564B9C">
        <w:t xml:space="preserve"> </w:t>
      </w:r>
      <w:r w:rsidR="00EA6BEA" w:rsidRPr="00564B9C">
        <w:t>Product bans</w:t>
      </w:r>
      <w:r w:rsidR="00463E48" w:rsidRPr="00564B9C">
        <w:t xml:space="preserve"> </w:t>
      </w:r>
      <w:r w:rsidR="00EA6BEA" w:rsidRPr="00564B9C">
        <w:t xml:space="preserve">have similar effects in that the composition of products available in the market </w:t>
      </w:r>
      <w:r w:rsidR="001B65BA" w:rsidRPr="00564B9C">
        <w:t>is</w:t>
      </w:r>
      <w:r w:rsidR="00EA6BEA" w:rsidRPr="00564B9C">
        <w:t xml:space="preserve"> constrained. What is in common among regulations in this category is that </w:t>
      </w:r>
      <w:r w:rsidR="00A65EC9" w:rsidRPr="00564B9C">
        <w:t>they focus on</w:t>
      </w:r>
      <w:r w:rsidR="00EA6BEA" w:rsidRPr="00564B9C">
        <w:t xml:space="preserve"> certain </w:t>
      </w:r>
      <w:r w:rsidR="00A65EC9" w:rsidRPr="00564B9C">
        <w:t xml:space="preserve">product </w:t>
      </w:r>
      <w:r w:rsidR="00EA6BEA" w:rsidRPr="00564B9C">
        <w:t>qualities and</w:t>
      </w:r>
      <w:r w:rsidR="00A65EC9" w:rsidRPr="00564B9C">
        <w:t xml:space="preserve">/or </w:t>
      </w:r>
      <w:r w:rsidR="00EA6BEA" w:rsidRPr="00564B9C">
        <w:t>availability</w:t>
      </w:r>
      <w:r w:rsidR="00A65EC9" w:rsidRPr="00564B9C">
        <w:t xml:space="preserve"> instead of on emissions that stem from the product manufacturing process.</w:t>
      </w:r>
      <w:r w:rsidR="00DF0E21" w:rsidRPr="00713B93">
        <w:rPr>
          <w:rStyle w:val="FootnoteReference"/>
        </w:rPr>
        <w:footnoteReference w:id="18"/>
      </w:r>
      <w:r w:rsidR="00973A84" w:rsidRPr="00713B93">
        <w:t xml:space="preserve"> </w:t>
      </w:r>
      <w:r w:rsidR="000C27C9" w:rsidRPr="00713B93">
        <w:t xml:space="preserve">While there are many products </w:t>
      </w:r>
      <w:r w:rsidR="000C27C9" w:rsidRPr="009B1C39">
        <w:t>potentially affected, regulations typically apply to the</w:t>
      </w:r>
      <w:r w:rsidR="00AC31F3" w:rsidRPr="0052723E">
        <w:t xml:space="preserve"> </w:t>
      </w:r>
      <w:r w:rsidR="00576097" w:rsidRPr="00E17F17">
        <w:t>product</w:t>
      </w:r>
      <w:r w:rsidR="00AC31F3" w:rsidRPr="00E17F17">
        <w:t xml:space="preserve"> manufacturer.</w:t>
      </w:r>
      <w:r w:rsidR="000C27C9" w:rsidRPr="00B12DA8">
        <w:t xml:space="preserve"> </w:t>
      </w:r>
      <w:r w:rsidR="00AC31F3" w:rsidRPr="00B12DA8">
        <w:t>Some</w:t>
      </w:r>
      <w:r w:rsidR="000C27C9" w:rsidRPr="00B12DA8">
        <w:t xml:space="preserve"> </w:t>
      </w:r>
      <w:r w:rsidR="008664A1" w:rsidRPr="00B12DA8">
        <w:t>r</w:t>
      </w:r>
      <w:r w:rsidR="008664A1">
        <w:t xml:space="preserve">egulations </w:t>
      </w:r>
      <w:r w:rsidR="00AC31F3" w:rsidRPr="00B12DA8">
        <w:t xml:space="preserve">may </w:t>
      </w:r>
      <w:r w:rsidR="000C27C9" w:rsidRPr="00B12DA8">
        <w:t>allow for manufacturer-based averaging or trading across manufacturers.</w:t>
      </w:r>
      <w:r w:rsidR="00226A9D" w:rsidRPr="00564B9C">
        <w:t xml:space="preserve"> </w:t>
      </w:r>
      <w:r w:rsidR="00251C96" w:rsidRPr="00564B9C">
        <w:t xml:space="preserve">Examples of regulations </w:t>
      </w:r>
      <w:r w:rsidR="004B0B2E" w:rsidRPr="00564B9C">
        <w:t>in</w:t>
      </w:r>
      <w:r w:rsidR="00251C96" w:rsidRPr="00564B9C">
        <w:t xml:space="preserve"> this category are presented in Table </w:t>
      </w:r>
      <w:r w:rsidR="003866B8" w:rsidRPr="00564B9C">
        <w:t>6</w:t>
      </w:r>
      <w:r w:rsidR="00251C96" w:rsidRPr="00564B9C">
        <w:t xml:space="preserve"> along with a description of key attributes.</w:t>
      </w:r>
    </w:p>
    <w:p w14:paraId="6F219631" w14:textId="77777777" w:rsidR="009467AB" w:rsidRDefault="009467AB" w:rsidP="00FC39FE">
      <w:pPr>
        <w:spacing w:after="0" w:line="276" w:lineRule="auto"/>
        <w:rPr>
          <w:b/>
        </w:rPr>
      </w:pPr>
    </w:p>
    <w:p w14:paraId="570BCEDE" w14:textId="140049AA" w:rsidR="00650423" w:rsidRPr="00564B9C" w:rsidRDefault="00650423" w:rsidP="00FC39FE">
      <w:pPr>
        <w:spacing w:after="0" w:line="276" w:lineRule="auto"/>
      </w:pPr>
      <w:r w:rsidRPr="00564B9C">
        <w:rPr>
          <w:b/>
        </w:rPr>
        <w:t xml:space="preserve">Table </w:t>
      </w:r>
      <w:r w:rsidR="003866B8" w:rsidRPr="00564B9C">
        <w:rPr>
          <w:b/>
        </w:rPr>
        <w:t>6</w:t>
      </w:r>
      <w:r w:rsidRPr="00564B9C">
        <w:rPr>
          <w:b/>
        </w:rPr>
        <w:t xml:space="preserve">: Examples of Federal Product Standards </w:t>
      </w:r>
    </w:p>
    <w:tbl>
      <w:tblPr>
        <w:tblStyle w:val="PlainTable31"/>
        <w:tblW w:w="9450" w:type="dxa"/>
        <w:tblLayout w:type="fixed"/>
        <w:tblLook w:val="04A0" w:firstRow="1" w:lastRow="0" w:firstColumn="1" w:lastColumn="0" w:noHBand="0" w:noVBand="1"/>
      </w:tblPr>
      <w:tblGrid>
        <w:gridCol w:w="1980"/>
        <w:gridCol w:w="3735"/>
        <w:gridCol w:w="3735"/>
      </w:tblGrid>
      <w:tr w:rsidR="00BB16AF" w:rsidRPr="00CC2FF6" w14:paraId="3D1EDA58" w14:textId="77777777" w:rsidTr="00FC6DC3">
        <w:trPr>
          <w:cnfStyle w:val="100000000000" w:firstRow="1" w:lastRow="0" w:firstColumn="0" w:lastColumn="0" w:oddVBand="0" w:evenVBand="0" w:oddHBand="0" w:evenHBand="0" w:firstRowFirstColumn="0" w:firstRowLastColumn="0" w:lastRowFirstColumn="0" w:lastRowLastColumn="0"/>
          <w:trHeight w:val="288"/>
        </w:trPr>
        <w:tc>
          <w:tcPr>
            <w:cnfStyle w:val="001000000100" w:firstRow="0" w:lastRow="0" w:firstColumn="1" w:lastColumn="0" w:oddVBand="0" w:evenVBand="0" w:oddHBand="0" w:evenHBand="0" w:firstRowFirstColumn="1" w:firstRowLastColumn="0" w:lastRowFirstColumn="0" w:lastRowLastColumn="0"/>
            <w:tcW w:w="1980" w:type="dxa"/>
            <w:tcBorders>
              <w:top w:val="single" w:sz="12" w:space="0" w:color="auto"/>
              <w:bottom w:val="single" w:sz="12" w:space="0" w:color="auto"/>
            </w:tcBorders>
          </w:tcPr>
          <w:p w14:paraId="7E9DD4FB" w14:textId="77777777" w:rsidR="00BB16AF" w:rsidRPr="00CC2FF6" w:rsidRDefault="00BB16AF" w:rsidP="00F84914">
            <w:pPr>
              <w:jc w:val="left"/>
              <w:rPr>
                <w:b w:val="0"/>
                <w:bCs w:val="0"/>
                <w:caps w:val="0"/>
                <w:sz w:val="20"/>
                <w:szCs w:val="20"/>
              </w:rPr>
            </w:pPr>
            <w:r w:rsidRPr="00CC2FF6">
              <w:rPr>
                <w:sz w:val="20"/>
                <w:szCs w:val="20"/>
              </w:rPr>
              <w:t>Attribute</w:t>
            </w:r>
          </w:p>
        </w:tc>
        <w:tc>
          <w:tcPr>
            <w:tcW w:w="3735" w:type="dxa"/>
            <w:tcBorders>
              <w:top w:val="single" w:sz="12" w:space="0" w:color="auto"/>
              <w:bottom w:val="single" w:sz="12" w:space="0" w:color="auto"/>
            </w:tcBorders>
          </w:tcPr>
          <w:p w14:paraId="08009D0B" w14:textId="2ED48C45" w:rsidR="00BB16AF" w:rsidRPr="00CC2FF6" w:rsidRDefault="000F7E03" w:rsidP="00040025">
            <w:pPr>
              <w:jc w:val="center"/>
              <w:cnfStyle w:val="100000000000" w:firstRow="1" w:lastRow="0" w:firstColumn="0" w:lastColumn="0" w:oddVBand="0" w:evenVBand="0" w:oddHBand="0" w:evenHBand="0" w:firstRowFirstColumn="0" w:firstRowLastColumn="0" w:lastRowFirstColumn="0" w:lastRowLastColumn="0"/>
              <w:rPr>
                <w:rFonts w:eastAsiaTheme="majorEastAsia" w:cstheme="majorBidi"/>
                <w:b w:val="0"/>
                <w:bCs w:val="0"/>
                <w:i/>
                <w:iCs/>
                <w:caps w:val="0"/>
                <w:color w:val="272727" w:themeColor="text1" w:themeTint="D8"/>
                <w:sz w:val="20"/>
                <w:szCs w:val="20"/>
              </w:rPr>
            </w:pPr>
            <w:r w:rsidRPr="00CC2FF6">
              <w:rPr>
                <w:sz w:val="20"/>
                <w:szCs w:val="20"/>
              </w:rPr>
              <w:t xml:space="preserve">emission standards for New </w:t>
            </w:r>
            <w:r w:rsidR="00206C9D" w:rsidRPr="00CC2FF6">
              <w:rPr>
                <w:sz w:val="20"/>
                <w:szCs w:val="20"/>
              </w:rPr>
              <w:t>NONROAD VEHICLE ENGINES</w:t>
            </w:r>
            <w:r w:rsidR="009743E9" w:rsidRPr="00CC2FF6">
              <w:rPr>
                <w:sz w:val="20"/>
                <w:szCs w:val="20"/>
              </w:rPr>
              <w:t xml:space="preserve"> (</w:t>
            </w:r>
            <w:r w:rsidRPr="00CC2FF6">
              <w:rPr>
                <w:sz w:val="20"/>
                <w:szCs w:val="20"/>
              </w:rPr>
              <w:t>2002</w:t>
            </w:r>
            <w:r w:rsidR="009743E9" w:rsidRPr="00CC2FF6">
              <w:rPr>
                <w:sz w:val="20"/>
                <w:szCs w:val="20"/>
              </w:rPr>
              <w:t>)</w:t>
            </w:r>
          </w:p>
        </w:tc>
        <w:tc>
          <w:tcPr>
            <w:tcW w:w="3735" w:type="dxa"/>
            <w:tcBorders>
              <w:top w:val="single" w:sz="12" w:space="0" w:color="auto"/>
              <w:bottom w:val="single" w:sz="12" w:space="0" w:color="auto"/>
            </w:tcBorders>
          </w:tcPr>
          <w:p w14:paraId="076B5EC2" w14:textId="013B0AFD" w:rsidR="00BB16AF" w:rsidRPr="00CC2FF6" w:rsidRDefault="000E4CC6" w:rsidP="00275FAF">
            <w:pPr>
              <w:jc w:val="center"/>
              <w:cnfStyle w:val="100000000000" w:firstRow="1" w:lastRow="0" w:firstColumn="0" w:lastColumn="0" w:oddVBand="0" w:evenVBand="0" w:oddHBand="0" w:evenHBand="0" w:firstRowFirstColumn="0" w:firstRowLastColumn="0" w:lastRowFirstColumn="0" w:lastRowLastColumn="0"/>
              <w:rPr>
                <w:rFonts w:eastAsiaTheme="majorEastAsia" w:cstheme="majorBidi"/>
                <w:bCs w:val="0"/>
                <w:i/>
                <w:iCs/>
                <w:caps w:val="0"/>
                <w:color w:val="272727" w:themeColor="text1" w:themeTint="D8"/>
                <w:sz w:val="20"/>
                <w:szCs w:val="20"/>
              </w:rPr>
            </w:pPr>
            <w:r w:rsidRPr="00CC2FF6">
              <w:rPr>
                <w:sz w:val="20"/>
                <w:szCs w:val="20"/>
              </w:rPr>
              <w:t xml:space="preserve">Volatile Organic Compound </w:t>
            </w:r>
            <w:r w:rsidR="000301B4" w:rsidRPr="00CC2FF6">
              <w:rPr>
                <w:sz w:val="20"/>
                <w:szCs w:val="20"/>
              </w:rPr>
              <w:t xml:space="preserve">(VOC) </w:t>
            </w:r>
            <w:r w:rsidRPr="00CC2FF6">
              <w:rPr>
                <w:sz w:val="20"/>
                <w:szCs w:val="20"/>
              </w:rPr>
              <w:t xml:space="preserve">Emission Standards for Consumer Products </w:t>
            </w:r>
            <w:r w:rsidR="00760D77" w:rsidRPr="00CC2FF6">
              <w:rPr>
                <w:sz w:val="20"/>
                <w:szCs w:val="20"/>
              </w:rPr>
              <w:t>(199</w:t>
            </w:r>
            <w:r w:rsidR="00504812" w:rsidRPr="00CC2FF6">
              <w:rPr>
                <w:sz w:val="20"/>
                <w:szCs w:val="20"/>
              </w:rPr>
              <w:t>6</w:t>
            </w:r>
            <w:r w:rsidR="009743E9" w:rsidRPr="00CC2FF6">
              <w:rPr>
                <w:sz w:val="20"/>
                <w:szCs w:val="20"/>
              </w:rPr>
              <w:t>)</w:t>
            </w:r>
          </w:p>
        </w:tc>
      </w:tr>
      <w:tr w:rsidR="00BB16AF" w:rsidRPr="00CC2FF6" w14:paraId="063C2AE3" w14:textId="77777777" w:rsidTr="00FC6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Borders>
              <w:top w:val="single" w:sz="12" w:space="0" w:color="auto"/>
            </w:tcBorders>
          </w:tcPr>
          <w:p w14:paraId="63AB3FB4" w14:textId="77777777" w:rsidR="00BB16AF" w:rsidRPr="00CC2FF6" w:rsidRDefault="00BB16AF" w:rsidP="00F84914">
            <w:pPr>
              <w:spacing w:after="120"/>
              <w:jc w:val="left"/>
              <w:rPr>
                <w:b w:val="0"/>
                <w:bCs w:val="0"/>
                <w:caps w:val="0"/>
                <w:sz w:val="20"/>
                <w:szCs w:val="20"/>
              </w:rPr>
            </w:pPr>
            <w:r w:rsidRPr="00CC2FF6">
              <w:rPr>
                <w:sz w:val="20"/>
                <w:szCs w:val="20"/>
              </w:rPr>
              <w:t>Form of standard</w:t>
            </w:r>
          </w:p>
        </w:tc>
        <w:tc>
          <w:tcPr>
            <w:tcW w:w="3735" w:type="dxa"/>
            <w:tcBorders>
              <w:top w:val="single" w:sz="12" w:space="0" w:color="auto"/>
            </w:tcBorders>
          </w:tcPr>
          <w:p w14:paraId="3BB7BF26" w14:textId="5A222F9F" w:rsidR="00BB16AF" w:rsidRPr="00CC2FF6" w:rsidRDefault="005B75D8" w:rsidP="00025A5F">
            <w:pPr>
              <w:spacing w:after="120"/>
              <w:jc w:val="left"/>
              <w:cnfStyle w:val="000000100000" w:firstRow="0" w:lastRow="0" w:firstColumn="0" w:lastColumn="0" w:oddVBand="0" w:evenVBand="0" w:oddHBand="1" w:evenHBand="0" w:firstRowFirstColumn="0" w:firstRowLastColumn="0" w:lastRowFirstColumn="0" w:lastRowLastColumn="0"/>
              <w:rPr>
                <w:sz w:val="20"/>
                <w:szCs w:val="20"/>
              </w:rPr>
            </w:pPr>
            <w:r w:rsidRPr="00CC2FF6">
              <w:rPr>
                <w:sz w:val="20"/>
                <w:szCs w:val="20"/>
              </w:rPr>
              <w:t>Separate e</w:t>
            </w:r>
            <w:r w:rsidR="00206C9D" w:rsidRPr="00CC2FF6">
              <w:rPr>
                <w:sz w:val="20"/>
                <w:szCs w:val="20"/>
              </w:rPr>
              <w:t xml:space="preserve">mission rate-based standards </w:t>
            </w:r>
            <w:r w:rsidR="003802A8" w:rsidRPr="00CC2FF6">
              <w:rPr>
                <w:sz w:val="20"/>
                <w:szCs w:val="20"/>
              </w:rPr>
              <w:t>for new</w:t>
            </w:r>
            <w:r w:rsidR="009D78A2" w:rsidRPr="00CC2FF6">
              <w:rPr>
                <w:sz w:val="20"/>
                <w:szCs w:val="20"/>
              </w:rPr>
              <w:t xml:space="preserve"> </w:t>
            </w:r>
            <w:r w:rsidR="008316A0" w:rsidRPr="00CC2FF6">
              <w:rPr>
                <w:sz w:val="20"/>
                <w:szCs w:val="20"/>
              </w:rPr>
              <w:t xml:space="preserve">vehicles or engines, </w:t>
            </w:r>
            <w:r w:rsidR="00206C9D" w:rsidRPr="00CC2FF6">
              <w:rPr>
                <w:sz w:val="20"/>
                <w:szCs w:val="20"/>
              </w:rPr>
              <w:t xml:space="preserve">differentiated by </w:t>
            </w:r>
            <w:r w:rsidR="00B95058" w:rsidRPr="00CC2FF6">
              <w:rPr>
                <w:sz w:val="20"/>
                <w:szCs w:val="20"/>
              </w:rPr>
              <w:t xml:space="preserve">pollutant, </w:t>
            </w:r>
            <w:r w:rsidR="00206C9D" w:rsidRPr="00CC2FF6">
              <w:rPr>
                <w:sz w:val="20"/>
                <w:szCs w:val="20"/>
              </w:rPr>
              <w:t>use/type</w:t>
            </w:r>
            <w:r w:rsidR="00B95058" w:rsidRPr="00CC2FF6">
              <w:rPr>
                <w:sz w:val="20"/>
                <w:szCs w:val="20"/>
              </w:rPr>
              <w:t>,</w:t>
            </w:r>
            <w:r w:rsidRPr="00CC2FF6">
              <w:rPr>
                <w:sz w:val="20"/>
                <w:szCs w:val="20"/>
              </w:rPr>
              <w:t xml:space="preserve"> and engine size</w:t>
            </w:r>
            <w:r w:rsidR="00025A5F" w:rsidRPr="00CC2FF6">
              <w:rPr>
                <w:sz w:val="20"/>
                <w:szCs w:val="20"/>
              </w:rPr>
              <w:t xml:space="preserve"> (e.g., </w:t>
            </w:r>
            <w:r w:rsidR="003802A8" w:rsidRPr="00CC2FF6">
              <w:rPr>
                <w:sz w:val="20"/>
                <w:szCs w:val="20"/>
              </w:rPr>
              <w:t xml:space="preserve">snowmobiles, off-highway motorcycles, </w:t>
            </w:r>
            <w:r w:rsidR="0060385A" w:rsidRPr="00CC2FF6">
              <w:rPr>
                <w:sz w:val="20"/>
                <w:szCs w:val="20"/>
              </w:rPr>
              <w:t>ATV</w:t>
            </w:r>
            <w:r w:rsidR="003802A8" w:rsidRPr="00CC2FF6">
              <w:rPr>
                <w:sz w:val="20"/>
                <w:szCs w:val="20"/>
              </w:rPr>
              <w:t xml:space="preserve">s; </w:t>
            </w:r>
            <w:r w:rsidR="00206C9D" w:rsidRPr="00CC2FF6">
              <w:rPr>
                <w:sz w:val="20"/>
                <w:szCs w:val="20"/>
              </w:rPr>
              <w:t>large industrial spark-ign</w:t>
            </w:r>
            <w:r w:rsidR="00B95058" w:rsidRPr="00CC2FF6">
              <w:rPr>
                <w:sz w:val="20"/>
                <w:szCs w:val="20"/>
              </w:rPr>
              <w:t>ition engines</w:t>
            </w:r>
            <w:r w:rsidR="00025A5F" w:rsidRPr="00CC2FF6">
              <w:rPr>
                <w:sz w:val="20"/>
                <w:szCs w:val="20"/>
              </w:rPr>
              <w:t>)</w:t>
            </w:r>
          </w:p>
        </w:tc>
        <w:tc>
          <w:tcPr>
            <w:tcW w:w="3735" w:type="dxa"/>
            <w:tcBorders>
              <w:top w:val="single" w:sz="12" w:space="0" w:color="auto"/>
            </w:tcBorders>
          </w:tcPr>
          <w:p w14:paraId="3A5C6930" w14:textId="587992FB" w:rsidR="00BB16AF" w:rsidRPr="00CC2FF6" w:rsidRDefault="00FC6DC3" w:rsidP="00200DC3">
            <w:pPr>
              <w:spacing w:after="120"/>
              <w:jc w:val="left"/>
              <w:cnfStyle w:val="000000100000" w:firstRow="0" w:lastRow="0" w:firstColumn="0" w:lastColumn="0" w:oddVBand="0" w:evenVBand="0" w:oddHBand="1" w:evenHBand="0" w:firstRowFirstColumn="0" w:firstRowLastColumn="0" w:lastRowFirstColumn="0" w:lastRowLastColumn="0"/>
              <w:rPr>
                <w:sz w:val="20"/>
                <w:szCs w:val="20"/>
              </w:rPr>
            </w:pPr>
            <w:r w:rsidRPr="00CC2FF6">
              <w:rPr>
                <w:sz w:val="20"/>
                <w:szCs w:val="20"/>
              </w:rPr>
              <w:t>S</w:t>
            </w:r>
            <w:r w:rsidR="00B515BC" w:rsidRPr="00CC2FF6">
              <w:rPr>
                <w:sz w:val="20"/>
                <w:szCs w:val="20"/>
              </w:rPr>
              <w:t>eparate VOC content limits for</w:t>
            </w:r>
            <w:r w:rsidR="003E65D7" w:rsidRPr="00CC2FF6">
              <w:rPr>
                <w:sz w:val="20"/>
                <w:szCs w:val="20"/>
              </w:rPr>
              <w:t xml:space="preserve"> </w:t>
            </w:r>
            <w:r w:rsidR="008850FD" w:rsidRPr="00CC2FF6">
              <w:rPr>
                <w:sz w:val="20"/>
                <w:szCs w:val="20"/>
              </w:rPr>
              <w:t>43</w:t>
            </w:r>
            <w:r w:rsidR="003E65D7" w:rsidRPr="00CC2FF6">
              <w:rPr>
                <w:sz w:val="20"/>
                <w:szCs w:val="20"/>
              </w:rPr>
              <w:t xml:space="preserve"> consumer product categories</w:t>
            </w:r>
            <w:r w:rsidR="00D17064" w:rsidRPr="00CC2FF6">
              <w:rPr>
                <w:sz w:val="20"/>
                <w:szCs w:val="20"/>
              </w:rPr>
              <w:t xml:space="preserve"> </w:t>
            </w:r>
            <w:r w:rsidR="008850FD" w:rsidRPr="00CC2FF6">
              <w:rPr>
                <w:sz w:val="20"/>
                <w:szCs w:val="20"/>
              </w:rPr>
              <w:t>used as</w:t>
            </w:r>
            <w:r w:rsidR="003E65D7" w:rsidRPr="00CC2FF6">
              <w:rPr>
                <w:sz w:val="20"/>
                <w:szCs w:val="20"/>
              </w:rPr>
              <w:t xml:space="preserve"> cleaning products</w:t>
            </w:r>
            <w:r w:rsidR="00200DC3" w:rsidRPr="00CC2FF6">
              <w:rPr>
                <w:sz w:val="20"/>
                <w:szCs w:val="20"/>
              </w:rPr>
              <w:t xml:space="preserve"> (e.g., air fresheners</w:t>
            </w:r>
            <w:r w:rsidR="008850FD" w:rsidRPr="00CC2FF6">
              <w:rPr>
                <w:sz w:val="20"/>
                <w:szCs w:val="20"/>
              </w:rPr>
              <w:t>, wood floor wax)</w:t>
            </w:r>
            <w:r w:rsidR="003E65D7" w:rsidRPr="00CC2FF6">
              <w:rPr>
                <w:sz w:val="20"/>
                <w:szCs w:val="20"/>
              </w:rPr>
              <w:t>, personal care products</w:t>
            </w:r>
            <w:r w:rsidR="008850FD" w:rsidRPr="00CC2FF6">
              <w:rPr>
                <w:sz w:val="20"/>
                <w:szCs w:val="20"/>
              </w:rPr>
              <w:t xml:space="preserve"> (e.g., h</w:t>
            </w:r>
            <w:r w:rsidR="00200DC3" w:rsidRPr="00CC2FF6">
              <w:rPr>
                <w:sz w:val="20"/>
                <w:szCs w:val="20"/>
              </w:rPr>
              <w:t>air mousse, nail polish remover</w:t>
            </w:r>
            <w:r w:rsidR="008850FD" w:rsidRPr="00CC2FF6">
              <w:rPr>
                <w:sz w:val="20"/>
                <w:szCs w:val="20"/>
              </w:rPr>
              <w:t>)</w:t>
            </w:r>
            <w:r w:rsidR="003E65D7" w:rsidRPr="00CC2FF6">
              <w:rPr>
                <w:sz w:val="20"/>
                <w:szCs w:val="20"/>
              </w:rPr>
              <w:t>, and insecticides.</w:t>
            </w:r>
          </w:p>
        </w:tc>
      </w:tr>
      <w:tr w:rsidR="00BB16AF" w:rsidRPr="00CC2FF6" w14:paraId="5107F978" w14:textId="77777777" w:rsidTr="00FC6DC3">
        <w:tc>
          <w:tcPr>
            <w:cnfStyle w:val="001000000000" w:firstRow="0" w:lastRow="0" w:firstColumn="1" w:lastColumn="0" w:oddVBand="0" w:evenVBand="0" w:oddHBand="0" w:evenHBand="0" w:firstRowFirstColumn="0" w:firstRowLastColumn="0" w:lastRowFirstColumn="0" w:lastRowLastColumn="0"/>
            <w:tcW w:w="1980" w:type="dxa"/>
          </w:tcPr>
          <w:p w14:paraId="4D45EEC7" w14:textId="77777777" w:rsidR="00BB16AF" w:rsidRPr="00CC2FF6" w:rsidRDefault="00BB16AF" w:rsidP="00F84914">
            <w:pPr>
              <w:spacing w:after="120"/>
              <w:jc w:val="left"/>
              <w:rPr>
                <w:b w:val="0"/>
                <w:bCs w:val="0"/>
                <w:caps w:val="0"/>
                <w:sz w:val="20"/>
                <w:szCs w:val="20"/>
              </w:rPr>
            </w:pPr>
            <w:r w:rsidRPr="00CC2FF6">
              <w:rPr>
                <w:sz w:val="20"/>
                <w:szCs w:val="20"/>
              </w:rPr>
              <w:t>Methods of compliance</w:t>
            </w:r>
          </w:p>
        </w:tc>
        <w:tc>
          <w:tcPr>
            <w:tcW w:w="3735" w:type="dxa"/>
          </w:tcPr>
          <w:p w14:paraId="0EE6177F" w14:textId="577E454E" w:rsidR="00BB16AF" w:rsidRPr="00CC2FF6" w:rsidRDefault="0016401E" w:rsidP="00046563">
            <w:pPr>
              <w:spacing w:after="120"/>
              <w:jc w:val="left"/>
              <w:cnfStyle w:val="000000000000" w:firstRow="0" w:lastRow="0" w:firstColumn="0" w:lastColumn="0" w:oddVBand="0" w:evenVBand="0" w:oddHBand="0" w:evenHBand="0" w:firstRowFirstColumn="0" w:firstRowLastColumn="0" w:lastRowFirstColumn="0" w:lastRowLastColumn="0"/>
              <w:rPr>
                <w:sz w:val="20"/>
                <w:szCs w:val="20"/>
              </w:rPr>
            </w:pPr>
            <w:r w:rsidRPr="00CC2FF6">
              <w:rPr>
                <w:sz w:val="20"/>
                <w:szCs w:val="20"/>
              </w:rPr>
              <w:t xml:space="preserve">Flexibility in </w:t>
            </w:r>
            <w:r w:rsidR="0097760B" w:rsidRPr="00CC2FF6">
              <w:rPr>
                <w:sz w:val="20"/>
                <w:szCs w:val="20"/>
              </w:rPr>
              <w:t xml:space="preserve">compliance method; </w:t>
            </w:r>
            <w:r w:rsidRPr="00CC2FF6">
              <w:rPr>
                <w:sz w:val="20"/>
                <w:szCs w:val="20"/>
              </w:rPr>
              <w:t>expect manufacturers to modify e</w:t>
            </w:r>
            <w:r w:rsidR="0097760B" w:rsidRPr="00CC2FF6">
              <w:rPr>
                <w:sz w:val="20"/>
                <w:szCs w:val="20"/>
              </w:rPr>
              <w:t xml:space="preserve">ngine technology, change from </w:t>
            </w:r>
            <w:r w:rsidRPr="00CC2FF6">
              <w:rPr>
                <w:sz w:val="20"/>
                <w:szCs w:val="20"/>
              </w:rPr>
              <w:t>two- to four-stroke engine, or improve diesel combustion and after-cooling</w:t>
            </w:r>
          </w:p>
        </w:tc>
        <w:tc>
          <w:tcPr>
            <w:tcW w:w="3735" w:type="dxa"/>
          </w:tcPr>
          <w:p w14:paraId="6607B718" w14:textId="6B19EF34" w:rsidR="00BB16AF" w:rsidRPr="00CC2FF6" w:rsidRDefault="003E65D7" w:rsidP="0097760B">
            <w:pPr>
              <w:spacing w:after="120"/>
              <w:jc w:val="left"/>
              <w:cnfStyle w:val="000000000000" w:firstRow="0" w:lastRow="0" w:firstColumn="0" w:lastColumn="0" w:oddVBand="0" w:evenVBand="0" w:oddHBand="0" w:evenHBand="0" w:firstRowFirstColumn="0" w:firstRowLastColumn="0" w:lastRowFirstColumn="0" w:lastRowLastColumn="0"/>
              <w:rPr>
                <w:sz w:val="20"/>
                <w:szCs w:val="20"/>
              </w:rPr>
            </w:pPr>
            <w:r w:rsidRPr="00CC2FF6">
              <w:rPr>
                <w:sz w:val="20"/>
                <w:szCs w:val="20"/>
              </w:rPr>
              <w:t xml:space="preserve">Limits met through product reformulation; includes </w:t>
            </w:r>
            <w:r w:rsidR="0097760B" w:rsidRPr="00CC2FF6">
              <w:rPr>
                <w:sz w:val="20"/>
                <w:szCs w:val="20"/>
              </w:rPr>
              <w:t xml:space="preserve">potential exemption if </w:t>
            </w:r>
            <w:r w:rsidR="00A95014" w:rsidRPr="00CC2FF6">
              <w:rPr>
                <w:sz w:val="20"/>
                <w:szCs w:val="20"/>
              </w:rPr>
              <w:t xml:space="preserve">can </w:t>
            </w:r>
            <w:r w:rsidR="0097760B" w:rsidRPr="00CC2FF6">
              <w:rPr>
                <w:sz w:val="20"/>
                <w:szCs w:val="20"/>
              </w:rPr>
              <w:t xml:space="preserve">show </w:t>
            </w:r>
            <w:r w:rsidRPr="00CC2FF6">
              <w:rPr>
                <w:sz w:val="20"/>
                <w:szCs w:val="20"/>
              </w:rPr>
              <w:t>e</w:t>
            </w:r>
            <w:r w:rsidR="0097760B" w:rsidRPr="00CC2FF6">
              <w:rPr>
                <w:sz w:val="20"/>
                <w:szCs w:val="20"/>
              </w:rPr>
              <w:t>missions less than or equal to</w:t>
            </w:r>
            <w:r w:rsidRPr="00CC2FF6">
              <w:rPr>
                <w:sz w:val="20"/>
                <w:szCs w:val="20"/>
              </w:rPr>
              <w:t xml:space="preserve"> represe</w:t>
            </w:r>
            <w:r w:rsidR="0097760B" w:rsidRPr="00CC2FF6">
              <w:rPr>
                <w:sz w:val="20"/>
                <w:szCs w:val="20"/>
              </w:rPr>
              <w:t>ntative complying product in</w:t>
            </w:r>
            <w:r w:rsidRPr="00CC2FF6">
              <w:rPr>
                <w:sz w:val="20"/>
                <w:szCs w:val="20"/>
              </w:rPr>
              <w:t xml:space="preserve"> same category</w:t>
            </w:r>
          </w:p>
        </w:tc>
      </w:tr>
      <w:tr w:rsidR="00BB16AF" w:rsidRPr="00CC2FF6" w14:paraId="3F2511DB" w14:textId="77777777" w:rsidTr="00FC6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39FA640F" w14:textId="77777777" w:rsidR="00BB16AF" w:rsidRPr="00CC2FF6" w:rsidRDefault="00BB16AF" w:rsidP="00F84914">
            <w:pPr>
              <w:spacing w:after="120"/>
              <w:jc w:val="left"/>
              <w:rPr>
                <w:b w:val="0"/>
                <w:bCs w:val="0"/>
                <w:caps w:val="0"/>
                <w:sz w:val="20"/>
                <w:szCs w:val="20"/>
              </w:rPr>
            </w:pPr>
            <w:r w:rsidRPr="00CC2FF6">
              <w:rPr>
                <w:sz w:val="20"/>
                <w:szCs w:val="20"/>
              </w:rPr>
              <w:t>Regulated entities</w:t>
            </w:r>
          </w:p>
        </w:tc>
        <w:tc>
          <w:tcPr>
            <w:tcW w:w="3735" w:type="dxa"/>
          </w:tcPr>
          <w:p w14:paraId="55DD69C4" w14:textId="59D0D657" w:rsidR="00BB16AF" w:rsidRPr="00CC2FF6" w:rsidRDefault="0016401E" w:rsidP="00040025">
            <w:pPr>
              <w:spacing w:after="120"/>
              <w:jc w:val="left"/>
              <w:cnfStyle w:val="000000100000" w:firstRow="0" w:lastRow="0" w:firstColumn="0" w:lastColumn="0" w:oddVBand="0" w:evenVBand="0" w:oddHBand="1" w:evenHBand="0" w:firstRowFirstColumn="0" w:firstRowLastColumn="0" w:lastRowFirstColumn="0" w:lastRowLastColumn="0"/>
              <w:rPr>
                <w:sz w:val="20"/>
                <w:szCs w:val="20"/>
              </w:rPr>
            </w:pPr>
            <w:r w:rsidRPr="00CC2FF6">
              <w:rPr>
                <w:sz w:val="20"/>
                <w:szCs w:val="20"/>
              </w:rPr>
              <w:t>Engine manufacturers</w:t>
            </w:r>
            <w:r w:rsidR="00F0617A" w:rsidRPr="00CC2FF6">
              <w:rPr>
                <w:sz w:val="20"/>
                <w:szCs w:val="20"/>
              </w:rPr>
              <w:t xml:space="preserve"> across a variety of transportation subsectors</w:t>
            </w:r>
          </w:p>
        </w:tc>
        <w:tc>
          <w:tcPr>
            <w:tcW w:w="3735" w:type="dxa"/>
          </w:tcPr>
          <w:p w14:paraId="57CBC3D8" w14:textId="1FC6BC1C" w:rsidR="00BB16AF" w:rsidRPr="00CC2FF6" w:rsidRDefault="003E65D7" w:rsidP="000D0C0E">
            <w:pPr>
              <w:spacing w:after="120"/>
              <w:jc w:val="left"/>
              <w:cnfStyle w:val="000000100000" w:firstRow="0" w:lastRow="0" w:firstColumn="0" w:lastColumn="0" w:oddVBand="0" w:evenVBand="0" w:oddHBand="1" w:evenHBand="0" w:firstRowFirstColumn="0" w:firstRowLastColumn="0" w:lastRowFirstColumn="0" w:lastRowLastColumn="0"/>
              <w:rPr>
                <w:sz w:val="20"/>
                <w:szCs w:val="20"/>
              </w:rPr>
            </w:pPr>
            <w:r w:rsidRPr="00CC2FF6">
              <w:rPr>
                <w:sz w:val="20"/>
                <w:szCs w:val="20"/>
              </w:rPr>
              <w:t xml:space="preserve">Approximately 220 </w:t>
            </w:r>
            <w:r w:rsidR="00AF01CE" w:rsidRPr="00CC2FF6">
              <w:rPr>
                <w:sz w:val="20"/>
                <w:szCs w:val="20"/>
              </w:rPr>
              <w:t xml:space="preserve">manufacturers, distributors, or importers </w:t>
            </w:r>
          </w:p>
        </w:tc>
      </w:tr>
      <w:tr w:rsidR="00BB16AF" w:rsidRPr="00CC2FF6" w14:paraId="1E3007F6" w14:textId="77777777" w:rsidTr="00FC6DC3">
        <w:tc>
          <w:tcPr>
            <w:cnfStyle w:val="001000000000" w:firstRow="0" w:lastRow="0" w:firstColumn="1" w:lastColumn="0" w:oddVBand="0" w:evenVBand="0" w:oddHBand="0" w:evenHBand="0" w:firstRowFirstColumn="0" w:firstRowLastColumn="0" w:lastRowFirstColumn="0" w:lastRowLastColumn="0"/>
            <w:tcW w:w="1980" w:type="dxa"/>
          </w:tcPr>
          <w:p w14:paraId="0C2AD6FA" w14:textId="77777777" w:rsidR="00BB16AF" w:rsidRPr="00CC2FF6" w:rsidRDefault="00BB16AF" w:rsidP="00F84914">
            <w:pPr>
              <w:spacing w:after="120"/>
              <w:jc w:val="left"/>
              <w:rPr>
                <w:b w:val="0"/>
                <w:bCs w:val="0"/>
                <w:caps w:val="0"/>
                <w:sz w:val="20"/>
                <w:szCs w:val="20"/>
              </w:rPr>
            </w:pPr>
            <w:r w:rsidRPr="00CC2FF6">
              <w:rPr>
                <w:sz w:val="20"/>
                <w:szCs w:val="20"/>
              </w:rPr>
              <w:t>Unit compliance costs</w:t>
            </w:r>
          </w:p>
        </w:tc>
        <w:tc>
          <w:tcPr>
            <w:tcW w:w="3735" w:type="dxa"/>
          </w:tcPr>
          <w:p w14:paraId="6285F52F" w14:textId="32D1AC65" w:rsidR="00BB16AF" w:rsidRPr="00CC2FF6" w:rsidRDefault="009D78A2" w:rsidP="008C20BE">
            <w:pPr>
              <w:spacing w:after="120"/>
              <w:jc w:val="left"/>
              <w:cnfStyle w:val="000000000000" w:firstRow="0" w:lastRow="0" w:firstColumn="0" w:lastColumn="0" w:oddVBand="0" w:evenVBand="0" w:oddHBand="0" w:evenHBand="0" w:firstRowFirstColumn="0" w:firstRowLastColumn="0" w:lastRowFirstColumn="0" w:lastRowLastColumn="0"/>
              <w:rPr>
                <w:sz w:val="20"/>
                <w:szCs w:val="20"/>
              </w:rPr>
            </w:pPr>
            <w:r w:rsidRPr="00CC2FF6">
              <w:rPr>
                <w:sz w:val="20"/>
                <w:szCs w:val="20"/>
              </w:rPr>
              <w:t>Fixed R&amp;D c</w:t>
            </w:r>
            <w:r w:rsidR="00B85388" w:rsidRPr="00CC2FF6">
              <w:rPr>
                <w:sz w:val="20"/>
                <w:szCs w:val="20"/>
              </w:rPr>
              <w:t>osts</w:t>
            </w:r>
            <w:r w:rsidRPr="00CC2FF6">
              <w:rPr>
                <w:sz w:val="20"/>
                <w:szCs w:val="20"/>
              </w:rPr>
              <w:t xml:space="preserve">; variable costs to </w:t>
            </w:r>
            <w:r w:rsidR="00B85388" w:rsidRPr="00CC2FF6">
              <w:rPr>
                <w:sz w:val="20"/>
                <w:szCs w:val="20"/>
              </w:rPr>
              <w:t>build</w:t>
            </w:r>
            <w:r w:rsidR="005A5F3F" w:rsidRPr="00CC2FF6">
              <w:rPr>
                <w:sz w:val="20"/>
                <w:szCs w:val="20"/>
              </w:rPr>
              <w:t>/certify new</w:t>
            </w:r>
            <w:r w:rsidR="00B85388" w:rsidRPr="00CC2FF6">
              <w:rPr>
                <w:sz w:val="20"/>
                <w:szCs w:val="20"/>
              </w:rPr>
              <w:t xml:space="preserve"> products; savings from </w:t>
            </w:r>
            <w:r w:rsidR="005A5F3F" w:rsidRPr="00CC2FF6">
              <w:rPr>
                <w:sz w:val="20"/>
                <w:szCs w:val="20"/>
              </w:rPr>
              <w:t>better</w:t>
            </w:r>
            <w:r w:rsidR="008C20BE" w:rsidRPr="00CC2FF6">
              <w:rPr>
                <w:sz w:val="20"/>
                <w:szCs w:val="20"/>
              </w:rPr>
              <w:t xml:space="preserve"> engine performance and </w:t>
            </w:r>
            <w:r w:rsidR="00B85388" w:rsidRPr="00CC2FF6">
              <w:rPr>
                <w:sz w:val="20"/>
                <w:szCs w:val="20"/>
              </w:rPr>
              <w:t>reduced fuel consumption</w:t>
            </w:r>
            <w:r w:rsidR="0004129B" w:rsidRPr="00CC2FF6">
              <w:rPr>
                <w:sz w:val="20"/>
                <w:szCs w:val="20"/>
              </w:rPr>
              <w:t xml:space="preserve">; may negatively impact </w:t>
            </w:r>
            <w:r w:rsidR="008C20BE" w:rsidRPr="00CC2FF6">
              <w:rPr>
                <w:sz w:val="20"/>
                <w:szCs w:val="20"/>
              </w:rPr>
              <w:t>some</w:t>
            </w:r>
            <w:r w:rsidR="0004129B" w:rsidRPr="00CC2FF6">
              <w:rPr>
                <w:sz w:val="20"/>
                <w:szCs w:val="20"/>
              </w:rPr>
              <w:t xml:space="preserve"> attributes (</w:t>
            </w:r>
            <w:r w:rsidR="00226757" w:rsidRPr="00CC2FF6">
              <w:rPr>
                <w:sz w:val="20"/>
                <w:szCs w:val="20"/>
              </w:rPr>
              <w:t xml:space="preserve">e.g., </w:t>
            </w:r>
            <w:r w:rsidR="0004129B" w:rsidRPr="00CC2FF6">
              <w:rPr>
                <w:sz w:val="20"/>
                <w:szCs w:val="20"/>
              </w:rPr>
              <w:t xml:space="preserve">power to weight ratio, </w:t>
            </w:r>
            <w:r w:rsidR="00226757" w:rsidRPr="00CC2FF6">
              <w:rPr>
                <w:sz w:val="20"/>
                <w:szCs w:val="20"/>
              </w:rPr>
              <w:t>reliability</w:t>
            </w:r>
            <w:r w:rsidR="004A1B89" w:rsidRPr="00CC2FF6">
              <w:rPr>
                <w:sz w:val="20"/>
                <w:szCs w:val="20"/>
              </w:rPr>
              <w:t>)</w:t>
            </w:r>
            <w:r w:rsidR="0004129B" w:rsidRPr="00CC2FF6">
              <w:rPr>
                <w:sz w:val="20"/>
                <w:szCs w:val="20"/>
              </w:rPr>
              <w:t xml:space="preserve"> </w:t>
            </w:r>
          </w:p>
        </w:tc>
        <w:tc>
          <w:tcPr>
            <w:tcW w:w="3735" w:type="dxa"/>
          </w:tcPr>
          <w:p w14:paraId="717B31BD" w14:textId="509E753D" w:rsidR="00BB16AF" w:rsidRPr="00CC2FF6" w:rsidRDefault="00393ED0" w:rsidP="00247F2D">
            <w:pPr>
              <w:spacing w:after="120"/>
              <w:jc w:val="left"/>
              <w:cnfStyle w:val="000000000000" w:firstRow="0" w:lastRow="0" w:firstColumn="0" w:lastColumn="0" w:oddVBand="0" w:evenVBand="0" w:oddHBand="0" w:evenHBand="0" w:firstRowFirstColumn="0" w:firstRowLastColumn="0" w:lastRowFirstColumn="0" w:lastRowLastColumn="0"/>
              <w:rPr>
                <w:sz w:val="20"/>
                <w:szCs w:val="20"/>
              </w:rPr>
            </w:pPr>
            <w:r w:rsidRPr="00CC2FF6">
              <w:rPr>
                <w:sz w:val="20"/>
                <w:szCs w:val="20"/>
              </w:rPr>
              <w:t>There are virtually no capital costs, except for development of new, reformulated products. Variable costs include recordkeeping and reporting</w:t>
            </w:r>
          </w:p>
        </w:tc>
      </w:tr>
      <w:tr w:rsidR="00BB16AF" w:rsidRPr="00CC2FF6" w14:paraId="35186173" w14:textId="77777777" w:rsidTr="00FC6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33AE3C37" w14:textId="6A16AD23" w:rsidR="00BB16AF" w:rsidRPr="00CC2FF6" w:rsidRDefault="00BB16AF" w:rsidP="00F84914">
            <w:pPr>
              <w:spacing w:after="120"/>
              <w:jc w:val="left"/>
              <w:rPr>
                <w:b w:val="0"/>
                <w:bCs w:val="0"/>
                <w:caps w:val="0"/>
                <w:sz w:val="20"/>
                <w:szCs w:val="20"/>
              </w:rPr>
            </w:pPr>
            <w:r w:rsidRPr="00CC2FF6">
              <w:rPr>
                <w:sz w:val="20"/>
                <w:szCs w:val="20"/>
              </w:rPr>
              <w:t>Aggregate compliance cost</w:t>
            </w:r>
          </w:p>
        </w:tc>
        <w:tc>
          <w:tcPr>
            <w:tcW w:w="3735" w:type="dxa"/>
          </w:tcPr>
          <w:p w14:paraId="3E48C746" w14:textId="4AB6DE18" w:rsidR="00BB16AF" w:rsidRPr="00CC2FF6" w:rsidRDefault="00826E85" w:rsidP="00691011">
            <w:pPr>
              <w:spacing w:after="120"/>
              <w:jc w:val="left"/>
              <w:cnfStyle w:val="000000100000" w:firstRow="0" w:lastRow="0" w:firstColumn="0" w:lastColumn="0" w:oddVBand="0" w:evenVBand="0" w:oddHBand="1" w:evenHBand="0" w:firstRowFirstColumn="0" w:firstRowLastColumn="0" w:lastRowFirstColumn="0" w:lastRowLastColumn="0"/>
              <w:rPr>
                <w:sz w:val="20"/>
                <w:szCs w:val="20"/>
              </w:rPr>
            </w:pPr>
            <w:r w:rsidRPr="00CC2FF6">
              <w:rPr>
                <w:sz w:val="20"/>
                <w:szCs w:val="20"/>
              </w:rPr>
              <w:t xml:space="preserve">Cost to comply is </w:t>
            </w:r>
            <w:r w:rsidR="00226757" w:rsidRPr="00CC2FF6">
              <w:rPr>
                <w:sz w:val="20"/>
                <w:szCs w:val="20"/>
              </w:rPr>
              <w:t>$1.</w:t>
            </w:r>
            <w:r w:rsidR="00DC6B99" w:rsidRPr="00CC2FF6">
              <w:rPr>
                <w:sz w:val="20"/>
                <w:szCs w:val="20"/>
              </w:rPr>
              <w:t>9</w:t>
            </w:r>
            <w:r w:rsidR="00226757" w:rsidRPr="00CC2FF6">
              <w:rPr>
                <w:sz w:val="20"/>
                <w:szCs w:val="20"/>
              </w:rPr>
              <w:t>B; $</w:t>
            </w:r>
            <w:r w:rsidR="005A5F3F" w:rsidRPr="00CC2FF6">
              <w:rPr>
                <w:sz w:val="20"/>
                <w:szCs w:val="20"/>
              </w:rPr>
              <w:t>4.</w:t>
            </w:r>
            <w:r w:rsidR="00DC6B99" w:rsidRPr="00CC2FF6">
              <w:rPr>
                <w:sz w:val="20"/>
                <w:szCs w:val="20"/>
              </w:rPr>
              <w:t>3</w:t>
            </w:r>
            <w:r w:rsidR="005A5F3F" w:rsidRPr="00CC2FF6">
              <w:rPr>
                <w:sz w:val="20"/>
                <w:szCs w:val="20"/>
              </w:rPr>
              <w:t xml:space="preserve">B in fuel savings </w:t>
            </w:r>
            <w:r w:rsidR="00DC6B99" w:rsidRPr="00CC2FF6">
              <w:rPr>
                <w:sz w:val="20"/>
                <w:szCs w:val="20"/>
              </w:rPr>
              <w:t>(~2001</w:t>
            </w:r>
            <w:r w:rsidR="00BD2364" w:rsidRPr="00CC2FF6">
              <w:rPr>
                <w:sz w:val="20"/>
                <w:szCs w:val="20"/>
              </w:rPr>
              <w:t>$)</w:t>
            </w:r>
          </w:p>
        </w:tc>
        <w:tc>
          <w:tcPr>
            <w:tcW w:w="3735" w:type="dxa"/>
          </w:tcPr>
          <w:p w14:paraId="0223DE6B" w14:textId="6E30B7AC" w:rsidR="00BB16AF" w:rsidRPr="00CC2FF6" w:rsidRDefault="00935075" w:rsidP="00275FAF">
            <w:pPr>
              <w:spacing w:after="120"/>
              <w:jc w:val="left"/>
              <w:cnfStyle w:val="000000100000" w:firstRow="0" w:lastRow="0" w:firstColumn="0" w:lastColumn="0" w:oddVBand="0" w:evenVBand="0" w:oddHBand="1" w:evenHBand="0" w:firstRowFirstColumn="0" w:firstRowLastColumn="0" w:lastRowFirstColumn="0" w:lastRowLastColumn="0"/>
              <w:rPr>
                <w:sz w:val="20"/>
                <w:szCs w:val="20"/>
              </w:rPr>
            </w:pPr>
            <w:r w:rsidRPr="00CC2FF6">
              <w:rPr>
                <w:sz w:val="20"/>
                <w:szCs w:val="20"/>
              </w:rPr>
              <w:t>Annualized cost of $27 million</w:t>
            </w:r>
            <w:r w:rsidR="005B5308" w:rsidRPr="00CC2FF6">
              <w:rPr>
                <w:sz w:val="20"/>
                <w:szCs w:val="20"/>
              </w:rPr>
              <w:t xml:space="preserve"> (</w:t>
            </w:r>
            <w:r w:rsidR="00BD2364" w:rsidRPr="00CC2FF6">
              <w:rPr>
                <w:sz w:val="20"/>
                <w:szCs w:val="20"/>
              </w:rPr>
              <w:t>1995</w:t>
            </w:r>
            <w:r w:rsidR="005B5308" w:rsidRPr="00CC2FF6">
              <w:rPr>
                <w:sz w:val="20"/>
                <w:szCs w:val="20"/>
              </w:rPr>
              <w:t>$)</w:t>
            </w:r>
            <w:r w:rsidR="00DD2E7C" w:rsidRPr="00CC2FF6">
              <w:rPr>
                <w:sz w:val="20"/>
                <w:szCs w:val="20"/>
              </w:rPr>
              <w:t xml:space="preserve">; </w:t>
            </w:r>
            <w:r w:rsidR="00393ED0" w:rsidRPr="00CC2FF6">
              <w:rPr>
                <w:sz w:val="20"/>
                <w:szCs w:val="20"/>
              </w:rPr>
              <w:t xml:space="preserve">prices of consumer products </w:t>
            </w:r>
            <w:r w:rsidR="00DD2E7C" w:rsidRPr="00CC2FF6">
              <w:rPr>
                <w:sz w:val="20"/>
                <w:szCs w:val="20"/>
              </w:rPr>
              <w:t xml:space="preserve">expected to increase </w:t>
            </w:r>
            <w:r w:rsidR="00393ED0" w:rsidRPr="00CC2FF6">
              <w:rPr>
                <w:sz w:val="20"/>
                <w:szCs w:val="20"/>
              </w:rPr>
              <w:t>by less than one percent</w:t>
            </w:r>
          </w:p>
        </w:tc>
      </w:tr>
      <w:tr w:rsidR="00BB16AF" w:rsidRPr="00CC2FF6" w14:paraId="6E6248A4" w14:textId="77777777" w:rsidTr="00FC6DC3">
        <w:tc>
          <w:tcPr>
            <w:cnfStyle w:val="001000000000" w:firstRow="0" w:lastRow="0" w:firstColumn="1" w:lastColumn="0" w:oddVBand="0" w:evenVBand="0" w:oddHBand="0" w:evenHBand="0" w:firstRowFirstColumn="0" w:firstRowLastColumn="0" w:lastRowFirstColumn="0" w:lastRowLastColumn="0"/>
            <w:tcW w:w="1980" w:type="dxa"/>
          </w:tcPr>
          <w:p w14:paraId="035F4390" w14:textId="77777777" w:rsidR="00BB16AF" w:rsidRPr="00CC2FF6" w:rsidRDefault="00BB16AF" w:rsidP="00F84914">
            <w:pPr>
              <w:spacing w:after="120"/>
              <w:jc w:val="left"/>
              <w:rPr>
                <w:b w:val="0"/>
                <w:bCs w:val="0"/>
                <w:caps w:val="0"/>
                <w:sz w:val="20"/>
                <w:szCs w:val="20"/>
              </w:rPr>
            </w:pPr>
            <w:r w:rsidRPr="00CC2FF6">
              <w:rPr>
                <w:sz w:val="20"/>
                <w:szCs w:val="20"/>
              </w:rPr>
              <w:t>Implementation</w:t>
            </w:r>
          </w:p>
        </w:tc>
        <w:tc>
          <w:tcPr>
            <w:tcW w:w="3735" w:type="dxa"/>
          </w:tcPr>
          <w:p w14:paraId="78AF9A11" w14:textId="5F6A9683" w:rsidR="00BB16AF" w:rsidRPr="00CC2FF6" w:rsidRDefault="00B85388" w:rsidP="00040025">
            <w:pPr>
              <w:spacing w:after="120"/>
              <w:jc w:val="left"/>
              <w:cnfStyle w:val="000000000000" w:firstRow="0" w:lastRow="0" w:firstColumn="0" w:lastColumn="0" w:oddVBand="0" w:evenVBand="0" w:oddHBand="0" w:evenHBand="0" w:firstRowFirstColumn="0" w:firstRowLastColumn="0" w:lastRowFirstColumn="0" w:lastRowLastColumn="0"/>
              <w:rPr>
                <w:sz w:val="20"/>
                <w:szCs w:val="20"/>
              </w:rPr>
            </w:pPr>
            <w:r w:rsidRPr="00CC2FF6">
              <w:rPr>
                <w:sz w:val="20"/>
                <w:szCs w:val="20"/>
              </w:rPr>
              <w:t>Federally implemented</w:t>
            </w:r>
          </w:p>
        </w:tc>
        <w:tc>
          <w:tcPr>
            <w:tcW w:w="3735" w:type="dxa"/>
          </w:tcPr>
          <w:p w14:paraId="07554C71" w14:textId="74F61E9F" w:rsidR="00BB16AF" w:rsidRPr="00CC2FF6" w:rsidRDefault="00393ED0" w:rsidP="00275FAF">
            <w:pPr>
              <w:spacing w:after="120"/>
              <w:jc w:val="left"/>
              <w:cnfStyle w:val="000000000000" w:firstRow="0" w:lastRow="0" w:firstColumn="0" w:lastColumn="0" w:oddVBand="0" w:evenVBand="0" w:oddHBand="0" w:evenHBand="0" w:firstRowFirstColumn="0" w:firstRowLastColumn="0" w:lastRowFirstColumn="0" w:lastRowLastColumn="0"/>
              <w:rPr>
                <w:sz w:val="20"/>
                <w:szCs w:val="20"/>
              </w:rPr>
            </w:pPr>
            <w:r w:rsidRPr="00CC2FF6">
              <w:rPr>
                <w:sz w:val="20"/>
                <w:szCs w:val="20"/>
              </w:rPr>
              <w:t>Federally implemented</w:t>
            </w:r>
          </w:p>
        </w:tc>
      </w:tr>
      <w:tr w:rsidR="00BB16AF" w:rsidRPr="00CC2FF6" w14:paraId="2C36948F" w14:textId="77777777" w:rsidTr="00FC6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Borders>
              <w:bottom w:val="single" w:sz="12" w:space="0" w:color="auto"/>
            </w:tcBorders>
          </w:tcPr>
          <w:p w14:paraId="4B89A141" w14:textId="77777777" w:rsidR="00BB16AF" w:rsidRPr="00CC2FF6" w:rsidRDefault="00BB16AF" w:rsidP="00F84914">
            <w:pPr>
              <w:spacing w:after="120"/>
              <w:jc w:val="left"/>
              <w:rPr>
                <w:b w:val="0"/>
                <w:bCs w:val="0"/>
                <w:caps w:val="0"/>
                <w:sz w:val="20"/>
                <w:szCs w:val="20"/>
              </w:rPr>
            </w:pPr>
            <w:r w:rsidRPr="00CC2FF6">
              <w:rPr>
                <w:sz w:val="20"/>
                <w:szCs w:val="20"/>
              </w:rPr>
              <w:t>Timeframe for compliance</w:t>
            </w:r>
          </w:p>
        </w:tc>
        <w:tc>
          <w:tcPr>
            <w:tcW w:w="3735" w:type="dxa"/>
            <w:tcBorders>
              <w:bottom w:val="single" w:sz="12" w:space="0" w:color="auto"/>
            </w:tcBorders>
          </w:tcPr>
          <w:p w14:paraId="79FC272E" w14:textId="1F6F4766" w:rsidR="00BB16AF" w:rsidRPr="00CC2FF6" w:rsidRDefault="00120EE7" w:rsidP="00120EE7">
            <w:pPr>
              <w:spacing w:after="120"/>
              <w:jc w:val="left"/>
              <w:cnfStyle w:val="000000100000" w:firstRow="0" w:lastRow="0" w:firstColumn="0" w:lastColumn="0" w:oddVBand="0" w:evenVBand="0" w:oddHBand="1" w:evenHBand="0" w:firstRowFirstColumn="0" w:firstRowLastColumn="0" w:lastRowFirstColumn="0" w:lastRowLastColumn="0"/>
              <w:rPr>
                <w:sz w:val="20"/>
                <w:szCs w:val="20"/>
              </w:rPr>
            </w:pPr>
            <w:r w:rsidRPr="00CC2FF6">
              <w:rPr>
                <w:sz w:val="20"/>
                <w:szCs w:val="20"/>
              </w:rPr>
              <w:t>2-4</w:t>
            </w:r>
            <w:r w:rsidR="00B85388" w:rsidRPr="00CC2FF6">
              <w:rPr>
                <w:sz w:val="20"/>
                <w:szCs w:val="20"/>
              </w:rPr>
              <w:t xml:space="preserve"> years after promulgation; </w:t>
            </w:r>
            <w:r w:rsidRPr="00CC2FF6">
              <w:rPr>
                <w:sz w:val="20"/>
                <w:szCs w:val="20"/>
              </w:rPr>
              <w:t xml:space="preserve">longer </w:t>
            </w:r>
            <w:r w:rsidR="00B85388" w:rsidRPr="00CC2FF6">
              <w:rPr>
                <w:sz w:val="20"/>
                <w:szCs w:val="20"/>
              </w:rPr>
              <w:t xml:space="preserve">phase in </w:t>
            </w:r>
            <w:r w:rsidRPr="00CC2FF6">
              <w:rPr>
                <w:sz w:val="20"/>
                <w:szCs w:val="20"/>
              </w:rPr>
              <w:t>for</w:t>
            </w:r>
            <w:r w:rsidR="00B85388" w:rsidRPr="00CC2FF6">
              <w:rPr>
                <w:sz w:val="20"/>
                <w:szCs w:val="20"/>
              </w:rPr>
              <w:t xml:space="preserve"> some standards</w:t>
            </w:r>
          </w:p>
        </w:tc>
        <w:tc>
          <w:tcPr>
            <w:tcW w:w="3735" w:type="dxa"/>
            <w:tcBorders>
              <w:bottom w:val="single" w:sz="12" w:space="0" w:color="auto"/>
            </w:tcBorders>
          </w:tcPr>
          <w:p w14:paraId="6F29A89D" w14:textId="6B3A9F95" w:rsidR="00BB16AF" w:rsidRPr="00CC2FF6" w:rsidRDefault="00274896" w:rsidP="00F36D67">
            <w:pPr>
              <w:spacing w:after="120"/>
              <w:jc w:val="left"/>
              <w:cnfStyle w:val="000000100000" w:firstRow="0" w:lastRow="0" w:firstColumn="0" w:lastColumn="0" w:oddVBand="0" w:evenVBand="0" w:oddHBand="1" w:evenHBand="0" w:firstRowFirstColumn="0" w:firstRowLastColumn="0" w:lastRowFirstColumn="0" w:lastRowLastColumn="0"/>
              <w:rPr>
                <w:sz w:val="20"/>
                <w:szCs w:val="20"/>
              </w:rPr>
            </w:pPr>
            <w:r w:rsidRPr="00CC2FF6">
              <w:rPr>
                <w:sz w:val="20"/>
                <w:szCs w:val="20"/>
              </w:rPr>
              <w:t>Less than 1</w:t>
            </w:r>
            <w:r w:rsidR="00E22038" w:rsidRPr="00CC2FF6">
              <w:rPr>
                <w:sz w:val="20"/>
                <w:szCs w:val="20"/>
              </w:rPr>
              <w:t xml:space="preserve"> year from promulgation</w:t>
            </w:r>
          </w:p>
        </w:tc>
      </w:tr>
    </w:tbl>
    <w:p w14:paraId="2E6F4B05" w14:textId="77777777" w:rsidR="000B214E" w:rsidRPr="00564B9C" w:rsidRDefault="000B214E" w:rsidP="00FC39FE">
      <w:pPr>
        <w:spacing w:after="0" w:line="276" w:lineRule="auto"/>
      </w:pPr>
    </w:p>
    <w:p w14:paraId="6080D7FE" w14:textId="6ABCE242" w:rsidR="00F32730" w:rsidRDefault="00806A67" w:rsidP="003A0138">
      <w:pPr>
        <w:pStyle w:val="Heading1"/>
      </w:pPr>
      <w:bookmarkStart w:id="41" w:name="_Toc427324753"/>
      <w:bookmarkStart w:id="42" w:name="_Toc448481306"/>
      <w:r w:rsidRPr="00564B9C">
        <w:t>Challenges in</w:t>
      </w:r>
      <w:r w:rsidR="00EA6BEA" w:rsidRPr="00564B9C">
        <w:t xml:space="preserve"> Represent</w:t>
      </w:r>
      <w:r w:rsidR="00650423" w:rsidRPr="00564B9C">
        <w:t>ing a</w:t>
      </w:r>
      <w:r w:rsidRPr="00564B9C">
        <w:t>n Air</w:t>
      </w:r>
      <w:r w:rsidR="00650423" w:rsidRPr="00564B9C">
        <w:t xml:space="preserve"> Regulation</w:t>
      </w:r>
      <w:r w:rsidR="00EA6BEA" w:rsidRPr="00564B9C">
        <w:t xml:space="preserve"> in a CGE </w:t>
      </w:r>
      <w:r w:rsidR="00650423" w:rsidRPr="00564B9C">
        <w:t>Model</w:t>
      </w:r>
      <w:bookmarkEnd w:id="41"/>
      <w:r w:rsidR="003A0138">
        <w:t xml:space="preserve"> </w:t>
      </w:r>
      <w:r w:rsidR="00A80E88">
        <w:t>For</w:t>
      </w:r>
      <w:r w:rsidR="003A0138">
        <w:t xml:space="preserve"> Estimating Social Cost</w:t>
      </w:r>
      <w:bookmarkEnd w:id="42"/>
    </w:p>
    <w:p w14:paraId="54C0D10B" w14:textId="77777777" w:rsidR="00A80E88" w:rsidRPr="00A80E88" w:rsidRDefault="00A80E88" w:rsidP="00A80E88"/>
    <w:p w14:paraId="44D7FFED" w14:textId="2A0D8AE1" w:rsidR="00806A67" w:rsidRPr="00564B9C" w:rsidRDefault="00806A67" w:rsidP="00FC39FE">
      <w:pPr>
        <w:spacing w:line="276" w:lineRule="auto"/>
      </w:pPr>
      <w:r w:rsidRPr="00564B9C">
        <w:t xml:space="preserve">This section briefly discusses several challenges that may be encountered when attempting to represent an air regulation in a CGE model. </w:t>
      </w:r>
      <w:r w:rsidR="00065BAE" w:rsidRPr="00564B9C">
        <w:t>We</w:t>
      </w:r>
      <w:r w:rsidRPr="00564B9C">
        <w:t xml:space="preserve"> select one example </w:t>
      </w:r>
      <w:r w:rsidR="00542954" w:rsidRPr="00564B9C">
        <w:t xml:space="preserve">from </w:t>
      </w:r>
      <w:r w:rsidR="00065BAE" w:rsidRPr="00564B9C">
        <w:t>each</w:t>
      </w:r>
      <w:r w:rsidR="00542954" w:rsidRPr="00564B9C">
        <w:t xml:space="preserve"> table </w:t>
      </w:r>
      <w:r w:rsidR="00065BAE" w:rsidRPr="00564B9C">
        <w:t xml:space="preserve">in the previous section </w:t>
      </w:r>
      <w:r w:rsidRPr="00564B9C">
        <w:t xml:space="preserve">to facilitate </w:t>
      </w:r>
      <w:r w:rsidR="00A070E5" w:rsidRPr="00564B9C">
        <w:t xml:space="preserve">a better </w:t>
      </w:r>
      <w:r w:rsidRPr="00564B9C">
        <w:t>understanding of some of the specific types of issues encountered by an analyst when attempting to use a CGE model to estimate social costs</w:t>
      </w:r>
      <w:r w:rsidR="00065BAE" w:rsidRPr="00564B9C">
        <w:t xml:space="preserve"> for the</w:t>
      </w:r>
      <w:r w:rsidR="00247F2D">
        <w:t>se</w:t>
      </w:r>
      <w:r w:rsidR="00065BAE" w:rsidRPr="00564B9C">
        <w:t xml:space="preserve"> four categories of regulations</w:t>
      </w:r>
      <w:r w:rsidRPr="00564B9C">
        <w:t>.</w:t>
      </w:r>
    </w:p>
    <w:p w14:paraId="31C6A205" w14:textId="2A013EE4" w:rsidR="00B814D3" w:rsidRPr="00A80E88" w:rsidRDefault="00A80E88" w:rsidP="00FC39FE">
      <w:pPr>
        <w:spacing w:line="276" w:lineRule="auto"/>
        <w:rPr>
          <w:rFonts w:cstheme="minorHAnsi"/>
          <w:b/>
        </w:rPr>
      </w:pPr>
      <w:r w:rsidRPr="00A80E88">
        <w:rPr>
          <w:b/>
        </w:rPr>
        <w:t xml:space="preserve">4.1 </w:t>
      </w:r>
      <w:r w:rsidR="00D51DBF" w:rsidRPr="00A80E88">
        <w:rPr>
          <w:b/>
        </w:rPr>
        <w:t xml:space="preserve">Single Sector Emission Rate Limits - </w:t>
      </w:r>
      <w:r w:rsidR="00B814D3" w:rsidRPr="00A80E88">
        <w:rPr>
          <w:rFonts w:cstheme="minorHAnsi"/>
          <w:b/>
        </w:rPr>
        <w:t>MATS Example (Category #</w:t>
      </w:r>
      <w:r w:rsidR="00555CCC" w:rsidRPr="00A80E88">
        <w:rPr>
          <w:rFonts w:cstheme="minorHAnsi"/>
          <w:b/>
        </w:rPr>
        <w:t>1</w:t>
      </w:r>
      <w:r w:rsidR="00B814D3" w:rsidRPr="00A80E88">
        <w:rPr>
          <w:rFonts w:cstheme="minorHAnsi"/>
          <w:b/>
        </w:rPr>
        <w:t>)</w:t>
      </w:r>
    </w:p>
    <w:p w14:paraId="68FEA95A" w14:textId="2D4EDCE4" w:rsidR="00281CC6" w:rsidRPr="00564B9C" w:rsidRDefault="00226A9D" w:rsidP="00FC39FE">
      <w:pPr>
        <w:spacing w:line="276" w:lineRule="auto"/>
        <w:rPr>
          <w:rFonts w:cstheme="minorHAnsi"/>
        </w:rPr>
      </w:pPr>
      <w:r w:rsidRPr="00564B9C">
        <w:t xml:space="preserve">Typically </w:t>
      </w:r>
      <w:r w:rsidR="004C6E84" w:rsidRPr="00564B9C">
        <w:t xml:space="preserve">the </w:t>
      </w:r>
      <w:r w:rsidRPr="00564B9C">
        <w:t xml:space="preserve">EPA has relatively good information on which entities will be affected, </w:t>
      </w:r>
      <w:r w:rsidR="00B9720E">
        <w:t xml:space="preserve">the </w:t>
      </w:r>
      <w:r w:rsidRPr="00564B9C">
        <w:t xml:space="preserve">technologies available for compliance, and engineering-based cost estimates associated with </w:t>
      </w:r>
      <w:r w:rsidR="00281CC6" w:rsidRPr="00564B9C">
        <w:t>these technologies</w:t>
      </w:r>
      <w:r w:rsidRPr="00564B9C">
        <w:t xml:space="preserve">. </w:t>
      </w:r>
      <w:r w:rsidR="00281CC6" w:rsidRPr="00564B9C">
        <w:rPr>
          <w:rFonts w:cstheme="minorHAnsi"/>
        </w:rPr>
        <w:t>However, t</w:t>
      </w:r>
      <w:r w:rsidR="00B814D3" w:rsidRPr="00564B9C">
        <w:rPr>
          <w:rFonts w:cstheme="minorHAnsi"/>
        </w:rPr>
        <w:t xml:space="preserve">here are </w:t>
      </w:r>
      <w:r w:rsidR="0080576A" w:rsidRPr="00564B9C">
        <w:rPr>
          <w:rFonts w:cstheme="minorHAnsi"/>
        </w:rPr>
        <w:t>several</w:t>
      </w:r>
      <w:r w:rsidR="00B814D3" w:rsidRPr="00564B9C">
        <w:rPr>
          <w:rFonts w:cstheme="minorHAnsi"/>
        </w:rPr>
        <w:t xml:space="preserve"> challenges related to estimating the social cost of </w:t>
      </w:r>
      <w:r w:rsidR="0080576A" w:rsidRPr="00564B9C">
        <w:rPr>
          <w:rFonts w:cstheme="minorHAnsi"/>
        </w:rPr>
        <w:t>a regulation</w:t>
      </w:r>
      <w:r w:rsidR="00B814D3" w:rsidRPr="00564B9C">
        <w:rPr>
          <w:rFonts w:cstheme="minorHAnsi"/>
        </w:rPr>
        <w:t xml:space="preserve"> such as </w:t>
      </w:r>
      <w:r w:rsidR="009C182C">
        <w:rPr>
          <w:rFonts w:cstheme="minorHAnsi"/>
        </w:rPr>
        <w:t xml:space="preserve">the </w:t>
      </w:r>
      <w:r w:rsidR="00B814D3" w:rsidRPr="00564B9C">
        <w:rPr>
          <w:rFonts w:cstheme="minorHAnsi"/>
        </w:rPr>
        <w:t xml:space="preserve">MATS </w:t>
      </w:r>
      <w:r w:rsidR="009C182C">
        <w:rPr>
          <w:rFonts w:cstheme="minorHAnsi"/>
        </w:rPr>
        <w:t xml:space="preserve">example from Table 3 </w:t>
      </w:r>
      <w:r w:rsidR="00B814D3" w:rsidRPr="00564B9C">
        <w:rPr>
          <w:rFonts w:cstheme="minorHAnsi"/>
        </w:rPr>
        <w:t xml:space="preserve">in a CGE model.  </w:t>
      </w:r>
    </w:p>
    <w:p w14:paraId="53B0CA68" w14:textId="7C9EB5B3" w:rsidR="00B814D3" w:rsidRPr="00564B9C" w:rsidRDefault="00B814D3" w:rsidP="00FC39FE">
      <w:pPr>
        <w:spacing w:line="276" w:lineRule="auto"/>
        <w:rPr>
          <w:rFonts w:cstheme="minorHAnsi"/>
        </w:rPr>
      </w:pPr>
      <w:r w:rsidRPr="00564B9C">
        <w:rPr>
          <w:rFonts w:eastAsiaTheme="minorEastAsia" w:cstheme="minorEastAsia"/>
        </w:rPr>
        <w:t xml:space="preserve">Methods and costs of compliance likely vary significantly by type of generating unit, though generally it is assumed that utilities comply by using the least cost strategy available. For MATS, the compliance strategy chosen is expected to depend on factors </w:t>
      </w:r>
      <w:r w:rsidR="00FF06EF" w:rsidRPr="00564B9C">
        <w:rPr>
          <w:rFonts w:eastAsiaTheme="minorEastAsia" w:cstheme="minorEastAsia"/>
        </w:rPr>
        <w:t>such as (but not limited to) facility</w:t>
      </w:r>
      <w:r w:rsidRPr="00564B9C">
        <w:rPr>
          <w:rFonts w:eastAsiaTheme="minorEastAsia" w:cstheme="minorEastAsia"/>
        </w:rPr>
        <w:t xml:space="preserve"> age, the tech</w:t>
      </w:r>
      <w:r w:rsidR="00FF06EF" w:rsidRPr="00564B9C">
        <w:rPr>
          <w:rFonts w:eastAsiaTheme="minorEastAsia" w:cstheme="minorEastAsia"/>
        </w:rPr>
        <w:t>nology used by the facility,</w:t>
      </w:r>
      <w:r w:rsidRPr="00564B9C">
        <w:rPr>
          <w:rFonts w:eastAsiaTheme="minorEastAsia" w:cstheme="minorEastAsia"/>
        </w:rPr>
        <w:t xml:space="preserve"> forecasted prices of different types of fuel and the different grades of fuel available, the costs of retrofitting technology </w:t>
      </w:r>
      <w:r w:rsidR="00FF06EF" w:rsidRPr="00564B9C">
        <w:rPr>
          <w:rFonts w:eastAsiaTheme="minorEastAsia" w:cstheme="minorEastAsia"/>
        </w:rPr>
        <w:t>for a</w:t>
      </w:r>
      <w:r w:rsidRPr="00564B9C">
        <w:rPr>
          <w:rFonts w:eastAsiaTheme="minorEastAsia" w:cstheme="minorEastAsia"/>
        </w:rPr>
        <w:t xml:space="preserve"> specific facility, the costs of building new facilities or new capacity at other facilities, and shut-down costs. Geographical location is also important due to fuel availability, degree of competitiveness in markets for electricity, and electricity transmission constraints between regions.</w:t>
      </w:r>
      <w:r w:rsidRPr="00564B9C">
        <w:rPr>
          <w:rStyle w:val="FootnoteReference"/>
          <w:rFonts w:eastAsiaTheme="minorEastAsia" w:cstheme="minorEastAsia"/>
        </w:rPr>
        <w:footnoteReference w:id="19"/>
      </w:r>
      <w:r w:rsidRPr="00564B9C">
        <w:rPr>
          <w:rFonts w:eastAsiaTheme="minorEastAsia" w:cstheme="minorEastAsia"/>
        </w:rPr>
        <w:t xml:space="preserve"> </w:t>
      </w:r>
      <w:r w:rsidR="006D7FD1" w:rsidRPr="00564B9C">
        <w:rPr>
          <w:rFonts w:eastAsiaTheme="minorEastAsia" w:cstheme="minorEastAsia"/>
        </w:rPr>
        <w:t xml:space="preserve">There are also important and complex relationships in the control of </w:t>
      </w:r>
      <w:r w:rsidR="00B9720E">
        <w:rPr>
          <w:rFonts w:eastAsiaTheme="minorEastAsia" w:cstheme="minorEastAsia"/>
        </w:rPr>
        <w:t xml:space="preserve">air </w:t>
      </w:r>
      <w:r w:rsidR="006D7FD1" w:rsidRPr="00564B9C">
        <w:rPr>
          <w:rFonts w:eastAsiaTheme="minorEastAsia" w:cstheme="minorEastAsia"/>
        </w:rPr>
        <w:t xml:space="preserve">pollutants. For example, one coal type may contain more of one pollutant and less of another relative to another coal type.  Also, certain pollution controls that target one pollutant may influence the level of another. </w:t>
      </w:r>
    </w:p>
    <w:p w14:paraId="4051E999" w14:textId="7070CA54" w:rsidR="00B814D3" w:rsidRPr="007140BD" w:rsidRDefault="00B814D3" w:rsidP="00234457">
      <w:pPr>
        <w:spacing w:line="276" w:lineRule="auto"/>
        <w:rPr>
          <w:rFonts w:cstheme="minorHAnsi"/>
        </w:rPr>
      </w:pPr>
      <w:r w:rsidRPr="00564B9C">
        <w:rPr>
          <w:rFonts w:cstheme="minorHAnsi"/>
        </w:rPr>
        <w:t>While CGE models of the U.S. economy vary greatly in sector detail, even those that are relatively disaggregated (</w:t>
      </w:r>
      <w:r w:rsidR="0085287D">
        <w:rPr>
          <w:rFonts w:cstheme="minorHAnsi"/>
        </w:rPr>
        <w:t>e.g.,</w:t>
      </w:r>
      <w:r w:rsidRPr="00564B9C">
        <w:rPr>
          <w:rFonts w:cstheme="minorHAnsi"/>
        </w:rPr>
        <w:t xml:space="preserve"> some versions of USAGE have 500 sectors) often represent electric u</w:t>
      </w:r>
      <w:r w:rsidR="00232EB0" w:rsidRPr="00FA0302">
        <w:rPr>
          <w:rFonts w:cstheme="minorHAnsi"/>
        </w:rPr>
        <w:t xml:space="preserve">tilities as a single category. </w:t>
      </w:r>
      <w:r w:rsidRPr="00ED46C4">
        <w:rPr>
          <w:rFonts w:cstheme="minorHAnsi"/>
        </w:rPr>
        <w:t xml:space="preserve">CGE models that have been used to evaluate the implications of carbon policies sometimes further disaggregate industries </w:t>
      </w:r>
      <w:r w:rsidR="0085287D">
        <w:rPr>
          <w:rFonts w:cstheme="minorHAnsi"/>
        </w:rPr>
        <w:t>based on</w:t>
      </w:r>
      <w:r w:rsidRPr="00ED46C4">
        <w:rPr>
          <w:rFonts w:cstheme="minorHAnsi"/>
        </w:rPr>
        <w:t xml:space="preserve"> the production and generation of energy. For instance,</w:t>
      </w:r>
      <w:r w:rsidR="00974270">
        <w:rPr>
          <w:rFonts w:cstheme="minorHAnsi"/>
        </w:rPr>
        <w:t xml:space="preserve"> </w:t>
      </w:r>
      <w:r w:rsidR="00234457">
        <w:rPr>
          <w:rFonts w:cstheme="minorHAnsi"/>
        </w:rPr>
        <w:t xml:space="preserve">the </w:t>
      </w:r>
      <w:r w:rsidR="00234457" w:rsidRPr="00234457">
        <w:rPr>
          <w:rFonts w:cstheme="minorHAnsi"/>
        </w:rPr>
        <w:t>Economic Model for Environmental Pol</w:t>
      </w:r>
      <w:r w:rsidR="00234457">
        <w:rPr>
          <w:rFonts w:cstheme="minorHAnsi"/>
        </w:rPr>
        <w:t xml:space="preserve">icy Analysis-Computable General </w:t>
      </w:r>
      <w:r w:rsidR="00234457" w:rsidRPr="00234457">
        <w:rPr>
          <w:rFonts w:cstheme="minorHAnsi"/>
        </w:rPr>
        <w:t xml:space="preserve">Equilibrium </w:t>
      </w:r>
      <w:r w:rsidR="00234457">
        <w:rPr>
          <w:rFonts w:cstheme="minorHAnsi"/>
        </w:rPr>
        <w:t>(</w:t>
      </w:r>
      <w:r w:rsidRPr="00ED46C4">
        <w:rPr>
          <w:rFonts w:cstheme="minorHAnsi"/>
        </w:rPr>
        <w:t>EMPAX-CGE</w:t>
      </w:r>
      <w:r w:rsidR="00234457">
        <w:rPr>
          <w:rFonts w:cstheme="minorHAnsi"/>
        </w:rPr>
        <w:t>)</w:t>
      </w:r>
      <w:r w:rsidRPr="00ED46C4">
        <w:rPr>
          <w:rFonts w:cstheme="minorHAnsi"/>
        </w:rPr>
        <w:t xml:space="preserve"> and </w:t>
      </w:r>
      <w:r w:rsidR="00B85AA2">
        <w:rPr>
          <w:rFonts w:cstheme="minorHAnsi"/>
        </w:rPr>
        <w:t xml:space="preserve">the </w:t>
      </w:r>
      <w:r w:rsidR="00B85AA2" w:rsidRPr="00713B93">
        <w:t>Intertemporal General Equilibrium Mode</w:t>
      </w:r>
      <w:r w:rsidR="00B85AA2" w:rsidRPr="009B1C39">
        <w:t xml:space="preserve">l </w:t>
      </w:r>
      <w:r w:rsidR="00B85AA2">
        <w:t>(</w:t>
      </w:r>
      <w:r w:rsidRPr="00ED46C4">
        <w:rPr>
          <w:rFonts w:cstheme="minorHAnsi"/>
        </w:rPr>
        <w:t>IGEM</w:t>
      </w:r>
      <w:r w:rsidR="00B85AA2">
        <w:rPr>
          <w:rFonts w:cstheme="minorHAnsi"/>
        </w:rPr>
        <w:t>)</w:t>
      </w:r>
      <w:r w:rsidRPr="00ED46C4">
        <w:rPr>
          <w:rFonts w:cstheme="minorHAnsi"/>
        </w:rPr>
        <w:t xml:space="preserve"> both distinguish gas from electric utilities as well as coal, oil, and natural gas extraction. However, relative to the specifics of a regulation such as MATS, they are still relatively aggregate</w:t>
      </w:r>
      <w:r w:rsidR="00232EB0" w:rsidRPr="00E8604B">
        <w:rPr>
          <w:rFonts w:cstheme="minorHAnsi"/>
        </w:rPr>
        <w:t xml:space="preserve">: These models do not allow an </w:t>
      </w:r>
      <w:r w:rsidRPr="00E8604B">
        <w:rPr>
          <w:rFonts w:cstheme="minorHAnsi"/>
        </w:rPr>
        <w:t xml:space="preserve">analyst to capture differences in compliance options associated with multiple emission limits </w:t>
      </w:r>
      <w:r w:rsidR="0085287D">
        <w:rPr>
          <w:rFonts w:cstheme="minorHAnsi"/>
        </w:rPr>
        <w:t xml:space="preserve">differentiated </w:t>
      </w:r>
      <w:r w:rsidRPr="00E8604B">
        <w:rPr>
          <w:rFonts w:cstheme="minorHAnsi"/>
        </w:rPr>
        <w:t>by vintage, fuel source, and technology, the complementarities and tradeoffs</w:t>
      </w:r>
      <w:r w:rsidR="0085287D">
        <w:rPr>
          <w:rFonts w:cstheme="minorHAnsi"/>
        </w:rPr>
        <w:t xml:space="preserve"> in </w:t>
      </w:r>
      <w:r w:rsidRPr="00E8604B">
        <w:rPr>
          <w:rFonts w:cstheme="minorHAnsi"/>
        </w:rPr>
        <w:t>control of these pollutants, or the flexibility afforded regulated e</w:t>
      </w:r>
      <w:r w:rsidRPr="007140BD">
        <w:rPr>
          <w:rFonts w:cstheme="minorHAnsi"/>
        </w:rPr>
        <w:t xml:space="preserve">ntities in methods of compliance. Nor do they </w:t>
      </w:r>
      <w:r w:rsidR="00232EB0" w:rsidRPr="007140BD">
        <w:rPr>
          <w:rFonts w:cstheme="minorHAnsi"/>
        </w:rPr>
        <w:t>allow for separating</w:t>
      </w:r>
      <w:r w:rsidRPr="007140BD">
        <w:rPr>
          <w:rFonts w:cstheme="minorHAnsi"/>
        </w:rPr>
        <w:t xml:space="preserve"> out electric generating units not affected by the regulation. </w:t>
      </w:r>
    </w:p>
    <w:p w14:paraId="0C6C3399" w14:textId="479D3F76" w:rsidR="00B814D3" w:rsidRPr="00D73359" w:rsidRDefault="00B814D3" w:rsidP="00FC39FE">
      <w:pPr>
        <w:spacing w:line="276" w:lineRule="auto"/>
        <w:rPr>
          <w:rFonts w:cstheme="minorHAnsi"/>
        </w:rPr>
      </w:pPr>
      <w:r w:rsidRPr="007140BD">
        <w:rPr>
          <w:rFonts w:eastAsiaTheme="minorEastAsia" w:cstheme="minorEastAsia"/>
        </w:rPr>
        <w:t xml:space="preserve">Note that a </w:t>
      </w:r>
      <w:r w:rsidRPr="00D73359">
        <w:rPr>
          <w:rFonts w:eastAsiaTheme="minorEastAsia" w:cstheme="minorEastAsia"/>
        </w:rPr>
        <w:t xml:space="preserve">detailed partial equilibrium sector model may </w:t>
      </w:r>
      <w:r w:rsidR="00290B61" w:rsidRPr="00D73359">
        <w:rPr>
          <w:rFonts w:eastAsiaTheme="minorEastAsia" w:cstheme="minorEastAsia"/>
        </w:rPr>
        <w:t xml:space="preserve">be able to model </w:t>
      </w:r>
      <w:r w:rsidRPr="00D73359">
        <w:rPr>
          <w:rFonts w:eastAsiaTheme="minorEastAsia" w:cstheme="minorEastAsia"/>
        </w:rPr>
        <w:t xml:space="preserve">many of the </w:t>
      </w:r>
      <w:r w:rsidR="00290B61" w:rsidRPr="00D73359">
        <w:rPr>
          <w:rFonts w:eastAsiaTheme="minorEastAsia" w:cstheme="minorEastAsia"/>
        </w:rPr>
        <w:t xml:space="preserve">methods individual sources </w:t>
      </w:r>
      <w:r w:rsidR="00CF634A" w:rsidRPr="00D73359">
        <w:rPr>
          <w:rFonts w:eastAsiaTheme="minorEastAsia" w:cstheme="minorEastAsia"/>
        </w:rPr>
        <w:t xml:space="preserve">use to </w:t>
      </w:r>
      <w:r w:rsidR="00290B61" w:rsidRPr="00D73359">
        <w:rPr>
          <w:rFonts w:eastAsiaTheme="minorEastAsia" w:cstheme="minorEastAsia"/>
        </w:rPr>
        <w:t>comply</w:t>
      </w:r>
      <w:r w:rsidRPr="00D73359">
        <w:rPr>
          <w:rFonts w:eastAsiaTheme="minorEastAsia" w:cstheme="minorEastAsia"/>
        </w:rPr>
        <w:t xml:space="preserve"> with MATS that cannot be adequately represented in a CGE model, as well as consequent effects on electricity and natural gas prices. </w:t>
      </w:r>
      <w:r w:rsidR="00232EB0" w:rsidRPr="00D73359">
        <w:rPr>
          <w:rFonts w:eastAsiaTheme="minorEastAsia" w:cstheme="minorEastAsia"/>
        </w:rPr>
        <w:t>T</w:t>
      </w:r>
      <w:r w:rsidRPr="00D73359">
        <w:rPr>
          <w:rFonts w:eastAsiaTheme="minorEastAsia" w:cstheme="minorEastAsia"/>
        </w:rPr>
        <w:t xml:space="preserve">his type of sector-specific model does not capture general equilibrium impacts through the rest of the economy, and how those changes in turn affect prices faced by the electricity sector, as a CGE model would. </w:t>
      </w:r>
      <w:r w:rsidR="009C182C">
        <w:rPr>
          <w:rFonts w:eastAsiaTheme="minorEastAsia" w:cstheme="minorEastAsia"/>
        </w:rPr>
        <w:t>However, a</w:t>
      </w:r>
      <w:r w:rsidRPr="00D73359">
        <w:rPr>
          <w:rFonts w:eastAsiaTheme="minorEastAsia" w:cstheme="minorEastAsia"/>
        </w:rPr>
        <w:t>pplying certain assumptions it is possible to link the results from a sector-specific model to a CGE model. We discuss the potential for and challenges of linking these two types of models in</w:t>
      </w:r>
      <w:r w:rsidR="00064254" w:rsidRPr="00D73359">
        <w:rPr>
          <w:rFonts w:eastAsiaTheme="minorEastAsia" w:cstheme="minorEastAsia"/>
        </w:rPr>
        <w:t xml:space="preserve"> Section</w:t>
      </w:r>
      <w:r w:rsidR="006D7FD1" w:rsidRPr="00D73359">
        <w:rPr>
          <w:rFonts w:eastAsiaTheme="minorEastAsia" w:cstheme="minorEastAsia"/>
        </w:rPr>
        <w:t xml:space="preserve"> </w:t>
      </w:r>
      <w:r w:rsidR="00064254" w:rsidRPr="00D73359">
        <w:rPr>
          <w:rFonts w:eastAsiaTheme="minorEastAsia" w:cstheme="minorEastAsia"/>
        </w:rPr>
        <w:t>7 of this paper</w:t>
      </w:r>
      <w:r w:rsidR="00232EB0" w:rsidRPr="00D73359">
        <w:rPr>
          <w:rFonts w:eastAsiaTheme="minorEastAsia" w:cstheme="minorEastAsia"/>
        </w:rPr>
        <w:t>.</w:t>
      </w:r>
    </w:p>
    <w:p w14:paraId="608DF76C" w14:textId="0CD68CFE" w:rsidR="002F362B" w:rsidRPr="00A80E88" w:rsidRDefault="00A80E88" w:rsidP="00FC39FE">
      <w:pPr>
        <w:spacing w:line="276" w:lineRule="auto"/>
        <w:rPr>
          <w:rFonts w:cstheme="minorHAnsi"/>
          <w:b/>
        </w:rPr>
      </w:pPr>
      <w:r w:rsidRPr="00A80E88">
        <w:rPr>
          <w:b/>
        </w:rPr>
        <w:t xml:space="preserve">4.2 </w:t>
      </w:r>
      <w:r w:rsidR="00D51DBF" w:rsidRPr="00A80E88">
        <w:rPr>
          <w:b/>
        </w:rPr>
        <w:t>Regional or State-Implemented Emission Targets</w:t>
      </w:r>
      <w:r w:rsidR="00D51DBF" w:rsidRPr="00A80E88" w:rsidDel="00FC4789">
        <w:rPr>
          <w:rFonts w:cstheme="minorHAnsi"/>
          <w:b/>
        </w:rPr>
        <w:t xml:space="preserve"> </w:t>
      </w:r>
      <w:r w:rsidR="00D51DBF" w:rsidRPr="00A80E88">
        <w:rPr>
          <w:rFonts w:cstheme="minorHAnsi"/>
          <w:b/>
        </w:rPr>
        <w:t xml:space="preserve">- </w:t>
      </w:r>
      <w:r w:rsidR="002F362B" w:rsidRPr="00A80E88">
        <w:rPr>
          <w:rFonts w:cstheme="minorHAnsi"/>
          <w:b/>
        </w:rPr>
        <w:t>Ozone NAAQS Example (Category #</w:t>
      </w:r>
      <w:r w:rsidR="00555CCC" w:rsidRPr="00A80E88">
        <w:rPr>
          <w:rFonts w:cstheme="minorHAnsi"/>
          <w:b/>
        </w:rPr>
        <w:t>2</w:t>
      </w:r>
      <w:r w:rsidR="002F362B" w:rsidRPr="00A80E88">
        <w:rPr>
          <w:rFonts w:cstheme="minorHAnsi"/>
          <w:b/>
        </w:rPr>
        <w:t>)</w:t>
      </w:r>
    </w:p>
    <w:p w14:paraId="7B40F379" w14:textId="2C9A3DFA" w:rsidR="00DA01E8" w:rsidRPr="00D73359" w:rsidRDefault="00826E85" w:rsidP="00FC39FE">
      <w:pPr>
        <w:spacing w:line="276" w:lineRule="auto"/>
      </w:pPr>
      <w:r w:rsidRPr="00D73359">
        <w:rPr>
          <w:rFonts w:cstheme="minorHAnsi"/>
        </w:rPr>
        <w:t>Estimating</w:t>
      </w:r>
      <w:r w:rsidR="00AB3F9E" w:rsidRPr="00D73359">
        <w:rPr>
          <w:rFonts w:cstheme="minorHAnsi"/>
        </w:rPr>
        <w:t xml:space="preserve"> the </w:t>
      </w:r>
      <w:r w:rsidRPr="00D73359">
        <w:rPr>
          <w:rFonts w:cstheme="minorHAnsi"/>
        </w:rPr>
        <w:t>social cost</w:t>
      </w:r>
      <w:r w:rsidR="00AB3F9E" w:rsidRPr="00D73359">
        <w:rPr>
          <w:rFonts w:cstheme="minorHAnsi"/>
        </w:rPr>
        <w:t xml:space="preserve"> of </w:t>
      </w:r>
      <w:r w:rsidRPr="00D73359">
        <w:rPr>
          <w:rFonts w:cstheme="minorHAnsi"/>
        </w:rPr>
        <w:t xml:space="preserve">a </w:t>
      </w:r>
      <w:r w:rsidR="00AB3F9E" w:rsidRPr="00D73359">
        <w:rPr>
          <w:rFonts w:cstheme="minorHAnsi"/>
        </w:rPr>
        <w:t>region or sta</w:t>
      </w:r>
      <w:r w:rsidRPr="00D73359">
        <w:rPr>
          <w:rFonts w:cstheme="minorHAnsi"/>
        </w:rPr>
        <w:t>te-implemented federal standard</w:t>
      </w:r>
      <w:r w:rsidR="00AB3F9E" w:rsidRPr="00D73359">
        <w:rPr>
          <w:rFonts w:cstheme="minorHAnsi"/>
        </w:rPr>
        <w:t xml:space="preserve"> is challenging regardless of modeling strategy. </w:t>
      </w:r>
      <w:r w:rsidR="00DA01E8" w:rsidRPr="00D73359">
        <w:t xml:space="preserve">For example, </w:t>
      </w:r>
      <w:r w:rsidR="0013042F">
        <w:t xml:space="preserve">implementation of a </w:t>
      </w:r>
      <w:r w:rsidR="00867277" w:rsidRPr="00D73359">
        <w:t>NAAQS regulation</w:t>
      </w:r>
      <w:r w:rsidR="0013042F">
        <w:t xml:space="preserve"> can take a decade</w:t>
      </w:r>
      <w:r w:rsidR="00DA01E8" w:rsidRPr="00D73359">
        <w:t xml:space="preserve">. </w:t>
      </w:r>
      <w:r w:rsidR="00DA01E8" w:rsidRPr="00D73359">
        <w:rPr>
          <w:rFonts w:cstheme="minorHAnsi"/>
        </w:rPr>
        <w:t xml:space="preserve">Once the regulation is promulgated, states must design </w:t>
      </w:r>
      <w:r w:rsidR="009C182C">
        <w:rPr>
          <w:rFonts w:cstheme="minorHAnsi"/>
        </w:rPr>
        <w:t xml:space="preserve">control </w:t>
      </w:r>
      <w:r w:rsidR="00DA01E8" w:rsidRPr="00D73359">
        <w:rPr>
          <w:rFonts w:cstheme="minorHAnsi"/>
        </w:rPr>
        <w:t>strategies, submit them to</w:t>
      </w:r>
      <w:r w:rsidR="004C6E84" w:rsidRPr="00D73359">
        <w:rPr>
          <w:rFonts w:cstheme="minorHAnsi"/>
        </w:rPr>
        <w:t xml:space="preserve"> the</w:t>
      </w:r>
      <w:r w:rsidR="00DA01E8" w:rsidRPr="00D73359">
        <w:rPr>
          <w:rFonts w:cstheme="minorHAnsi"/>
        </w:rPr>
        <w:t xml:space="preserve"> EPA for approval, and then implement them. In the case of the ozone NAAQS example in Table </w:t>
      </w:r>
      <w:r w:rsidR="009C182C">
        <w:rPr>
          <w:rFonts w:cstheme="minorHAnsi"/>
        </w:rPr>
        <w:t>4</w:t>
      </w:r>
      <w:r w:rsidR="00DA01E8" w:rsidRPr="00D73359">
        <w:rPr>
          <w:rFonts w:cstheme="minorHAnsi"/>
        </w:rPr>
        <w:t xml:space="preserve">, the final regulation was promulgated in 2008 with an expectation that it would be fully implemented by 2020. This makes it harder to confidently characterize the baseline absent the policy (e.g., predictions of </w:t>
      </w:r>
      <w:r w:rsidR="00DA01E8" w:rsidRPr="00D73359">
        <w:t>emission source growth and other air quality regulations that may be promulgated during the implementation time horizon</w:t>
      </w:r>
      <w:r w:rsidR="00F5466E" w:rsidRPr="00D73359">
        <w:t>)</w:t>
      </w:r>
      <w:r w:rsidR="00DA01E8" w:rsidRPr="00D73359">
        <w:rPr>
          <w:rFonts w:cstheme="minorHAnsi"/>
        </w:rPr>
        <w:t>.</w:t>
      </w:r>
    </w:p>
    <w:p w14:paraId="7124E447" w14:textId="423AB0D7" w:rsidR="005A7842" w:rsidRPr="00D73359" w:rsidRDefault="00DA01E8" w:rsidP="00FC39FE">
      <w:pPr>
        <w:spacing w:line="276" w:lineRule="auto"/>
      </w:pPr>
      <w:r w:rsidRPr="00D73359">
        <w:t xml:space="preserve">Other challenges include uncertainty regarding what sectors or sources may be affected by the rule, how sources will choose to comply with the regulation, and the future availability of emission control technologies. </w:t>
      </w:r>
      <w:r w:rsidRPr="00D73359">
        <w:rPr>
          <w:rFonts w:cstheme="minorHAnsi"/>
        </w:rPr>
        <w:t>T</w:t>
      </w:r>
      <w:r w:rsidR="005A7842" w:rsidRPr="00D73359">
        <w:rPr>
          <w:rFonts w:cstheme="minorHAnsi"/>
        </w:rPr>
        <w:t xml:space="preserve">he NAAQS standards do not specify which emission sources and technologies must be used to meet the </w:t>
      </w:r>
      <w:r w:rsidR="00AB3F9E" w:rsidRPr="00D73359">
        <w:rPr>
          <w:rFonts w:cstheme="minorHAnsi"/>
        </w:rPr>
        <w:t>federal</w:t>
      </w:r>
      <w:r w:rsidR="005A7842" w:rsidRPr="00D73359">
        <w:rPr>
          <w:rFonts w:cstheme="minorHAnsi"/>
        </w:rPr>
        <w:t xml:space="preserve"> emissions limit.</w:t>
      </w:r>
      <w:r w:rsidR="00575A2D" w:rsidRPr="00713B93">
        <w:rPr>
          <w:rStyle w:val="FootnoteReference"/>
          <w:rFonts w:cstheme="minorHAnsi"/>
        </w:rPr>
        <w:footnoteReference w:id="20"/>
      </w:r>
      <w:r w:rsidR="005A7842" w:rsidRPr="00713B93">
        <w:rPr>
          <w:rFonts w:cstheme="minorHAnsi"/>
        </w:rPr>
        <w:t xml:space="preserve"> Instead, </w:t>
      </w:r>
      <w:r w:rsidR="00C708B7" w:rsidRPr="00713B93">
        <w:rPr>
          <w:rFonts w:cstheme="minorHAnsi"/>
        </w:rPr>
        <w:t xml:space="preserve">states and counties choose the combination of emission reduction measures </w:t>
      </w:r>
      <w:r w:rsidR="002B6268" w:rsidRPr="00713B93">
        <w:rPr>
          <w:rFonts w:cstheme="minorHAnsi"/>
        </w:rPr>
        <w:t>across a wide variety of sectors to</w:t>
      </w:r>
      <w:r w:rsidR="00C708B7" w:rsidRPr="00713B93">
        <w:rPr>
          <w:rFonts w:cstheme="minorHAnsi"/>
        </w:rPr>
        <w:t xml:space="preserve"> achieve the standard. </w:t>
      </w:r>
      <w:r w:rsidRPr="00713B93">
        <w:rPr>
          <w:rFonts w:cstheme="minorHAnsi"/>
        </w:rPr>
        <w:t xml:space="preserve"> </w:t>
      </w:r>
      <w:r w:rsidRPr="00713B93">
        <w:t>The availability of control technologies is of particular importance given</w:t>
      </w:r>
      <w:r w:rsidRPr="009B1C39">
        <w:t xml:space="preserve"> that the benefits and costs of a regulation are often evaluated under the assumpt</w:t>
      </w:r>
      <w:r w:rsidRPr="0052723E">
        <w:t>ion of 100 percent compliance. Once all identified control technologies have been applied</w:t>
      </w:r>
      <w:r w:rsidR="00CF634A" w:rsidRPr="00E17F17">
        <w:t>,</w:t>
      </w:r>
      <w:r w:rsidRPr="00E17F17">
        <w:t xml:space="preserve"> some areas of the country may still be modeled as out of compliance (i.e., out of attainment) with the emissions limit. In these cases, </w:t>
      </w:r>
      <w:r w:rsidR="004C6E84" w:rsidRPr="00D73359">
        <w:t xml:space="preserve">the </w:t>
      </w:r>
      <w:r w:rsidRPr="00D73359">
        <w:t>EPA has the challenge of extrapolating compliance costs for a set of unidentified controls to bring these remaining areas into compliance with the standard.</w:t>
      </w:r>
    </w:p>
    <w:p w14:paraId="3423B805" w14:textId="4BDBD215" w:rsidR="002B6268" w:rsidRPr="00D73359" w:rsidRDefault="004C6E84" w:rsidP="00FC39FE">
      <w:pPr>
        <w:spacing w:line="276" w:lineRule="auto"/>
        <w:rPr>
          <w:rFonts w:cstheme="minorHAnsi"/>
        </w:rPr>
      </w:pPr>
      <w:r w:rsidRPr="00D73359">
        <w:rPr>
          <w:rFonts w:cstheme="minorHAnsi"/>
        </w:rPr>
        <w:t xml:space="preserve">The </w:t>
      </w:r>
      <w:r w:rsidR="002B6268" w:rsidRPr="00D73359">
        <w:rPr>
          <w:rFonts w:cstheme="minorHAnsi"/>
        </w:rPr>
        <w:t xml:space="preserve">EPA typically identifies the least cost approach available for meeting the standard using </w:t>
      </w:r>
      <w:r w:rsidR="00A341A6" w:rsidRPr="00D73359">
        <w:rPr>
          <w:rFonts w:cstheme="minorHAnsi"/>
        </w:rPr>
        <w:t>identified</w:t>
      </w:r>
      <w:r w:rsidR="002B6268" w:rsidRPr="00D73359">
        <w:rPr>
          <w:rFonts w:cstheme="minorHAnsi"/>
        </w:rPr>
        <w:t xml:space="preserve"> control strategies. However, it considers this only illustrative as strategies </w:t>
      </w:r>
      <w:r w:rsidR="006516FB">
        <w:rPr>
          <w:rFonts w:cstheme="minorHAnsi"/>
        </w:rPr>
        <w:t xml:space="preserve">will </w:t>
      </w:r>
      <w:r w:rsidR="002B6268" w:rsidRPr="00D73359">
        <w:rPr>
          <w:rFonts w:cstheme="minorHAnsi"/>
        </w:rPr>
        <w:t xml:space="preserve">likely vary by state or region to reflect location specific mixes of emission sources, meteorological condition, and preferences for different compliance approaches (e.g., they may opt for a market-based trading approach, specify abatement technology or fuel switching strategies for new sources, invest in public transportation or other lower emission commuting options, and/or conduct vehicle retrofits for existing mobile sources). </w:t>
      </w:r>
      <w:r w:rsidR="0045194B" w:rsidRPr="00D73359">
        <w:rPr>
          <w:rFonts w:cstheme="minorHAnsi"/>
        </w:rPr>
        <w:t xml:space="preserve">Even when engineering and partial equilibrium </w:t>
      </w:r>
      <w:r w:rsidR="0039161E" w:rsidRPr="00D73359">
        <w:rPr>
          <w:rFonts w:cstheme="minorHAnsi"/>
        </w:rPr>
        <w:t xml:space="preserve">compliance cost </w:t>
      </w:r>
      <w:r w:rsidR="0045194B" w:rsidRPr="00D73359">
        <w:rPr>
          <w:rFonts w:cstheme="minorHAnsi"/>
        </w:rPr>
        <w:t xml:space="preserve">estimates account for regional differences in emission sources, CGE models often do not have enough spatial resolution </w:t>
      </w:r>
      <w:r w:rsidR="0039161E" w:rsidRPr="00D73359">
        <w:rPr>
          <w:rFonts w:cstheme="minorHAnsi"/>
        </w:rPr>
        <w:t>and</w:t>
      </w:r>
      <w:r w:rsidR="0045194B" w:rsidRPr="00D73359">
        <w:rPr>
          <w:rFonts w:cstheme="minorHAnsi"/>
        </w:rPr>
        <w:t xml:space="preserve"> may not reflect the same regional </w:t>
      </w:r>
      <w:r w:rsidR="0039161E" w:rsidRPr="00D73359">
        <w:rPr>
          <w:rFonts w:cstheme="minorHAnsi"/>
        </w:rPr>
        <w:t>configuration</w:t>
      </w:r>
      <w:r w:rsidR="0045194B" w:rsidRPr="00D73359">
        <w:rPr>
          <w:rFonts w:cstheme="minorHAnsi"/>
        </w:rPr>
        <w:t xml:space="preserve"> to </w:t>
      </w:r>
      <w:r w:rsidR="0039161E" w:rsidRPr="00D73359">
        <w:rPr>
          <w:rFonts w:cstheme="minorHAnsi"/>
        </w:rPr>
        <w:t>map them directly</w:t>
      </w:r>
      <w:r w:rsidR="0045194B" w:rsidRPr="00D73359">
        <w:rPr>
          <w:rFonts w:cstheme="minorHAnsi"/>
        </w:rPr>
        <w:t xml:space="preserve">. </w:t>
      </w:r>
    </w:p>
    <w:p w14:paraId="156C7809" w14:textId="246CA1A5" w:rsidR="00DA01E8" w:rsidRPr="00D73359" w:rsidRDefault="00C04995" w:rsidP="00FC39FE">
      <w:pPr>
        <w:spacing w:line="276" w:lineRule="auto"/>
        <w:rPr>
          <w:rFonts w:cstheme="minorHAnsi"/>
        </w:rPr>
      </w:pPr>
      <w:r w:rsidRPr="00D73359">
        <w:rPr>
          <w:rFonts w:cstheme="minorHAnsi"/>
        </w:rPr>
        <w:t xml:space="preserve">As in the case of the MATS example, </w:t>
      </w:r>
      <w:r w:rsidR="005A7842" w:rsidRPr="00D73359">
        <w:rPr>
          <w:rFonts w:cstheme="minorHAnsi"/>
        </w:rPr>
        <w:t xml:space="preserve">CGE models </w:t>
      </w:r>
      <w:r w:rsidRPr="00D73359">
        <w:rPr>
          <w:rFonts w:cstheme="minorHAnsi"/>
        </w:rPr>
        <w:t xml:space="preserve">are </w:t>
      </w:r>
      <w:r w:rsidR="008F2959" w:rsidRPr="00D73359">
        <w:rPr>
          <w:rFonts w:cstheme="minorHAnsi"/>
        </w:rPr>
        <w:t xml:space="preserve">typically </w:t>
      </w:r>
      <w:r w:rsidRPr="00D73359">
        <w:rPr>
          <w:rFonts w:cstheme="minorHAnsi"/>
        </w:rPr>
        <w:t xml:space="preserve">too aggregate to capture </w:t>
      </w:r>
      <w:r w:rsidR="00290B61" w:rsidRPr="00D73359">
        <w:rPr>
          <w:rFonts w:cstheme="minorHAnsi"/>
        </w:rPr>
        <w:t>variation in methods of compliance (f</w:t>
      </w:r>
      <w:r w:rsidR="0048796F" w:rsidRPr="00D73359">
        <w:rPr>
          <w:rFonts w:cstheme="minorHAnsi"/>
        </w:rPr>
        <w:t>or instance, compliance options that vary across new versus existing sources within a sector, apply to a narrow sub-sector, or reduce area sources that are not sector-specific</w:t>
      </w:r>
      <w:r w:rsidR="00290B61" w:rsidRPr="00D73359">
        <w:rPr>
          <w:rFonts w:cstheme="minorHAnsi"/>
        </w:rPr>
        <w:t>)</w:t>
      </w:r>
      <w:r w:rsidR="0048796F" w:rsidRPr="00D73359">
        <w:rPr>
          <w:rFonts w:cstheme="minorHAnsi"/>
        </w:rPr>
        <w:t>.</w:t>
      </w:r>
      <w:r w:rsidR="008B074A" w:rsidRPr="00D73359">
        <w:rPr>
          <w:rFonts w:cstheme="minorHAnsi"/>
        </w:rPr>
        <w:t xml:space="preserve"> </w:t>
      </w:r>
      <w:r w:rsidR="005E3DFA" w:rsidRPr="00D73359">
        <w:rPr>
          <w:rFonts w:cstheme="minorHAnsi"/>
        </w:rPr>
        <w:t>E</w:t>
      </w:r>
      <w:r w:rsidR="005A7842" w:rsidRPr="00D73359">
        <w:rPr>
          <w:rFonts w:cstheme="minorHAnsi"/>
        </w:rPr>
        <w:t xml:space="preserve">xtrapolated </w:t>
      </w:r>
      <w:r w:rsidR="005E3DFA" w:rsidRPr="00D73359">
        <w:rPr>
          <w:rFonts w:cstheme="minorHAnsi"/>
        </w:rPr>
        <w:t>costs</w:t>
      </w:r>
      <w:r w:rsidR="005A7842" w:rsidRPr="00D73359">
        <w:rPr>
          <w:rFonts w:cstheme="minorHAnsi"/>
        </w:rPr>
        <w:t xml:space="preserve"> in areas where </w:t>
      </w:r>
      <w:r w:rsidR="002A2233" w:rsidRPr="00D73359">
        <w:rPr>
          <w:rFonts w:cstheme="minorHAnsi"/>
        </w:rPr>
        <w:t>identified</w:t>
      </w:r>
      <w:r w:rsidR="005A7842" w:rsidRPr="00D73359">
        <w:rPr>
          <w:rFonts w:cstheme="minorHAnsi"/>
        </w:rPr>
        <w:t>, available technologies are not sufficient to meet the NAAQS</w:t>
      </w:r>
      <w:r w:rsidR="005E3DFA" w:rsidRPr="00D73359">
        <w:rPr>
          <w:rFonts w:cstheme="minorHAnsi"/>
        </w:rPr>
        <w:t xml:space="preserve"> are particularly challenging in a CGE context because they</w:t>
      </w:r>
      <w:r w:rsidR="005A7842" w:rsidRPr="00D73359">
        <w:rPr>
          <w:rFonts w:cstheme="minorHAnsi"/>
        </w:rPr>
        <w:t xml:space="preserve"> </w:t>
      </w:r>
      <w:r w:rsidR="002677BA" w:rsidRPr="00D73359">
        <w:rPr>
          <w:rFonts w:cstheme="minorHAnsi"/>
        </w:rPr>
        <w:t>lack specificity about</w:t>
      </w:r>
      <w:r w:rsidR="005E3DFA" w:rsidRPr="00D73359">
        <w:rPr>
          <w:rFonts w:cstheme="minorHAnsi"/>
        </w:rPr>
        <w:t xml:space="preserve"> the types of inputs required to comply </w:t>
      </w:r>
      <w:r w:rsidR="002677BA" w:rsidRPr="00D73359">
        <w:rPr>
          <w:rFonts w:cstheme="minorHAnsi"/>
        </w:rPr>
        <w:t>and are not</w:t>
      </w:r>
      <w:r w:rsidR="005E3DFA" w:rsidRPr="00D73359">
        <w:rPr>
          <w:rFonts w:cstheme="minorHAnsi"/>
        </w:rPr>
        <w:t xml:space="preserve"> apportioned</w:t>
      </w:r>
      <w:r w:rsidR="005A7842" w:rsidRPr="00D73359">
        <w:rPr>
          <w:rFonts w:cstheme="minorHAnsi"/>
        </w:rPr>
        <w:t xml:space="preserve"> to specific industries. </w:t>
      </w:r>
      <w:r w:rsidR="005E3DFA" w:rsidRPr="00D73359">
        <w:rPr>
          <w:rFonts w:cstheme="minorHAnsi"/>
        </w:rPr>
        <w:t xml:space="preserve">This leaves the analyst with a choice between omitting these costs from the economy-wide estimation, which </w:t>
      </w:r>
      <w:r w:rsidR="006C2FEE" w:rsidRPr="00D73359">
        <w:rPr>
          <w:rFonts w:cstheme="minorHAnsi"/>
        </w:rPr>
        <w:t>renders an estimate of social cost</w:t>
      </w:r>
      <w:r w:rsidR="005E3DFA" w:rsidRPr="00D73359">
        <w:rPr>
          <w:rFonts w:cstheme="minorHAnsi"/>
        </w:rPr>
        <w:t xml:space="preserve"> incomplete, or making ad</w:t>
      </w:r>
      <w:r w:rsidR="006C2FEE" w:rsidRPr="00D73359">
        <w:rPr>
          <w:rFonts w:cstheme="minorHAnsi"/>
        </w:rPr>
        <w:t>ditional assumptions about</w:t>
      </w:r>
      <w:r w:rsidR="005E3DFA" w:rsidRPr="00D73359">
        <w:rPr>
          <w:rFonts w:cstheme="minorHAnsi"/>
        </w:rPr>
        <w:t xml:space="preserve"> how and in what industries they will be implemented, further </w:t>
      </w:r>
      <w:r w:rsidR="00575A2D" w:rsidRPr="00D73359">
        <w:rPr>
          <w:rFonts w:cstheme="minorHAnsi"/>
        </w:rPr>
        <w:t>exacerbating estimation</w:t>
      </w:r>
      <w:r w:rsidR="00656FA6" w:rsidRPr="00D73359">
        <w:rPr>
          <w:rFonts w:cstheme="minorHAnsi"/>
        </w:rPr>
        <w:t xml:space="preserve"> </w:t>
      </w:r>
      <w:r w:rsidR="005E3DFA" w:rsidRPr="00D73359">
        <w:rPr>
          <w:rFonts w:cstheme="minorHAnsi"/>
        </w:rPr>
        <w:t>uncertainty.</w:t>
      </w:r>
    </w:p>
    <w:p w14:paraId="4921D751" w14:textId="1DEBAFC9" w:rsidR="002F362B" w:rsidRPr="00A80E88" w:rsidRDefault="00A80E88" w:rsidP="00FC39FE">
      <w:pPr>
        <w:spacing w:line="276" w:lineRule="auto"/>
        <w:rPr>
          <w:rFonts w:cstheme="minorHAnsi"/>
          <w:b/>
        </w:rPr>
      </w:pPr>
      <w:r w:rsidRPr="00A80E88">
        <w:rPr>
          <w:b/>
        </w:rPr>
        <w:t xml:space="preserve">4.3 </w:t>
      </w:r>
      <w:r w:rsidR="00D51DBF" w:rsidRPr="00A80E88">
        <w:rPr>
          <w:b/>
        </w:rPr>
        <w:t>Multi-Sector Boiler or Engine-Level Emission Rate Limits</w:t>
      </w:r>
      <w:r w:rsidR="00D51DBF" w:rsidRPr="00A80E88" w:rsidDel="00FC4789">
        <w:rPr>
          <w:rFonts w:cstheme="minorHAnsi"/>
          <w:b/>
        </w:rPr>
        <w:t xml:space="preserve"> </w:t>
      </w:r>
      <w:r w:rsidR="00D51DBF" w:rsidRPr="00A80E88">
        <w:rPr>
          <w:rFonts w:cstheme="minorHAnsi"/>
          <w:b/>
        </w:rPr>
        <w:t xml:space="preserve">- </w:t>
      </w:r>
      <w:r w:rsidR="002F362B" w:rsidRPr="00A80E88">
        <w:rPr>
          <w:rFonts w:cstheme="minorHAnsi"/>
          <w:b/>
        </w:rPr>
        <w:t>Boiler MACT Example (Category #3)</w:t>
      </w:r>
    </w:p>
    <w:p w14:paraId="6731E892" w14:textId="45C458C5" w:rsidR="00E81045" w:rsidRPr="00D73359" w:rsidRDefault="00226A9D" w:rsidP="00FC39FE">
      <w:pPr>
        <w:spacing w:line="276" w:lineRule="auto"/>
        <w:rPr>
          <w:rFonts w:cstheme="minorHAnsi"/>
        </w:rPr>
      </w:pPr>
      <w:r w:rsidRPr="00D73359">
        <w:t xml:space="preserve">Because these </w:t>
      </w:r>
      <w:r w:rsidR="00CD3BE0">
        <w:t>types of regulations</w:t>
      </w:r>
      <w:r w:rsidR="00CD3BE0" w:rsidRPr="00D73359">
        <w:t xml:space="preserve"> </w:t>
      </w:r>
      <w:r w:rsidRPr="00D73359">
        <w:t xml:space="preserve">are applied to emissions from </w:t>
      </w:r>
      <w:r w:rsidR="00CD3BE0">
        <w:t xml:space="preserve">the </w:t>
      </w:r>
      <w:r w:rsidRPr="00D73359">
        <w:t xml:space="preserve">operation of a boiler or engine, the regulated universe is </w:t>
      </w:r>
      <w:r w:rsidR="00CD3BE0">
        <w:t xml:space="preserve">often </w:t>
      </w:r>
      <w:r w:rsidRPr="00D73359">
        <w:t>highly disparate and difficult to identify. While there is typically good information on the compliance technology options available and the costs associated with implementing them, the distribution of these costs across sectors and regions is uncertain.</w:t>
      </w:r>
      <w:r w:rsidR="003A3790" w:rsidRPr="00D73359">
        <w:rPr>
          <w:rFonts w:cstheme="minorHAnsi"/>
        </w:rPr>
        <w:t xml:space="preserve"> </w:t>
      </w:r>
      <w:r w:rsidR="00503605" w:rsidRPr="00D73359">
        <w:rPr>
          <w:rFonts w:cstheme="minorHAnsi"/>
        </w:rPr>
        <w:t>As with the MATS and Ozone NAAQS</w:t>
      </w:r>
      <w:r w:rsidR="00CD3BE0">
        <w:rPr>
          <w:rFonts w:cstheme="minorHAnsi"/>
        </w:rPr>
        <w:t xml:space="preserve"> examples</w:t>
      </w:r>
      <w:r w:rsidR="00503605" w:rsidRPr="00D73359">
        <w:rPr>
          <w:rFonts w:cstheme="minorHAnsi"/>
        </w:rPr>
        <w:t xml:space="preserve">, CGE models do not provide enough detail to allow for an accurate depiction of how technology choice varies by </w:t>
      </w:r>
      <w:r w:rsidR="00E81045" w:rsidRPr="00D73359">
        <w:rPr>
          <w:rFonts w:cstheme="minorHAnsi"/>
        </w:rPr>
        <w:t>boiler type</w:t>
      </w:r>
      <w:r w:rsidR="00CD3BE0">
        <w:rPr>
          <w:rFonts w:cstheme="minorHAnsi"/>
        </w:rPr>
        <w:t xml:space="preserve"> for the Boiler MACT example from Table 5</w:t>
      </w:r>
      <w:r w:rsidR="00503605" w:rsidRPr="00D73359">
        <w:rPr>
          <w:rFonts w:cstheme="minorHAnsi"/>
        </w:rPr>
        <w:t>. In many cases this variation occurs at a sub-sector level and likely varies between existing and new boilers given different standar</w:t>
      </w:r>
      <w:r w:rsidR="00E81045" w:rsidRPr="00D73359">
        <w:rPr>
          <w:rFonts w:cstheme="minorHAnsi"/>
        </w:rPr>
        <w:t>ds.</w:t>
      </w:r>
      <w:r w:rsidR="00503605" w:rsidRPr="00D73359">
        <w:rPr>
          <w:rFonts w:cstheme="minorHAnsi"/>
        </w:rPr>
        <w:t xml:space="preserve"> </w:t>
      </w:r>
      <w:r w:rsidR="00E81045" w:rsidRPr="00D73359">
        <w:rPr>
          <w:rFonts w:cstheme="minorHAnsi"/>
        </w:rPr>
        <w:t xml:space="preserve">However, while some CGE models represent manufacturing as a single or relatively small number of sectors it is not uncommon </w:t>
      </w:r>
      <w:r w:rsidR="00CD3BE0">
        <w:rPr>
          <w:rFonts w:cstheme="minorHAnsi"/>
        </w:rPr>
        <w:t>for</w:t>
      </w:r>
      <w:r w:rsidR="00E81045" w:rsidRPr="00D73359">
        <w:rPr>
          <w:rFonts w:cstheme="minorHAnsi"/>
        </w:rPr>
        <w:t xml:space="preserve"> CGE models </w:t>
      </w:r>
      <w:r w:rsidR="00CD3BE0">
        <w:rPr>
          <w:rFonts w:cstheme="minorHAnsi"/>
        </w:rPr>
        <w:t xml:space="preserve">to </w:t>
      </w:r>
      <w:r w:rsidR="00E81045" w:rsidRPr="00D73359">
        <w:rPr>
          <w:rFonts w:cstheme="minorHAnsi"/>
        </w:rPr>
        <w:t xml:space="preserve">separately model the </w:t>
      </w:r>
      <w:r w:rsidR="00BF3B18" w:rsidRPr="00D73359">
        <w:rPr>
          <w:rFonts w:cstheme="minorHAnsi"/>
        </w:rPr>
        <w:t xml:space="preserve">four main manufacturing sectors affected (food products, </w:t>
      </w:r>
      <w:r w:rsidR="00E81045" w:rsidRPr="00D73359">
        <w:rPr>
          <w:rFonts w:cstheme="minorHAnsi"/>
        </w:rPr>
        <w:t>chemical</w:t>
      </w:r>
      <w:r w:rsidR="00BF3B18" w:rsidRPr="00D73359">
        <w:rPr>
          <w:rFonts w:cstheme="minorHAnsi"/>
        </w:rPr>
        <w:t>,</w:t>
      </w:r>
      <w:r w:rsidR="00CE7AD5" w:rsidRPr="00D73359">
        <w:rPr>
          <w:rFonts w:cstheme="minorHAnsi"/>
        </w:rPr>
        <w:t xml:space="preserve"> wood product, and</w:t>
      </w:r>
      <w:r w:rsidR="00E81045" w:rsidRPr="00D73359">
        <w:rPr>
          <w:rFonts w:cstheme="minorHAnsi"/>
        </w:rPr>
        <w:t xml:space="preserve"> paper</w:t>
      </w:r>
      <w:r w:rsidR="00CE7AD5" w:rsidRPr="00D73359">
        <w:rPr>
          <w:rFonts w:cstheme="minorHAnsi"/>
        </w:rPr>
        <w:t>)</w:t>
      </w:r>
      <w:r w:rsidR="00E81045" w:rsidRPr="00D73359">
        <w:rPr>
          <w:rFonts w:cstheme="minorHAnsi"/>
        </w:rPr>
        <w:t xml:space="preserve">. </w:t>
      </w:r>
      <w:r w:rsidR="00CE7AD5" w:rsidRPr="00D73359">
        <w:rPr>
          <w:rFonts w:cstheme="minorHAnsi"/>
        </w:rPr>
        <w:t xml:space="preserve">Representing commercial and institutional boilers may be more complicated. For example, hospitals and universities are likely categorized in the service sector, and while some CGE models may differentiate between education and health care services </w:t>
      </w:r>
      <w:r w:rsidR="00D80EFD" w:rsidRPr="00D73359">
        <w:rPr>
          <w:rFonts w:cstheme="minorHAnsi"/>
        </w:rPr>
        <w:t>these sectors encompass many other types of establishments</w:t>
      </w:r>
      <w:r w:rsidR="003A3790" w:rsidRPr="00D73359">
        <w:rPr>
          <w:rFonts w:cstheme="minorHAnsi"/>
        </w:rPr>
        <w:t xml:space="preserve"> (i.e., </w:t>
      </w:r>
      <w:r w:rsidR="00D80EFD" w:rsidRPr="00D73359">
        <w:rPr>
          <w:rFonts w:cstheme="minorHAnsi"/>
        </w:rPr>
        <w:t>education services also include elementary middle and high schools and training centers</w:t>
      </w:r>
      <w:r w:rsidR="00F7520F" w:rsidRPr="00D73359">
        <w:rPr>
          <w:rFonts w:cstheme="minorHAnsi"/>
        </w:rPr>
        <w:t>,</w:t>
      </w:r>
      <w:r w:rsidR="00D80EFD" w:rsidRPr="00D73359">
        <w:rPr>
          <w:rFonts w:cstheme="minorHAnsi"/>
        </w:rPr>
        <w:t xml:space="preserve"> while health services include nursing care and residential care facilities</w:t>
      </w:r>
      <w:r w:rsidR="003A3790" w:rsidRPr="00D73359">
        <w:rPr>
          <w:rFonts w:cstheme="minorHAnsi"/>
        </w:rPr>
        <w:t>)</w:t>
      </w:r>
      <w:r w:rsidR="00D80EFD" w:rsidRPr="00D73359">
        <w:rPr>
          <w:rFonts w:cstheme="minorHAnsi"/>
        </w:rPr>
        <w:t xml:space="preserve">. </w:t>
      </w:r>
    </w:p>
    <w:p w14:paraId="6D20C43D" w14:textId="1D200ED0" w:rsidR="00655CE4" w:rsidRPr="00D73359" w:rsidRDefault="00C84860" w:rsidP="00FC39FE">
      <w:pPr>
        <w:spacing w:line="276" w:lineRule="auto"/>
        <w:rPr>
          <w:rFonts w:cstheme="minorHAnsi"/>
        </w:rPr>
      </w:pPr>
      <w:r w:rsidRPr="00D73359">
        <w:rPr>
          <w:rFonts w:cstheme="minorHAnsi"/>
        </w:rPr>
        <w:t xml:space="preserve">Linking to a detailed partial equilibrium sector model to capture </w:t>
      </w:r>
      <w:r w:rsidR="00503605" w:rsidRPr="00D73359">
        <w:rPr>
          <w:rFonts w:cstheme="minorHAnsi"/>
        </w:rPr>
        <w:t>heterogeneity in</w:t>
      </w:r>
      <w:r w:rsidRPr="00D73359">
        <w:rPr>
          <w:rFonts w:cstheme="minorHAnsi"/>
        </w:rPr>
        <w:t xml:space="preserve"> </w:t>
      </w:r>
      <w:r w:rsidR="00503605" w:rsidRPr="00D73359">
        <w:rPr>
          <w:rFonts w:cstheme="minorHAnsi"/>
        </w:rPr>
        <w:t>compliance</w:t>
      </w:r>
      <w:r w:rsidRPr="00D73359">
        <w:rPr>
          <w:rFonts w:cstheme="minorHAnsi"/>
        </w:rPr>
        <w:t xml:space="preserve"> may be more complicated compared to MATS</w:t>
      </w:r>
      <w:r w:rsidR="00503605" w:rsidRPr="00D73359">
        <w:rPr>
          <w:rFonts w:cstheme="minorHAnsi"/>
        </w:rPr>
        <w:t xml:space="preserve">, </w:t>
      </w:r>
      <w:r w:rsidRPr="00D73359">
        <w:rPr>
          <w:rFonts w:cstheme="minorHAnsi"/>
        </w:rPr>
        <w:t xml:space="preserve">due to the wide range of sectors </w:t>
      </w:r>
      <w:r w:rsidR="00CE7AD5" w:rsidRPr="00D73359">
        <w:rPr>
          <w:rFonts w:cstheme="minorHAnsi"/>
        </w:rPr>
        <w:t>affected</w:t>
      </w:r>
      <w:r w:rsidR="007C06B1" w:rsidRPr="00D73359">
        <w:rPr>
          <w:rFonts w:cstheme="minorHAnsi"/>
        </w:rPr>
        <w:t xml:space="preserve"> for which detailed models may be unavailable (and even if available</w:t>
      </w:r>
      <w:r w:rsidR="00CD3BE0">
        <w:rPr>
          <w:rFonts w:cstheme="minorHAnsi"/>
        </w:rPr>
        <w:t>,</w:t>
      </w:r>
      <w:r w:rsidR="007C06B1" w:rsidRPr="00D73359">
        <w:rPr>
          <w:rFonts w:cstheme="minorHAnsi"/>
        </w:rPr>
        <w:t xml:space="preserve"> linking to multiple sector models is likely even more complicated than linking to a single model)</w:t>
      </w:r>
      <w:r w:rsidR="00503605" w:rsidRPr="00D73359">
        <w:t xml:space="preserve">. In this sense, the boiler MACT has more in common with the </w:t>
      </w:r>
      <w:r w:rsidR="00CD3BE0">
        <w:t xml:space="preserve">Ozone </w:t>
      </w:r>
      <w:r w:rsidR="00503605" w:rsidRPr="00D73359">
        <w:t>NAAQS.</w:t>
      </w:r>
      <w:r w:rsidR="00503605" w:rsidRPr="00D73359">
        <w:rPr>
          <w:rFonts w:cstheme="minorHAnsi"/>
        </w:rPr>
        <w:t xml:space="preserve"> </w:t>
      </w:r>
      <w:r w:rsidR="00C256E7" w:rsidRPr="00D73359">
        <w:rPr>
          <w:rFonts w:cstheme="minorHAnsi"/>
        </w:rPr>
        <w:t xml:space="preserve">In addition, </w:t>
      </w:r>
      <w:r w:rsidR="00273B46" w:rsidRPr="00D73359">
        <w:rPr>
          <w:rFonts w:cstheme="minorHAnsi"/>
        </w:rPr>
        <w:t xml:space="preserve">there is not necessarily a linear relationship between </w:t>
      </w:r>
      <w:r w:rsidR="00F7520F" w:rsidRPr="00D73359">
        <w:rPr>
          <w:rFonts w:cstheme="minorHAnsi"/>
        </w:rPr>
        <w:t xml:space="preserve">hazardous air pollutant (HAP) </w:t>
      </w:r>
      <w:r w:rsidR="00273B46" w:rsidRPr="00D73359">
        <w:rPr>
          <w:rFonts w:cstheme="minorHAnsi"/>
        </w:rPr>
        <w:t>emission</w:t>
      </w:r>
      <w:r w:rsidR="00C256E7" w:rsidRPr="00D73359">
        <w:rPr>
          <w:rFonts w:cstheme="minorHAnsi"/>
        </w:rPr>
        <w:t xml:space="preserve">s </w:t>
      </w:r>
      <w:r w:rsidR="00273B46" w:rsidRPr="00D73359">
        <w:rPr>
          <w:rFonts w:cstheme="minorHAnsi"/>
        </w:rPr>
        <w:t>and</w:t>
      </w:r>
      <w:r w:rsidR="00C256E7" w:rsidRPr="00D73359">
        <w:rPr>
          <w:rFonts w:cstheme="minorHAnsi"/>
        </w:rPr>
        <w:t xml:space="preserve"> fuel use</w:t>
      </w:r>
      <w:r w:rsidR="00273B46" w:rsidRPr="00D73359">
        <w:rPr>
          <w:rFonts w:cstheme="minorHAnsi"/>
        </w:rPr>
        <w:t>, which is often used to make assumptions about</w:t>
      </w:r>
      <w:r w:rsidRPr="00D73359">
        <w:rPr>
          <w:rFonts w:cstheme="minorHAnsi"/>
        </w:rPr>
        <w:t xml:space="preserve"> the way abatement costs enter the production function</w:t>
      </w:r>
      <w:r w:rsidR="00C256E7" w:rsidRPr="00D73359">
        <w:rPr>
          <w:rFonts w:cstheme="minorHAnsi"/>
        </w:rPr>
        <w:t xml:space="preserve">. </w:t>
      </w:r>
    </w:p>
    <w:p w14:paraId="39579290" w14:textId="75C37EBE" w:rsidR="002F362B" w:rsidRPr="00A80E88" w:rsidRDefault="00A80E88" w:rsidP="00FC39FE">
      <w:pPr>
        <w:spacing w:line="276" w:lineRule="auto"/>
        <w:rPr>
          <w:rFonts w:cstheme="minorHAnsi"/>
          <w:b/>
        </w:rPr>
      </w:pPr>
      <w:r w:rsidRPr="00A80E88">
        <w:rPr>
          <w:rFonts w:cstheme="minorHAnsi"/>
          <w:b/>
        </w:rPr>
        <w:t xml:space="preserve">4.4 </w:t>
      </w:r>
      <w:r w:rsidR="00D51DBF" w:rsidRPr="00A80E88">
        <w:rPr>
          <w:rFonts w:cstheme="minorHAnsi"/>
          <w:b/>
        </w:rPr>
        <w:t xml:space="preserve">Federal Product Standards - </w:t>
      </w:r>
      <w:r w:rsidR="002F362B" w:rsidRPr="00A80E88">
        <w:rPr>
          <w:rFonts w:cstheme="minorHAnsi"/>
          <w:b/>
        </w:rPr>
        <w:t>VOC Emissions Standard for Consumer Products Example (Category #4)</w:t>
      </w:r>
    </w:p>
    <w:p w14:paraId="402795D5" w14:textId="188E5D2D" w:rsidR="00655CE4" w:rsidRPr="00D73359" w:rsidRDefault="00226A9D" w:rsidP="00FC39FE">
      <w:pPr>
        <w:spacing w:line="276" w:lineRule="auto"/>
        <w:rPr>
          <w:rFonts w:cstheme="minorHAnsi"/>
        </w:rPr>
      </w:pPr>
      <w:r w:rsidRPr="00D73359">
        <w:t xml:space="preserve">The cost of </w:t>
      </w:r>
      <w:r w:rsidR="00655CE4" w:rsidRPr="00D73359">
        <w:t xml:space="preserve">a product standard </w:t>
      </w:r>
      <w:r w:rsidR="005D3FA9">
        <w:t xml:space="preserve">such as the VOC Emissions Standard for Consumer Products example from Table 6 </w:t>
      </w:r>
      <w:r w:rsidR="00655CE4" w:rsidRPr="00D73359">
        <w:t>may be</w:t>
      </w:r>
      <w:r w:rsidRPr="00D73359">
        <w:t xml:space="preserve"> difficult to estimate because it involves research and development to reformulate products. Likewise, r</w:t>
      </w:r>
      <w:r w:rsidR="0080576A" w:rsidRPr="00D73359">
        <w:t xml:space="preserve">egulatory </w:t>
      </w:r>
      <w:r w:rsidRPr="00D73359">
        <w:t>requirements may affect the quality and availability of certain consume</w:t>
      </w:r>
      <w:r w:rsidR="005D3FA9">
        <w:t>r</w:t>
      </w:r>
      <w:r w:rsidRPr="00D73359">
        <w:t xml:space="preserve"> products, which are also often difficult to estimate ex-ante. In some cases, attributes valued by the consumer could be negatively affected (e.g, effectiveness, reliability, </w:t>
      </w:r>
      <w:r w:rsidR="00EC739E" w:rsidRPr="00D73359">
        <w:t xml:space="preserve">and </w:t>
      </w:r>
      <w:r w:rsidRPr="00D73359">
        <w:t>power); standards may also result in improve</w:t>
      </w:r>
      <w:r w:rsidR="0080576A" w:rsidRPr="00D73359">
        <w:t>d products</w:t>
      </w:r>
      <w:r w:rsidRPr="00D73359">
        <w:t xml:space="preserve"> (e.g., new paint colors, better durability, </w:t>
      </w:r>
      <w:r w:rsidR="00EC739E" w:rsidRPr="00D73359">
        <w:t>and enhanced</w:t>
      </w:r>
      <w:r w:rsidRPr="00D73359">
        <w:t xml:space="preserve"> performance). </w:t>
      </w:r>
      <w:r w:rsidR="00655CE4" w:rsidRPr="00D73359">
        <w:rPr>
          <w:rFonts w:cstheme="minorHAnsi"/>
        </w:rPr>
        <w:t xml:space="preserve">In the case of the VOC Emissions Standard for Consumer Products, process changes also likely vary by product. </w:t>
      </w:r>
    </w:p>
    <w:p w14:paraId="270117C4" w14:textId="51154A04" w:rsidR="00226A9D" w:rsidRPr="00D73359" w:rsidRDefault="00655CE4" w:rsidP="00FC39FE">
      <w:pPr>
        <w:spacing w:line="276" w:lineRule="auto"/>
      </w:pPr>
      <w:r w:rsidRPr="00D73359">
        <w:rPr>
          <w:rFonts w:cstheme="minorHAnsi"/>
        </w:rPr>
        <w:t xml:space="preserve">Process changes may not necessarily require new capital equipment or additional labor to produce; </w:t>
      </w:r>
      <w:r w:rsidR="005D3FA9">
        <w:rPr>
          <w:rFonts w:cstheme="minorHAnsi"/>
        </w:rPr>
        <w:t>a</w:t>
      </w:r>
      <w:r w:rsidR="005D3FA9" w:rsidRPr="00D73359">
        <w:rPr>
          <w:rFonts w:cstheme="minorHAnsi"/>
        </w:rPr>
        <w:t xml:space="preserve"> </w:t>
      </w:r>
      <w:r w:rsidRPr="00D73359">
        <w:rPr>
          <w:rFonts w:cstheme="minorHAnsi"/>
        </w:rPr>
        <w:t xml:space="preserve">firm may only need to invest in research and development in the initial years to reformulate a product while costs in subsequent years are small.  When the product seems nearly identical to its pre-regulation version from the consumer’s perspective, representing compliance costs in a CGE model’s production function may </w:t>
      </w:r>
      <w:r w:rsidR="005D3FA9">
        <w:rPr>
          <w:rFonts w:cstheme="minorHAnsi"/>
        </w:rPr>
        <w:t xml:space="preserve">be </w:t>
      </w:r>
      <w:r w:rsidR="00D73359">
        <w:rPr>
          <w:rFonts w:cstheme="minorHAnsi"/>
        </w:rPr>
        <w:t>more straight</w:t>
      </w:r>
      <w:r w:rsidR="00A45F21">
        <w:rPr>
          <w:rFonts w:cstheme="minorHAnsi"/>
        </w:rPr>
        <w:t>-</w:t>
      </w:r>
      <w:r w:rsidR="00D73359">
        <w:rPr>
          <w:rFonts w:cstheme="minorHAnsi"/>
        </w:rPr>
        <w:t>forward</w:t>
      </w:r>
      <w:r w:rsidRPr="00D73359">
        <w:rPr>
          <w:rFonts w:cstheme="minorHAnsi"/>
        </w:rPr>
        <w:t xml:space="preserve"> than in the previous regulatory examples</w:t>
      </w:r>
      <w:r w:rsidR="00AA4795" w:rsidRPr="00D73359">
        <w:rPr>
          <w:rFonts w:cstheme="minorHAnsi"/>
        </w:rPr>
        <w:t>.</w:t>
      </w:r>
      <w:r w:rsidRPr="00D73359">
        <w:rPr>
          <w:rFonts w:cstheme="minorHAnsi"/>
        </w:rPr>
        <w:t xml:space="preserve"> This type of process change seems close in spirit to a Hicks neutral change in technology that leaves the proportion of other inputs in production unchanged. However, if VOC content requirements result in an entirely new product or a change in product attributes that affect its </w:t>
      </w:r>
      <w:r w:rsidR="005D3FA9">
        <w:rPr>
          <w:rFonts w:cstheme="minorHAnsi"/>
        </w:rPr>
        <w:t xml:space="preserve">customer </w:t>
      </w:r>
      <w:r w:rsidRPr="00D73359">
        <w:rPr>
          <w:rFonts w:cstheme="minorHAnsi"/>
        </w:rPr>
        <w:t xml:space="preserve">appeal, the use of </w:t>
      </w:r>
      <w:r w:rsidR="005D3FA9">
        <w:rPr>
          <w:rFonts w:cstheme="minorHAnsi"/>
        </w:rPr>
        <w:t xml:space="preserve">the </w:t>
      </w:r>
      <w:r w:rsidRPr="00D73359">
        <w:rPr>
          <w:rFonts w:cstheme="minorHAnsi"/>
        </w:rPr>
        <w:t>Hicks’ neutral approach would miss market responses that affect social cost.</w:t>
      </w:r>
    </w:p>
    <w:p w14:paraId="6735CB0B" w14:textId="347BB4FD" w:rsidR="003A0138" w:rsidRDefault="00442173" w:rsidP="00FC39FE">
      <w:pPr>
        <w:spacing w:line="276" w:lineRule="auto"/>
        <w:rPr>
          <w:rFonts w:cstheme="minorHAnsi"/>
        </w:rPr>
      </w:pPr>
      <w:r w:rsidRPr="00D73359">
        <w:rPr>
          <w:rFonts w:cstheme="minorHAnsi"/>
        </w:rPr>
        <w:t xml:space="preserve">The </w:t>
      </w:r>
      <w:r w:rsidR="0071296D" w:rsidRPr="00D73359">
        <w:rPr>
          <w:rFonts w:cstheme="minorHAnsi"/>
        </w:rPr>
        <w:t xml:space="preserve">VOC Emissions Standard mandates a change in the way a </w:t>
      </w:r>
      <w:r w:rsidRPr="00D73359">
        <w:rPr>
          <w:rFonts w:cstheme="minorHAnsi"/>
        </w:rPr>
        <w:t xml:space="preserve">myriad of products </w:t>
      </w:r>
      <w:r w:rsidR="0071296D" w:rsidRPr="00D73359">
        <w:rPr>
          <w:rFonts w:cstheme="minorHAnsi"/>
        </w:rPr>
        <w:t xml:space="preserve">are manufactured to reduce VOC content. </w:t>
      </w:r>
      <w:r w:rsidR="00AE2158" w:rsidRPr="00D73359">
        <w:rPr>
          <w:rFonts w:cstheme="minorHAnsi"/>
        </w:rPr>
        <w:t>M</w:t>
      </w:r>
      <w:r w:rsidR="000871A2" w:rsidRPr="00D73359">
        <w:rPr>
          <w:rFonts w:cstheme="minorHAnsi"/>
        </w:rPr>
        <w:t xml:space="preserve">any of the consumer products affected by the regulation are narrowly defined and likely only represent a small portion of </w:t>
      </w:r>
      <w:r w:rsidR="00A27D68" w:rsidRPr="00D73359">
        <w:rPr>
          <w:rFonts w:cstheme="minorHAnsi"/>
        </w:rPr>
        <w:t>much more aggregate</w:t>
      </w:r>
      <w:r w:rsidR="000871A2" w:rsidRPr="00D73359">
        <w:rPr>
          <w:rFonts w:cstheme="minorHAnsi"/>
        </w:rPr>
        <w:t xml:space="preserve"> sector</w:t>
      </w:r>
      <w:r w:rsidR="00F67181">
        <w:rPr>
          <w:rFonts w:cstheme="minorHAnsi"/>
        </w:rPr>
        <w:t>s</w:t>
      </w:r>
      <w:r w:rsidR="000871A2" w:rsidRPr="00D73359">
        <w:rPr>
          <w:rFonts w:cstheme="minorHAnsi"/>
        </w:rPr>
        <w:t xml:space="preserve"> in a CGE model.  As such, substitution away from </w:t>
      </w:r>
      <w:r w:rsidR="00F67181">
        <w:rPr>
          <w:rFonts w:cstheme="minorHAnsi"/>
        </w:rPr>
        <w:t>a</w:t>
      </w:r>
      <w:r w:rsidR="00F67181" w:rsidRPr="00D73359">
        <w:rPr>
          <w:rFonts w:cstheme="minorHAnsi"/>
        </w:rPr>
        <w:t xml:space="preserve"> </w:t>
      </w:r>
      <w:r w:rsidR="000871A2" w:rsidRPr="00D73359">
        <w:rPr>
          <w:rFonts w:cstheme="minorHAnsi"/>
        </w:rPr>
        <w:t xml:space="preserve">regulated product to unregulated alternatives within the same sector (since they do not face the costs to comply they are now relatively cheaper) would be entirely missed by a CGE model. </w:t>
      </w:r>
      <w:r w:rsidR="00F429BE" w:rsidRPr="00D73359">
        <w:rPr>
          <w:rFonts w:cstheme="minorHAnsi"/>
        </w:rPr>
        <w:t xml:space="preserve">As with the boiler MACT </w:t>
      </w:r>
      <w:r w:rsidR="00F67181">
        <w:rPr>
          <w:rFonts w:cstheme="minorHAnsi"/>
        </w:rPr>
        <w:t>example</w:t>
      </w:r>
      <w:r w:rsidR="00F429BE" w:rsidRPr="00D73359">
        <w:rPr>
          <w:rFonts w:cstheme="minorHAnsi"/>
        </w:rPr>
        <w:t xml:space="preserve">, linking a CGE model to a detailed sector model to better capture heterogeneity in compliance strategies and their accompanying costs </w:t>
      </w:r>
      <w:r w:rsidR="00AA4795" w:rsidRPr="00D73359">
        <w:rPr>
          <w:rFonts w:cstheme="minorHAnsi"/>
        </w:rPr>
        <w:t xml:space="preserve">would require considerable information </w:t>
      </w:r>
      <w:r w:rsidR="00F429BE" w:rsidRPr="00D73359">
        <w:rPr>
          <w:rFonts w:cstheme="minorHAnsi"/>
        </w:rPr>
        <w:t xml:space="preserve">given the large number of disparate products covered by the </w:t>
      </w:r>
      <w:r w:rsidR="00F67181">
        <w:rPr>
          <w:rFonts w:cstheme="minorHAnsi"/>
        </w:rPr>
        <w:t>regulation</w:t>
      </w:r>
      <w:r w:rsidR="00F429BE" w:rsidRPr="00D73359">
        <w:rPr>
          <w:rFonts w:cstheme="minorHAnsi"/>
        </w:rPr>
        <w:t xml:space="preserve">. </w:t>
      </w:r>
      <w:r w:rsidR="00670A05" w:rsidRPr="00D73359">
        <w:rPr>
          <w:rFonts w:cstheme="minorHAnsi"/>
        </w:rPr>
        <w:t xml:space="preserve">In addition to capturing changes in the price of these products </w:t>
      </w:r>
      <w:r w:rsidR="00703D07" w:rsidRPr="00D73359">
        <w:rPr>
          <w:rFonts w:cstheme="minorHAnsi"/>
        </w:rPr>
        <w:t>it may also be important to</w:t>
      </w:r>
      <w:r w:rsidR="00670A05" w:rsidRPr="00D73359">
        <w:rPr>
          <w:rFonts w:cstheme="minorHAnsi"/>
        </w:rPr>
        <w:t xml:space="preserve"> </w:t>
      </w:r>
      <w:r w:rsidR="00703D07" w:rsidRPr="00D73359">
        <w:rPr>
          <w:rFonts w:cstheme="minorHAnsi"/>
        </w:rPr>
        <w:t>reflect</w:t>
      </w:r>
      <w:r w:rsidR="00670A05" w:rsidRPr="00D73359">
        <w:rPr>
          <w:rFonts w:cstheme="minorHAnsi"/>
        </w:rPr>
        <w:t xml:space="preserve"> change</w:t>
      </w:r>
      <w:r w:rsidR="00703D07" w:rsidRPr="00D73359">
        <w:rPr>
          <w:rFonts w:cstheme="minorHAnsi"/>
        </w:rPr>
        <w:t>s</w:t>
      </w:r>
      <w:r w:rsidR="00670A05" w:rsidRPr="00D73359">
        <w:rPr>
          <w:rFonts w:cstheme="minorHAnsi"/>
        </w:rPr>
        <w:t xml:space="preserve"> in</w:t>
      </w:r>
      <w:r w:rsidR="00703D07" w:rsidRPr="00D73359">
        <w:rPr>
          <w:rFonts w:cstheme="minorHAnsi"/>
        </w:rPr>
        <w:t xml:space="preserve"> product</w:t>
      </w:r>
      <w:r w:rsidR="00670A05" w:rsidRPr="00D73359">
        <w:rPr>
          <w:rFonts w:cstheme="minorHAnsi"/>
        </w:rPr>
        <w:t xml:space="preserve"> quality </w:t>
      </w:r>
      <w:r w:rsidR="00703D07" w:rsidRPr="00D73359">
        <w:rPr>
          <w:rFonts w:cstheme="minorHAnsi"/>
        </w:rPr>
        <w:t>when evaluating social cost</w:t>
      </w:r>
      <w:r w:rsidR="00E42171" w:rsidRPr="00D73359">
        <w:rPr>
          <w:rFonts w:cstheme="minorHAnsi"/>
        </w:rPr>
        <w:t xml:space="preserve">. </w:t>
      </w:r>
      <w:r w:rsidR="00703D07" w:rsidRPr="00D73359">
        <w:rPr>
          <w:rFonts w:cstheme="minorHAnsi"/>
        </w:rPr>
        <w:t>However,</w:t>
      </w:r>
      <w:r w:rsidR="00E42171" w:rsidRPr="00D73359">
        <w:rPr>
          <w:rFonts w:cstheme="minorHAnsi"/>
        </w:rPr>
        <w:t xml:space="preserve"> sector ou</w:t>
      </w:r>
      <w:r w:rsidR="00703D07" w:rsidRPr="00D73359">
        <w:rPr>
          <w:rFonts w:cstheme="minorHAnsi"/>
        </w:rPr>
        <w:t>t</w:t>
      </w:r>
      <w:r w:rsidR="00E42171" w:rsidRPr="00D73359">
        <w:rPr>
          <w:rFonts w:cstheme="minorHAnsi"/>
        </w:rPr>
        <w:t xml:space="preserve">puts are usually </w:t>
      </w:r>
      <w:r w:rsidR="00670A05" w:rsidRPr="00D73359">
        <w:rPr>
          <w:rFonts w:cstheme="minorHAnsi"/>
        </w:rPr>
        <w:t>assumed to be homogenous</w:t>
      </w:r>
      <w:r w:rsidR="00703D07" w:rsidRPr="00D73359">
        <w:rPr>
          <w:rFonts w:cstheme="minorHAnsi"/>
        </w:rPr>
        <w:t xml:space="preserve"> in a CGE model</w:t>
      </w:r>
      <w:r w:rsidR="00670A05" w:rsidRPr="00D73359">
        <w:rPr>
          <w:rFonts w:cstheme="minorHAnsi"/>
        </w:rPr>
        <w:t xml:space="preserve">. </w:t>
      </w:r>
    </w:p>
    <w:p w14:paraId="531D901C" w14:textId="0611CAA9" w:rsidR="003A0138" w:rsidRPr="003A0138" w:rsidRDefault="00A80E88" w:rsidP="00083C21">
      <w:pPr>
        <w:keepNext/>
        <w:keepLines/>
        <w:numPr>
          <w:ilvl w:val="0"/>
          <w:numId w:val="3"/>
        </w:numPr>
        <w:tabs>
          <w:tab w:val="num" w:pos="360"/>
        </w:tabs>
        <w:spacing w:before="240" w:after="240" w:line="276" w:lineRule="auto"/>
        <w:ind w:left="432" w:hanging="432"/>
        <w:outlineLvl w:val="0"/>
        <w:rPr>
          <w:rFonts w:eastAsiaTheme="majorEastAsia" w:cstheme="majorBidi"/>
          <w:b/>
          <w:sz w:val="32"/>
          <w:szCs w:val="32"/>
        </w:rPr>
      </w:pPr>
      <w:bookmarkStart w:id="43" w:name="_Ref293915972"/>
      <w:bookmarkStart w:id="44" w:name="_Ref426957521"/>
      <w:bookmarkStart w:id="45" w:name="_Toc428797293"/>
      <w:bookmarkStart w:id="46" w:name="_Toc430675924"/>
      <w:bookmarkStart w:id="47" w:name="_Toc448481307"/>
      <w:r>
        <w:rPr>
          <w:rFonts w:eastAsiaTheme="majorEastAsia" w:cstheme="majorBidi"/>
          <w:b/>
          <w:sz w:val="32"/>
          <w:szCs w:val="32"/>
        </w:rPr>
        <w:t>Incorporating</w:t>
      </w:r>
      <w:r w:rsidR="003A0138" w:rsidRPr="003A0138">
        <w:rPr>
          <w:rFonts w:eastAsiaTheme="majorEastAsia" w:cstheme="majorBidi"/>
          <w:b/>
          <w:sz w:val="32"/>
          <w:szCs w:val="32"/>
        </w:rPr>
        <w:t xml:space="preserve"> Benefits of Air Quality Improvements in</w:t>
      </w:r>
      <w:r>
        <w:rPr>
          <w:rFonts w:eastAsiaTheme="majorEastAsia" w:cstheme="majorBidi"/>
          <w:b/>
          <w:sz w:val="32"/>
          <w:szCs w:val="32"/>
        </w:rPr>
        <w:t>to</w:t>
      </w:r>
      <w:r w:rsidR="003A0138" w:rsidRPr="003A0138">
        <w:rPr>
          <w:rFonts w:eastAsiaTheme="majorEastAsia" w:cstheme="majorBidi"/>
          <w:b/>
          <w:sz w:val="32"/>
          <w:szCs w:val="32"/>
        </w:rPr>
        <w:t xml:space="preserve"> CGE Model</w:t>
      </w:r>
      <w:bookmarkEnd w:id="43"/>
      <w:bookmarkEnd w:id="44"/>
      <w:bookmarkEnd w:id="45"/>
      <w:bookmarkEnd w:id="46"/>
      <w:r>
        <w:rPr>
          <w:rFonts w:eastAsiaTheme="majorEastAsia" w:cstheme="majorBidi"/>
          <w:b/>
          <w:sz w:val="32"/>
          <w:szCs w:val="32"/>
        </w:rPr>
        <w:t>s</w:t>
      </w:r>
      <w:bookmarkEnd w:id="47"/>
    </w:p>
    <w:p w14:paraId="302E653A" w14:textId="33A9A752" w:rsidR="003A0138" w:rsidRPr="003A0138" w:rsidRDefault="003A0138" w:rsidP="003A0138">
      <w:pPr>
        <w:spacing w:line="276" w:lineRule="auto"/>
      </w:pPr>
      <w:r w:rsidRPr="003A0138">
        <w:t xml:space="preserve">While the partial analysis described in </w:t>
      </w:r>
      <w:r w:rsidR="00A80E88">
        <w:t>section X</w:t>
      </w:r>
      <w:r w:rsidRPr="003A0138">
        <w:t xml:space="preserve"> remains the most common approach for applied benefit cost analysis, some studies have incorporated limited beneficial impacts of environmental quality into CGE models for economy-wide estimates of the impacts. This section provides an overview of those studies, including how benefits were included in the CGE modeling for the analysis of the benefits and costs of the Clean Air Act from 1990 - 2020 (EPA, 2011) and studies by other researchers that have incorporated benefits into CGE models.</w:t>
      </w:r>
    </w:p>
    <w:p w14:paraId="7EEE40DA" w14:textId="67E23F39" w:rsidR="003A0138" w:rsidRPr="00A80E88" w:rsidRDefault="003A0138" w:rsidP="00083C21">
      <w:pPr>
        <w:pStyle w:val="Heading2"/>
        <w:numPr>
          <w:ilvl w:val="1"/>
          <w:numId w:val="8"/>
        </w:numPr>
      </w:pPr>
      <w:bookmarkStart w:id="48" w:name="_Toc428797294"/>
      <w:bookmarkStart w:id="49" w:name="_Toc430675925"/>
      <w:bookmarkStart w:id="50" w:name="_Toc448481308"/>
      <w:r w:rsidRPr="00A80E88">
        <w:t>Benefits and Costs of the Clean Air Act from 1990 to 2020</w:t>
      </w:r>
      <w:bookmarkEnd w:id="48"/>
      <w:bookmarkEnd w:id="49"/>
      <w:bookmarkEnd w:id="50"/>
    </w:p>
    <w:p w14:paraId="153AE2C9" w14:textId="77777777" w:rsidR="003A0138" w:rsidRPr="003A0138" w:rsidRDefault="003A0138" w:rsidP="003A0138">
      <w:pPr>
        <w:spacing w:line="276" w:lineRule="auto"/>
      </w:pPr>
      <w:r w:rsidRPr="003A0138">
        <w:t>In March 2011, EPA released a study evaluating the benefits and costs from 1990 to 2020 of programs implemented under the 1990 Clean Air Act Amendments (CAAA), relative to a hypothetical baseline in which control programs under the 1970 Clean Air Act and 1977 Amendments remained constant at their 1990 levels of scope and stringency. In addition to estimating partial equilibrium measures of the prospective (2010 to 2020) direct compliance costs and household benefits, the study also included a CGE analysis that incorporated both compliance costs and some benefits over this time period.</w:t>
      </w:r>
    </w:p>
    <w:p w14:paraId="0F1AE89A" w14:textId="77777777" w:rsidR="003A0138" w:rsidRPr="003A0138" w:rsidRDefault="003A0138" w:rsidP="003A0138">
      <w:pPr>
        <w:spacing w:line="276" w:lineRule="auto"/>
      </w:pPr>
      <w:r w:rsidRPr="003A0138">
        <w:t>The CGE analysis performed for the study was the first analysis by EPA to include some categories of air quality related benefits in a CGE model (specifically, the dynamic version of the Economic Model for Policy Analysis Computable General Equilibrium or EMPAX-CGE model).</w:t>
      </w:r>
      <w:r w:rsidRPr="003A0138">
        <w:rPr>
          <w:vertAlign w:val="superscript"/>
        </w:rPr>
        <w:footnoteReference w:id="21"/>
      </w:r>
      <w:r w:rsidRPr="003A0138">
        <w:t xml:space="preserve">  The intent was to acknowledge that while there have been general equilibrium costs associated with the implementation of the CAAA, there have been concomitant improvements in health that may also have feedback effects on the economy. The benefits included in EMPAX-CGE represented 1) expected changes in medical expenditures associated with pollution-related illness and 2) the expected change in workers’ time endowment stemming from changes in mortality risks and changes in workdays lost due to illness. </w:t>
      </w:r>
    </w:p>
    <w:p w14:paraId="165A1C89" w14:textId="77777777" w:rsidR="003A0138" w:rsidRPr="003A0138" w:rsidRDefault="003A0138" w:rsidP="003A0138">
      <w:pPr>
        <w:spacing w:line="276" w:lineRule="auto"/>
      </w:pPr>
      <w:r w:rsidRPr="003A0138">
        <w:t>As previously noted, EPA benefits analyses using the effect-by-effect approach described above are typically conducted for one or two “snapshot” years once full implementation is expected to have occurred. This presents a challenge for the inclusion of such benefits estimates in a dynamic CGE model, since more than one or two years are modeled and the timing of impacts is important. In the case of the 2011 EPA study, multiple years of air quality modeling with and without the CAAA were available (2000, 2010, and 2020), and it was therefore possible to approximate the stream of benefits needed for inclusion in EMPAX-CGE. The following sections briefly describe how these benefits were calculated and incorporated into the model.</w:t>
      </w:r>
      <w:r w:rsidRPr="003A0138">
        <w:rPr>
          <w:vertAlign w:val="superscript"/>
        </w:rPr>
        <w:footnoteReference w:id="22"/>
      </w:r>
    </w:p>
    <w:p w14:paraId="1A057D47" w14:textId="77777777" w:rsidR="003A0138" w:rsidRPr="00A80E88" w:rsidRDefault="003A0138" w:rsidP="00A80E88">
      <w:pPr>
        <w:keepNext/>
        <w:keepLines/>
        <w:spacing w:before="40" w:line="276" w:lineRule="auto"/>
        <w:outlineLvl w:val="2"/>
        <w:rPr>
          <w:rFonts w:eastAsiaTheme="majorEastAsia" w:cstheme="majorBidi"/>
          <w:i/>
          <w:sz w:val="24"/>
          <w:szCs w:val="24"/>
        </w:rPr>
      </w:pPr>
      <w:bookmarkStart w:id="51" w:name="_Toc428797295"/>
      <w:bookmarkStart w:id="52" w:name="_Toc430675926"/>
      <w:bookmarkStart w:id="53" w:name="_Toc448481309"/>
      <w:r w:rsidRPr="00A80E88">
        <w:rPr>
          <w:rFonts w:eastAsiaTheme="majorEastAsia" w:cstheme="majorBidi"/>
          <w:i/>
          <w:sz w:val="24"/>
          <w:szCs w:val="24"/>
        </w:rPr>
        <w:t>Changes in Medical Expenditures</w:t>
      </w:r>
      <w:bookmarkEnd w:id="51"/>
      <w:bookmarkEnd w:id="52"/>
      <w:bookmarkEnd w:id="53"/>
    </w:p>
    <w:p w14:paraId="5FA3C789" w14:textId="77777777" w:rsidR="003A0138" w:rsidRPr="003A0138" w:rsidRDefault="003A0138" w:rsidP="003A0138">
      <w:pPr>
        <w:spacing w:line="276" w:lineRule="auto"/>
      </w:pPr>
      <w:r w:rsidRPr="003A0138">
        <w:t>Estimates of the change in incidence or prevalence of several morbidity endpoints in 2010 and 2020 were estimated using the environmental Benefits Mapping and Analysis Program (BenMAP).</w:t>
      </w:r>
      <w:r w:rsidRPr="003A0138">
        <w:rPr>
          <w:vertAlign w:val="superscript"/>
        </w:rPr>
        <w:footnoteReference w:id="23"/>
      </w:r>
      <w:r w:rsidRPr="003A0138">
        <w:t xml:space="preserve"> These estimates of changes in incidence and prevalence were then multiplied by COI estimates from the published literature to calculate total changes in medical expenditures associated with PM and ozone-related health endpoints. Per event values of these annual medical expenditure estimates represented in </w:t>
      </w:r>
      <w:r w:rsidRPr="003A0138">
        <w:fldChar w:fldCharType="begin"/>
      </w:r>
      <w:r w:rsidRPr="003A0138">
        <w:instrText xml:space="preserve"> REF _Ref417380322 \h  \* MERGEFORMAT </w:instrText>
      </w:r>
      <w:r w:rsidRPr="003A0138">
        <w:fldChar w:fldCharType="separate"/>
      </w:r>
      <w:r w:rsidRPr="003A0138">
        <w:t xml:space="preserve">Table </w:t>
      </w:r>
      <w:r w:rsidRPr="003A0138">
        <w:rPr>
          <w:noProof/>
        </w:rPr>
        <w:t>4</w:t>
      </w:r>
      <w:r w:rsidRPr="003A0138">
        <w:fldChar w:fldCharType="end"/>
      </w:r>
      <w:r w:rsidRPr="003A0138">
        <w:t>. The total change in medical expenditures were then incorporated into EMPAX-CGE as a change in the representative household’s expenditure pattern. To interpolate the additional year 2015 needed for inclusion in the EMPAX-CGE model, an estimated emissions trajectory was combined with estimates of the benefit per ton of avoided emissions to create a benefits trajectory.</w:t>
      </w:r>
      <w:r w:rsidRPr="003A0138">
        <w:rPr>
          <w:vertAlign w:val="superscript"/>
        </w:rPr>
        <w:footnoteReference w:id="24"/>
      </w:r>
      <w:r w:rsidRPr="003A0138">
        <w:t xml:space="preserve"> An index was created using this benefits trajectory, and this index was used to deflate the 2020 benefits estimates to their corresponding values in 2015.</w:t>
      </w:r>
    </w:p>
    <w:p w14:paraId="292ABC32" w14:textId="77777777" w:rsidR="003A0138" w:rsidRPr="00A80E88" w:rsidRDefault="003A0138" w:rsidP="00A80E88">
      <w:pPr>
        <w:keepNext/>
        <w:keepLines/>
        <w:spacing w:before="40" w:line="276" w:lineRule="auto"/>
        <w:outlineLvl w:val="2"/>
        <w:rPr>
          <w:rFonts w:eastAsiaTheme="majorEastAsia" w:cstheme="majorBidi"/>
          <w:i/>
          <w:sz w:val="24"/>
          <w:szCs w:val="24"/>
        </w:rPr>
      </w:pPr>
      <w:bookmarkStart w:id="54" w:name="_Toc430675927"/>
      <w:bookmarkStart w:id="55" w:name="_Toc448481310"/>
      <w:r w:rsidRPr="00A80E88">
        <w:rPr>
          <w:rFonts w:eastAsiaTheme="majorEastAsia" w:cstheme="majorBidi"/>
          <w:i/>
          <w:sz w:val="24"/>
          <w:szCs w:val="24"/>
        </w:rPr>
        <w:t>Effects on the Labor Force</w:t>
      </w:r>
      <w:bookmarkEnd w:id="54"/>
      <w:bookmarkEnd w:id="55"/>
    </w:p>
    <w:p w14:paraId="67829371" w14:textId="77777777" w:rsidR="003A0138" w:rsidRPr="003A0138" w:rsidRDefault="003A0138" w:rsidP="003A0138">
      <w:pPr>
        <w:spacing w:line="276" w:lineRule="auto"/>
      </w:pPr>
      <w:r w:rsidRPr="003A0138">
        <w:t>The effect of PM</w:t>
      </w:r>
      <w:r w:rsidRPr="003A0138">
        <w:rPr>
          <w:vertAlign w:val="subscript"/>
        </w:rPr>
        <w:t>2.5</w:t>
      </w:r>
      <w:r w:rsidRPr="003A0138">
        <w:t xml:space="preserve"> related premature mortality and ozone and PM</w:t>
      </w:r>
      <w:r w:rsidRPr="003A0138">
        <w:rPr>
          <w:vertAlign w:val="subscript"/>
        </w:rPr>
        <w:t>2.5</w:t>
      </w:r>
      <w:r w:rsidRPr="003A0138">
        <w:t xml:space="preserve"> related morbidity on the labor force is implemented in the EMPAX-CGE model as a reduction in the representative household’s time endowment. The expected effect of the CAAA on population due to changes in PM</w:t>
      </w:r>
      <w:r w:rsidRPr="003A0138">
        <w:rPr>
          <w:vertAlign w:val="subscript"/>
        </w:rPr>
        <w:t>2.5</w:t>
      </w:r>
      <w:r w:rsidRPr="003A0138">
        <w:t xml:space="preserve"> related premature mortality was modeled using a dynamic population simulation model (PopSim) that incorporates life table </w:t>
      </w:r>
    </w:p>
    <w:p w14:paraId="175F489E" w14:textId="77777777" w:rsidR="003A0138" w:rsidRPr="003A0138" w:rsidRDefault="003A0138" w:rsidP="003A0138">
      <w:pPr>
        <w:spacing w:line="276" w:lineRule="auto"/>
        <w:jc w:val="center"/>
        <w:rPr>
          <w:b/>
        </w:rPr>
      </w:pPr>
      <w:bookmarkStart w:id="56" w:name="_Ref417380322"/>
      <w:r w:rsidRPr="003A0138">
        <w:rPr>
          <w:b/>
        </w:rPr>
        <w:t xml:space="preserve">Table </w:t>
      </w:r>
      <w:r w:rsidRPr="003A0138">
        <w:rPr>
          <w:b/>
        </w:rPr>
        <w:fldChar w:fldCharType="begin"/>
      </w:r>
      <w:r w:rsidRPr="003A0138">
        <w:rPr>
          <w:b/>
        </w:rPr>
        <w:instrText xml:space="preserve"> SEQ Table \* ARABIC </w:instrText>
      </w:r>
      <w:r w:rsidRPr="003A0138">
        <w:rPr>
          <w:b/>
        </w:rPr>
        <w:fldChar w:fldCharType="separate"/>
      </w:r>
      <w:r w:rsidRPr="003A0138">
        <w:rPr>
          <w:b/>
          <w:noProof/>
        </w:rPr>
        <w:t>4</w:t>
      </w:r>
      <w:r w:rsidRPr="003A0138">
        <w:rPr>
          <w:b/>
        </w:rPr>
        <w:fldChar w:fldCharType="end"/>
      </w:r>
      <w:bookmarkEnd w:id="56"/>
      <w:r w:rsidRPr="003A0138">
        <w:rPr>
          <w:b/>
        </w:rPr>
        <w:t>: Annual Medical Expenditures per Case, By Morbidity Endpoint [2006$]</w:t>
      </w:r>
    </w:p>
    <w:tbl>
      <w:tblPr>
        <w:tblW w:w="0" w:type="auto"/>
        <w:jc w:val="center"/>
        <w:tblLayout w:type="fixed"/>
        <w:tblCellMar>
          <w:left w:w="58" w:type="dxa"/>
          <w:right w:w="58" w:type="dxa"/>
        </w:tblCellMar>
        <w:tblLook w:val="0000" w:firstRow="0" w:lastRow="0" w:firstColumn="0" w:lastColumn="0" w:noHBand="0" w:noVBand="0"/>
      </w:tblPr>
      <w:tblGrid>
        <w:gridCol w:w="4783"/>
        <w:gridCol w:w="1704"/>
        <w:gridCol w:w="1698"/>
      </w:tblGrid>
      <w:tr w:rsidR="003A0138" w:rsidRPr="003A0138" w14:paraId="5B24C39B" w14:textId="77777777" w:rsidTr="003A0138">
        <w:trPr>
          <w:trHeight w:hRule="exact" w:val="360"/>
          <w:jc w:val="center"/>
        </w:trPr>
        <w:tc>
          <w:tcPr>
            <w:tcW w:w="4783" w:type="dxa"/>
            <w:tcBorders>
              <w:top w:val="single" w:sz="12" w:space="0" w:color="auto"/>
              <w:bottom w:val="single" w:sz="12" w:space="0" w:color="auto"/>
            </w:tcBorders>
            <w:shd w:val="clear" w:color="auto" w:fill="auto"/>
          </w:tcPr>
          <w:p w14:paraId="3D71A4D3" w14:textId="77777777" w:rsidR="003A0138" w:rsidRPr="003A0138" w:rsidRDefault="003A0138" w:rsidP="003A0138">
            <w:pPr>
              <w:spacing w:line="276" w:lineRule="auto"/>
            </w:pPr>
          </w:p>
        </w:tc>
        <w:tc>
          <w:tcPr>
            <w:tcW w:w="1704" w:type="dxa"/>
            <w:tcBorders>
              <w:top w:val="single" w:sz="12" w:space="0" w:color="auto"/>
              <w:bottom w:val="single" w:sz="12" w:space="0" w:color="auto"/>
            </w:tcBorders>
            <w:shd w:val="clear" w:color="auto" w:fill="auto"/>
          </w:tcPr>
          <w:p w14:paraId="4BCCFACF" w14:textId="77777777" w:rsidR="003A0138" w:rsidRPr="003A0138" w:rsidRDefault="003A0138" w:rsidP="003A0138">
            <w:pPr>
              <w:spacing w:line="276" w:lineRule="auto"/>
              <w:jc w:val="center"/>
            </w:pPr>
            <w:r w:rsidRPr="003A0138">
              <w:rPr>
                <w:b/>
                <w:bCs/>
              </w:rPr>
              <w:t>2010</w:t>
            </w:r>
          </w:p>
        </w:tc>
        <w:tc>
          <w:tcPr>
            <w:tcW w:w="1698" w:type="dxa"/>
            <w:tcBorders>
              <w:top w:val="single" w:sz="12" w:space="0" w:color="auto"/>
              <w:bottom w:val="single" w:sz="12" w:space="0" w:color="auto"/>
            </w:tcBorders>
            <w:shd w:val="clear" w:color="auto" w:fill="auto"/>
          </w:tcPr>
          <w:p w14:paraId="11BEADF8" w14:textId="77777777" w:rsidR="003A0138" w:rsidRPr="003A0138" w:rsidRDefault="003A0138" w:rsidP="003A0138">
            <w:pPr>
              <w:spacing w:line="276" w:lineRule="auto"/>
              <w:jc w:val="center"/>
            </w:pPr>
            <w:r w:rsidRPr="003A0138">
              <w:rPr>
                <w:b/>
                <w:bCs/>
              </w:rPr>
              <w:t>2020</w:t>
            </w:r>
          </w:p>
        </w:tc>
      </w:tr>
      <w:tr w:rsidR="003A0138" w:rsidRPr="003A0138" w14:paraId="053BA87C" w14:textId="77777777" w:rsidTr="003A0138">
        <w:trPr>
          <w:trHeight w:hRule="exact" w:val="360"/>
          <w:jc w:val="center"/>
        </w:trPr>
        <w:tc>
          <w:tcPr>
            <w:tcW w:w="8185" w:type="dxa"/>
            <w:gridSpan w:val="3"/>
            <w:tcBorders>
              <w:top w:val="single" w:sz="12" w:space="0" w:color="auto"/>
            </w:tcBorders>
          </w:tcPr>
          <w:p w14:paraId="2C70FA36" w14:textId="77777777" w:rsidR="003A0138" w:rsidRPr="003A0138" w:rsidRDefault="003A0138" w:rsidP="003A0138">
            <w:pPr>
              <w:spacing w:before="80" w:after="80" w:line="276" w:lineRule="auto"/>
            </w:pPr>
            <w:r w:rsidRPr="003A0138">
              <w:rPr>
                <w:b/>
                <w:bCs/>
              </w:rPr>
              <w:t>PM</w:t>
            </w:r>
            <w:r w:rsidRPr="003A0138">
              <w:rPr>
                <w:b/>
                <w:bCs/>
                <w:vertAlign w:val="superscript"/>
              </w:rPr>
              <w:t>2</w:t>
            </w:r>
          </w:p>
        </w:tc>
      </w:tr>
      <w:tr w:rsidR="003A0138" w:rsidRPr="003A0138" w14:paraId="40B41761" w14:textId="77777777" w:rsidTr="003A0138">
        <w:trPr>
          <w:trHeight w:hRule="exact" w:val="360"/>
          <w:jc w:val="center"/>
        </w:trPr>
        <w:tc>
          <w:tcPr>
            <w:tcW w:w="4783" w:type="dxa"/>
          </w:tcPr>
          <w:p w14:paraId="5CBB5FBB" w14:textId="77777777" w:rsidR="003A0138" w:rsidRPr="003A0138" w:rsidRDefault="003A0138" w:rsidP="003A0138">
            <w:pPr>
              <w:spacing w:before="80" w:after="80" w:line="276" w:lineRule="auto"/>
            </w:pPr>
            <w:r w:rsidRPr="003A0138">
              <w:t>Acute Myocardial Infarction</w:t>
            </w:r>
            <w:r w:rsidRPr="003A0138">
              <w:rPr>
                <w:vertAlign w:val="superscript"/>
              </w:rPr>
              <w:t>3</w:t>
            </w:r>
          </w:p>
        </w:tc>
        <w:tc>
          <w:tcPr>
            <w:tcW w:w="1704" w:type="dxa"/>
          </w:tcPr>
          <w:p w14:paraId="1B547C1A" w14:textId="77777777" w:rsidR="003A0138" w:rsidRPr="003A0138" w:rsidRDefault="003A0138" w:rsidP="003A0138">
            <w:pPr>
              <w:spacing w:before="80" w:after="80" w:line="276" w:lineRule="auto"/>
              <w:jc w:val="center"/>
            </w:pPr>
            <w:r w:rsidRPr="003A0138">
              <w:t>$17,600</w:t>
            </w:r>
          </w:p>
        </w:tc>
        <w:tc>
          <w:tcPr>
            <w:tcW w:w="1698" w:type="dxa"/>
          </w:tcPr>
          <w:p w14:paraId="1329ABE4" w14:textId="77777777" w:rsidR="003A0138" w:rsidRPr="003A0138" w:rsidRDefault="003A0138" w:rsidP="003A0138">
            <w:pPr>
              <w:spacing w:before="80" w:after="80" w:line="276" w:lineRule="auto"/>
              <w:jc w:val="center"/>
            </w:pPr>
            <w:r w:rsidRPr="003A0138">
              <w:t>$17,300</w:t>
            </w:r>
          </w:p>
        </w:tc>
      </w:tr>
      <w:tr w:rsidR="003A0138" w:rsidRPr="003A0138" w14:paraId="019541CB" w14:textId="77777777" w:rsidTr="003A0138">
        <w:trPr>
          <w:trHeight w:hRule="exact" w:val="360"/>
          <w:jc w:val="center"/>
        </w:trPr>
        <w:tc>
          <w:tcPr>
            <w:tcW w:w="4783" w:type="dxa"/>
          </w:tcPr>
          <w:p w14:paraId="57F1BE00" w14:textId="77777777" w:rsidR="003A0138" w:rsidRPr="003A0138" w:rsidRDefault="003A0138" w:rsidP="003A0138">
            <w:pPr>
              <w:spacing w:before="80" w:after="80" w:line="276" w:lineRule="auto"/>
            </w:pPr>
            <w:r w:rsidRPr="003A0138">
              <w:t>Chronic Bronchitis</w:t>
            </w:r>
            <w:r w:rsidRPr="003A0138">
              <w:rPr>
                <w:vertAlign w:val="superscript"/>
              </w:rPr>
              <w:t>4</w:t>
            </w:r>
          </w:p>
        </w:tc>
        <w:tc>
          <w:tcPr>
            <w:tcW w:w="1704" w:type="dxa"/>
          </w:tcPr>
          <w:p w14:paraId="7012F710" w14:textId="77777777" w:rsidR="003A0138" w:rsidRPr="003A0138" w:rsidRDefault="003A0138" w:rsidP="003A0138">
            <w:pPr>
              <w:spacing w:before="80" w:after="80" w:line="276" w:lineRule="auto"/>
              <w:jc w:val="center"/>
            </w:pPr>
            <w:r w:rsidRPr="003A0138">
              <w:t>$715</w:t>
            </w:r>
          </w:p>
        </w:tc>
        <w:tc>
          <w:tcPr>
            <w:tcW w:w="1698" w:type="dxa"/>
          </w:tcPr>
          <w:p w14:paraId="229D24B0" w14:textId="77777777" w:rsidR="003A0138" w:rsidRPr="003A0138" w:rsidRDefault="003A0138" w:rsidP="003A0138">
            <w:pPr>
              <w:spacing w:before="80" w:after="80" w:line="276" w:lineRule="auto"/>
              <w:jc w:val="center"/>
            </w:pPr>
            <w:r w:rsidRPr="003A0138">
              <w:t>$810</w:t>
            </w:r>
          </w:p>
        </w:tc>
      </w:tr>
      <w:tr w:rsidR="003A0138" w:rsidRPr="003A0138" w14:paraId="0620927B" w14:textId="77777777" w:rsidTr="003A0138">
        <w:trPr>
          <w:trHeight w:hRule="exact" w:val="360"/>
          <w:jc w:val="center"/>
        </w:trPr>
        <w:tc>
          <w:tcPr>
            <w:tcW w:w="4783" w:type="dxa"/>
          </w:tcPr>
          <w:p w14:paraId="5609B1A8" w14:textId="77777777" w:rsidR="003A0138" w:rsidRPr="003A0138" w:rsidRDefault="003A0138" w:rsidP="003A0138">
            <w:pPr>
              <w:spacing w:before="80" w:after="80" w:line="276" w:lineRule="auto"/>
            </w:pPr>
            <w:r w:rsidRPr="003A0138">
              <w:t>Emergency Room Visits, Respiratory</w:t>
            </w:r>
            <w:r w:rsidRPr="003A0138">
              <w:rPr>
                <w:vertAlign w:val="superscript"/>
              </w:rPr>
              <w:t>5</w:t>
            </w:r>
          </w:p>
        </w:tc>
        <w:tc>
          <w:tcPr>
            <w:tcW w:w="3402" w:type="dxa"/>
            <w:gridSpan w:val="2"/>
          </w:tcPr>
          <w:p w14:paraId="4CF15A9D" w14:textId="77777777" w:rsidR="003A0138" w:rsidRPr="003A0138" w:rsidRDefault="003A0138" w:rsidP="003A0138">
            <w:pPr>
              <w:spacing w:before="80" w:after="80" w:line="276" w:lineRule="auto"/>
              <w:jc w:val="center"/>
            </w:pPr>
            <w:r w:rsidRPr="003A0138">
              <w:t>$369</w:t>
            </w:r>
          </w:p>
          <w:p w14:paraId="622E2382" w14:textId="77777777" w:rsidR="003A0138" w:rsidRPr="003A0138" w:rsidRDefault="003A0138" w:rsidP="003A0138">
            <w:pPr>
              <w:spacing w:before="80" w:after="80" w:line="276" w:lineRule="auto"/>
              <w:jc w:val="center"/>
            </w:pPr>
            <w:r w:rsidRPr="003A0138">
              <w:t>$27,400</w:t>
            </w:r>
          </w:p>
          <w:p w14:paraId="1F151057" w14:textId="77777777" w:rsidR="003A0138" w:rsidRPr="003A0138" w:rsidRDefault="003A0138" w:rsidP="003A0138">
            <w:pPr>
              <w:spacing w:before="80" w:after="80" w:line="276" w:lineRule="auto"/>
              <w:jc w:val="center"/>
            </w:pPr>
            <w:r w:rsidRPr="003A0138">
              <w:t>$21,000</w:t>
            </w:r>
          </w:p>
        </w:tc>
      </w:tr>
      <w:tr w:rsidR="003A0138" w:rsidRPr="003A0138" w14:paraId="14CDF39D" w14:textId="77777777" w:rsidTr="003A0138">
        <w:trPr>
          <w:trHeight w:hRule="exact" w:val="360"/>
          <w:jc w:val="center"/>
        </w:trPr>
        <w:tc>
          <w:tcPr>
            <w:tcW w:w="4783" w:type="dxa"/>
          </w:tcPr>
          <w:p w14:paraId="2AA026FE" w14:textId="77777777" w:rsidR="003A0138" w:rsidRPr="003A0138" w:rsidRDefault="003A0138" w:rsidP="003A0138">
            <w:pPr>
              <w:spacing w:before="80" w:after="80" w:line="276" w:lineRule="auto"/>
            </w:pPr>
            <w:r w:rsidRPr="003A0138">
              <w:t>Hospital Admissions, Cardiovascular</w:t>
            </w:r>
            <w:r w:rsidRPr="003A0138">
              <w:rPr>
                <w:vertAlign w:val="superscript"/>
              </w:rPr>
              <w:t>6</w:t>
            </w:r>
          </w:p>
        </w:tc>
        <w:tc>
          <w:tcPr>
            <w:tcW w:w="3402" w:type="dxa"/>
            <w:gridSpan w:val="2"/>
          </w:tcPr>
          <w:p w14:paraId="5D049B7D" w14:textId="77777777" w:rsidR="003A0138" w:rsidRPr="003A0138" w:rsidRDefault="003A0138" w:rsidP="003A0138">
            <w:pPr>
              <w:spacing w:before="80" w:after="80" w:line="276" w:lineRule="auto"/>
              <w:jc w:val="center"/>
            </w:pPr>
            <w:r w:rsidRPr="003A0138">
              <w:t>$27,400</w:t>
            </w:r>
          </w:p>
        </w:tc>
      </w:tr>
      <w:tr w:rsidR="003A0138" w:rsidRPr="003A0138" w14:paraId="5D60EA6A" w14:textId="77777777" w:rsidTr="003A0138">
        <w:trPr>
          <w:trHeight w:hRule="exact" w:val="360"/>
          <w:jc w:val="center"/>
        </w:trPr>
        <w:tc>
          <w:tcPr>
            <w:tcW w:w="4783" w:type="dxa"/>
          </w:tcPr>
          <w:p w14:paraId="3C078269" w14:textId="77777777" w:rsidR="003A0138" w:rsidRPr="003A0138" w:rsidRDefault="003A0138" w:rsidP="003A0138">
            <w:pPr>
              <w:spacing w:before="80" w:after="80" w:line="276" w:lineRule="auto"/>
            </w:pPr>
            <w:r w:rsidRPr="003A0138">
              <w:t>Hospital Admissions, Respiratory</w:t>
            </w:r>
            <w:r w:rsidRPr="003A0138">
              <w:rPr>
                <w:vertAlign w:val="superscript"/>
              </w:rPr>
              <w:t>6</w:t>
            </w:r>
          </w:p>
        </w:tc>
        <w:tc>
          <w:tcPr>
            <w:tcW w:w="3402" w:type="dxa"/>
            <w:gridSpan w:val="2"/>
          </w:tcPr>
          <w:p w14:paraId="0722CEB7" w14:textId="77777777" w:rsidR="003A0138" w:rsidRPr="003A0138" w:rsidRDefault="003A0138" w:rsidP="003A0138">
            <w:pPr>
              <w:spacing w:before="80" w:after="80" w:line="276" w:lineRule="auto"/>
              <w:jc w:val="center"/>
            </w:pPr>
            <w:r w:rsidRPr="003A0138">
              <w:t>$21,000</w:t>
            </w:r>
          </w:p>
        </w:tc>
      </w:tr>
      <w:tr w:rsidR="003A0138" w:rsidRPr="003A0138" w14:paraId="30FAD814" w14:textId="77777777" w:rsidTr="003A0138">
        <w:trPr>
          <w:trHeight w:hRule="exact" w:val="360"/>
          <w:jc w:val="center"/>
        </w:trPr>
        <w:tc>
          <w:tcPr>
            <w:tcW w:w="8185" w:type="dxa"/>
            <w:gridSpan w:val="3"/>
            <w:tcBorders>
              <w:top w:val="nil"/>
              <w:bottom w:val="nil"/>
            </w:tcBorders>
          </w:tcPr>
          <w:p w14:paraId="6A0DDD97" w14:textId="77777777" w:rsidR="003A0138" w:rsidRPr="003A0138" w:rsidRDefault="003A0138" w:rsidP="003A0138">
            <w:pPr>
              <w:spacing w:before="80" w:after="80" w:line="276" w:lineRule="auto"/>
            </w:pPr>
            <w:r w:rsidRPr="003A0138">
              <w:rPr>
                <w:b/>
                <w:bCs/>
              </w:rPr>
              <w:t>Ozone</w:t>
            </w:r>
            <w:r w:rsidRPr="003A0138">
              <w:rPr>
                <w:b/>
                <w:bCs/>
                <w:vertAlign w:val="superscript"/>
              </w:rPr>
              <w:t>7</w:t>
            </w:r>
          </w:p>
        </w:tc>
      </w:tr>
      <w:tr w:rsidR="003A0138" w:rsidRPr="003A0138" w14:paraId="58C1553A" w14:textId="77777777" w:rsidTr="003A0138">
        <w:trPr>
          <w:trHeight w:hRule="exact" w:val="360"/>
          <w:jc w:val="center"/>
        </w:trPr>
        <w:tc>
          <w:tcPr>
            <w:tcW w:w="4783" w:type="dxa"/>
          </w:tcPr>
          <w:p w14:paraId="22403229" w14:textId="77777777" w:rsidR="003A0138" w:rsidRPr="003A0138" w:rsidRDefault="003A0138" w:rsidP="003A0138">
            <w:pPr>
              <w:spacing w:before="80" w:after="80" w:line="276" w:lineRule="auto"/>
            </w:pPr>
            <w:r w:rsidRPr="003A0138">
              <w:t>Emergency Room Visits, Respiratory</w:t>
            </w:r>
            <w:r w:rsidRPr="003A0138">
              <w:rPr>
                <w:vertAlign w:val="superscript"/>
              </w:rPr>
              <w:t>5</w:t>
            </w:r>
          </w:p>
        </w:tc>
        <w:tc>
          <w:tcPr>
            <w:tcW w:w="3402" w:type="dxa"/>
            <w:gridSpan w:val="2"/>
          </w:tcPr>
          <w:p w14:paraId="13D11FE5" w14:textId="77777777" w:rsidR="003A0138" w:rsidRPr="003A0138" w:rsidRDefault="003A0138" w:rsidP="003A0138">
            <w:pPr>
              <w:spacing w:before="80" w:after="80" w:line="276" w:lineRule="auto"/>
              <w:jc w:val="center"/>
            </w:pPr>
            <w:r w:rsidRPr="003A0138">
              <w:t>$369</w:t>
            </w:r>
          </w:p>
        </w:tc>
      </w:tr>
      <w:tr w:rsidR="003A0138" w:rsidRPr="003A0138" w14:paraId="5C8DE42A" w14:textId="77777777" w:rsidTr="003A0138">
        <w:trPr>
          <w:trHeight w:hRule="exact" w:val="360"/>
          <w:jc w:val="center"/>
        </w:trPr>
        <w:tc>
          <w:tcPr>
            <w:tcW w:w="4783" w:type="dxa"/>
            <w:tcBorders>
              <w:bottom w:val="single" w:sz="12" w:space="0" w:color="auto"/>
            </w:tcBorders>
          </w:tcPr>
          <w:p w14:paraId="0BEF8563" w14:textId="77777777" w:rsidR="003A0138" w:rsidRPr="003A0138" w:rsidRDefault="003A0138" w:rsidP="003A0138">
            <w:pPr>
              <w:spacing w:before="80" w:after="80" w:line="276" w:lineRule="auto"/>
            </w:pPr>
            <w:r w:rsidRPr="003A0138">
              <w:t>Hospital Admissions, Respiratory</w:t>
            </w:r>
            <w:r w:rsidRPr="003A0138">
              <w:rPr>
                <w:vertAlign w:val="superscript"/>
              </w:rPr>
              <w:t>6</w:t>
            </w:r>
          </w:p>
        </w:tc>
        <w:tc>
          <w:tcPr>
            <w:tcW w:w="1704" w:type="dxa"/>
            <w:tcBorders>
              <w:bottom w:val="single" w:sz="12" w:space="0" w:color="auto"/>
            </w:tcBorders>
          </w:tcPr>
          <w:p w14:paraId="7EDCEF58" w14:textId="77777777" w:rsidR="003A0138" w:rsidRPr="003A0138" w:rsidRDefault="003A0138" w:rsidP="003A0138">
            <w:pPr>
              <w:spacing w:before="80" w:after="80" w:line="276" w:lineRule="auto"/>
              <w:jc w:val="center"/>
            </w:pPr>
            <w:r w:rsidRPr="003A0138">
              <w:t>$16,400</w:t>
            </w:r>
          </w:p>
        </w:tc>
        <w:tc>
          <w:tcPr>
            <w:tcW w:w="1698" w:type="dxa"/>
            <w:tcBorders>
              <w:bottom w:val="single" w:sz="12" w:space="0" w:color="auto"/>
            </w:tcBorders>
          </w:tcPr>
          <w:p w14:paraId="7CD6EEA3" w14:textId="77777777" w:rsidR="003A0138" w:rsidRPr="003A0138" w:rsidRDefault="003A0138" w:rsidP="003A0138">
            <w:pPr>
              <w:spacing w:before="80" w:after="80" w:line="276" w:lineRule="auto"/>
              <w:jc w:val="center"/>
            </w:pPr>
            <w:r w:rsidRPr="003A0138">
              <w:t>$17,100</w:t>
            </w:r>
          </w:p>
        </w:tc>
      </w:tr>
      <w:tr w:rsidR="003A0138" w:rsidRPr="003A0138" w14:paraId="3ABE0719" w14:textId="77777777" w:rsidTr="003A0138">
        <w:trPr>
          <w:trHeight w:hRule="exact" w:val="4782"/>
          <w:jc w:val="center"/>
        </w:trPr>
        <w:tc>
          <w:tcPr>
            <w:tcW w:w="8185" w:type="dxa"/>
            <w:gridSpan w:val="3"/>
            <w:tcBorders>
              <w:top w:val="single" w:sz="12" w:space="0" w:color="auto"/>
              <w:bottom w:val="single" w:sz="12" w:space="0" w:color="auto"/>
            </w:tcBorders>
          </w:tcPr>
          <w:p w14:paraId="4A771053" w14:textId="77777777" w:rsidR="003A0138" w:rsidRPr="003A0138" w:rsidRDefault="003A0138" w:rsidP="003A0138">
            <w:pPr>
              <w:spacing w:before="240" w:line="276" w:lineRule="auto"/>
              <w:rPr>
                <w:sz w:val="16"/>
                <w:szCs w:val="16"/>
              </w:rPr>
            </w:pPr>
            <w:r w:rsidRPr="003A0138">
              <w:rPr>
                <w:sz w:val="16"/>
                <w:szCs w:val="16"/>
              </w:rPr>
              <w:t>Notes:</w:t>
            </w:r>
          </w:p>
          <w:p w14:paraId="54BA1DA9" w14:textId="77777777" w:rsidR="003A0138" w:rsidRPr="003A0138" w:rsidRDefault="003A0138" w:rsidP="003A0138">
            <w:pPr>
              <w:spacing w:line="276" w:lineRule="auto"/>
              <w:rPr>
                <w:sz w:val="16"/>
                <w:szCs w:val="16"/>
              </w:rPr>
            </w:pPr>
            <w:r w:rsidRPr="003A0138">
              <w:rPr>
                <w:sz w:val="16"/>
                <w:szCs w:val="16"/>
              </w:rPr>
              <w:t>1. Except for chronic bronchitis and acute myocardial infarction, medical expenditures per case are applied to the change in annual incidence. For chronic bronchitis and acute myocardial infarction, medical expenditures per case are applied to the annual changes in the prevalence of each disease, to generate an annual rather than lifetime estimate of costs for these chronic diseases.</w:t>
            </w:r>
          </w:p>
          <w:p w14:paraId="0310D09D" w14:textId="77777777" w:rsidR="003A0138" w:rsidRPr="003A0138" w:rsidRDefault="003A0138" w:rsidP="003A0138">
            <w:pPr>
              <w:spacing w:line="276" w:lineRule="auto"/>
              <w:rPr>
                <w:sz w:val="16"/>
                <w:szCs w:val="16"/>
              </w:rPr>
            </w:pPr>
            <w:r w:rsidRPr="003A0138">
              <w:rPr>
                <w:sz w:val="16"/>
                <w:szCs w:val="16"/>
              </w:rPr>
              <w:t>2. Medical expenditure estimates for the following PM morbidity endpoints were not readily available: acute bronchitis, acute respiratory symptoms, asthma exacerbation, lower respiratory symptoms, upper respiratory symptoms, and work loss days.</w:t>
            </w:r>
          </w:p>
          <w:p w14:paraId="371FBFF2" w14:textId="77777777" w:rsidR="003A0138" w:rsidRPr="003A0138" w:rsidRDefault="003A0138" w:rsidP="003A0138">
            <w:pPr>
              <w:spacing w:line="276" w:lineRule="auto"/>
              <w:rPr>
                <w:sz w:val="16"/>
                <w:szCs w:val="16"/>
              </w:rPr>
            </w:pPr>
            <w:r w:rsidRPr="003A0138">
              <w:rPr>
                <w:sz w:val="16"/>
                <w:szCs w:val="16"/>
              </w:rPr>
              <w:t>3. Derived from Wittels et al. (1990) and Russell et al. (1998), both as cited in Abt Associates (2008).</w:t>
            </w:r>
          </w:p>
          <w:p w14:paraId="5813877F" w14:textId="77777777" w:rsidR="003A0138" w:rsidRPr="003A0138" w:rsidRDefault="003A0138" w:rsidP="003A0138">
            <w:pPr>
              <w:spacing w:line="276" w:lineRule="auto"/>
              <w:rPr>
                <w:sz w:val="16"/>
                <w:szCs w:val="16"/>
              </w:rPr>
            </w:pPr>
            <w:r w:rsidRPr="003A0138">
              <w:rPr>
                <w:sz w:val="16"/>
                <w:szCs w:val="16"/>
              </w:rPr>
              <w:t>4. Cropper and Krupnick (1999).</w:t>
            </w:r>
          </w:p>
          <w:p w14:paraId="00420927" w14:textId="77777777" w:rsidR="003A0138" w:rsidRPr="003A0138" w:rsidRDefault="003A0138" w:rsidP="003A0138">
            <w:pPr>
              <w:spacing w:line="276" w:lineRule="auto"/>
              <w:rPr>
                <w:sz w:val="16"/>
                <w:szCs w:val="16"/>
              </w:rPr>
            </w:pPr>
            <w:r w:rsidRPr="003A0138">
              <w:rPr>
                <w:sz w:val="16"/>
                <w:szCs w:val="16"/>
              </w:rPr>
              <w:t>5. We assume that each E.R. visit equals one day of lost work time per worker affected. The estimate of 0.2 days per case reflects the percentage of cases realized by the working-age population, the ratio of workdays to total days in a year (235/365), and the percent of the working-age population in the labor force.</w:t>
            </w:r>
          </w:p>
          <w:p w14:paraId="0065D3DF" w14:textId="77777777" w:rsidR="003A0138" w:rsidRPr="003A0138" w:rsidRDefault="003A0138" w:rsidP="003A0138">
            <w:pPr>
              <w:spacing w:line="276" w:lineRule="auto"/>
              <w:rPr>
                <w:sz w:val="16"/>
                <w:szCs w:val="16"/>
              </w:rPr>
            </w:pPr>
            <w:r w:rsidRPr="003A0138">
              <w:rPr>
                <w:sz w:val="16"/>
                <w:szCs w:val="16"/>
              </w:rPr>
              <w:t>6. Agency for Healthcare Research and Quality (2000), as cited in Abt Associates (2008).</w:t>
            </w:r>
          </w:p>
          <w:p w14:paraId="5D7DB60D" w14:textId="77777777" w:rsidR="003A0138" w:rsidRPr="003A0138" w:rsidRDefault="003A0138" w:rsidP="003A0138">
            <w:pPr>
              <w:spacing w:line="276" w:lineRule="auto"/>
              <w:rPr>
                <w:sz w:val="16"/>
                <w:szCs w:val="16"/>
              </w:rPr>
            </w:pPr>
            <w:r w:rsidRPr="003A0138">
              <w:rPr>
                <w:sz w:val="16"/>
                <w:szCs w:val="16"/>
              </w:rPr>
              <w:t>7. Medical expenditure estimates for the following ozone morbidity endpoints were not readily available: minor restricted activity days, school loss days, and outdoor worker productivity.</w:t>
            </w:r>
          </w:p>
        </w:tc>
      </w:tr>
    </w:tbl>
    <w:p w14:paraId="27231E01" w14:textId="77777777" w:rsidR="003A0138" w:rsidRPr="003A0138" w:rsidRDefault="003A0138" w:rsidP="003A0138">
      <w:pPr>
        <w:spacing w:line="276" w:lineRule="auto"/>
      </w:pPr>
    </w:p>
    <w:p w14:paraId="0942D0A0" w14:textId="77777777" w:rsidR="003A0138" w:rsidRPr="003A0138" w:rsidRDefault="003A0138" w:rsidP="003A0138">
      <w:pPr>
        <w:spacing w:line="276" w:lineRule="auto"/>
      </w:pPr>
      <w:r w:rsidRPr="003A0138">
        <w:t xml:space="preserve">Disease Control. For a given policy scenario, PopSim simulates the U.S. population by age group and gender for each year through 2050. This approach is different from the population projection methodology employed by BenMAP, which uses exogenous growth factors to project 2010 Census data to the appropriate analysis year. Instead, PopSim accounts for the effect that death rates in one year have on the population at risk in future years, essentially following the population through time while accounting for air-pollution related changes in population each year. As the EMPAX-CGE model is dynamic and tracks changes in the economy over time, the population estimates produced by PopSim are more appropriate for this exercise than the population estimates based upon static population growth factors generated by BenMAP. Population was simulated for the with-CAAA scenario and without-CAAA scenario, so the difference in any given year represents the change in population in that year due to the CAAA. </w:t>
      </w:r>
    </w:p>
    <w:p w14:paraId="634A4FCE" w14:textId="77777777" w:rsidR="003A0138" w:rsidRPr="003A0138" w:rsidRDefault="003A0138" w:rsidP="003A0138">
      <w:pPr>
        <w:spacing w:line="276" w:lineRule="auto"/>
      </w:pPr>
      <w:r w:rsidRPr="003A0138">
        <w:t>Because EMPAX-CGE only models working age individuals, the impact of changes in morbidity and premature mortality incorporated into the model is limited to the cases expected to affect that demographic. To this end, the simulated change in population was combined with age- and gender-specific labor force participation rates from the Bureau of Labor Statistics. The percent change in labor force was then calculated by dividing total labor force changes by the baseline (with-CAAA) projection of labor force participation. That is, any additional population due to the CAAA will make on average the same labor force participation choices as the population in the baseline scenario, leading to an overall increase in the total time endowment for households in the economy. This percent change is assumed to apply to the full time endowment (labor and leisure) for the labor force. Because of the full employment nature of the model, households may choose to allocate a greater share of their time endowment to leisure (and less to labor) in some scenarios. Since households derive utility from leisure as well as consumption, this can lead to an increase in social welfare, even in the face of a decline in GDP and consumption.</w:t>
      </w:r>
    </w:p>
    <w:p w14:paraId="34E48F31" w14:textId="77777777" w:rsidR="003A0138" w:rsidRPr="003A0138" w:rsidRDefault="003A0138" w:rsidP="003A0138">
      <w:pPr>
        <w:spacing w:line="276" w:lineRule="auto"/>
      </w:pPr>
      <w:r w:rsidRPr="003A0138">
        <w:t xml:space="preserve">Morbidity impacts were also incorporated into EMPAX-CGE as a percent change in the labor and leisure time available to workers. These impacts were calculated by health endpoint as work days lost using the values in </w:t>
      </w:r>
      <w:r w:rsidR="008B3A3D">
        <w:fldChar w:fldCharType="begin"/>
      </w:r>
      <w:r w:rsidR="008B3A3D">
        <w:instrText xml:space="preserve"> REF _Ref426893729  \* MERGEFORMAT </w:instrText>
      </w:r>
      <w:r w:rsidR="008B3A3D">
        <w:fldChar w:fldCharType="separate"/>
      </w:r>
      <w:r w:rsidRPr="003A0138">
        <w:t>Table 5</w:t>
      </w:r>
      <w:r w:rsidR="008B3A3D">
        <w:fldChar w:fldCharType="end"/>
      </w:r>
      <w:r w:rsidRPr="003A0138">
        <w:t>, which were converted to lost work years, and then expressed as a percent change in the labor force by dividing estimated work years lost by the projected size of the labor force in each target year.</w:t>
      </w:r>
    </w:p>
    <w:p w14:paraId="3F562038" w14:textId="77777777" w:rsidR="003A0138" w:rsidRPr="00A80E88" w:rsidRDefault="003A0138" w:rsidP="00A80E88">
      <w:pPr>
        <w:keepNext/>
        <w:keepLines/>
        <w:spacing w:before="40" w:line="276" w:lineRule="auto"/>
        <w:outlineLvl w:val="2"/>
        <w:rPr>
          <w:rFonts w:eastAsiaTheme="majorEastAsia" w:cstheme="majorBidi"/>
          <w:i/>
          <w:sz w:val="24"/>
          <w:szCs w:val="24"/>
        </w:rPr>
      </w:pPr>
      <w:bookmarkStart w:id="57" w:name="_Toc430675928"/>
      <w:bookmarkStart w:id="58" w:name="_Toc448481311"/>
      <w:r w:rsidRPr="00A80E88">
        <w:rPr>
          <w:rFonts w:eastAsiaTheme="majorEastAsia" w:cstheme="majorBidi"/>
          <w:i/>
          <w:sz w:val="24"/>
          <w:szCs w:val="24"/>
        </w:rPr>
        <w:t>Potential Analytical Limitations</w:t>
      </w:r>
      <w:bookmarkEnd w:id="57"/>
      <w:bookmarkEnd w:id="58"/>
      <w:r w:rsidRPr="00A80E88">
        <w:rPr>
          <w:rFonts w:eastAsiaTheme="majorEastAsia" w:cstheme="majorBidi"/>
          <w:i/>
          <w:sz w:val="24"/>
          <w:szCs w:val="24"/>
        </w:rPr>
        <w:t xml:space="preserve">  </w:t>
      </w:r>
    </w:p>
    <w:p w14:paraId="661EE0E1" w14:textId="77777777" w:rsidR="003A0138" w:rsidRPr="003A0138" w:rsidRDefault="003A0138" w:rsidP="003A0138">
      <w:pPr>
        <w:spacing w:line="276" w:lineRule="auto"/>
      </w:pPr>
      <w:r w:rsidRPr="003A0138">
        <w:t xml:space="preserve">In the prospective study on the costs and benefits of the Clean Air Act from 1990 to 2020 (US EPA, 2011), EPA acknowledged several limitations associated with its incorporation of some benefits into the CGE framework. The study did not include the effects of premature mortality or morbidity for individuals outside the traditional workforce (e.g., children, elderly, informal economy). This notable exclusion biases the estimated welfare changes downwards, particularly since children and elderly populations are known to be more sensitive to health effects associated with changes in air pollution, though even without these effects the net welfare change was found to be positive. </w:t>
      </w:r>
    </w:p>
    <w:p w14:paraId="49A5FE17" w14:textId="77777777" w:rsidR="003A0138" w:rsidRPr="003A0138" w:rsidRDefault="003A0138" w:rsidP="003A0138">
      <w:pPr>
        <w:spacing w:line="276" w:lineRule="auto"/>
      </w:pPr>
      <w:r w:rsidRPr="003A0138">
        <w:t>The full-employment nature of EMPAX-CGE, combined with the assumption that additional population due to the CAAA make labor force participation decisions in the same way as existing households, may be an overly restrictive assumption in some circumstances, though the overall impact on results is unclear. It is also unclear how additional years of life due to improved air quality would actually be considered by workers, though the model imposes the restriction that they continue to make choices as they always have. Specifically, if the effect of the CAAA is mainly to reduce mortality rates at advanced (post-retirement) ages, then the effects on labor force participation may be modest.</w:t>
      </w:r>
    </w:p>
    <w:p w14:paraId="001196D8" w14:textId="77777777" w:rsidR="003A0138" w:rsidRPr="003A0138" w:rsidRDefault="003A0138" w:rsidP="003A0138">
      <w:pPr>
        <w:spacing w:line="276" w:lineRule="auto"/>
      </w:pPr>
      <w:r w:rsidRPr="003A0138">
        <w:t xml:space="preserve">In addition, non-market and some market benefits, such as visibility improvements, productivity enhancements in agriculture and forestry sectors, reduced materials damage, and reduced pain and suffering from pollution-related illness were not included as inputs to EMPAX-CGE. These types of market and non-market benefits, and how they may be included in CGE analyses, are discussed in Section </w:t>
      </w:r>
      <w:r w:rsidRPr="003A0138">
        <w:fldChar w:fldCharType="begin"/>
      </w:r>
      <w:r w:rsidRPr="003A0138">
        <w:instrText xml:space="preserve"> REF _Ref418514229 \r \h </w:instrText>
      </w:r>
      <w:r w:rsidRPr="003A0138">
        <w:fldChar w:fldCharType="separate"/>
      </w:r>
      <w:r w:rsidRPr="003A0138">
        <w:t>4</w:t>
      </w:r>
      <w:r w:rsidRPr="003A0138">
        <w:fldChar w:fldCharType="end"/>
      </w:r>
      <w:r w:rsidRPr="003A0138">
        <w:t xml:space="preserve"> below.</w:t>
      </w:r>
    </w:p>
    <w:p w14:paraId="3DD491D1" w14:textId="77777777" w:rsidR="003A0138" w:rsidRPr="003A0138" w:rsidRDefault="003A0138" w:rsidP="003A0138">
      <w:pPr>
        <w:spacing w:line="276" w:lineRule="auto"/>
      </w:pPr>
    </w:p>
    <w:p w14:paraId="1EEAE55B" w14:textId="77777777" w:rsidR="003A0138" w:rsidRPr="003A0138" w:rsidRDefault="003A0138" w:rsidP="003A0138">
      <w:pPr>
        <w:spacing w:line="276" w:lineRule="auto"/>
        <w:jc w:val="center"/>
        <w:rPr>
          <w:b/>
        </w:rPr>
      </w:pPr>
      <w:bookmarkStart w:id="59" w:name="_Ref426893729"/>
      <w:r w:rsidRPr="003A0138">
        <w:rPr>
          <w:b/>
        </w:rPr>
        <w:t xml:space="preserve">Table </w:t>
      </w:r>
      <w:r w:rsidRPr="003A0138">
        <w:rPr>
          <w:b/>
        </w:rPr>
        <w:fldChar w:fldCharType="begin"/>
      </w:r>
      <w:r w:rsidRPr="003A0138">
        <w:rPr>
          <w:b/>
        </w:rPr>
        <w:instrText xml:space="preserve"> SEQ Table \* ARABIC </w:instrText>
      </w:r>
      <w:r w:rsidRPr="003A0138">
        <w:rPr>
          <w:b/>
        </w:rPr>
        <w:fldChar w:fldCharType="separate"/>
      </w:r>
      <w:r w:rsidRPr="003A0138">
        <w:rPr>
          <w:b/>
          <w:noProof/>
        </w:rPr>
        <w:t>5</w:t>
      </w:r>
      <w:r w:rsidRPr="003A0138">
        <w:rPr>
          <w:b/>
        </w:rPr>
        <w:fldChar w:fldCharType="end"/>
      </w:r>
      <w:bookmarkEnd w:id="59"/>
      <w:r w:rsidRPr="003A0138">
        <w:rPr>
          <w:b/>
        </w:rPr>
        <w:t>: Work Days Lost Per Case, By Morbidity Endpoint</w:t>
      </w:r>
    </w:p>
    <w:tbl>
      <w:tblPr>
        <w:tblW w:w="0" w:type="auto"/>
        <w:jc w:val="center"/>
        <w:tblLayout w:type="fixed"/>
        <w:tblCellMar>
          <w:left w:w="0" w:type="dxa"/>
          <w:right w:w="0" w:type="dxa"/>
        </w:tblCellMar>
        <w:tblLook w:val="0000" w:firstRow="0" w:lastRow="0" w:firstColumn="0" w:lastColumn="0" w:noHBand="0" w:noVBand="0"/>
      </w:tblPr>
      <w:tblGrid>
        <w:gridCol w:w="3595"/>
        <w:gridCol w:w="5405"/>
      </w:tblGrid>
      <w:tr w:rsidR="003A0138" w:rsidRPr="003A0138" w14:paraId="6CBE18DB" w14:textId="77777777" w:rsidTr="003A0138">
        <w:trPr>
          <w:trHeight w:hRule="exact" w:val="360"/>
          <w:jc w:val="center"/>
        </w:trPr>
        <w:tc>
          <w:tcPr>
            <w:tcW w:w="9000" w:type="dxa"/>
            <w:gridSpan w:val="2"/>
            <w:tcBorders>
              <w:top w:val="single" w:sz="12" w:space="0" w:color="000000"/>
            </w:tcBorders>
          </w:tcPr>
          <w:p w14:paraId="346DA0C9" w14:textId="77777777" w:rsidR="003A0138" w:rsidRPr="003A0138" w:rsidRDefault="003A0138" w:rsidP="003A0138">
            <w:pPr>
              <w:spacing w:line="276" w:lineRule="auto"/>
            </w:pPr>
            <w:r w:rsidRPr="003A0138">
              <w:rPr>
                <w:b/>
                <w:bCs/>
              </w:rPr>
              <w:t>PM</w:t>
            </w:r>
            <w:r w:rsidRPr="003A0138">
              <w:rPr>
                <w:b/>
                <w:bCs/>
                <w:vertAlign w:val="subscript"/>
              </w:rPr>
              <w:t>2.5</w:t>
            </w:r>
            <w:r w:rsidRPr="003A0138">
              <w:rPr>
                <w:b/>
                <w:bCs/>
                <w:vertAlign w:val="superscript"/>
              </w:rPr>
              <w:t>2</w:t>
            </w:r>
          </w:p>
        </w:tc>
      </w:tr>
      <w:tr w:rsidR="003A0138" w:rsidRPr="003A0138" w14:paraId="46A957A3" w14:textId="77777777" w:rsidTr="003A0138">
        <w:trPr>
          <w:trHeight w:hRule="exact" w:val="936"/>
          <w:jc w:val="center"/>
        </w:trPr>
        <w:tc>
          <w:tcPr>
            <w:tcW w:w="3595" w:type="dxa"/>
          </w:tcPr>
          <w:p w14:paraId="53CC8198" w14:textId="77777777" w:rsidR="003A0138" w:rsidRPr="003A0138" w:rsidRDefault="003A0138" w:rsidP="003A0138">
            <w:pPr>
              <w:spacing w:line="276" w:lineRule="auto"/>
            </w:pPr>
            <w:r w:rsidRPr="003A0138">
              <w:t>Acute Myocardial Infarction</w:t>
            </w:r>
            <w:r w:rsidRPr="003A0138">
              <w:rPr>
                <w:vertAlign w:val="superscript"/>
              </w:rPr>
              <w:t>3</w:t>
            </w:r>
          </w:p>
        </w:tc>
        <w:tc>
          <w:tcPr>
            <w:tcW w:w="5405" w:type="dxa"/>
          </w:tcPr>
          <w:p w14:paraId="67947DC2" w14:textId="77777777" w:rsidR="003A0138" w:rsidRPr="003A0138" w:rsidRDefault="003A0138" w:rsidP="003A0138">
            <w:pPr>
              <w:spacing w:line="276" w:lineRule="auto"/>
              <w:jc w:val="left"/>
            </w:pPr>
            <w:r w:rsidRPr="003A0138">
              <w:t>Age &lt;25: N/A                    Age 45-54: 23.7 days                      Age 25-34: 17.7 days       Age 55-65: 137.0 days                       Age 35-44: 14.5 days       Age&gt;65: 0 days</w:t>
            </w:r>
          </w:p>
        </w:tc>
      </w:tr>
      <w:tr w:rsidR="003A0138" w:rsidRPr="003A0138" w14:paraId="0623E479" w14:textId="77777777" w:rsidTr="003A0138">
        <w:trPr>
          <w:trHeight w:hRule="exact" w:val="936"/>
          <w:jc w:val="center"/>
        </w:trPr>
        <w:tc>
          <w:tcPr>
            <w:tcW w:w="3595" w:type="dxa"/>
          </w:tcPr>
          <w:p w14:paraId="6993F216" w14:textId="77777777" w:rsidR="003A0138" w:rsidRPr="003A0138" w:rsidRDefault="003A0138" w:rsidP="003A0138">
            <w:pPr>
              <w:spacing w:line="276" w:lineRule="auto"/>
            </w:pPr>
            <w:r w:rsidRPr="003A0138">
              <w:t>Chronic Bronchitis</w:t>
            </w:r>
            <w:r w:rsidRPr="003A0138">
              <w:rPr>
                <w:vertAlign w:val="superscript"/>
              </w:rPr>
              <w:t>3</w:t>
            </w:r>
          </w:p>
        </w:tc>
        <w:tc>
          <w:tcPr>
            <w:tcW w:w="5405" w:type="dxa"/>
          </w:tcPr>
          <w:p w14:paraId="6BBB2914" w14:textId="77777777" w:rsidR="003A0138" w:rsidRPr="003A0138" w:rsidRDefault="003A0138" w:rsidP="003A0138">
            <w:pPr>
              <w:spacing w:line="276" w:lineRule="auto"/>
              <w:jc w:val="left"/>
            </w:pPr>
            <w:r w:rsidRPr="003A0138">
              <w:t>Age &lt;25: N/A                     Age 45-54: 55.5 days                         Age 25-34: 50.3 days       Age 55-65: 73.5 days                         Age 35-44: 42.2 days       Age &gt;65: 0 days</w:t>
            </w:r>
          </w:p>
        </w:tc>
      </w:tr>
      <w:tr w:rsidR="003A0138" w:rsidRPr="003A0138" w14:paraId="22DA6CF2" w14:textId="77777777" w:rsidTr="003A0138">
        <w:trPr>
          <w:trHeight w:hRule="exact" w:val="360"/>
          <w:jc w:val="center"/>
        </w:trPr>
        <w:tc>
          <w:tcPr>
            <w:tcW w:w="3595" w:type="dxa"/>
          </w:tcPr>
          <w:p w14:paraId="2A00A158" w14:textId="77777777" w:rsidR="003A0138" w:rsidRPr="003A0138" w:rsidRDefault="003A0138" w:rsidP="003A0138">
            <w:pPr>
              <w:spacing w:line="276" w:lineRule="auto"/>
            </w:pPr>
            <w:r w:rsidRPr="003A0138">
              <w:t>Hospital Admissions, Cardiovascular</w:t>
            </w:r>
            <w:r w:rsidRPr="003A0138">
              <w:rPr>
                <w:vertAlign w:val="superscript"/>
              </w:rPr>
              <w:t>4</w:t>
            </w:r>
          </w:p>
        </w:tc>
        <w:tc>
          <w:tcPr>
            <w:tcW w:w="5405" w:type="dxa"/>
          </w:tcPr>
          <w:p w14:paraId="753A66F6" w14:textId="77777777" w:rsidR="003A0138" w:rsidRPr="003A0138" w:rsidRDefault="003A0138" w:rsidP="003A0138">
            <w:pPr>
              <w:spacing w:line="276" w:lineRule="auto"/>
            </w:pPr>
            <w:r w:rsidRPr="003A0138">
              <w:t>Age 0-14: N/A                    Age 45-64: 17.9 days</w:t>
            </w:r>
          </w:p>
          <w:p w14:paraId="5C8CDBD5" w14:textId="77777777" w:rsidR="003A0138" w:rsidRPr="003A0138" w:rsidRDefault="003A0138" w:rsidP="003A0138">
            <w:pPr>
              <w:spacing w:line="276" w:lineRule="auto"/>
            </w:pPr>
            <w:r w:rsidRPr="003A0138">
              <w:t>Age 15-44: 18.3 days          Age &gt;64: 7.0 days</w:t>
            </w:r>
          </w:p>
        </w:tc>
      </w:tr>
      <w:tr w:rsidR="003A0138" w:rsidRPr="003A0138" w14:paraId="5ACB3855" w14:textId="77777777" w:rsidTr="003A0138">
        <w:trPr>
          <w:trHeight w:hRule="exact" w:val="360"/>
          <w:jc w:val="center"/>
        </w:trPr>
        <w:tc>
          <w:tcPr>
            <w:tcW w:w="3595" w:type="dxa"/>
          </w:tcPr>
          <w:p w14:paraId="30924F57" w14:textId="77777777" w:rsidR="003A0138" w:rsidRPr="003A0138" w:rsidRDefault="003A0138" w:rsidP="003A0138">
            <w:pPr>
              <w:spacing w:line="276" w:lineRule="auto"/>
            </w:pPr>
            <w:r w:rsidRPr="003A0138">
              <w:t>Hospital Admissions, Respiratory</w:t>
            </w:r>
            <w:r w:rsidRPr="003A0138">
              <w:rPr>
                <w:vertAlign w:val="superscript"/>
              </w:rPr>
              <w:t>4</w:t>
            </w:r>
          </w:p>
        </w:tc>
        <w:tc>
          <w:tcPr>
            <w:tcW w:w="5405" w:type="dxa"/>
          </w:tcPr>
          <w:p w14:paraId="77FA84C2" w14:textId="77777777" w:rsidR="003A0138" w:rsidRPr="003A0138" w:rsidRDefault="003A0138" w:rsidP="003A0138">
            <w:pPr>
              <w:spacing w:line="276" w:lineRule="auto"/>
            </w:pPr>
            <w:r w:rsidRPr="003A0138">
              <w:t>Age 0-14: N/A                    Age 45-64: 30.1 days</w:t>
            </w:r>
          </w:p>
          <w:p w14:paraId="60C4039B" w14:textId="77777777" w:rsidR="003A0138" w:rsidRPr="003A0138" w:rsidRDefault="003A0138" w:rsidP="003A0138">
            <w:pPr>
              <w:spacing w:line="276" w:lineRule="auto"/>
            </w:pPr>
            <w:r w:rsidRPr="003A0138">
              <w:t>Age 15-44: 30.7 days          Age &gt;64: 7.5 days</w:t>
            </w:r>
          </w:p>
        </w:tc>
      </w:tr>
      <w:tr w:rsidR="003A0138" w:rsidRPr="003A0138" w14:paraId="72A3E707" w14:textId="77777777" w:rsidTr="003A0138">
        <w:trPr>
          <w:trHeight w:hRule="exact" w:val="360"/>
          <w:jc w:val="center"/>
        </w:trPr>
        <w:tc>
          <w:tcPr>
            <w:tcW w:w="3595" w:type="dxa"/>
          </w:tcPr>
          <w:p w14:paraId="413D0BB7" w14:textId="77777777" w:rsidR="003A0138" w:rsidRPr="003A0138" w:rsidRDefault="003A0138" w:rsidP="003A0138">
            <w:pPr>
              <w:spacing w:line="276" w:lineRule="auto"/>
            </w:pPr>
            <w:r w:rsidRPr="003A0138">
              <w:t>Emergency Room Visits, Respiratory</w:t>
            </w:r>
            <w:r w:rsidRPr="003A0138">
              <w:rPr>
                <w:vertAlign w:val="superscript"/>
              </w:rPr>
              <w:t>5</w:t>
            </w:r>
          </w:p>
        </w:tc>
        <w:tc>
          <w:tcPr>
            <w:tcW w:w="5405" w:type="dxa"/>
          </w:tcPr>
          <w:p w14:paraId="5DF74877" w14:textId="77777777" w:rsidR="003A0138" w:rsidRPr="003A0138" w:rsidRDefault="003A0138" w:rsidP="003A0138">
            <w:pPr>
              <w:spacing w:line="276" w:lineRule="auto"/>
            </w:pPr>
            <w:r w:rsidRPr="003A0138">
              <w:t>Average across all age groups: 0.2 days</w:t>
            </w:r>
          </w:p>
        </w:tc>
      </w:tr>
      <w:tr w:rsidR="003A0138" w:rsidRPr="003A0138" w14:paraId="6DBE1A02" w14:textId="77777777" w:rsidTr="003A0138">
        <w:trPr>
          <w:trHeight w:hRule="exact" w:val="360"/>
          <w:jc w:val="center"/>
        </w:trPr>
        <w:tc>
          <w:tcPr>
            <w:tcW w:w="3595" w:type="dxa"/>
          </w:tcPr>
          <w:p w14:paraId="14E2E3AB" w14:textId="77777777" w:rsidR="003A0138" w:rsidRPr="003A0138" w:rsidRDefault="003A0138" w:rsidP="003A0138">
            <w:pPr>
              <w:spacing w:line="276" w:lineRule="auto"/>
            </w:pPr>
            <w:r w:rsidRPr="003A0138">
              <w:t>Work Loss Days</w:t>
            </w:r>
          </w:p>
        </w:tc>
        <w:tc>
          <w:tcPr>
            <w:tcW w:w="5405" w:type="dxa"/>
          </w:tcPr>
          <w:p w14:paraId="5F44CECB" w14:textId="77777777" w:rsidR="003A0138" w:rsidRPr="003A0138" w:rsidRDefault="003A0138" w:rsidP="003A0138">
            <w:pPr>
              <w:spacing w:line="276" w:lineRule="auto"/>
            </w:pPr>
            <w:r w:rsidRPr="003A0138">
              <w:t>Average among working age population: 1 day</w:t>
            </w:r>
          </w:p>
        </w:tc>
      </w:tr>
      <w:tr w:rsidR="003A0138" w:rsidRPr="003A0138" w14:paraId="51994404" w14:textId="77777777" w:rsidTr="003A0138">
        <w:trPr>
          <w:trHeight w:hRule="exact" w:val="360"/>
          <w:jc w:val="center"/>
        </w:trPr>
        <w:tc>
          <w:tcPr>
            <w:tcW w:w="9000" w:type="dxa"/>
            <w:gridSpan w:val="2"/>
          </w:tcPr>
          <w:p w14:paraId="30F8BDE2" w14:textId="77777777" w:rsidR="003A0138" w:rsidRPr="003A0138" w:rsidRDefault="003A0138" w:rsidP="003A0138">
            <w:pPr>
              <w:spacing w:line="276" w:lineRule="auto"/>
            </w:pPr>
            <w:r w:rsidRPr="003A0138">
              <w:rPr>
                <w:b/>
                <w:bCs/>
              </w:rPr>
              <w:t>Ozone</w:t>
            </w:r>
            <w:r w:rsidRPr="003A0138">
              <w:rPr>
                <w:b/>
                <w:bCs/>
                <w:vertAlign w:val="superscript"/>
              </w:rPr>
              <w:t>6</w:t>
            </w:r>
          </w:p>
        </w:tc>
      </w:tr>
      <w:tr w:rsidR="003A0138" w:rsidRPr="003A0138" w14:paraId="7B7A7A1C" w14:textId="77777777" w:rsidTr="003A0138">
        <w:trPr>
          <w:trHeight w:hRule="exact" w:val="360"/>
          <w:jc w:val="center"/>
        </w:trPr>
        <w:tc>
          <w:tcPr>
            <w:tcW w:w="3595" w:type="dxa"/>
          </w:tcPr>
          <w:p w14:paraId="7FD34124" w14:textId="77777777" w:rsidR="003A0138" w:rsidRPr="003A0138" w:rsidRDefault="003A0138" w:rsidP="003A0138">
            <w:pPr>
              <w:spacing w:line="276" w:lineRule="auto"/>
            </w:pPr>
            <w:r w:rsidRPr="003A0138">
              <w:t>School Loss Days</w:t>
            </w:r>
            <w:r w:rsidRPr="003A0138">
              <w:rPr>
                <w:vertAlign w:val="superscript"/>
              </w:rPr>
              <w:t>7</w:t>
            </w:r>
          </w:p>
        </w:tc>
        <w:tc>
          <w:tcPr>
            <w:tcW w:w="5405" w:type="dxa"/>
          </w:tcPr>
          <w:p w14:paraId="6676ED4C" w14:textId="77777777" w:rsidR="003A0138" w:rsidRPr="003A0138" w:rsidRDefault="003A0138" w:rsidP="003A0138">
            <w:pPr>
              <w:spacing w:line="276" w:lineRule="auto"/>
            </w:pPr>
            <w:r w:rsidRPr="003A0138">
              <w:t>Average across all age groups: 0.7 days</w:t>
            </w:r>
          </w:p>
        </w:tc>
      </w:tr>
      <w:tr w:rsidR="003A0138" w:rsidRPr="003A0138" w14:paraId="19CEA41B" w14:textId="77777777" w:rsidTr="003A0138">
        <w:trPr>
          <w:trHeight w:hRule="exact" w:val="360"/>
          <w:jc w:val="center"/>
        </w:trPr>
        <w:tc>
          <w:tcPr>
            <w:tcW w:w="3595" w:type="dxa"/>
          </w:tcPr>
          <w:p w14:paraId="24AB8DE4" w14:textId="77777777" w:rsidR="003A0138" w:rsidRPr="003A0138" w:rsidRDefault="003A0138" w:rsidP="003A0138">
            <w:pPr>
              <w:spacing w:line="276" w:lineRule="auto"/>
            </w:pPr>
            <w:r w:rsidRPr="003A0138">
              <w:t>Worker Productivity</w:t>
            </w:r>
          </w:p>
        </w:tc>
        <w:tc>
          <w:tcPr>
            <w:tcW w:w="5405" w:type="dxa"/>
          </w:tcPr>
          <w:p w14:paraId="646F3845" w14:textId="77777777" w:rsidR="003A0138" w:rsidRPr="003A0138" w:rsidRDefault="003A0138" w:rsidP="003A0138">
            <w:pPr>
              <w:spacing w:line="276" w:lineRule="auto"/>
            </w:pPr>
            <w:r w:rsidRPr="003A0138">
              <w:t>Not applicable</w:t>
            </w:r>
            <w:r w:rsidRPr="003A0138">
              <w:rPr>
                <w:vertAlign w:val="superscript"/>
              </w:rPr>
              <w:t>8</w:t>
            </w:r>
          </w:p>
        </w:tc>
      </w:tr>
      <w:tr w:rsidR="003A0138" w:rsidRPr="003A0138" w14:paraId="0218CF0E" w14:textId="77777777" w:rsidTr="003A0138">
        <w:trPr>
          <w:trHeight w:hRule="exact" w:val="360"/>
          <w:jc w:val="center"/>
        </w:trPr>
        <w:tc>
          <w:tcPr>
            <w:tcW w:w="3595" w:type="dxa"/>
          </w:tcPr>
          <w:p w14:paraId="277A6F02" w14:textId="77777777" w:rsidR="003A0138" w:rsidRPr="003A0138" w:rsidRDefault="003A0138" w:rsidP="003A0138">
            <w:pPr>
              <w:spacing w:line="276" w:lineRule="auto"/>
            </w:pPr>
            <w:r w:rsidRPr="003A0138">
              <w:t>Hospital Admissions, Respiratory</w:t>
            </w:r>
            <w:r w:rsidRPr="003A0138">
              <w:rPr>
                <w:vertAlign w:val="superscript"/>
              </w:rPr>
              <w:t>9,10</w:t>
            </w:r>
          </w:p>
        </w:tc>
        <w:tc>
          <w:tcPr>
            <w:tcW w:w="5405" w:type="dxa"/>
          </w:tcPr>
          <w:p w14:paraId="1F017958" w14:textId="77777777" w:rsidR="003A0138" w:rsidRPr="003A0138" w:rsidRDefault="003A0138" w:rsidP="003A0138">
            <w:pPr>
              <w:spacing w:line="276" w:lineRule="auto"/>
            </w:pPr>
            <w:r w:rsidRPr="003A0138">
              <w:t>Age &lt;2: 0 days</w:t>
            </w:r>
          </w:p>
          <w:p w14:paraId="1698E1BD" w14:textId="77777777" w:rsidR="003A0138" w:rsidRPr="003A0138" w:rsidRDefault="003A0138" w:rsidP="003A0138">
            <w:pPr>
              <w:spacing w:line="276" w:lineRule="auto"/>
            </w:pPr>
            <w:r w:rsidRPr="003A0138">
              <w:t>Age &gt;64: 7.5 days</w:t>
            </w:r>
          </w:p>
        </w:tc>
      </w:tr>
      <w:tr w:rsidR="003A0138" w:rsidRPr="003A0138" w14:paraId="3F5B4A84" w14:textId="77777777" w:rsidTr="003A0138">
        <w:trPr>
          <w:trHeight w:hRule="exact" w:val="360"/>
          <w:jc w:val="center"/>
        </w:trPr>
        <w:tc>
          <w:tcPr>
            <w:tcW w:w="3595" w:type="dxa"/>
            <w:tcBorders>
              <w:bottom w:val="single" w:sz="12" w:space="0" w:color="auto"/>
            </w:tcBorders>
          </w:tcPr>
          <w:p w14:paraId="0CCBF2D4" w14:textId="77777777" w:rsidR="003A0138" w:rsidRPr="003A0138" w:rsidRDefault="003A0138" w:rsidP="003A0138">
            <w:pPr>
              <w:spacing w:line="276" w:lineRule="auto"/>
            </w:pPr>
            <w:r w:rsidRPr="003A0138">
              <w:t>Emergency Room Visits, Respiratory</w:t>
            </w:r>
            <w:r w:rsidRPr="003A0138">
              <w:rPr>
                <w:vertAlign w:val="superscript"/>
              </w:rPr>
              <w:t>5</w:t>
            </w:r>
          </w:p>
        </w:tc>
        <w:tc>
          <w:tcPr>
            <w:tcW w:w="5405" w:type="dxa"/>
            <w:tcBorders>
              <w:bottom w:val="single" w:sz="12" w:space="0" w:color="auto"/>
            </w:tcBorders>
          </w:tcPr>
          <w:p w14:paraId="072F5EFA" w14:textId="77777777" w:rsidR="003A0138" w:rsidRPr="003A0138" w:rsidRDefault="003A0138" w:rsidP="003A0138">
            <w:pPr>
              <w:spacing w:line="276" w:lineRule="auto"/>
            </w:pPr>
            <w:r w:rsidRPr="003A0138">
              <w:t>Average across all age groups: 0.2 days</w:t>
            </w:r>
          </w:p>
        </w:tc>
      </w:tr>
      <w:tr w:rsidR="003A0138" w:rsidRPr="003A0138" w14:paraId="18E48428" w14:textId="77777777" w:rsidTr="003A0138">
        <w:trPr>
          <w:trHeight w:hRule="exact" w:val="6760"/>
          <w:jc w:val="center"/>
        </w:trPr>
        <w:tc>
          <w:tcPr>
            <w:tcW w:w="9000" w:type="dxa"/>
            <w:gridSpan w:val="2"/>
            <w:tcBorders>
              <w:top w:val="single" w:sz="12" w:space="0" w:color="auto"/>
              <w:bottom w:val="single" w:sz="12" w:space="0" w:color="000000"/>
            </w:tcBorders>
          </w:tcPr>
          <w:p w14:paraId="2C469342" w14:textId="77777777" w:rsidR="003A0138" w:rsidRPr="003A0138" w:rsidRDefault="003A0138" w:rsidP="003A0138">
            <w:pPr>
              <w:spacing w:before="240" w:line="276" w:lineRule="auto"/>
              <w:rPr>
                <w:sz w:val="16"/>
                <w:szCs w:val="16"/>
              </w:rPr>
            </w:pPr>
            <w:r w:rsidRPr="003A0138">
              <w:rPr>
                <w:sz w:val="16"/>
                <w:szCs w:val="16"/>
              </w:rPr>
              <w:t>Notes:</w:t>
            </w:r>
          </w:p>
          <w:p w14:paraId="2A8C0DBD" w14:textId="77777777" w:rsidR="003A0138" w:rsidRPr="003A0138" w:rsidRDefault="003A0138" w:rsidP="003A0138">
            <w:pPr>
              <w:spacing w:line="276" w:lineRule="auto"/>
              <w:rPr>
                <w:sz w:val="16"/>
                <w:szCs w:val="16"/>
              </w:rPr>
            </w:pPr>
            <w:r w:rsidRPr="003A0138">
              <w:rPr>
                <w:sz w:val="16"/>
                <w:szCs w:val="16"/>
              </w:rPr>
              <w:t>N/A indicates that the underlying C-R function does not provide incidence estimates for that age group.</w:t>
            </w:r>
          </w:p>
          <w:p w14:paraId="59F7DF6E" w14:textId="77777777" w:rsidR="003A0138" w:rsidRPr="003A0138" w:rsidRDefault="003A0138" w:rsidP="003A0138">
            <w:pPr>
              <w:spacing w:line="276" w:lineRule="auto"/>
              <w:rPr>
                <w:sz w:val="16"/>
                <w:szCs w:val="16"/>
              </w:rPr>
            </w:pPr>
            <w:r w:rsidRPr="003A0138">
              <w:rPr>
                <w:sz w:val="16"/>
                <w:szCs w:val="16"/>
              </w:rPr>
              <w:t>1. Except for chronic bronchitis and acute myocardial infarction, the number of work days lost is applied to the change in annual incidence. For chronic bronchitis and acute myocardial infarction, the work days lost presented in this table are applied to annual changes in the prevalence of each disease.</w:t>
            </w:r>
          </w:p>
          <w:p w14:paraId="15435BA6" w14:textId="77777777" w:rsidR="003A0138" w:rsidRPr="003A0138" w:rsidRDefault="003A0138" w:rsidP="003A0138">
            <w:pPr>
              <w:spacing w:line="276" w:lineRule="auto"/>
              <w:rPr>
                <w:sz w:val="16"/>
                <w:szCs w:val="16"/>
              </w:rPr>
            </w:pPr>
            <w:r w:rsidRPr="003A0138">
              <w:rPr>
                <w:sz w:val="16"/>
                <w:szCs w:val="16"/>
              </w:rPr>
              <w:t>2. Separate work loss day estimates were not generated for the following PM health endpoints: acute bronchitis, acute respiratory symptoms, asthma exacerbation, lower respiratory symptoms, and upper respiratory symptoms. The lost work days associated with these endpoints are already reflected in the work loss day endpoint included in this table.</w:t>
            </w:r>
          </w:p>
          <w:p w14:paraId="541FBD3B" w14:textId="77777777" w:rsidR="003A0138" w:rsidRPr="003A0138" w:rsidRDefault="003A0138" w:rsidP="003A0138">
            <w:pPr>
              <w:spacing w:line="276" w:lineRule="auto"/>
              <w:rPr>
                <w:sz w:val="16"/>
                <w:szCs w:val="16"/>
              </w:rPr>
            </w:pPr>
            <w:r w:rsidRPr="003A0138">
              <w:rPr>
                <w:sz w:val="16"/>
                <w:szCs w:val="16"/>
              </w:rPr>
              <w:t>3. Derived from Cropper and Krupnick (1999).</w:t>
            </w:r>
          </w:p>
          <w:p w14:paraId="60AB56AD" w14:textId="77777777" w:rsidR="003A0138" w:rsidRPr="003A0138" w:rsidRDefault="003A0138" w:rsidP="003A0138">
            <w:pPr>
              <w:spacing w:line="276" w:lineRule="auto"/>
              <w:rPr>
                <w:sz w:val="16"/>
                <w:szCs w:val="16"/>
              </w:rPr>
            </w:pPr>
            <w:r w:rsidRPr="003A0138">
              <w:rPr>
                <w:sz w:val="16"/>
                <w:szCs w:val="16"/>
              </w:rPr>
              <w:t>4. Agency for Healthcare Research and Quality (2000), as cited in BenMAP user’s guide, Abt Associates (2008).</w:t>
            </w:r>
          </w:p>
          <w:p w14:paraId="28290750" w14:textId="77777777" w:rsidR="003A0138" w:rsidRPr="003A0138" w:rsidRDefault="003A0138" w:rsidP="003A0138">
            <w:pPr>
              <w:spacing w:line="276" w:lineRule="auto"/>
              <w:rPr>
                <w:sz w:val="16"/>
                <w:szCs w:val="16"/>
              </w:rPr>
            </w:pPr>
            <w:r w:rsidRPr="003A0138">
              <w:rPr>
                <w:sz w:val="16"/>
                <w:szCs w:val="16"/>
              </w:rPr>
              <w:t>5. We assume that each E.R. visit equals one day of lost work time per worker affected. The estimate of 0.2 days per case reflects the percentage of cases realized by the working-age population, the ratio of workdays to total days in a year (235/365), and the percent of the working-age population in the labor force.</w:t>
            </w:r>
          </w:p>
          <w:p w14:paraId="490A4115" w14:textId="77777777" w:rsidR="003A0138" w:rsidRPr="003A0138" w:rsidRDefault="003A0138" w:rsidP="003A0138">
            <w:pPr>
              <w:spacing w:line="276" w:lineRule="auto"/>
              <w:rPr>
                <w:sz w:val="16"/>
                <w:szCs w:val="16"/>
              </w:rPr>
            </w:pPr>
            <w:r w:rsidRPr="003A0138">
              <w:rPr>
                <w:sz w:val="16"/>
                <w:szCs w:val="16"/>
              </w:rPr>
              <w:t>6. We did not estimate the number of work days lost per case of acute respiratory symptoms associated with ozone exposure.</w:t>
            </w:r>
          </w:p>
          <w:p w14:paraId="296FA53C" w14:textId="77777777" w:rsidR="003A0138" w:rsidRPr="003A0138" w:rsidRDefault="003A0138" w:rsidP="003A0138">
            <w:pPr>
              <w:spacing w:line="276" w:lineRule="auto"/>
              <w:rPr>
                <w:sz w:val="16"/>
                <w:szCs w:val="16"/>
              </w:rPr>
            </w:pPr>
            <w:r w:rsidRPr="003A0138">
              <w:rPr>
                <w:sz w:val="16"/>
                <w:szCs w:val="16"/>
              </w:rPr>
              <w:t>7. Derived from Abt Associates (2008). Note that 0.7 is the estimated average work loss days per school loss day, incorporating work-force participation rates for caregivers.</w:t>
            </w:r>
          </w:p>
          <w:p w14:paraId="3B22CA23" w14:textId="77777777" w:rsidR="003A0138" w:rsidRPr="003A0138" w:rsidRDefault="003A0138" w:rsidP="003A0138">
            <w:pPr>
              <w:spacing w:line="276" w:lineRule="auto"/>
              <w:rPr>
                <w:sz w:val="16"/>
                <w:szCs w:val="16"/>
              </w:rPr>
            </w:pPr>
            <w:r w:rsidRPr="003A0138">
              <w:rPr>
                <w:sz w:val="16"/>
                <w:szCs w:val="16"/>
              </w:rPr>
              <w:t>8. The benefits analysis presented in Chapter 5 does not estimate the number of cases for the worker productivity endpoint. Instead, worker productivity is estimated as the change in income associated with changes in ozone concentrations. We estimated the work days lost per dollar of income lost based on the average daily wages of outdoor workers.</w:t>
            </w:r>
          </w:p>
          <w:p w14:paraId="40B1644D" w14:textId="77777777" w:rsidR="003A0138" w:rsidRPr="003A0138" w:rsidRDefault="003A0138" w:rsidP="003A0138">
            <w:pPr>
              <w:spacing w:line="276" w:lineRule="auto"/>
              <w:rPr>
                <w:sz w:val="16"/>
                <w:szCs w:val="16"/>
              </w:rPr>
            </w:pPr>
            <w:r w:rsidRPr="003A0138">
              <w:rPr>
                <w:sz w:val="16"/>
                <w:szCs w:val="16"/>
              </w:rPr>
              <w:t>9. Derived from Abt Associates (2008).</w:t>
            </w:r>
          </w:p>
          <w:p w14:paraId="7061B1AA" w14:textId="77777777" w:rsidR="003A0138" w:rsidRPr="003A0138" w:rsidRDefault="003A0138" w:rsidP="003A0138">
            <w:pPr>
              <w:spacing w:line="276" w:lineRule="auto"/>
              <w:rPr>
                <w:sz w:val="16"/>
                <w:szCs w:val="16"/>
              </w:rPr>
            </w:pPr>
            <w:r w:rsidRPr="003A0138">
              <w:rPr>
                <w:sz w:val="16"/>
                <w:szCs w:val="16"/>
              </w:rPr>
              <w:t>10. The dose-response function for ozone-related respiratory hospital admissions does not cover populations older than two years old and younger than 65. For this endpoint we do not address potential caregiver time lost for incidence in either cohort.</w:t>
            </w:r>
          </w:p>
          <w:p w14:paraId="6EE9C2D6" w14:textId="77777777" w:rsidR="003A0138" w:rsidRPr="003A0138" w:rsidRDefault="003A0138" w:rsidP="003A0138">
            <w:pPr>
              <w:spacing w:line="276" w:lineRule="auto"/>
            </w:pPr>
          </w:p>
        </w:tc>
      </w:tr>
    </w:tbl>
    <w:p w14:paraId="11AEA21D" w14:textId="77777777" w:rsidR="003A0138" w:rsidRPr="003A0138" w:rsidRDefault="003A0138" w:rsidP="003A0138">
      <w:pPr>
        <w:spacing w:line="276" w:lineRule="auto"/>
      </w:pPr>
    </w:p>
    <w:p w14:paraId="738DF31F" w14:textId="77777777" w:rsidR="003A0138" w:rsidRPr="003A0138" w:rsidRDefault="003A0138" w:rsidP="003A0138">
      <w:pPr>
        <w:spacing w:line="276" w:lineRule="auto"/>
      </w:pPr>
      <w:r w:rsidRPr="003A0138">
        <w:t xml:space="preserve">Lastly, environmental quality (outside of the limited health impacts considered) was essentially assumed to be a separable component of the utility function for households. This may not hold, however, as cleaner air may encourage leisure activities, making air quality a complement to leisure. </w:t>
      </w:r>
    </w:p>
    <w:p w14:paraId="27B4DC22" w14:textId="77777777" w:rsidR="003A0138" w:rsidRPr="003A0138" w:rsidRDefault="003A0138" w:rsidP="00083C21">
      <w:pPr>
        <w:keepNext/>
        <w:keepLines/>
        <w:numPr>
          <w:ilvl w:val="1"/>
          <w:numId w:val="3"/>
        </w:numPr>
        <w:tabs>
          <w:tab w:val="num" w:pos="360"/>
        </w:tabs>
        <w:spacing w:before="40" w:line="276" w:lineRule="auto"/>
        <w:ind w:left="576" w:hanging="576"/>
        <w:outlineLvl w:val="1"/>
        <w:rPr>
          <w:rFonts w:eastAsiaTheme="majorEastAsia" w:cstheme="majorBidi"/>
          <w:b/>
          <w:sz w:val="24"/>
          <w:szCs w:val="26"/>
        </w:rPr>
      </w:pPr>
      <w:bookmarkStart w:id="60" w:name="_Ref421807537"/>
      <w:bookmarkStart w:id="61" w:name="_Ref421808199"/>
      <w:bookmarkStart w:id="62" w:name="_Toc428797298"/>
      <w:bookmarkStart w:id="63" w:name="_Toc430675929"/>
      <w:bookmarkStart w:id="64" w:name="_Toc448481312"/>
      <w:r w:rsidRPr="003A0138">
        <w:rPr>
          <w:rFonts w:eastAsiaTheme="majorEastAsia" w:cstheme="majorBidi"/>
          <w:b/>
          <w:sz w:val="24"/>
          <w:szCs w:val="26"/>
        </w:rPr>
        <w:t>Outside Studies Modeling Direct Health Impacts of Air Pollution in CGE Models</w:t>
      </w:r>
      <w:bookmarkEnd w:id="60"/>
      <w:bookmarkEnd w:id="61"/>
      <w:bookmarkEnd w:id="62"/>
      <w:bookmarkEnd w:id="63"/>
      <w:bookmarkEnd w:id="64"/>
    </w:p>
    <w:p w14:paraId="606DBF2B" w14:textId="77777777" w:rsidR="003A0138" w:rsidRPr="003A0138" w:rsidRDefault="003A0138" w:rsidP="003A0138">
      <w:pPr>
        <w:spacing w:line="276" w:lineRule="auto"/>
      </w:pPr>
      <w:r w:rsidRPr="003A0138">
        <w:t>Several researchers have used relatively similar approaches as that of EPA (2011) to model the health benefits of improvements in environmental quality in CGE models, though with some interesting variations and for different applications. Vennemo (1997) was one of the first studies to incorporate environmental externalities into an applied CGE model, the Dynamic Resource/Environment Applied Model (DREAM) of the Norwegian economy. The model was based on a small open economy producing a single good available for export and domestic consumption and five input factors. The model estimated the impact of economic activities on emissions of criteria air pollutants using emissions coefficients and then mapped emissions to health, non-market, and production impacts.</w:t>
      </w:r>
      <w:r w:rsidRPr="003A0138">
        <w:rPr>
          <w:vertAlign w:val="superscript"/>
        </w:rPr>
        <w:footnoteReference w:id="25"/>
      </w:r>
      <w:r w:rsidRPr="003A0138">
        <w:t xml:space="preserve"> Morbidity associated air pollution were assumed to impact labor supply at both the extensive and intensive margins. In the model, these two effects were combined and modeled as pollutant specific labor shocks. Changes in mortality risk associated with air pollution along with non-market impacts (discussed in more detail in Section 3.4) were modeled as a separable shock to household utility. Over the course of the model’s time horizon the impact of the environmental feedbacks on consumption of goods and services increased from -1.4% in 2030 to -3.5% in 2090, with a welfare estimate of overall damages at 9.2% of full wealth (including leisure). </w:t>
      </w:r>
    </w:p>
    <w:p w14:paraId="6D4BC503" w14:textId="77777777" w:rsidR="003A0138" w:rsidRPr="003A0138" w:rsidRDefault="003A0138" w:rsidP="003A0138">
      <w:pPr>
        <w:spacing w:line="276" w:lineRule="auto"/>
      </w:pPr>
      <w:r w:rsidRPr="003A0138">
        <w:t>Mayeres and van Regemorter (2008) extended the GEM-E3 CGE model of the European economy to include non-separable health impacts of air pollution. The version of the GEM-E3 model used for this study was a dynamic model of 14 European countries with a 1995 benchmark. The model included an environmental component that modeled the emissions, transport, and increase in atmospheric concentrations of criteria air pollutants and carbon dioxide from the energy sector. In the standard version of the model all mortality, morbidity, and non-health impacts of air pollution were treated as separable in the utility function for the representative household. Mayeres and van Regemorter incorporated the effects of exposure related morbidity and the medical costs of pollution-induced mortality more fully into the model. Specifically, they considered the effect of air pollution on private and public spending for medical services and the time endowment within a bi-directional coupling of the economy and the environment.</w:t>
      </w:r>
    </w:p>
    <w:p w14:paraId="0ED1EF9E" w14:textId="77777777" w:rsidR="003A0138" w:rsidRPr="003A0138" w:rsidRDefault="003A0138" w:rsidP="003A0138">
      <w:pPr>
        <w:spacing w:line="276" w:lineRule="auto"/>
      </w:pPr>
      <w:r w:rsidRPr="003A0138">
        <w:t xml:space="preserve">These non-separable health impacts were included by extending both the household’s representation and the economy’s production functions. To model the effect of air pollution on the household’s demand for medical services the top nest of the Stone-Geary utility function, which previously included only composite consumption, </w:t>
      </w:r>
      <w:r w:rsidRPr="003A0138">
        <w:rPr>
          <w:position w:val="-6"/>
        </w:rPr>
        <w:object w:dxaOrig="200" w:dyaOrig="260" w14:anchorId="2EB6913F">
          <v:shape id="_x0000_i1030" type="#_x0000_t75" style="width:9.75pt;height:12.75pt" o:ole="">
            <v:imagedata r:id="rId27" o:title=""/>
          </v:shape>
          <o:OLEObject Type="Embed" ProgID="Equation.DSMT4" ShapeID="_x0000_i1030" DrawAspect="Content" ObjectID="_1522242420" r:id="rId28"/>
        </w:object>
      </w:r>
      <w:r w:rsidRPr="003A0138">
        <w:t xml:space="preserve">, and leisure, </w:t>
      </w:r>
      <w:r w:rsidRPr="003A0138">
        <w:rPr>
          <w:position w:val="-4"/>
        </w:rPr>
        <w:object w:dxaOrig="139" w:dyaOrig="260" w14:anchorId="2CEEDF87">
          <v:shape id="_x0000_i1031" type="#_x0000_t75" style="width:6.75pt;height:12.75pt" o:ole="">
            <v:imagedata r:id="rId29" o:title=""/>
          </v:shape>
          <o:OLEObject Type="Embed" ProgID="Equation.DSMT4" ShapeID="_x0000_i1031" DrawAspect="Content" ObjectID="_1522242421" r:id="rId30"/>
        </w:object>
      </w:r>
      <w:r w:rsidRPr="003A0138">
        <w:t xml:space="preserve">, was extended to include health, </w:t>
      </w:r>
      <w:r w:rsidRPr="003A0138">
        <w:rPr>
          <w:position w:val="-4"/>
        </w:rPr>
        <w:object w:dxaOrig="220" w:dyaOrig="240" w14:anchorId="6301F603">
          <v:shape id="_x0000_i1032" type="#_x0000_t75" style="width:11.25pt;height:12pt" o:ole="">
            <v:imagedata r:id="rId31" o:title=""/>
          </v:shape>
          <o:OLEObject Type="Embed" ProgID="Equation.DSMT4" ShapeID="_x0000_i1032" DrawAspect="Content" ObjectID="_1522242422" r:id="rId32"/>
        </w:object>
      </w:r>
      <w:r w:rsidRPr="003A0138">
        <w:t xml:space="preserve">. Specifically, the utility function was defined as </w:t>
      </w:r>
    </w:p>
    <w:p w14:paraId="26E226B0" w14:textId="77777777" w:rsidR="003A0138" w:rsidRPr="003A0138" w:rsidRDefault="003A0138" w:rsidP="003A0138">
      <w:pPr>
        <w:spacing w:line="276" w:lineRule="auto"/>
      </w:pPr>
      <w:r w:rsidRPr="003A0138">
        <w:rPr>
          <w:position w:val="-28"/>
        </w:rPr>
        <w:object w:dxaOrig="5360" w:dyaOrig="680" w14:anchorId="5D47C53A">
          <v:shape id="_x0000_i1033" type="#_x0000_t75" style="width:267.75pt;height:33pt" o:ole="">
            <v:imagedata r:id="rId33" o:title=""/>
          </v:shape>
          <o:OLEObject Type="Embed" ProgID="Equation.DSMT4" ShapeID="_x0000_i1033" DrawAspect="Content" ObjectID="_1522242423" r:id="rId34"/>
        </w:object>
      </w:r>
      <w:r w:rsidRPr="003A0138">
        <w:t>,</w:t>
      </w:r>
      <w:r w:rsidRPr="003A0138">
        <w:tab/>
      </w:r>
      <w:r w:rsidRPr="003A0138">
        <w:tab/>
      </w:r>
      <w:r w:rsidRPr="003A0138">
        <w:tab/>
      </w:r>
      <w:r w:rsidRPr="003A0138">
        <w:tab/>
      </w:r>
      <w:r w:rsidRPr="003A0138">
        <w:tab/>
      </w:r>
      <w:r w:rsidRPr="003A0138">
        <w:fldChar w:fldCharType="begin"/>
      </w:r>
      <w:r w:rsidRPr="003A0138">
        <w:instrText xml:space="preserve"> MACROBUTTON MTPlaceRef \* MERGEFORMAT </w:instrText>
      </w:r>
      <w:r w:rsidRPr="003A0138">
        <w:fldChar w:fldCharType="begin"/>
      </w:r>
      <w:r w:rsidRPr="003A0138">
        <w:instrText xml:space="preserve"> SEQ MTEqn \h \* MERGEFORMAT </w:instrText>
      </w:r>
      <w:r w:rsidRPr="003A0138">
        <w:fldChar w:fldCharType="end"/>
      </w:r>
      <w:r w:rsidRPr="003A0138">
        <w:instrText>(</w:instrText>
      </w:r>
      <w:r w:rsidR="008B3A3D">
        <w:fldChar w:fldCharType="begin"/>
      </w:r>
      <w:r w:rsidR="008B3A3D">
        <w:instrText xml:space="preserve"> SEQ MTEqn \c \* Arabic \* MERGEFORMAT </w:instrText>
      </w:r>
      <w:r w:rsidR="008B3A3D">
        <w:fldChar w:fldCharType="separate"/>
      </w:r>
      <w:r w:rsidRPr="003A0138">
        <w:rPr>
          <w:noProof/>
        </w:rPr>
        <w:instrText>2</w:instrText>
      </w:r>
      <w:r w:rsidR="008B3A3D">
        <w:rPr>
          <w:noProof/>
        </w:rPr>
        <w:fldChar w:fldCharType="end"/>
      </w:r>
      <w:r w:rsidRPr="003A0138">
        <w:instrText>)</w:instrText>
      </w:r>
      <w:r w:rsidRPr="003A0138">
        <w:fldChar w:fldCharType="end"/>
      </w:r>
    </w:p>
    <w:p w14:paraId="4CF300CF" w14:textId="77777777" w:rsidR="003A0138" w:rsidRPr="003A0138" w:rsidRDefault="003A0138" w:rsidP="003A0138">
      <w:pPr>
        <w:spacing w:line="276" w:lineRule="auto"/>
      </w:pPr>
      <w:r w:rsidRPr="003A0138">
        <w:t xml:space="preserve">where bars represent subsistence levels and the last component represents separable effects of changes in the ambient concentrations of pollutant from the benchmark, </w:t>
      </w:r>
      <w:r w:rsidRPr="003A0138">
        <w:rPr>
          <w:position w:val="-14"/>
        </w:rPr>
        <w:object w:dxaOrig="460" w:dyaOrig="380" w14:anchorId="256630BE">
          <v:shape id="_x0000_i1034" type="#_x0000_t75" style="width:23.25pt;height:18pt" o:ole="">
            <v:imagedata r:id="rId35" o:title=""/>
          </v:shape>
          <o:OLEObject Type="Embed" ProgID="Equation.DSMT4" ShapeID="_x0000_i1034" DrawAspect="Content" ObjectID="_1522242424" r:id="rId36"/>
        </w:object>
      </w:r>
      <w:r w:rsidRPr="003A0138">
        <w:t xml:space="preserve">, for the </w:t>
      </w:r>
      <w:r w:rsidRPr="003A0138">
        <w:rPr>
          <w:position w:val="-4"/>
        </w:rPr>
        <w:object w:dxaOrig="279" w:dyaOrig="240" w14:anchorId="5C68A75D">
          <v:shape id="_x0000_i1035" type="#_x0000_t75" style="width:14.25pt;height:12pt" o:ole="">
            <v:imagedata r:id="rId37" o:title=""/>
          </v:shape>
          <o:OLEObject Type="Embed" ProgID="Equation.DSMT4" ShapeID="_x0000_i1035" DrawAspect="Content" ObjectID="_1522242425" r:id="rId38"/>
        </w:object>
      </w:r>
      <w:r w:rsidRPr="003A0138">
        <w:t xml:space="preserve"> pollutants, such that </w:t>
      </w:r>
      <w:r w:rsidRPr="003A0138">
        <w:rPr>
          <w:position w:val="-14"/>
        </w:rPr>
        <w:object w:dxaOrig="480" w:dyaOrig="380" w14:anchorId="35E9796C">
          <v:shape id="_x0000_i1036" type="#_x0000_t75" style="width:24pt;height:18pt" o:ole="">
            <v:imagedata r:id="rId39" o:title=""/>
          </v:shape>
          <o:OLEObject Type="Embed" ProgID="Equation.DSMT4" ShapeID="_x0000_i1036" DrawAspect="Content" ObjectID="_1522242426" r:id="rId40"/>
        </w:object>
      </w:r>
      <w:r w:rsidRPr="003A0138">
        <w:t xml:space="preserve"> represents the marginal impact of changes in ambient concentration.</w:t>
      </w:r>
      <w:r w:rsidRPr="003A0138">
        <w:rPr>
          <w:vertAlign w:val="superscript"/>
        </w:rPr>
        <w:footnoteReference w:id="26"/>
      </w:r>
      <w:r w:rsidRPr="003A0138">
        <w:t xml:space="preserve"> Health was defined based on a production function approach, such that</w:t>
      </w:r>
    </w:p>
    <w:p w14:paraId="2172DAFF" w14:textId="77777777" w:rsidR="003A0138" w:rsidRPr="003A0138" w:rsidRDefault="003A0138" w:rsidP="003A0138">
      <w:pPr>
        <w:spacing w:line="276" w:lineRule="auto"/>
      </w:pPr>
      <w:r w:rsidRPr="003A0138">
        <w:rPr>
          <w:position w:val="-28"/>
        </w:rPr>
        <w:object w:dxaOrig="2760" w:dyaOrig="680" w14:anchorId="58E3E785">
          <v:shape id="_x0000_i1037" type="#_x0000_t75" style="width:138pt;height:33pt" o:ole="">
            <v:imagedata r:id="rId41" o:title=""/>
          </v:shape>
          <o:OLEObject Type="Embed" ProgID="Equation.DSMT4" ShapeID="_x0000_i1037" DrawAspect="Content" ObjectID="_1522242427" r:id="rId42"/>
        </w:object>
      </w:r>
      <w:r w:rsidRPr="003A0138">
        <w:t>,</w:t>
      </w:r>
      <w:r w:rsidRPr="003A0138">
        <w:tab/>
      </w:r>
      <w:r w:rsidRPr="003A0138">
        <w:tab/>
      </w:r>
      <w:r w:rsidRPr="003A0138">
        <w:tab/>
      </w:r>
      <w:r w:rsidRPr="003A0138">
        <w:tab/>
      </w:r>
      <w:r w:rsidRPr="003A0138">
        <w:tab/>
      </w:r>
      <w:r w:rsidRPr="003A0138">
        <w:tab/>
      </w:r>
      <w:r w:rsidRPr="003A0138">
        <w:tab/>
      </w:r>
      <w:r w:rsidRPr="003A0138">
        <w:tab/>
      </w:r>
      <w:r w:rsidRPr="003A0138">
        <w:tab/>
      </w:r>
      <w:r w:rsidRPr="003A0138">
        <w:fldChar w:fldCharType="begin"/>
      </w:r>
      <w:r w:rsidRPr="003A0138">
        <w:instrText xml:space="preserve"> MACROBUTTON MTPlaceRef \* MERGEFORMAT </w:instrText>
      </w:r>
      <w:r w:rsidRPr="003A0138">
        <w:fldChar w:fldCharType="begin"/>
      </w:r>
      <w:r w:rsidRPr="003A0138">
        <w:instrText xml:space="preserve"> SEQ MTEqn \h \* MERGEFORMAT </w:instrText>
      </w:r>
      <w:r w:rsidRPr="003A0138">
        <w:fldChar w:fldCharType="end"/>
      </w:r>
      <w:r w:rsidRPr="003A0138">
        <w:instrText>(</w:instrText>
      </w:r>
      <w:r w:rsidR="008B3A3D">
        <w:fldChar w:fldCharType="begin"/>
      </w:r>
      <w:r w:rsidR="008B3A3D">
        <w:instrText xml:space="preserve"> SEQ MTEqn \c \* Arabic \* MERGEFORMAT </w:instrText>
      </w:r>
      <w:r w:rsidR="008B3A3D">
        <w:fldChar w:fldCharType="separate"/>
      </w:r>
      <w:r w:rsidRPr="003A0138">
        <w:rPr>
          <w:noProof/>
        </w:rPr>
        <w:instrText>3</w:instrText>
      </w:r>
      <w:r w:rsidR="008B3A3D">
        <w:rPr>
          <w:noProof/>
        </w:rPr>
        <w:fldChar w:fldCharType="end"/>
      </w:r>
      <w:r w:rsidRPr="003A0138">
        <w:instrText>)</w:instrText>
      </w:r>
      <w:r w:rsidRPr="003A0138">
        <w:fldChar w:fldCharType="end"/>
      </w:r>
    </w:p>
    <w:p w14:paraId="4E481B4A" w14:textId="77777777" w:rsidR="003A0138" w:rsidRPr="003A0138" w:rsidRDefault="003A0138" w:rsidP="003A0138">
      <w:pPr>
        <w:spacing w:line="276" w:lineRule="auto"/>
      </w:pPr>
      <w:r w:rsidRPr="003A0138">
        <w:t xml:space="preserve">where </w:t>
      </w:r>
      <w:r w:rsidRPr="003A0138">
        <w:rPr>
          <w:position w:val="-4"/>
        </w:rPr>
        <w:object w:dxaOrig="360" w:dyaOrig="260" w14:anchorId="3A35B780">
          <v:shape id="_x0000_i1038" type="#_x0000_t75" style="width:18pt;height:12.75pt" o:ole="">
            <v:imagedata r:id="rId43" o:title=""/>
          </v:shape>
          <o:OLEObject Type="Embed" ProgID="Equation.DSMT4" ShapeID="_x0000_i1038" DrawAspect="Content" ObjectID="_1522242428" r:id="rId44"/>
        </w:object>
      </w:r>
      <w:r w:rsidRPr="003A0138">
        <w:t xml:space="preserve"> is household health in the absence of air pollution or consumption of medical services, </w:t>
      </w:r>
      <w:r w:rsidRPr="003A0138">
        <w:rPr>
          <w:position w:val="-14"/>
        </w:rPr>
        <w:object w:dxaOrig="440" w:dyaOrig="380" w14:anchorId="39CD8FB4">
          <v:shape id="_x0000_i1039" type="#_x0000_t75" style="width:21.75pt;height:18pt" o:ole="">
            <v:imagedata r:id="rId45" o:title=""/>
          </v:shape>
          <o:OLEObject Type="Embed" ProgID="Equation.DSMT4" ShapeID="_x0000_i1039" DrawAspect="Content" ObjectID="_1522242429" r:id="rId46"/>
        </w:object>
      </w:r>
      <w:r w:rsidRPr="003A0138">
        <w:t xml:space="preserve"> represents the marginal impact of the changes in the ambient concentration of pollutant </w:t>
      </w:r>
      <w:r w:rsidRPr="003A0138">
        <w:rPr>
          <w:position w:val="-4"/>
        </w:rPr>
        <w:object w:dxaOrig="260" w:dyaOrig="200" w14:anchorId="1E0EBCF1">
          <v:shape id="_x0000_i1040" type="#_x0000_t75" style="width:12.75pt;height:9.75pt" o:ole="">
            <v:imagedata r:id="rId47" o:title=""/>
          </v:shape>
          <o:OLEObject Type="Embed" ProgID="Equation.DSMT4" ShapeID="_x0000_i1040" DrawAspect="Content" ObjectID="_1522242430" r:id="rId48"/>
        </w:object>
      </w:r>
      <w:r w:rsidRPr="003A0138">
        <w:t xml:space="preserve"> on health, and </w:t>
      </w:r>
      <w:r w:rsidRPr="003A0138">
        <w:rPr>
          <w:position w:val="-4"/>
        </w:rPr>
        <w:object w:dxaOrig="540" w:dyaOrig="240" w14:anchorId="36732725">
          <v:shape id="_x0000_i1041" type="#_x0000_t75" style="width:27pt;height:12pt" o:ole="">
            <v:imagedata r:id="rId49" o:title=""/>
          </v:shape>
          <o:OLEObject Type="Embed" ProgID="Equation.DSMT4" ShapeID="_x0000_i1041" DrawAspect="Content" ObjectID="_1522242431" r:id="rId50"/>
        </w:object>
      </w:r>
      <w:r w:rsidRPr="003A0138">
        <w:t xml:space="preserve"> is the consumption of medical services. The price of medical services included government subsidies based on the social security systems in place within the European countries modeled, such that an increase in the quantity demanded of medical services affected both the household and government budgets. </w:t>
      </w:r>
    </w:p>
    <w:p w14:paraId="3F4BB7A1" w14:textId="77777777" w:rsidR="003A0138" w:rsidRPr="003A0138" w:rsidRDefault="003A0138" w:rsidP="003A0138">
      <w:pPr>
        <w:spacing w:line="276" w:lineRule="auto"/>
      </w:pPr>
      <w:r w:rsidRPr="003A0138">
        <w:t>The time endowment effect of morbidity was modeled in two parts to recognize the existence of paid sick leave requirements in the countries modeled. Part of the reduction in the time endowment was allocated to reducing the households’ time endowment directly, while the remaining lost time endowment was modeled as a labor productivity shock in the model’s production functions. The model was calibrated based on the assumption that 58% of the lost time should manifest as a labor productivity shock in the model.</w:t>
      </w:r>
    </w:p>
    <w:p w14:paraId="56D07BD8" w14:textId="77777777" w:rsidR="003A0138" w:rsidRPr="003A0138" w:rsidRDefault="003A0138" w:rsidP="003A0138">
      <w:pPr>
        <w:spacing w:line="276" w:lineRule="auto"/>
      </w:pPr>
      <w:r w:rsidRPr="003A0138">
        <w:t>The new parameters of the extended model associated with changes in air quality were calibrated to match the results of studies that have estimated components of marginal WTP for changes in ambient concentration separately (i.e., changes in household income, medical services expenditures, and the separable component). The authors assumed that 10% of the marginal WTP estimate for mortality risk reductions was associated with a change in expected medical expenditures and used that for calibration.</w:t>
      </w:r>
    </w:p>
    <w:p w14:paraId="172BFDF0" w14:textId="77777777" w:rsidR="003A0138" w:rsidRPr="003A0138" w:rsidRDefault="003A0138" w:rsidP="003A0138">
      <w:pPr>
        <w:spacing w:line="276" w:lineRule="auto"/>
      </w:pPr>
      <w:r w:rsidRPr="003A0138">
        <w:t>Mayeres and van Regemorter (2008) then compared the results from the extended GEM-E3 model to the case where all air pollution damages were separable. Ex ante marginal WTP for reductions in ambient concentrations were calibrated to be equivalent between the two models. The policy examined was a country specific CO</w:t>
      </w:r>
      <w:r w:rsidRPr="003A0138">
        <w:rPr>
          <w:vertAlign w:val="subscript"/>
        </w:rPr>
        <w:t>2</w:t>
      </w:r>
      <w:r w:rsidRPr="003A0138">
        <w:t xml:space="preserve"> tax commensurate with commitments under the Kyoto Protocol. While climate change impacts were not modeled, the results included the benefits from reduction in energy sector criteria air pollutant emissions correlated with CO</w:t>
      </w:r>
      <w:r w:rsidRPr="003A0138">
        <w:rPr>
          <w:vertAlign w:val="subscript"/>
        </w:rPr>
        <w:t>2</w:t>
      </w:r>
      <w:r w:rsidRPr="003A0138">
        <w:t xml:space="preserve"> emissions. They found the macroeconomic effects (e.g., GDP, labor) to be very similar between the two cases with the extended model estimating a larger increase in consumption. Given the difference in the utility functions between the two models, a direct comparison of estimates for the change in welfare was not possible.</w:t>
      </w:r>
    </w:p>
    <w:p w14:paraId="0DB9AC51" w14:textId="77777777" w:rsidR="003A0138" w:rsidRPr="003A0138" w:rsidRDefault="003A0138" w:rsidP="003A0138">
      <w:pPr>
        <w:spacing w:line="276" w:lineRule="auto"/>
      </w:pPr>
      <w:r w:rsidRPr="003A0138">
        <w:t>Li (2002) applied a similar technique to study the welfare impacts of an economy-wide CO</w:t>
      </w:r>
      <w:r w:rsidRPr="003A0138">
        <w:rPr>
          <w:vertAlign w:val="subscript"/>
        </w:rPr>
        <w:t>2</w:t>
      </w:r>
      <w:r w:rsidRPr="003A0138">
        <w:t xml:space="preserve"> emissions tax in Thailand, accounting for general equilibrium impacts of correlated PM</w:t>
      </w:r>
      <w:r w:rsidRPr="003A0138">
        <w:rPr>
          <w:vertAlign w:val="subscript"/>
        </w:rPr>
        <w:t>10</w:t>
      </w:r>
      <w:r w:rsidRPr="003A0138">
        <w:t xml:space="preserve"> emission changes. The static CGE model modified the standard International Food Policy Research Institute CGE framework outlined in Lofgren et al. (2001) and had 61 production sectors and three households (agricultural, non-agricultural, and government-employed). The model was extended to include a bi-directional coupling between environmental quality (PM</w:t>
      </w:r>
      <w:r w:rsidRPr="003A0138">
        <w:rPr>
          <w:vertAlign w:val="subscript"/>
        </w:rPr>
        <w:t>10</w:t>
      </w:r>
      <w:r w:rsidRPr="003A0138">
        <w:t xml:space="preserve"> only) and the economy, though the combined model was only run for one iteration so there may not be convergence in the model. Exposure-response functions were used to map PM</w:t>
      </w:r>
      <w:r w:rsidRPr="003A0138">
        <w:rPr>
          <w:vertAlign w:val="subscript"/>
        </w:rPr>
        <w:t>10</w:t>
      </w:r>
      <w:r w:rsidRPr="003A0138">
        <w:t xml:space="preserve"> concentrations, derived from emissions, to premature mortality and morbidity endpoints for non-agriculture and government-employed households of working age. In addition to affecting labor supply on the extensive margin it was assumed that exposure also affects labor supply on the intensive margin through a reduction in labor productivity. Premature mortality, morbidity, and labor productivity effects were all represented through a reduction in the households’ time endowments. The model also included pollution-induced medical expenditures in the same fashion as Mayeres and van Regemorter (2008), where improvements in environmental quality reduced household and public expenditures on medical services.</w:t>
      </w:r>
    </w:p>
    <w:p w14:paraId="271467E2" w14:textId="77777777" w:rsidR="003A0138" w:rsidRPr="003A0138" w:rsidRDefault="003A0138" w:rsidP="003A0138">
      <w:pPr>
        <w:spacing w:line="276" w:lineRule="auto"/>
      </w:pPr>
      <w:r w:rsidRPr="003A0138">
        <w:t>Other studies examining the direct health impacts of air pollution using a CGE model extended MIT’s Emission Prediction and Policy Analysis (EPPA) model to include health impacts of air pollution.</w:t>
      </w:r>
      <w:r w:rsidRPr="003A0138">
        <w:rPr>
          <w:vertAlign w:val="superscript"/>
        </w:rPr>
        <w:footnoteReference w:id="27"/>
      </w:r>
      <w:r w:rsidRPr="003A0138">
        <w:t xml:space="preserve"> The extended model has been referred to as the EPPA Health Effects (EPPA-HE) model (Matus et al., 2008). To date the EPPA-HE framework has been used to study the impact of historical air pollution (ozone and PM</w:t>
      </w:r>
      <w:r w:rsidRPr="003A0138">
        <w:rPr>
          <w:vertAlign w:val="subscript"/>
        </w:rPr>
        <w:t>10</w:t>
      </w:r>
      <w:r w:rsidRPr="003A0138">
        <w:t>) in the U.S. (Matus et al., 2008), Europe (Nam et al., 2010), and China (Matus et al., 2012), and future ozone pollution globally (Selin et al., 2009). While there are some slight differences in terms of the data employed and calibration of the model, the general methodology used to incorporate health impacts associated with air pollution and the interaction with the economy in the model was the same across these applications.</w:t>
      </w:r>
    </w:p>
    <w:p w14:paraId="54E21561" w14:textId="77777777" w:rsidR="003A0138" w:rsidRPr="003A0138" w:rsidRDefault="003A0138" w:rsidP="003A0138">
      <w:pPr>
        <w:spacing w:line="276" w:lineRule="auto"/>
      </w:pPr>
      <w:r w:rsidRPr="003A0138">
        <w:t xml:space="preserve">The EPPA-HE model incorporated the impacts associated with acute and chronic premature mortality, and pollution-induced morbidity. For premature mortality, the model accounted for the damages to households in terms of total factor consumption, including leisure, while also accounting for the cumulative economic effect of reduced labor, consumption, and investment associated with premature mortality. For pollution-induced morbidity, the model accounted for the reduced time available for labor and/or leisure, the increased demand for medical services, and cumulative economic effects from those changes. </w:t>
      </w:r>
    </w:p>
    <w:p w14:paraId="005B00A3" w14:textId="77777777" w:rsidR="003A0138" w:rsidRPr="003A0138" w:rsidRDefault="003A0138" w:rsidP="003A0138">
      <w:pPr>
        <w:spacing w:line="276" w:lineRule="auto"/>
      </w:pPr>
      <w:r w:rsidRPr="003A0138">
        <w:t xml:space="preserve">To capture these health impacts the EPPA-HE model modified the original model structure in two ways. First, leisure was introduced into the model by including an additional top-level nest in the household utility function along with a constraint on the time endowment, which was split between labor and leisure. Second, a household healthcare production sector was added to account for the time and medical service expenditures required to respond to pollution-induced morbidity. The household healthcare sectors were </w:t>
      </w:r>
    </w:p>
    <w:p w14:paraId="3E340AE3" w14:textId="77777777" w:rsidR="003A0138" w:rsidRPr="003A0138" w:rsidRDefault="003A0138" w:rsidP="003A0138">
      <w:pPr>
        <w:spacing w:line="276" w:lineRule="auto"/>
      </w:pPr>
      <w:r w:rsidRPr="003A0138">
        <w:rPr>
          <w:noProof/>
        </w:rPr>
        <w:drawing>
          <wp:inline distT="0" distB="0" distL="0" distR="0" wp14:anchorId="185AC9CD" wp14:editId="6DFC8E9E">
            <wp:extent cx="5943600" cy="3694538"/>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943600" cy="3694538"/>
                    </a:xfrm>
                    <a:prstGeom prst="rect">
                      <a:avLst/>
                    </a:prstGeom>
                    <a:noFill/>
                    <a:ln>
                      <a:noFill/>
                    </a:ln>
                  </pic:spPr>
                </pic:pic>
              </a:graphicData>
            </a:graphic>
          </wp:inline>
        </w:drawing>
      </w:r>
    </w:p>
    <w:p w14:paraId="6D927D9B" w14:textId="77777777" w:rsidR="003A0138" w:rsidRPr="003A0138" w:rsidRDefault="003A0138" w:rsidP="003A0138">
      <w:pPr>
        <w:spacing w:line="276" w:lineRule="auto"/>
        <w:jc w:val="center"/>
        <w:rPr>
          <w:b/>
        </w:rPr>
      </w:pPr>
      <w:bookmarkStart w:id="65" w:name="_Ref417382051"/>
      <w:r w:rsidRPr="003A0138">
        <w:rPr>
          <w:b/>
        </w:rPr>
        <w:t xml:space="preserve">Figure </w:t>
      </w:r>
      <w:r w:rsidRPr="003A0138">
        <w:rPr>
          <w:b/>
        </w:rPr>
        <w:fldChar w:fldCharType="begin"/>
      </w:r>
      <w:r w:rsidRPr="003A0138">
        <w:rPr>
          <w:b/>
        </w:rPr>
        <w:instrText xml:space="preserve"> SEQ Figure \* ARABIC </w:instrText>
      </w:r>
      <w:r w:rsidRPr="003A0138">
        <w:rPr>
          <w:b/>
        </w:rPr>
        <w:fldChar w:fldCharType="separate"/>
      </w:r>
      <w:r w:rsidRPr="003A0138">
        <w:rPr>
          <w:b/>
          <w:noProof/>
        </w:rPr>
        <w:t>1</w:t>
      </w:r>
      <w:r w:rsidRPr="003A0138">
        <w:rPr>
          <w:b/>
        </w:rPr>
        <w:fldChar w:fldCharType="end"/>
      </w:r>
      <w:bookmarkEnd w:id="65"/>
      <w:r w:rsidRPr="003A0138">
        <w:rPr>
          <w:b/>
        </w:rPr>
        <w:t>: Household and Consumption Structure for EPPA-HE (Source: Matus et al., 2008)</w:t>
      </w:r>
    </w:p>
    <w:p w14:paraId="27E9950D" w14:textId="77777777" w:rsidR="003A0138" w:rsidRPr="003A0138" w:rsidRDefault="003A0138" w:rsidP="003A0138">
      <w:pPr>
        <w:spacing w:line="276" w:lineRule="auto"/>
      </w:pPr>
    </w:p>
    <w:p w14:paraId="4707E35F" w14:textId="77777777" w:rsidR="003A0138" w:rsidRPr="003A0138" w:rsidRDefault="003A0138" w:rsidP="003A0138">
      <w:pPr>
        <w:spacing w:line="276" w:lineRule="auto"/>
      </w:pPr>
      <w:r w:rsidRPr="003A0138">
        <w:t xml:space="preserve">health endpoint and pollutant specific, and Leontief in labor and medical services. The cost shares were calibrated based on external studies that estimate the composite costs of health endpoints. The updated structure of the household consumption function is presented in </w:t>
      </w:r>
      <w:r w:rsidRPr="003A0138">
        <w:fldChar w:fldCharType="begin"/>
      </w:r>
      <w:r w:rsidRPr="003A0138">
        <w:instrText xml:space="preserve"> REF _Ref417382051 \h  \* MERGEFORMAT </w:instrText>
      </w:r>
      <w:r w:rsidRPr="003A0138">
        <w:fldChar w:fldCharType="separate"/>
      </w:r>
      <w:r w:rsidRPr="003A0138">
        <w:t xml:space="preserve">Figure </w:t>
      </w:r>
      <w:r w:rsidRPr="003A0138">
        <w:rPr>
          <w:noProof/>
        </w:rPr>
        <w:t>1</w:t>
      </w:r>
      <w:r w:rsidRPr="003A0138">
        <w:fldChar w:fldCharType="end"/>
      </w:r>
      <w:r w:rsidRPr="003A0138">
        <w:t>.</w:t>
      </w:r>
    </w:p>
    <w:p w14:paraId="14AA9093" w14:textId="77777777" w:rsidR="003A0138" w:rsidRPr="003A0138" w:rsidRDefault="003A0138" w:rsidP="003A0138">
      <w:pPr>
        <w:spacing w:line="276" w:lineRule="auto"/>
      </w:pPr>
      <w:r w:rsidRPr="003A0138">
        <w:t>To date the studies using the EPPA-HE model have used a unidirectional coupling, where atmospheric concentrations of pollutants are taken as exogenous and fixed, as opposed to the bi-directional coupling of Li (2002) and Mayeres and van Regemorter (2008). The model used a series of exposure-response functions from the epidemiological literature to map the atmospheric concentrations into health endpoints. In all cases, it was assumed that the exposure-response functions are linear without a threshold. For morbidity related endpoints, which were all assumed to be from acute exposure, this stage provided an estimate of the number of cases/events expected to occur in each model year. For premature mortality, the exposure-response functions provided an estimate of the proportional increase in mortality rates in the model year, which must be applied to baseline mortality rates to estimate the expected level of mortality. To account for the effects of premature mortality due to chronic exposure a cohort population model was used to track the number of individuals in a given age group in each model year. For each cohort the annual average exposure was computed and entered into the appropriate exposure-response function to estimate the change in the mortality rate.</w:t>
      </w:r>
      <w:r w:rsidRPr="003A0138">
        <w:rPr>
          <w:vertAlign w:val="superscript"/>
        </w:rPr>
        <w:footnoteReference w:id="28"/>
      </w:r>
      <w:r w:rsidRPr="003A0138">
        <w:t xml:space="preserve"> </w:t>
      </w:r>
    </w:p>
    <w:p w14:paraId="6E7921CE" w14:textId="77777777" w:rsidR="003A0138" w:rsidRPr="003A0138" w:rsidRDefault="003A0138" w:rsidP="003A0138">
      <w:pPr>
        <w:spacing w:line="276" w:lineRule="auto"/>
      </w:pPr>
      <w:r w:rsidRPr="003A0138">
        <w:t>The results of this mapping were then used to adjust the time endowment inputs to account for losses in labor supply due to premature mortality. Care was taken to ensure that for premature mortality of, what were assumed to be, working age individuals (younger than 65) it was effective units of labor that were removed from the time endowment. Effective labor includes time that was adjusted for labor productivity growth, which was included as an exogenous increase in the time endowment over model’s time horizon. Based on an assessment of the literature,</w:t>
      </w:r>
      <w:r w:rsidRPr="003A0138" w:rsidDel="00C30D2F">
        <w:t xml:space="preserve"> </w:t>
      </w:r>
      <w:r w:rsidRPr="003A0138">
        <w:t xml:space="preserve">the model assumed that on average acute mortality occurs 0.5 years earlier than in the counterfactual due to exposure to air pollution. This is representative of the characteristic that premature mortality due to acute exposure primarily affects vulnerable populations. To account for the effects of chronic exposure-induced premature mortality, the model assumed an average lifespan of 75 years. Morbidity-related health endpoints were applied effectively as Hicks neutral shocks to the household healthcare sector to represent an increased need for time and medical services to maintain a given level of health. </w:t>
      </w:r>
    </w:p>
    <w:p w14:paraId="3812C3D6" w14:textId="77777777" w:rsidR="003A0138" w:rsidRPr="003A0138" w:rsidRDefault="003A0138" w:rsidP="003A0138">
      <w:pPr>
        <w:spacing w:line="276" w:lineRule="auto"/>
      </w:pPr>
      <w:r w:rsidRPr="003A0138">
        <w:t xml:space="preserve">In a given simulation year, the modeled welfare loss associated with pollution damages was based on the value of the lost time endowment in that period, the distortion imposed by the additional demand for medical services, and the cumulative economic impacts associated with reduced consumption and investment in previous years due to pollution. Lost time endowment in a given year was valued at the wage rate on the margin. To account for the loss of time endowment from cohorts that are not of working age (children and the elderly), the value of time was adjusted to be 1/3 and 2/3 of the wage rate, respectively. </w:t>
      </w:r>
    </w:p>
    <w:p w14:paraId="42EFC714" w14:textId="77777777" w:rsidR="003A0138" w:rsidRPr="003A0138" w:rsidRDefault="003A0138" w:rsidP="003A0138">
      <w:pPr>
        <w:spacing w:line="276" w:lineRule="auto"/>
      </w:pPr>
      <w:r w:rsidRPr="003A0138">
        <w:t>Matus et al. (2008) used the EPPA-HE model to study the impact of air pollution and the benefits of air pollution regulations in the U.S. from 1970 to 2000.</w:t>
      </w:r>
      <w:r w:rsidRPr="003A0138">
        <w:rPr>
          <w:vertAlign w:val="superscript"/>
        </w:rPr>
        <w:footnoteReference w:id="29"/>
      </w:r>
      <w:r w:rsidRPr="003A0138">
        <w:t xml:space="preserve"> Specifically, they focused on the damages associated with ozone, nitrogen dioxide, sulfur dioxide, carbon monoxide, and particulate matter (PM</w:t>
      </w:r>
      <w:r w:rsidRPr="003A0138">
        <w:rPr>
          <w:vertAlign w:val="subscript"/>
        </w:rPr>
        <w:t>2.5</w:t>
      </w:r>
      <w:r w:rsidRPr="003A0138">
        <w:t xml:space="preserve"> and PM</w:t>
      </w:r>
      <w:r w:rsidRPr="003A0138">
        <w:rPr>
          <w:vertAlign w:val="subscript"/>
        </w:rPr>
        <w:t>10</w:t>
      </w:r>
      <w:r w:rsidRPr="003A0138">
        <w:t>). To estimate exposures, it was assumed that all urban populations are exposed to the average urban pollution estimates published by the EPA. Conditional on historic exposure levels and their estimated damages, the EPPA-HE model was calibrated to reproduce observed economic activity. With this calibration, the authors estimated the benefits (reduced damages) associated with air pollution regulations assuming a counterfactual level of pollution exposure and the remaining air pollution damages based on above background pollution levels. Noting the uncertainty surrounding estimates in the exposure-response functions, Matus et al. conducted sensitivity analysis by setting the estimated exposure-response coefficients at their 95% confidence intervals. (The forthcoming whitepaper on uncertainty in general equilibrium modeling and benefits estimation will include a more detailed discussion of uncertainty analysis in a CGE context.)</w:t>
      </w:r>
    </w:p>
    <w:p w14:paraId="03B5180C" w14:textId="77777777" w:rsidR="003A0138" w:rsidRPr="003A0138" w:rsidRDefault="003A0138" w:rsidP="003A0138">
      <w:pPr>
        <w:spacing w:line="276" w:lineRule="auto"/>
      </w:pPr>
      <w:r w:rsidRPr="003A0138">
        <w:t>Nam et al. (2010) used the EPPA-HE model to study the impact of air pollution in Europe from 1970 to 2005 in a similar fashion. In contrast to Matus et al. (2008), this study focused only on ozone and PM</w:t>
      </w:r>
      <w:r w:rsidRPr="003A0138">
        <w:rPr>
          <w:vertAlign w:val="subscript"/>
        </w:rPr>
        <w:t>10</w:t>
      </w:r>
      <w:r w:rsidRPr="003A0138">
        <w:t xml:space="preserve">. However, in this case gridded population and concentration data was combined to calculate population weighted exposure estimates that are entered into the exposure-response functions. Nam et al. focused on the residual damages from air pollution relative to background levels conditional on air regulations already in place that affect the gridded concentration data. They found that the damages measured as a percentage change in overall welfare or consumption, while still notable, declined over time likely due to the strengthening of air pollution regulations. </w:t>
      </w:r>
    </w:p>
    <w:p w14:paraId="5568264D" w14:textId="77777777" w:rsidR="003A0138" w:rsidRPr="003A0138" w:rsidRDefault="003A0138" w:rsidP="003A0138">
      <w:pPr>
        <w:spacing w:line="276" w:lineRule="auto"/>
      </w:pPr>
      <w:r w:rsidRPr="003A0138">
        <w:t>Matus et al. (2012) use a similar approach as Matus et al. (2008) and Nam et al. (2010) to studied the historic damages in China from ozone and PM</w:t>
      </w:r>
      <w:r w:rsidRPr="003A0138">
        <w:rPr>
          <w:vertAlign w:val="subscript"/>
        </w:rPr>
        <w:t>10</w:t>
      </w:r>
      <w:r w:rsidRPr="003A0138">
        <w:t xml:space="preserve"> air pollution. The application faced additional challenges relative to the previous studies due to a paucity of concentration data from the pollutants being studied. The cost shares for the household healthcare sectors were recalibrated specifically for China using estimates of the Chinese composite morbidity costs. They considered a series of simulations using historical emissions, background emissions, and two hypothetical policy scenarios. Similar to the previous study the damages as a percentage of total welfare (or consumption) declined over time. However, in this case the results were in part driven by rapid economic expansion. This rapid economic growth also led to a case where losses in previous years account for 29% of the damages in 2005, as opposed to the 12% found by Nam et al. for Europe.</w:t>
      </w:r>
    </w:p>
    <w:p w14:paraId="17923CAE" w14:textId="77777777" w:rsidR="003A0138" w:rsidRPr="003A0138" w:rsidRDefault="003A0138" w:rsidP="003A0138">
      <w:pPr>
        <w:spacing w:line="276" w:lineRule="auto"/>
      </w:pPr>
      <w:r w:rsidRPr="003A0138">
        <w:t>Selin et al. (2009) depart from previous work using the EPPA-HE model to focus on future changes in air pollution worldwide instead of within a single country or region. Specifically, they studied the damages associated with future changes in ozone exposure out to 2050, both with and without climate change. Ozone exposure was based on global atmospheric chemistry modeling with and without climate change and was population weighted by region based on gridded population data from 2000 (i.e., no future migration). The calibration of cost shares in the household healthcare sectors in developed countries was based on the estimates used by Nam et al. but adjusted using purchasing power parity (PPP). For developing countries, cost shares were calibrated based on estimates for China, again adjusted by the PPP. Age distributions were also separately specified for developing and developed regions. While previous studies based on EPPA-HE relied on sensitivity analysis to explore the robustness of their results, Selin et al. took a probabilistic approach and defined distribution over the exposure-response function estimates and cost shares in the household healthcare sectors, and then used a Monte Carlo simulation to integrate over the distributions. Selin et al. found that, when compared to a scenario in which ozone concentrations are assumed to be at background levels, 40% of the economic damages associated with ozone pollution in 2050 were based on the cumulative effect of mortality and morbidity in previous years.</w:t>
      </w:r>
    </w:p>
    <w:p w14:paraId="602E977B" w14:textId="77777777" w:rsidR="003A0138" w:rsidRPr="00A80E88" w:rsidRDefault="003A0138" w:rsidP="00A80E88">
      <w:pPr>
        <w:keepNext/>
        <w:keepLines/>
        <w:spacing w:before="40" w:line="276" w:lineRule="auto"/>
        <w:outlineLvl w:val="2"/>
        <w:rPr>
          <w:rFonts w:eastAsiaTheme="majorEastAsia" w:cstheme="majorBidi"/>
          <w:i/>
          <w:sz w:val="24"/>
          <w:szCs w:val="24"/>
        </w:rPr>
      </w:pPr>
      <w:bookmarkStart w:id="66" w:name="_Toc428797299"/>
      <w:bookmarkStart w:id="67" w:name="_Toc430675930"/>
      <w:bookmarkStart w:id="68" w:name="_Toc448481313"/>
      <w:r w:rsidRPr="00A80E88">
        <w:rPr>
          <w:rFonts w:eastAsiaTheme="majorEastAsia" w:cstheme="majorBidi"/>
          <w:i/>
          <w:sz w:val="24"/>
          <w:szCs w:val="24"/>
        </w:rPr>
        <w:t>Potential Analytical Limitations</w:t>
      </w:r>
      <w:bookmarkEnd w:id="66"/>
      <w:bookmarkEnd w:id="67"/>
      <w:bookmarkEnd w:id="68"/>
    </w:p>
    <w:p w14:paraId="76763354" w14:textId="77777777" w:rsidR="003A0138" w:rsidRPr="003A0138" w:rsidRDefault="003A0138" w:rsidP="003A0138">
      <w:pPr>
        <w:spacing w:line="276" w:lineRule="auto"/>
      </w:pPr>
      <w:r w:rsidRPr="003A0138">
        <w:t xml:space="preserve">While the studies discussed in this subsection have been important for highlighting the potential importance of the economy-wide effects of environmental quality improvements and providing frameworks for their incorporation into CGE models, their remain a number of potential limitations. To date the treatment of changes in premature mortality risk have been confined to changes in the time endowment of a representative agent. Furthermore, distinctions across space (e.g., distinction between emissions, concentrations, and population locations) and sub-populations (e.g., children and the elderly) that can be highly relevant for estimating health impacts have been only partially addressed to date in CGE models, if at all. </w:t>
      </w:r>
    </w:p>
    <w:p w14:paraId="2F9C2211" w14:textId="77777777" w:rsidR="003A0138" w:rsidRPr="003A0138" w:rsidRDefault="003A0138" w:rsidP="003A0138">
      <w:pPr>
        <w:spacing w:line="276" w:lineRule="auto"/>
      </w:pPr>
      <w:r w:rsidRPr="003A0138">
        <w:t>To date the approach taken by most, but not all, studies has been to assume that environmental quality is exogenous to economic activity. Therefore, in the cases where studies found the inclusion of health effects from improvements in environmental quality to have a significant impact on economic activity, there is no feedback from those changes on environmental quality. It may be the case that such feedbacks are of second order importance and the challenges associated with implementing endogenous is environmental quality in a CGE model is not warranted.</w:t>
      </w:r>
    </w:p>
    <w:p w14:paraId="13D3A618" w14:textId="77777777" w:rsidR="003A0138" w:rsidRPr="003A0138" w:rsidRDefault="003A0138" w:rsidP="003A0138">
      <w:pPr>
        <w:spacing w:line="276" w:lineRule="auto"/>
      </w:pPr>
      <w:r w:rsidRPr="003A0138">
        <w:t xml:space="preserve">In addition, in most cases non-market and some market benefits, such as visibility improvements, productivity enhancements in agriculture and forestry sectors, reduced materials damage, and reduced pain and suffering from pollution-related illness were not included in the analyses. These types of market and non-market benefits may be significant for assessing the economy-wide effects of improvements in environmental quality as discussed in the subsequent section. Additional discussion of potential challenges and room for improvement is provided in Section </w:t>
      </w:r>
      <w:r w:rsidRPr="003A0138">
        <w:fldChar w:fldCharType="begin"/>
      </w:r>
      <w:r w:rsidRPr="003A0138">
        <w:instrText xml:space="preserve"> REF _Ref428798060 \r \h </w:instrText>
      </w:r>
      <w:r w:rsidRPr="003A0138">
        <w:fldChar w:fldCharType="separate"/>
      </w:r>
      <w:r w:rsidRPr="003A0138">
        <w:t>4</w:t>
      </w:r>
      <w:r w:rsidRPr="003A0138">
        <w:fldChar w:fldCharType="end"/>
      </w:r>
      <w:r w:rsidRPr="003A0138">
        <w:t>.</w:t>
      </w:r>
    </w:p>
    <w:p w14:paraId="399797DF" w14:textId="77777777" w:rsidR="003A0138" w:rsidRPr="003A0138" w:rsidRDefault="003A0138" w:rsidP="00083C21">
      <w:pPr>
        <w:keepNext/>
        <w:keepLines/>
        <w:numPr>
          <w:ilvl w:val="1"/>
          <w:numId w:val="3"/>
        </w:numPr>
        <w:tabs>
          <w:tab w:val="num" w:pos="360"/>
        </w:tabs>
        <w:spacing w:before="40" w:line="276" w:lineRule="auto"/>
        <w:ind w:left="576" w:hanging="576"/>
        <w:outlineLvl w:val="1"/>
        <w:rPr>
          <w:rFonts w:eastAsiaTheme="majorEastAsia" w:cstheme="majorBidi"/>
          <w:b/>
          <w:sz w:val="24"/>
          <w:szCs w:val="26"/>
        </w:rPr>
      </w:pPr>
      <w:bookmarkStart w:id="69" w:name="_Toc428802022"/>
      <w:bookmarkStart w:id="70" w:name="_Ref422320104"/>
      <w:bookmarkStart w:id="71" w:name="_Ref426956520"/>
      <w:bookmarkStart w:id="72" w:name="_Ref426956531"/>
      <w:bookmarkStart w:id="73" w:name="_Toc428797300"/>
      <w:bookmarkStart w:id="74" w:name="_Toc430675931"/>
      <w:bookmarkStart w:id="75" w:name="_Toc448481314"/>
      <w:bookmarkEnd w:id="69"/>
      <w:r w:rsidRPr="003A0138">
        <w:rPr>
          <w:rFonts w:eastAsiaTheme="majorEastAsia" w:cstheme="majorBidi"/>
          <w:b/>
          <w:sz w:val="24"/>
          <w:szCs w:val="26"/>
        </w:rPr>
        <w:t>Non-Health Environmental Feedbacks in CGE Models</w:t>
      </w:r>
      <w:bookmarkEnd w:id="70"/>
      <w:bookmarkEnd w:id="71"/>
      <w:bookmarkEnd w:id="72"/>
      <w:bookmarkEnd w:id="73"/>
      <w:bookmarkEnd w:id="74"/>
      <w:bookmarkEnd w:id="75"/>
    </w:p>
    <w:p w14:paraId="07AA25D9" w14:textId="77777777" w:rsidR="003A0138" w:rsidRPr="003A0138" w:rsidRDefault="003A0138" w:rsidP="003A0138">
      <w:pPr>
        <w:spacing w:line="276" w:lineRule="auto"/>
      </w:pPr>
      <w:r w:rsidRPr="003A0138">
        <w:t>A number of studies have incorporated non-health environment-economy linkages in CGE models. These linkages have been found to be important for assessing not only the benefits of policies via their impact on environmental quality, but also the costs of certain policies that may indirectly increase the opportunity cost, or reduce the availability, of non-market goods and services.</w:t>
      </w:r>
      <w:r w:rsidRPr="003A0138" w:rsidDel="00E422DB">
        <w:t xml:space="preserve"> </w:t>
      </w:r>
    </w:p>
    <w:p w14:paraId="257AB586" w14:textId="77777777" w:rsidR="003A0138" w:rsidRPr="003A0138" w:rsidRDefault="003A0138" w:rsidP="003A0138">
      <w:pPr>
        <w:spacing w:line="276" w:lineRule="auto"/>
      </w:pPr>
      <w:r w:rsidRPr="003A0138">
        <w:t>Vennemo (1997), described in the previous section, was one of the first studies to include non-health environmental feedbacks in an applied CGE analysis. Specifically, Vennemo considered the role of environmental policies on depreciation rate of capital, both through reduced sulfuric deposition on buildings and reduced miles traveled on roadways. The study also considered the impact of acidification on forests by modeling the change as a productivity shock to the forestry sector and use of forests by households for recreation.</w:t>
      </w:r>
    </w:p>
    <w:p w14:paraId="6F92984A" w14:textId="77777777" w:rsidR="003A0138" w:rsidRPr="003A0138" w:rsidRDefault="003A0138" w:rsidP="003A0138">
      <w:pPr>
        <w:spacing w:line="276" w:lineRule="auto"/>
      </w:pPr>
      <w:r w:rsidRPr="003A0138">
        <w:t xml:space="preserve">Finnoff and Tschirhart (2008) studied the impact of fishery regulation on the economy by coupling ecological and economic general equilibrium models. Specifically, they linked a recursive dynamic CGE model of the Alaskan economy to a food web model of Alaska’s marine ecosystem to study the welfare impacts in Alaska of regulating commercial fishing of a prominent species to protect the endangered stellar sea lion’s food source. While the economic link is clear with respect to the directly regulated species, the policy also affects other economic sectors as the sea lion, along with its predator the killer whale, play a role in the state’s tourism sector. </w:t>
      </w:r>
    </w:p>
    <w:p w14:paraId="65E93B14" w14:textId="77777777" w:rsidR="003A0138" w:rsidRPr="003A0138" w:rsidRDefault="003A0138" w:rsidP="003A0138">
      <w:pPr>
        <w:spacing w:line="276" w:lineRule="auto"/>
      </w:pPr>
      <w:r w:rsidRPr="003A0138">
        <w:t xml:space="preserve">Their CGE model represented three productions sectors covering fishery, recreation and tourism, and a composite good. Fishing sector operations were constrained by a regulator that selects the total allowable catch and season length for the industry. The regulator’s choices defined the equilibrium populations of the various species included in the food web along with the economic output of the fishing sector. The tourism sector depended on populations of some of these species, particularly “charismatic” species – sea lions, killer whales, and sea otters – that were required to create the “recreation experience” sought by consumers. The linear aggregate of charismatic mammal populations derived from the ecological model was incorporated into a Cobb-Douglas production function for the tourism sector along with capital and labor. In the production function for tourism, the exponent on charismatic populations defined the importance of these species for the sector, and was specified exogenously. Other parameters were calibrated to match benchmark data. </w:t>
      </w:r>
    </w:p>
    <w:p w14:paraId="3F8C5332" w14:textId="77777777" w:rsidR="003A0138" w:rsidRPr="003A0138" w:rsidRDefault="003A0138" w:rsidP="003A0138">
      <w:pPr>
        <w:spacing w:line="276" w:lineRule="auto"/>
      </w:pPr>
      <w:r w:rsidRPr="003A0138">
        <w:t>Finnoff and Tschirhart (2008) modeled the impact of various regulatory policies and found potentially notable general equilibrium effects occurring from both the change in the directly regulated industry and the tourism sector via its ecosystem connection. They also found that the ecosystem connections with the economy played an important role in economic impacts of potential interest to policy makers. While most of the primary factors (capital and labor) utilized in the directly regulated industry reside outside of Alaska, they still found impacts in the domestic labor market, not only due to the real income effect, but also through changes in the tourism sector due to ecosystem changes that result from the policy.</w:t>
      </w:r>
    </w:p>
    <w:p w14:paraId="05607258" w14:textId="77777777" w:rsidR="003A0138" w:rsidRPr="003A0138" w:rsidRDefault="003A0138" w:rsidP="003A0138">
      <w:pPr>
        <w:spacing w:line="276" w:lineRule="auto"/>
      </w:pPr>
      <w:r w:rsidRPr="003A0138">
        <w:t>Antoine et al. (2008) directly introduced non-market recreation services (hunting, fishing, and wildlife viewing) into the EPPA CGE model. While the goal of their study was to establish better estimates for the cost of mitigating greenhouse gas emissions through biofuels policy by representing competing demands for land, the methodological contributions of this work are useful to discuss in the current context. The default category of unmanaged forest in the model was disaggregated into unmanaged but protected forests (e.g., national parks, wildlife reserves) and unmanaged and unprotected forests. Only the latter could be transformed to a managed land type (cropland, pastureland, managed forest, or unmanaged but protected forests).</w:t>
      </w:r>
      <w:r w:rsidRPr="003A0138">
        <w:rPr>
          <w:vertAlign w:val="superscript"/>
        </w:rPr>
        <w:footnoteReference w:id="30"/>
      </w:r>
      <w:r w:rsidRPr="003A0138">
        <w:t xml:space="preserve"> The household sector was expanded to include an outdoor recreation sector, which included hunting and fishing services, wildlife viewing on reserved land, and wildlife viewing on other land. In each case production of the service was a CES combination of land and a Leontief composite of food, transportation, services, leisure, and other expenditures. For wildlife viewing on other land and hunting and fishing, the land input was unmanaged and unprotected forests, while for wildlife viewing on protected land the land input was an improved unmanaged but protected forests, which was a Leontief composite of unmanaged but protected forests and government expenditures.</w:t>
      </w:r>
    </w:p>
    <w:p w14:paraId="600F50E4" w14:textId="77777777" w:rsidR="003A0138" w:rsidRPr="003A0138" w:rsidRDefault="003A0138" w:rsidP="003A0138">
      <w:pPr>
        <w:spacing w:line="276" w:lineRule="auto"/>
      </w:pPr>
      <w:r w:rsidRPr="003A0138">
        <w:t>Antoine et al. (2008) used the extended version of the EPPA model to consider the impact of greenhouse gas mitigation policies on biofuels use and household welfare, both with and without the inclusion of outdoor recreation in the model. They found that, both in the baseline and the policy case, the inclusion of demand for unmanaged forests for outdoor recreation lowered the amount of land converted to biofuel production. This result highlighted how the opportunity cost of biofuels as a mitigation measure was contingent upon the competing demands for land including non-market services, such as outdoor recreation. The authors found this tradeoff associated with non-market services to be a potentially important component for characterizing the social cost of mitigation policy, increasing the welfare costs by around 20% in years where biofuels were considered a relatively cost-effective mitigation strategy by the model.</w:t>
      </w:r>
    </w:p>
    <w:p w14:paraId="469F1A23" w14:textId="77777777" w:rsidR="003A0138" w:rsidRPr="003A0138" w:rsidRDefault="003A0138" w:rsidP="003A0138">
      <w:pPr>
        <w:spacing w:line="276" w:lineRule="auto"/>
      </w:pPr>
      <w:r w:rsidRPr="003A0138">
        <w:t>As noted by Antoine et al. (2008), there are a number of challenges with this approach to incorporating recreation in a CGE model. The CGE model requires benchmark estimates of the value for each of the inputs to the outdoor recreation activities. Even in the U.S., national or regional data for the time spent engaged in these activities is not complete, and for non-U.S. regions, data can be even sparser.</w:t>
      </w:r>
      <w:r w:rsidRPr="003A0138">
        <w:rPr>
          <w:vertAlign w:val="superscript"/>
        </w:rPr>
        <w:footnoteReference w:id="31"/>
      </w:r>
      <w:r w:rsidRPr="003A0138">
        <w:t xml:space="preserve"> There are also data limitations in identifying the type of land used for the outdoor recreation activities. As an approximation, Antoine et al. assumed that all of the outdoor recreation activities take place on forest land, where in reality other land types (e.g., pastureland and grasslands) are also used for some of these activities. The model also assumed that the forest land used for these activities is provided as if supplied by a competitive producer responding to market demand. However, the conversion of land and ability of the owner to effectively price its use might be more challenging in practice. Finally, the literature does not provide readily available estimates for the substitution elasticities that relate the ability for households to substitute between land and other market goods when providing the recreation services and their ability to substitute between outdoor recreation and different activities in their utility function.</w:t>
      </w:r>
    </w:p>
    <w:p w14:paraId="60BA8C5A" w14:textId="77777777" w:rsidR="003A0138" w:rsidRPr="003A0138" w:rsidRDefault="003A0138" w:rsidP="003A0138">
      <w:pPr>
        <w:spacing w:line="276" w:lineRule="auto"/>
      </w:pPr>
      <w:r w:rsidRPr="003A0138">
        <w:t>Carbone and Smith (2013) tested the quantitative importance of general equilibrium welfare effects from improving environmental quality compared to partial equilibrium measures. In this study, the authors extended the U.S. based CGE model of Goulder and Williams (2003) to include SO</w:t>
      </w:r>
      <w:r w:rsidRPr="003A0138">
        <w:rPr>
          <w:vertAlign w:val="subscript"/>
        </w:rPr>
        <w:t>2</w:t>
      </w:r>
      <w:r w:rsidRPr="003A0138">
        <w:t xml:space="preserve"> and NOx emissions and their potential impacts on human health, non-market ecosystem services, and non-use existence services. The base model is a static CGE model with five consumption goods, four intermediate goods, and one basic factor of production (labor) calibrated to a 1995 benchmark year. Carbone and Smith added sector-specific emissions factors for SO</w:t>
      </w:r>
      <w:r w:rsidRPr="003A0138">
        <w:rPr>
          <w:vertAlign w:val="subscript"/>
        </w:rPr>
        <w:t>2</w:t>
      </w:r>
      <w:r w:rsidRPr="003A0138">
        <w:t xml:space="preserve"> and NOx emissions that have effects on lakes and forests through acidic deposition, along with negative human health impacts. They also included two non-market services associated with recreational fisheries and tree cover and a non-use existence value associated with general habitat services. The preferences of the representative agent were defined with a nested CES utility function that combined the non-market services and output from the consumer services sector in a nest that is then combined with leisure to capture the recreational nature of these services. This aggregate leisure/recreation consumption good is then combined with an aggregate market consumption good. Finally, general habitat services are incorporated into the top-level nest. A diagram of this preference structure is provided in </w:t>
      </w:r>
      <w:r w:rsidRPr="003A0138">
        <w:fldChar w:fldCharType="begin"/>
      </w:r>
      <w:r w:rsidRPr="003A0138">
        <w:instrText xml:space="preserve"> REF _Ref417383113 \h  \* MERGEFORMAT </w:instrText>
      </w:r>
      <w:r w:rsidRPr="003A0138">
        <w:fldChar w:fldCharType="separate"/>
      </w:r>
      <w:r w:rsidRPr="003A0138">
        <w:t xml:space="preserve">Figure </w:t>
      </w:r>
      <w:r w:rsidRPr="003A0138">
        <w:rPr>
          <w:noProof/>
        </w:rPr>
        <w:t>2</w:t>
      </w:r>
      <w:r w:rsidRPr="003A0138">
        <w:fldChar w:fldCharType="end"/>
      </w:r>
      <w:r w:rsidRPr="003A0138">
        <w:t>.</w:t>
      </w:r>
    </w:p>
    <w:p w14:paraId="6FA73827" w14:textId="77777777" w:rsidR="003A0138" w:rsidRPr="003A0138" w:rsidRDefault="003A0138" w:rsidP="003A0138">
      <w:pPr>
        <w:spacing w:line="276" w:lineRule="auto"/>
      </w:pPr>
      <w:r w:rsidRPr="003A0138">
        <w:t>The inclusion of these non-health environmental feedbacks presented a unique set of challenges in calibrating the parameters of the CGE model. Basic deposition factors were used to convert emissions estimates in tons to deposition rates in kg/ha on a national scale. The benchmark expenditure shares for these goods in the nested CES utility function were then calibrated such that the marginal WTP for those</w:t>
      </w:r>
    </w:p>
    <w:p w14:paraId="7D2219BD" w14:textId="77777777" w:rsidR="003A0138" w:rsidRPr="003A0138" w:rsidRDefault="003A0138" w:rsidP="003A0138">
      <w:pPr>
        <w:spacing w:line="276" w:lineRule="auto"/>
        <w:jc w:val="center"/>
      </w:pPr>
      <w:r w:rsidRPr="003A0138">
        <w:rPr>
          <w:noProof/>
        </w:rPr>
        <w:drawing>
          <wp:inline distT="0" distB="0" distL="0" distR="0" wp14:anchorId="0CF838BD" wp14:editId="29A56F85">
            <wp:extent cx="5110124" cy="475275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111679" cy="4754199"/>
                    </a:xfrm>
                    <a:prstGeom prst="rect">
                      <a:avLst/>
                    </a:prstGeom>
                    <a:noFill/>
                    <a:ln>
                      <a:noFill/>
                    </a:ln>
                  </pic:spPr>
                </pic:pic>
              </a:graphicData>
            </a:graphic>
          </wp:inline>
        </w:drawing>
      </w:r>
    </w:p>
    <w:p w14:paraId="20426551" w14:textId="77777777" w:rsidR="003A0138" w:rsidRPr="003A0138" w:rsidRDefault="003A0138" w:rsidP="003A0138">
      <w:pPr>
        <w:spacing w:line="276" w:lineRule="auto"/>
        <w:jc w:val="center"/>
        <w:rPr>
          <w:b/>
        </w:rPr>
      </w:pPr>
      <w:bookmarkStart w:id="76" w:name="_Ref417383113"/>
      <w:r w:rsidRPr="003A0138">
        <w:rPr>
          <w:b/>
        </w:rPr>
        <w:t xml:space="preserve">Figure </w:t>
      </w:r>
      <w:r w:rsidRPr="003A0138">
        <w:rPr>
          <w:b/>
        </w:rPr>
        <w:fldChar w:fldCharType="begin"/>
      </w:r>
      <w:r w:rsidRPr="003A0138">
        <w:rPr>
          <w:b/>
        </w:rPr>
        <w:instrText xml:space="preserve"> SEQ Figure \* ARABIC </w:instrText>
      </w:r>
      <w:r w:rsidRPr="003A0138">
        <w:rPr>
          <w:b/>
        </w:rPr>
        <w:fldChar w:fldCharType="separate"/>
      </w:r>
      <w:r w:rsidRPr="003A0138">
        <w:rPr>
          <w:b/>
          <w:noProof/>
        </w:rPr>
        <w:t>2</w:t>
      </w:r>
      <w:r w:rsidRPr="003A0138">
        <w:rPr>
          <w:b/>
        </w:rPr>
        <w:fldChar w:fldCharType="end"/>
      </w:r>
      <w:bookmarkEnd w:id="76"/>
      <w:r w:rsidRPr="003A0138">
        <w:rPr>
          <w:b/>
        </w:rPr>
        <w:t>: Carbone and Smith (2013) Preference Structure (Source: Carbone and Smith, 2013)</w:t>
      </w:r>
    </w:p>
    <w:p w14:paraId="2E359F6E" w14:textId="77777777" w:rsidR="003A0138" w:rsidRPr="003A0138" w:rsidRDefault="003A0138" w:rsidP="003A0138">
      <w:pPr>
        <w:spacing w:line="276" w:lineRule="auto"/>
      </w:pPr>
    </w:p>
    <w:p w14:paraId="5A3211FB" w14:textId="77777777" w:rsidR="003A0138" w:rsidRPr="003A0138" w:rsidRDefault="003A0138" w:rsidP="003A0138">
      <w:pPr>
        <w:spacing w:line="276" w:lineRule="auto"/>
      </w:pPr>
      <w:r w:rsidRPr="003A0138">
        <w:t>services in the model match estimates from the literature. The non-market and existence services were assumed to be quasi-fixed goods, in that they were endogenous to the model’s equilibrium but were considered exogenous by the household. Therefore, analytical expressions relating the benchmark expenditure shares to the marginal WTP were not available, requiring a numerical procedure to calibrate benchmark expenditure shares, along with the other parameters that ensure labor supply elasticities implicit in the model match empirical estimates.</w:t>
      </w:r>
    </w:p>
    <w:p w14:paraId="4DE8ADEA" w14:textId="77777777" w:rsidR="003A0138" w:rsidRPr="003A0138" w:rsidRDefault="003A0138" w:rsidP="003A0138">
      <w:pPr>
        <w:spacing w:line="276" w:lineRule="auto"/>
      </w:pPr>
      <w:r w:rsidRPr="003A0138">
        <w:t xml:space="preserve">The results of the calibration procedure are conditional on assumptions regarding the substitution elasticities in the model, for which there may not be a significant underlying empirical literature to draw upon with respect to non-market services. Carbone and Smith (2013) assumed that general existence and habitat services are just as substitutable for the aggregate consumption of market and non-market goods as use-based non-market services (combined with consumer services and leisure) are for the bundled consumption good. Furthermore, they assumed that for the nests combining consumer services and non-market services and the combination of that aggregate bundle with leisure, that the cross-elasticities within the nests are one-fourth as substitutable compared to how substitutable the aggregate is with the market-based consumption bundle. In terms of </w:t>
      </w:r>
      <w:r w:rsidRPr="003A0138">
        <w:fldChar w:fldCharType="begin"/>
      </w:r>
      <w:r w:rsidRPr="003A0138">
        <w:instrText xml:space="preserve"> REF _Ref417383113 \h  \* MERGEFORMAT </w:instrText>
      </w:r>
      <w:r w:rsidRPr="003A0138">
        <w:fldChar w:fldCharType="separate"/>
      </w:r>
      <w:r w:rsidRPr="003A0138">
        <w:t xml:space="preserve">Figure </w:t>
      </w:r>
      <w:r w:rsidRPr="003A0138">
        <w:rPr>
          <w:noProof/>
        </w:rPr>
        <w:t>2</w:t>
      </w:r>
      <w:r w:rsidRPr="003A0138">
        <w:fldChar w:fldCharType="end"/>
      </w:r>
      <w:r w:rsidRPr="003A0138">
        <w:t xml:space="preserve">, these assumption imply that </w:t>
      </w:r>
      <w:r w:rsidRPr="003A0138">
        <w:rPr>
          <w:position w:val="-10"/>
        </w:rPr>
        <w:object w:dxaOrig="720" w:dyaOrig="320" w14:anchorId="7AB175C1">
          <v:shape id="_x0000_i1042" type="#_x0000_t75" style="width:36.75pt;height:14.25pt" o:ole="">
            <v:imagedata r:id="rId53" o:title=""/>
          </v:shape>
          <o:OLEObject Type="Embed" ProgID="Equation.DSMT4" ShapeID="_x0000_i1042" DrawAspect="Content" ObjectID="_1522242432" r:id="rId54"/>
        </w:object>
      </w:r>
      <w:r w:rsidRPr="003A0138">
        <w:t xml:space="preserve">and </w:t>
      </w:r>
      <w:r w:rsidRPr="003A0138">
        <w:rPr>
          <w:position w:val="-10"/>
        </w:rPr>
        <w:object w:dxaOrig="1440" w:dyaOrig="320" w14:anchorId="04FF599D">
          <v:shape id="_x0000_i1043" type="#_x0000_t75" style="width:1in;height:14.25pt" o:ole="">
            <v:imagedata r:id="rId55" o:title=""/>
          </v:shape>
          <o:OLEObject Type="Embed" ProgID="Equation.DSMT4" ShapeID="_x0000_i1043" DrawAspect="Content" ObjectID="_1522242433" r:id="rId56"/>
        </w:object>
      </w:r>
      <w:r w:rsidRPr="003A0138">
        <w:t xml:space="preserve">. </w:t>
      </w:r>
    </w:p>
    <w:p w14:paraId="7264BAC7" w14:textId="77777777" w:rsidR="003A0138" w:rsidRPr="003A0138" w:rsidRDefault="003A0138" w:rsidP="003A0138">
      <w:pPr>
        <w:spacing w:line="276" w:lineRule="auto"/>
      </w:pPr>
      <w:r w:rsidRPr="003A0138">
        <w:t>Changes in level/quality of the non-market services have an effect on the economy through changes in agent’s consumption patterns and supply of labor. Changes in general habitat services, even as a non-use category, have an effect on market services through the change in marginal utility. Carbone and Smith (2013) conducted a series of experiments with their model to compare the welfare change with and without the general equilibrium effects brought about through changes in environmental quality from polices to reduce SO</w:t>
      </w:r>
      <w:r w:rsidRPr="003A0138">
        <w:rPr>
          <w:vertAlign w:val="subscript"/>
        </w:rPr>
        <w:t>2</w:t>
      </w:r>
      <w:r w:rsidRPr="003A0138">
        <w:t xml:space="preserve"> and NOx emissions. For a policy resulting in a 40% emissions reduction, roughly the magnitude of the CAAA impact, and focusing only on improvements to recreational fisheries, they found that including general equilibrium effects increases the estimate of the welfare improvement by 12% to 55%. The range is based on a sensitivity analysis around the substitutability between market and non-market consumption. The lower end of the range assumes greater substitutability relative to the reference case, while the higher end of the range assumes that they are stronger complements than in the reference case.</w:t>
      </w:r>
      <w:r w:rsidRPr="003A0138">
        <w:rPr>
          <w:vertAlign w:val="superscript"/>
        </w:rPr>
        <w:footnoteReference w:id="32"/>
      </w:r>
      <w:r w:rsidRPr="003A0138">
        <w:t xml:space="preserve">  These results led the authors to conclude that even when the value of non-market services is a small fraction of the aggregate value of the economy, the general equilibrium effects stemming from how changes in environmental quality change household behavior in economic markets may be notable. </w:t>
      </w:r>
    </w:p>
    <w:p w14:paraId="1D5E5D28" w14:textId="77777777" w:rsidR="003A0138" w:rsidRPr="003A0138" w:rsidRDefault="003A0138" w:rsidP="003A0138">
      <w:pPr>
        <w:spacing w:line="276" w:lineRule="auto"/>
      </w:pPr>
      <w:r w:rsidRPr="003A0138">
        <w:t>Carbone and Smith (2013) also included some health impacts of SO</w:t>
      </w:r>
      <w:r w:rsidRPr="003A0138">
        <w:rPr>
          <w:vertAlign w:val="subscript"/>
        </w:rPr>
        <w:t>2</w:t>
      </w:r>
      <w:r w:rsidRPr="003A0138">
        <w:t xml:space="preserve"> and NOx emissions in a manner similar to those discussed in Sections 3.1 and 3.2. Specifically, they considered the lost time endowment associated with hospital admissions due to respiratory ailments induced by SO</w:t>
      </w:r>
      <w:r w:rsidRPr="003A0138">
        <w:rPr>
          <w:vertAlign w:val="subscript"/>
        </w:rPr>
        <w:t>2</w:t>
      </w:r>
      <w:r w:rsidRPr="003A0138">
        <w:t xml:space="preserve"> and NOx emissions. They found that the welfare effects are small and have a negligible effect on the general equilibrium effects of changes in environmental quality, which is in line with the fact that hospital admissions represent a relatively small portion of the health impacts associated with SO</w:t>
      </w:r>
      <w:r w:rsidRPr="003A0138">
        <w:rPr>
          <w:vertAlign w:val="subscript"/>
        </w:rPr>
        <w:t>2</w:t>
      </w:r>
      <w:r w:rsidRPr="003A0138">
        <w:t xml:space="preserve"> and NOx emissions.</w:t>
      </w:r>
    </w:p>
    <w:p w14:paraId="48287A8F" w14:textId="77777777" w:rsidR="003A0138" w:rsidRPr="003A0138" w:rsidRDefault="003A0138" w:rsidP="00083C21">
      <w:pPr>
        <w:keepNext/>
        <w:keepLines/>
        <w:numPr>
          <w:ilvl w:val="1"/>
          <w:numId w:val="3"/>
        </w:numPr>
        <w:tabs>
          <w:tab w:val="num" w:pos="360"/>
        </w:tabs>
        <w:spacing w:before="40" w:line="276" w:lineRule="auto"/>
        <w:ind w:left="576" w:hanging="576"/>
        <w:outlineLvl w:val="1"/>
        <w:rPr>
          <w:rFonts w:eastAsiaTheme="majorEastAsia" w:cstheme="majorBidi"/>
          <w:b/>
          <w:sz w:val="24"/>
          <w:szCs w:val="26"/>
        </w:rPr>
      </w:pPr>
      <w:bookmarkStart w:id="77" w:name="_Toc428797301"/>
      <w:bookmarkStart w:id="78" w:name="_Toc430675932"/>
      <w:bookmarkStart w:id="79" w:name="_Toc448481315"/>
      <w:r w:rsidRPr="003A0138">
        <w:rPr>
          <w:rFonts w:eastAsiaTheme="majorEastAsia" w:cstheme="majorBidi"/>
          <w:b/>
          <w:sz w:val="24"/>
          <w:szCs w:val="26"/>
        </w:rPr>
        <w:t>Benefit-Side Tax Interaction Effects</w:t>
      </w:r>
      <w:bookmarkEnd w:id="77"/>
      <w:bookmarkEnd w:id="78"/>
      <w:bookmarkEnd w:id="79"/>
    </w:p>
    <w:p w14:paraId="53F28E2C" w14:textId="77777777" w:rsidR="003A0138" w:rsidRPr="003A0138" w:rsidRDefault="003A0138" w:rsidP="003A0138">
      <w:pPr>
        <w:spacing w:line="276" w:lineRule="auto"/>
      </w:pPr>
      <w:r w:rsidRPr="003A0138">
        <w:t>The effects of environmental policy in a second-best setting that accounts for pre-existing tax distortions has been widely studied. Initial work in this area focused on tax interaction and revenue recycling effects on the cost side of the equation, finding general equilibrium effects to be of first order importance.</w:t>
      </w:r>
      <w:r w:rsidRPr="003A0138">
        <w:rPr>
          <w:vertAlign w:val="superscript"/>
        </w:rPr>
        <w:footnoteReference w:id="33"/>
      </w:r>
      <w:r w:rsidRPr="003A0138">
        <w:t xml:space="preserve"> Subsequently, researchers have examined the role of interactions between pre-existing market distortions and the benefits of improved environmental quality. As noted by Bovenberg and Mooij (1994), if environmental quality enters the utility function in a non-separable fashion, changes to environmental quality will affect the household’s labor-leisure choice, thereby working to exacerbate or mitigate, depending on the specifics of the situation, the effects of pre-existing factor market distortions. </w:t>
      </w:r>
    </w:p>
    <w:p w14:paraId="1B45201A" w14:textId="77777777" w:rsidR="003A0138" w:rsidRPr="003A0138" w:rsidRDefault="003A0138" w:rsidP="003A0138">
      <w:pPr>
        <w:spacing w:line="276" w:lineRule="auto"/>
      </w:pPr>
      <w:r w:rsidRPr="003A0138">
        <w:t xml:space="preserve">Williams (2002) provided an intuitive approach to understanding the potential interaction of environmental improvements and distortionary factor market taxes in a static setting. The model considered an economy producing two goods that are consumed by a representative household, and a government that is financed through a labor tax. Production of one good negatively affects environmental quality, which can affect household utility directly (weakly separable with respect to consumption and leisure), the household’s time endowment, their demand for medical services, and the efficiency of production. Williams showed that the welfare impact associated with internalizing the pollution externality using a revenue neutral tax on the production of the dirty good can be separated into four effects: the primary welfare effect, the revenue recycling effect, the cost-side tax interaction effect, and the benefit-side tax interaction effect. </w:t>
      </w:r>
    </w:p>
    <w:p w14:paraId="45ED516C" w14:textId="77777777" w:rsidR="003A0138" w:rsidRPr="003A0138" w:rsidRDefault="003A0138" w:rsidP="003A0138">
      <w:pPr>
        <w:spacing w:line="276" w:lineRule="auto"/>
      </w:pPr>
      <w:r w:rsidRPr="003A0138">
        <w:t>The primary welfare effect captures the net benefits of an improvement in environmental quality in the absence of the distortionary labor tax, including any potential general equilibrium effects of the policy. In the case where the government raises revenue from labor taxes, the remaining three effects may be non-zero. The revenue recycling component accounts for the welfare gain associated with the government using revenues from the pollution tax to reduce the distortionary labor tax rate, thereby incentivizing labor.</w:t>
      </w:r>
      <w:r w:rsidRPr="003A0138">
        <w:rPr>
          <w:vertAlign w:val="superscript"/>
        </w:rPr>
        <w:footnoteReference w:id="34"/>
      </w:r>
      <w:r w:rsidRPr="003A0138">
        <w:t xml:space="preserve"> The cost-side tax interaction effect captures the fact that policies may implicitly lower the real wage through higher prices on goods and services, which may further exacerbate the existing labor market distortion through a decrease in labor.</w:t>
      </w:r>
    </w:p>
    <w:p w14:paraId="3C597D1E" w14:textId="77777777" w:rsidR="003A0138" w:rsidRPr="003A0138" w:rsidRDefault="003A0138" w:rsidP="003A0138">
      <w:pPr>
        <w:spacing w:line="276" w:lineRule="auto"/>
      </w:pPr>
      <w:r w:rsidRPr="003A0138">
        <w:t xml:space="preserve">The fourth effect, the benefit-side tax interaction effect, captures the interaction between the impacts of improvements in environmental quality and pre-existing distortionary taxes. The magnitude and sign of the benefit-side tax interaction effect is conditional on how changes in environmental quality affect firms and households. For example, if an improvement in environmental quality increases the production efficiency of firms, this reduces their marginal cost of production, effectively acting as an increase in the household’s real wage, which incentivizes labor. In this case, the benefits of the improvement are higher, as they work to mitigate the impacts of the pre-existing distortion. If instead the improvement in environmental quality increases the productivity of a fixed factor (e.g., increase agriculture/land productivity), this acts as an income effect for households, thereby exacerbating the pre-existing distortion and reducing the benefits from the improvement. </w:t>
      </w:r>
    </w:p>
    <w:p w14:paraId="5021BC6B" w14:textId="77777777" w:rsidR="003A0138" w:rsidRPr="003A0138" w:rsidRDefault="003A0138" w:rsidP="003A0138">
      <w:pPr>
        <w:spacing w:line="276" w:lineRule="auto"/>
      </w:pPr>
      <w:r w:rsidRPr="003A0138">
        <w:t>The benefit-side tax interaction effect is ambiguous if improvements in environmental quality increase the household’s time endowment. This effect is particularly relevant for policies that improve public health through improvements in air quality, since as noted above, this effect may be viewed as increase the amount of time available to the household. This change improves the well-being of the household such that there is an income effect, which increases leisure (decreases labor). However, the household will also have more time to devote to all activities, so the net effect on labor supply is ambiguous.</w:t>
      </w:r>
    </w:p>
    <w:p w14:paraId="39462A84" w14:textId="77777777" w:rsidR="003A0138" w:rsidRPr="003A0138" w:rsidRDefault="003A0138" w:rsidP="003A0138">
      <w:pPr>
        <w:spacing w:line="276" w:lineRule="auto"/>
      </w:pPr>
      <w:r w:rsidRPr="003A0138">
        <w:t xml:space="preserve">In his conceptual model, Williams (2002) assumed that the demand for medical services was a function of environmental quality only and therefore only acts to reduce household income. Thus, an improvement in environmental quality means that a household no longer needs to spend a portion of their income on medical services to address the health effects of pollution. The resulting increase in leisure from the income effect exacerbates the pre-existing distortion and reduces the overall benefits of the environmental improvement. </w:t>
      </w:r>
    </w:p>
    <w:p w14:paraId="53D9D508" w14:textId="77777777" w:rsidR="003A0138" w:rsidRPr="003A0138" w:rsidRDefault="003A0138" w:rsidP="003A0138">
      <w:pPr>
        <w:spacing w:line="276" w:lineRule="auto"/>
      </w:pPr>
      <w:r w:rsidRPr="003A0138">
        <w:t>It is unclear how this last result generalizes to applied settings where a portion of a country’s medical expenditures are financed through labor taxes (e.g., Medicare, Medicaid). In their applied studies (which take place outside of the United States), Li (2002) and Mayeres and van Regemorter (2008) took this into account, but in neither case is the benefit-side tax interaction effect investigated. However, a number of theoretical studies have considered the potential for interactions between the health benefits of improved environmental quality and distortions in the healthcare market. Parry and Bento (2000) studied the tax interaction effect in the presence of tax deductions for some consumption goods, and established the intuition that the effect of environmental policies could mitigate such economic distortions if it led to a reduction in the sub-optimal overconsumption of such goods due to the subsidy. Caffet (2005) and Yamagami (2009) built of this work and explicitly incorporated subsidies for medical expenditures into the theoretical model of William (2002). They found that in the case of distorted markets for healthcare goods and services that it is possible for the health benefits of improved environmental quality to have additional impacts through reducing demand for healthcare goods and services and therefore mitigating the economic inefficiencies of subsidies in those markets.</w:t>
      </w:r>
    </w:p>
    <w:p w14:paraId="15BB5910" w14:textId="7A5059B4" w:rsidR="003A0138" w:rsidRPr="00D73359" w:rsidRDefault="003A0138" w:rsidP="003A0138">
      <w:pPr>
        <w:spacing w:line="276" w:lineRule="auto"/>
      </w:pPr>
      <w:r w:rsidRPr="003A0138">
        <w:t>In addition to the previously described interactions, the introduction of environmental quality into a dynamic setting may lead to additional interactions with respect to the way in which changes in mortality risk affect savings decisions, which may interact with other pre-existing capital taxes. The specific magnitude and ultimate impact of the interactions on the net benefits of air regulations in the United States is an empirical question that requires additional study. However, it is possible that benefit-side general equilibrium interactions could be of first order importance for understanding the net welfare impacts of environmental policies. Though studying those effects in an empirical setting may have numerous challenges including the definition of appropriate closure rules in a dynamic setting.</w:t>
      </w:r>
    </w:p>
    <w:p w14:paraId="75C7D92F" w14:textId="617E6B32" w:rsidR="00F32730" w:rsidRPr="00E8604B" w:rsidRDefault="00650423" w:rsidP="003A0138">
      <w:pPr>
        <w:pStyle w:val="Heading1"/>
      </w:pPr>
      <w:bookmarkStart w:id="80" w:name="_Toc427324775"/>
      <w:bookmarkStart w:id="81" w:name="_Toc448481316"/>
      <w:r w:rsidRPr="00E8604B">
        <w:t>Concluding Remarks</w:t>
      </w:r>
      <w:bookmarkEnd w:id="80"/>
      <w:bookmarkEnd w:id="81"/>
    </w:p>
    <w:p w14:paraId="2A0FF33E" w14:textId="77777777" w:rsidR="008C191D" w:rsidRPr="007140BD" w:rsidRDefault="008C191D" w:rsidP="00C62A07">
      <w:pPr>
        <w:spacing w:line="276" w:lineRule="auto"/>
      </w:pPr>
    </w:p>
    <w:p w14:paraId="72C715D6" w14:textId="77777777" w:rsidR="00402EE4" w:rsidRPr="00B3444D" w:rsidRDefault="00402EE4" w:rsidP="00402EE4">
      <w:pPr>
        <w:spacing w:line="276" w:lineRule="auto"/>
      </w:pPr>
      <w:r w:rsidRPr="00B3444D">
        <w:t xml:space="preserve">This paper covers a wide range of topics in an attempt to inform </w:t>
      </w:r>
      <w:r>
        <w:t xml:space="preserve">these </w:t>
      </w:r>
      <w:r w:rsidRPr="00B3444D">
        <w:t>overarching question</w:t>
      </w:r>
      <w:r>
        <w:t>s</w:t>
      </w:r>
      <w:r w:rsidRPr="00B3444D">
        <w:t>.  In particular, this paper describes:</w:t>
      </w:r>
    </w:p>
    <w:p w14:paraId="5A9DA1EF" w14:textId="77777777" w:rsidR="00402EE4" w:rsidRPr="00B3444D" w:rsidRDefault="00402EE4" w:rsidP="00083C21">
      <w:pPr>
        <w:pStyle w:val="ListParagraph"/>
        <w:numPr>
          <w:ilvl w:val="0"/>
          <w:numId w:val="4"/>
        </w:numPr>
        <w:spacing w:line="276" w:lineRule="auto"/>
      </w:pPr>
      <w:r w:rsidRPr="00B3444D">
        <w:t xml:space="preserve">The basic aspects of BCA as conducted by the EPA to estimate the social costs </w:t>
      </w:r>
      <w:r>
        <w:t xml:space="preserve">and benefits </w:t>
      </w:r>
      <w:r w:rsidRPr="00B3444D">
        <w:t>of air quality regulations;</w:t>
      </w:r>
    </w:p>
    <w:p w14:paraId="6C5A3CF1" w14:textId="77777777" w:rsidR="00402EE4" w:rsidRDefault="00402EE4" w:rsidP="00083C21">
      <w:pPr>
        <w:pStyle w:val="ListParagraph"/>
        <w:numPr>
          <w:ilvl w:val="0"/>
          <w:numId w:val="4"/>
        </w:numPr>
        <w:spacing w:line="276" w:lineRule="auto"/>
      </w:pPr>
      <w:r>
        <w:t>How the benefits of air quality regulations are analyzed by EPA, with the main focus on the damage function approach;</w:t>
      </w:r>
    </w:p>
    <w:p w14:paraId="5CE0D1B3" w14:textId="77777777" w:rsidR="00402EE4" w:rsidRPr="00B3444D" w:rsidRDefault="00402EE4" w:rsidP="00083C21">
      <w:pPr>
        <w:pStyle w:val="ListParagraph"/>
        <w:numPr>
          <w:ilvl w:val="0"/>
          <w:numId w:val="4"/>
        </w:numPr>
        <w:spacing w:line="276" w:lineRule="auto"/>
      </w:pPr>
      <w:r w:rsidRPr="00B3444D">
        <w:t>How social costs of air regulations are typically analyzed by the EPA, ranging from engineering to partial equilibrium to general equilibrium approaches;</w:t>
      </w:r>
      <w:r>
        <w:t xml:space="preserve"> and</w:t>
      </w:r>
    </w:p>
    <w:p w14:paraId="37D9AC73" w14:textId="77777777" w:rsidR="00402EE4" w:rsidRPr="00B3444D" w:rsidRDefault="00402EE4" w:rsidP="00083C21">
      <w:pPr>
        <w:pStyle w:val="ListParagraph"/>
        <w:numPr>
          <w:ilvl w:val="0"/>
          <w:numId w:val="4"/>
        </w:numPr>
        <w:spacing w:line="276" w:lineRule="auto"/>
      </w:pPr>
      <w:r w:rsidRPr="00B3444D">
        <w:t>The range and complexity of EPA air regulations and the main challenges that may be encountered when attempting t</w:t>
      </w:r>
      <w:r>
        <w:t>o represent them in a CGE model.</w:t>
      </w:r>
    </w:p>
    <w:p w14:paraId="53EEA308" w14:textId="4FD41969" w:rsidR="004150AD" w:rsidRDefault="004150AD" w:rsidP="00C62A07">
      <w:pPr>
        <w:spacing w:line="276" w:lineRule="auto"/>
      </w:pPr>
      <w:r w:rsidRPr="00B3444D">
        <w:t xml:space="preserve">EPA has </w:t>
      </w:r>
      <w:r w:rsidR="004216FD" w:rsidRPr="00B3444D">
        <w:t xml:space="preserve">extensive experience </w:t>
      </w:r>
      <w:r w:rsidR="007A6636" w:rsidRPr="00B3444D">
        <w:t xml:space="preserve">using detailed engineering and partial equilibrium models </w:t>
      </w:r>
      <w:r w:rsidR="004216FD" w:rsidRPr="00B3444D">
        <w:t xml:space="preserve">to estimate the </w:t>
      </w:r>
      <w:r w:rsidR="007A6636" w:rsidRPr="00B3444D">
        <w:t xml:space="preserve">direct </w:t>
      </w:r>
      <w:r w:rsidR="004216FD" w:rsidRPr="00B3444D">
        <w:t>compliance costs of regulation</w:t>
      </w:r>
      <w:r w:rsidRPr="00B3444D">
        <w:t xml:space="preserve">. </w:t>
      </w:r>
      <w:r w:rsidR="004216FD" w:rsidRPr="00B3444D">
        <w:t xml:space="preserve">However, when </w:t>
      </w:r>
      <w:r w:rsidR="007A6636" w:rsidRPr="00B3444D">
        <w:t xml:space="preserve">the effects of an </w:t>
      </w:r>
      <w:r w:rsidR="004216FD" w:rsidRPr="00B3444D">
        <w:t xml:space="preserve">air regulation are expected to ripple throughout the economy these modeling approaches </w:t>
      </w:r>
      <w:r w:rsidR="007B4EAB" w:rsidRPr="00B3444D">
        <w:t>may mis</w:t>
      </w:r>
      <w:r w:rsidR="007A6636" w:rsidRPr="00B3444D">
        <w:t>estimate</w:t>
      </w:r>
      <w:r w:rsidR="004216FD" w:rsidRPr="00B3444D">
        <w:t xml:space="preserve"> social cost. </w:t>
      </w:r>
      <w:r w:rsidRPr="00B3444D">
        <w:t>CGE</w:t>
      </w:r>
      <w:r w:rsidR="004216FD" w:rsidRPr="00B3444D">
        <w:t xml:space="preserve"> model</w:t>
      </w:r>
      <w:r w:rsidRPr="00B3444D">
        <w:t xml:space="preserve">s </w:t>
      </w:r>
      <w:r w:rsidR="004216FD" w:rsidRPr="00B3444D">
        <w:t xml:space="preserve">capture such ripple effects but have been used less often by the EPA to analyze the social costs of air regulations. </w:t>
      </w:r>
      <w:r w:rsidRPr="00B3444D">
        <w:t xml:space="preserve">A fundamental </w:t>
      </w:r>
      <w:r w:rsidR="008C191D">
        <w:t>question</w:t>
      </w:r>
      <w:r w:rsidRPr="00B3444D">
        <w:t xml:space="preserve"> is</w:t>
      </w:r>
      <w:r w:rsidR="008C191D">
        <w:t>,</w:t>
      </w:r>
      <w:r w:rsidRPr="00B3444D">
        <w:t xml:space="preserve"> what’s lost and what’s gained by moving </w:t>
      </w:r>
      <w:r w:rsidR="007A6636" w:rsidRPr="00B3444D">
        <w:t>beyond</w:t>
      </w:r>
      <w:r w:rsidRPr="00B3444D">
        <w:t xml:space="preserve"> </w:t>
      </w:r>
      <w:r w:rsidR="007A6636" w:rsidRPr="00B3444D">
        <w:t>an engineering</w:t>
      </w:r>
      <w:r w:rsidRPr="00B3444D">
        <w:t xml:space="preserve"> </w:t>
      </w:r>
      <w:r w:rsidR="00E03BAA" w:rsidRPr="00B3444D">
        <w:t>and/</w:t>
      </w:r>
      <w:r w:rsidR="00FC41E9" w:rsidRPr="00B3444D">
        <w:t xml:space="preserve">or partial equilibrium </w:t>
      </w:r>
      <w:r w:rsidR="00E03BAA" w:rsidRPr="00B3444D">
        <w:t xml:space="preserve">approach </w:t>
      </w:r>
      <w:r w:rsidRPr="00B3444D">
        <w:t xml:space="preserve">to </w:t>
      </w:r>
      <w:r w:rsidR="007A6636" w:rsidRPr="00B3444D">
        <w:t>a</w:t>
      </w:r>
      <w:r w:rsidRPr="00B3444D">
        <w:t xml:space="preserve"> CGE framework</w:t>
      </w:r>
      <w:r w:rsidR="00940CC9" w:rsidRPr="00B3444D">
        <w:t xml:space="preserve"> when estimating social cost</w:t>
      </w:r>
      <w:r w:rsidRPr="00B3444D">
        <w:t>?</w:t>
      </w:r>
    </w:p>
    <w:p w14:paraId="528DC19F" w14:textId="4D1FD710" w:rsidR="00402EE4" w:rsidRDefault="00402EE4" w:rsidP="00402EE4">
      <w:pPr>
        <w:spacing w:line="276" w:lineRule="auto"/>
      </w:pPr>
      <w:r w:rsidRPr="00402EE4">
        <w:t xml:space="preserve">EPA </w:t>
      </w:r>
      <w:r>
        <w:t>also routinely models</w:t>
      </w:r>
      <w:r w:rsidRPr="00402EE4">
        <w:t xml:space="preserve"> changes in air quality in response to regulations that act to reduce the emission of pollutants into the atmosphere and subsequently estimating households’ willingness to pay for those air quality improvements using a damage-function approach. However, while many of the estimates used for households’ marginal WTP for improvements in various endpoints are derived, in part, by leveraging the influence environmental quality has on economic activity, these feedback effects are not typically considered in the analysis of air regulations. EPA has some experience estimating the economy-wide impact that some of the health benefits borne by improvements in air quality may have (US EPA, 2011), though</w:t>
      </w:r>
      <w:r>
        <w:t xml:space="preserve"> </w:t>
      </w:r>
      <w:r w:rsidRPr="00402EE4">
        <w:t>technical challenges and important methodological questions remain</w:t>
      </w:r>
      <w:r>
        <w:t>.</w:t>
      </w:r>
    </w:p>
    <w:p w14:paraId="2723726E" w14:textId="4BF62E15" w:rsidR="00DA24FF" w:rsidRPr="00E94BD2" w:rsidRDefault="002240C1" w:rsidP="00E94BD2">
      <w:pPr>
        <w:spacing w:line="276" w:lineRule="auto"/>
      </w:pPr>
      <w:r>
        <w:t xml:space="preserve">The EPA </w:t>
      </w:r>
      <w:r w:rsidR="00182DDD">
        <w:t>is currently seeking</w:t>
      </w:r>
      <w:r>
        <w:t xml:space="preserve"> guidance from </w:t>
      </w:r>
      <w:r w:rsidR="00182DDD">
        <w:t>its</w:t>
      </w:r>
      <w:r>
        <w:t xml:space="preserve"> </w:t>
      </w:r>
      <w:r w:rsidR="00182DDD">
        <w:t>Science Advisory Board</w:t>
      </w:r>
      <w:r>
        <w:t xml:space="preserve"> on how to weigh the technical merits and challenges of using CGE models when estimating the social cost </w:t>
      </w:r>
      <w:r w:rsidR="00402EE4">
        <w:t xml:space="preserve">and benefits </w:t>
      </w:r>
      <w:r>
        <w:t xml:space="preserve">of air regulations. </w:t>
      </w:r>
      <w:r w:rsidR="00AA7DB9">
        <w:t>Given heterogeneity across</w:t>
      </w:r>
      <w:r w:rsidR="00AA7DB9" w:rsidRPr="00AA7DB9">
        <w:t xml:space="preserve"> air regulations </w:t>
      </w:r>
      <w:r w:rsidR="00AA7DB9">
        <w:t xml:space="preserve">with regard to </w:t>
      </w:r>
      <w:r w:rsidR="00AA7DB9" w:rsidRPr="00AA7DB9">
        <w:t xml:space="preserve">their attributes </w:t>
      </w:r>
      <w:r w:rsidR="00AA7DB9">
        <w:t>and main sources of uncertainty</w:t>
      </w:r>
      <w:r w:rsidR="00AA7DB9" w:rsidRPr="00AA7DB9">
        <w:t xml:space="preserve">, it is likely that the modeling tools deemed most appropriate for estimation will be regulation-specific. For some regulations, an engineering or partial equilibrium approach may be adequate. For other regulations, </w:t>
      </w:r>
      <w:r w:rsidR="00AA7DB9">
        <w:t>an economy-wide</w:t>
      </w:r>
      <w:r w:rsidR="00AA7DB9" w:rsidRPr="00AA7DB9">
        <w:t xml:space="preserve"> approach may add value over an engineering or partial equilibrium approach.</w:t>
      </w:r>
      <w:r w:rsidR="00AA7DB9">
        <w:t xml:space="preserve"> </w:t>
      </w:r>
      <w:r w:rsidR="00402EE4">
        <w:t>T</w:t>
      </w:r>
      <w:r w:rsidR="00AA7DB9">
        <w:t xml:space="preserve">he literature offers little specific guidance regarding what criteria to use to determine the choice of modeling tools and the relative importance of different model attributes. </w:t>
      </w:r>
      <w:r w:rsidR="00733957" w:rsidRPr="008559A7">
        <w:t xml:space="preserve">There are </w:t>
      </w:r>
      <w:r w:rsidR="00733957">
        <w:t>many</w:t>
      </w:r>
      <w:r w:rsidR="00733957" w:rsidRPr="008559A7">
        <w:t xml:space="preserve"> pa</w:t>
      </w:r>
      <w:r w:rsidR="00733957">
        <w:t xml:space="preserve">rameters and design features of </w:t>
      </w:r>
      <w:r w:rsidR="00733957" w:rsidRPr="008559A7">
        <w:t>CGE</w:t>
      </w:r>
      <w:r w:rsidR="00733957">
        <w:t xml:space="preserve"> model</w:t>
      </w:r>
      <w:r w:rsidR="00733957" w:rsidRPr="008559A7">
        <w:t xml:space="preserve">s that may have sizeable effects on </w:t>
      </w:r>
      <w:r w:rsidR="00E94BD2">
        <w:t>welfare</w:t>
      </w:r>
      <w:r w:rsidR="00733957">
        <w:t xml:space="preserve"> estimates</w:t>
      </w:r>
      <w:r w:rsidR="00733957" w:rsidRPr="008559A7">
        <w:t xml:space="preserve">. </w:t>
      </w:r>
      <w:r w:rsidR="00AA7DB9">
        <w:t xml:space="preserve">In addition, representing an air regulation in a CGE model may require a different approach than that used to model a tax. </w:t>
      </w:r>
    </w:p>
    <w:p w14:paraId="03D8077D" w14:textId="77777777" w:rsidR="00E94BD2" w:rsidRDefault="00E94BD2">
      <w:pPr>
        <w:jc w:val="left"/>
        <w:rPr>
          <w:rFonts w:eastAsiaTheme="majorEastAsia" w:cstheme="majorBidi"/>
          <w:b/>
          <w:sz w:val="32"/>
          <w:szCs w:val="32"/>
        </w:rPr>
      </w:pPr>
      <w:bookmarkStart w:id="82" w:name="_Toc427324776"/>
      <w:r>
        <w:br w:type="page"/>
      </w:r>
    </w:p>
    <w:p w14:paraId="4AC78B4A" w14:textId="3E52A6DB" w:rsidR="00CD1315" w:rsidRPr="00364008" w:rsidRDefault="00432350" w:rsidP="003A0138">
      <w:pPr>
        <w:pStyle w:val="Heading1"/>
      </w:pPr>
      <w:bookmarkStart w:id="83" w:name="_Toc448481317"/>
      <w:r w:rsidRPr="00FA0302">
        <w:t>Ref</w:t>
      </w:r>
      <w:r w:rsidR="000E7E8C" w:rsidRPr="00364008">
        <w:t>e</w:t>
      </w:r>
      <w:r w:rsidRPr="00364008">
        <w:t>rences</w:t>
      </w:r>
      <w:bookmarkEnd w:id="82"/>
      <w:bookmarkEnd w:id="83"/>
    </w:p>
    <w:p w14:paraId="651516A9" w14:textId="77777777" w:rsidR="00C4770B" w:rsidRPr="00364008" w:rsidRDefault="00C4770B" w:rsidP="00020822">
      <w:pPr>
        <w:spacing w:line="276" w:lineRule="auto"/>
        <w:jc w:val="left"/>
      </w:pPr>
    </w:p>
    <w:p w14:paraId="2D6EAF31" w14:textId="24BE2FBE" w:rsidR="00C4770B" w:rsidRPr="00A77FB2" w:rsidRDefault="002D15A8" w:rsidP="00CA0267">
      <w:pPr>
        <w:spacing w:after="100" w:afterAutospacing="1" w:line="276" w:lineRule="auto"/>
        <w:jc w:val="left"/>
      </w:pPr>
      <w:r w:rsidRPr="00ED46C4">
        <w:t xml:space="preserve">Abler, D., Rodriguez, A., and Shortle, J. 1999. “Parameter Uncertainty in CGE Modeling of the Environmental Impacts of Economic Policies.” </w:t>
      </w:r>
      <w:r w:rsidRPr="00E16A96">
        <w:rPr>
          <w:i/>
        </w:rPr>
        <w:t>Environmental and Resource Economics</w:t>
      </w:r>
      <w:r w:rsidRPr="00291A63">
        <w:t xml:space="preserve"> 14: 75-94</w:t>
      </w:r>
      <w:r w:rsidR="00C4770B" w:rsidRPr="00291A63">
        <w:t>.</w:t>
      </w:r>
    </w:p>
    <w:p w14:paraId="2D2D26E1" w14:textId="748E7794" w:rsidR="00385B2F" w:rsidRDefault="00385B2F" w:rsidP="00CA0267">
      <w:pPr>
        <w:spacing w:after="100" w:afterAutospacing="1" w:line="276" w:lineRule="auto"/>
        <w:jc w:val="left"/>
      </w:pPr>
      <w:r>
        <w:t xml:space="preserve">Adrianmananjara, S., Dean, J., Feinberg, R., Ferrantino, M., Ludema, R., and Tsigas, M. 2004. “The Effects of Non-Tariff Measures on Prices, Trade, and Welfare: CGE Implementation of Policy-Based Price Comparisons.” Office of Economic Working Paper, U.S. International Trade Commission. </w:t>
      </w:r>
    </w:p>
    <w:p w14:paraId="443A7EAE" w14:textId="38393EAF" w:rsidR="007A414B" w:rsidRPr="00A77FB2" w:rsidRDefault="007A414B" w:rsidP="00CA0267">
      <w:pPr>
        <w:spacing w:after="100" w:afterAutospacing="1" w:line="276" w:lineRule="auto"/>
        <w:jc w:val="left"/>
      </w:pPr>
      <w:r w:rsidRPr="00A77FB2">
        <w:t xml:space="preserve">Aiken, D., Fare, R., Grosskopf, S, and Pasurka, C. 2008. “Modeling Pollution Abatement: A CGE Flexible Joint Production Cost Function Framework.” Working Paper, April.  </w:t>
      </w:r>
    </w:p>
    <w:p w14:paraId="643777AA" w14:textId="0A43C624" w:rsidR="00CD1315" w:rsidRPr="00A77FB2" w:rsidRDefault="00CD1315" w:rsidP="00CA0267">
      <w:pPr>
        <w:spacing w:after="100" w:afterAutospacing="1" w:line="276" w:lineRule="auto"/>
        <w:jc w:val="left"/>
      </w:pPr>
      <w:r w:rsidRPr="00A77FB2">
        <w:t>Armington, P. 1969. “A Theory of Demand for Products Distinguished by Place of Production.” Staff Papers-International Monetary Fund: 159-178.</w:t>
      </w:r>
    </w:p>
    <w:p w14:paraId="25A01A44" w14:textId="773DE075" w:rsidR="006A539E" w:rsidRPr="00A77FB2" w:rsidRDefault="006A539E" w:rsidP="00CA0267">
      <w:pPr>
        <w:autoSpaceDE w:val="0"/>
        <w:autoSpaceDN w:val="0"/>
        <w:adjustRightInd w:val="0"/>
        <w:spacing w:after="100" w:afterAutospacing="1" w:line="276" w:lineRule="auto"/>
        <w:jc w:val="left"/>
        <w:rPr>
          <w:rFonts w:cs="dcr10"/>
        </w:rPr>
      </w:pPr>
      <w:r w:rsidRPr="00A77FB2">
        <w:t>Arora, V. 2013.</w:t>
      </w:r>
      <w:r w:rsidR="00E52BB8" w:rsidRPr="00A77FB2">
        <w:t xml:space="preserve"> </w:t>
      </w:r>
      <w:r w:rsidR="00E52BB8" w:rsidRPr="00A77FB2">
        <w:rPr>
          <w:rFonts w:cs="dcr10"/>
        </w:rPr>
        <w:t>“An Evaluation of Macroeconomic Models for Use at EIA.” Working Paper. U.S. Energy Information Administration. December.</w:t>
      </w:r>
    </w:p>
    <w:p w14:paraId="3EF6902C" w14:textId="0A1C5B5A" w:rsidR="00CD1315" w:rsidRPr="00A77FB2" w:rsidRDefault="00CD1315" w:rsidP="00CA0267">
      <w:pPr>
        <w:spacing w:after="100" w:afterAutospacing="1" w:line="276" w:lineRule="auto"/>
        <w:jc w:val="left"/>
      </w:pPr>
      <w:r w:rsidRPr="00A77FB2">
        <w:t>Babiker, M., Gurgel, A., Paltsev, S., and Reilly, J. 2009. “Forward-looking versus recursive-dynamic modeling in climate policy analysis: A comparison</w:t>
      </w:r>
      <w:r w:rsidRPr="00A77FB2">
        <w:rPr>
          <w:i/>
        </w:rPr>
        <w:t>.” Economic Modeling</w:t>
      </w:r>
      <w:r w:rsidRPr="00A77FB2">
        <w:t xml:space="preserve"> 26(6):1341-1354.</w:t>
      </w:r>
    </w:p>
    <w:p w14:paraId="1405B28B" w14:textId="77777777" w:rsidR="00CD1315" w:rsidRPr="00A77FB2" w:rsidRDefault="00CD1315" w:rsidP="00CA0267">
      <w:pPr>
        <w:spacing w:after="100" w:afterAutospacing="1" w:line="276" w:lineRule="auto"/>
        <w:jc w:val="left"/>
      </w:pPr>
      <w:r w:rsidRPr="00A77FB2">
        <w:t>Ballard, C., and Medema, S. 1993. “The marginal efficiency effects of taxes and subsidies in the presence of externalities</w:t>
      </w:r>
      <w:r w:rsidRPr="00A77FB2">
        <w:rPr>
          <w:i/>
        </w:rPr>
        <w:t>” Journal of Public Economics</w:t>
      </w:r>
      <w:r w:rsidRPr="00A77FB2">
        <w:t xml:space="preserve"> 52(2):199-216</w:t>
      </w:r>
    </w:p>
    <w:p w14:paraId="46E6AE22" w14:textId="21F914AB" w:rsidR="009769BE" w:rsidRPr="00713B93" w:rsidRDefault="009769BE" w:rsidP="009769BE">
      <w:r w:rsidRPr="00A77FB2">
        <w:t>Banse, M., Shutes, L., Dixon, P., Van Meijl, H., Rimmer, M., Tabeau, A., and Rothe, A. 2013. “</w:t>
      </w:r>
      <w:r w:rsidRPr="00A77FB2">
        <w:rPr>
          <w:iCs/>
        </w:rPr>
        <w:t>Factor Markets in General Computable Equilibrium Models</w:t>
      </w:r>
      <w:r w:rsidRPr="00A77FB2">
        <w:t xml:space="preserve">.” Factor Markets Working Paper 47. See </w:t>
      </w:r>
      <w:hyperlink r:id="rId57" w:history="1">
        <w:r w:rsidRPr="00713B93">
          <w:rPr>
            <w:rStyle w:val="Hyperlink"/>
          </w:rPr>
          <w:t>http://www.factormarkets.eu/system/files/FM%20WP47%20Final%20Modelling%20Report.pdf</w:t>
        </w:r>
      </w:hyperlink>
      <w:r w:rsidRPr="00713B93">
        <w:t>.</w:t>
      </w:r>
    </w:p>
    <w:p w14:paraId="4BBA43D1" w14:textId="2BE1F66D" w:rsidR="00777DD5" w:rsidRPr="00364008" w:rsidRDefault="00777DD5" w:rsidP="00CA0267">
      <w:pPr>
        <w:spacing w:after="100" w:afterAutospacing="1" w:line="240" w:lineRule="auto"/>
        <w:jc w:val="left"/>
      </w:pPr>
      <w:r w:rsidRPr="00FA0302">
        <w:t xml:space="preserve">Bauer, N., Edenhofer, O., and Kypreos, S. 2008. “Linking energy system and macroeconomic growth models”. </w:t>
      </w:r>
      <w:r w:rsidRPr="00364008">
        <w:rPr>
          <w:i/>
        </w:rPr>
        <w:t>Computational Management Science</w:t>
      </w:r>
      <w:r w:rsidRPr="00364008">
        <w:t xml:space="preserve"> 5(1): 95-117.  </w:t>
      </w:r>
    </w:p>
    <w:p w14:paraId="0E4BF539" w14:textId="50909FDD" w:rsidR="00777DD5" w:rsidRPr="00A77FB2" w:rsidRDefault="00777DD5" w:rsidP="00CA0267">
      <w:pPr>
        <w:spacing w:after="100" w:afterAutospacing="1" w:line="240" w:lineRule="auto"/>
        <w:jc w:val="left"/>
      </w:pPr>
      <w:r w:rsidRPr="00A77FB2">
        <w:t xml:space="preserve">Blanford, G., Merrick, J., and Young, D. 2012. “A Clean Energy Standard with the US-REGEN Model.” Working paper, Electric Power Research Institute.  </w:t>
      </w:r>
    </w:p>
    <w:p w14:paraId="3FF4086E" w14:textId="77777777" w:rsidR="00CD1315" w:rsidRPr="00A77FB2" w:rsidRDefault="00CD1315" w:rsidP="00CA0267">
      <w:pPr>
        <w:spacing w:after="100" w:afterAutospacing="1" w:line="276" w:lineRule="auto"/>
        <w:jc w:val="left"/>
      </w:pPr>
      <w:r w:rsidRPr="00A77FB2">
        <w:t xml:space="preserve">Böhringer, C. 1998. “The synthesis of bottom-up and top-down in energy policy modeling.” </w:t>
      </w:r>
      <w:r w:rsidRPr="00A77FB2">
        <w:rPr>
          <w:i/>
        </w:rPr>
        <w:t>Energy Economics</w:t>
      </w:r>
      <w:r w:rsidRPr="00A77FB2">
        <w:t xml:space="preserve"> 20(3):233-248</w:t>
      </w:r>
    </w:p>
    <w:p w14:paraId="56586DEC" w14:textId="0F764270" w:rsidR="00777DD5" w:rsidRPr="00A77FB2" w:rsidRDefault="00777DD5" w:rsidP="00CA0267">
      <w:pPr>
        <w:spacing w:after="100" w:afterAutospacing="1" w:line="240" w:lineRule="auto"/>
        <w:jc w:val="left"/>
      </w:pPr>
      <w:r w:rsidRPr="00A77FB2">
        <w:t xml:space="preserve">Böhringer, C. and Rutherford, T. 2008. “Combining bottom-up and top-down.” </w:t>
      </w:r>
      <w:r w:rsidRPr="00A77FB2">
        <w:rPr>
          <w:i/>
        </w:rPr>
        <w:t>Energy Economics</w:t>
      </w:r>
      <w:r w:rsidRPr="00A77FB2">
        <w:t xml:space="preserve"> 30(2): 574–596.  </w:t>
      </w:r>
    </w:p>
    <w:p w14:paraId="43146726" w14:textId="77777777" w:rsidR="00CD1315" w:rsidRPr="00A77FB2" w:rsidRDefault="00CD1315" w:rsidP="00CA0267">
      <w:pPr>
        <w:spacing w:after="100" w:afterAutospacing="1" w:line="276" w:lineRule="auto"/>
        <w:jc w:val="left"/>
      </w:pPr>
      <w:r w:rsidRPr="00A77FB2">
        <w:t xml:space="preserve">Böhringer, C., and Rutherford, T. 2009. “Integrated assessment of energy policies: Decomposing top-down and bottom-up.” </w:t>
      </w:r>
      <w:r w:rsidRPr="00A77FB2">
        <w:rPr>
          <w:i/>
        </w:rPr>
        <w:t>Journal of Economic Dynamics and Control</w:t>
      </w:r>
      <w:r w:rsidRPr="00A77FB2">
        <w:t xml:space="preserve"> 33(9): 1648-1661.</w:t>
      </w:r>
    </w:p>
    <w:p w14:paraId="00C5F021" w14:textId="77777777" w:rsidR="00CD1315" w:rsidRPr="00A77FB2" w:rsidRDefault="00CD1315" w:rsidP="00CA0267">
      <w:pPr>
        <w:spacing w:after="100" w:afterAutospacing="1" w:line="276" w:lineRule="auto"/>
        <w:jc w:val="left"/>
      </w:pPr>
      <w:r w:rsidRPr="00A77FB2">
        <w:t>Bovenberg, A. and de Mooij, R. 1994. “Environmental Levies and Distortionary Taxation</w:t>
      </w:r>
      <w:r w:rsidRPr="00A77FB2">
        <w:rPr>
          <w:i/>
        </w:rPr>
        <w:t>.” American Economic Review</w:t>
      </w:r>
      <w:r w:rsidRPr="00A77FB2">
        <w:t xml:space="preserve"> 84(4): 1085-1089.  </w:t>
      </w:r>
    </w:p>
    <w:p w14:paraId="58B01D27" w14:textId="75AE9E99" w:rsidR="00CD1315" w:rsidRPr="00A77FB2" w:rsidRDefault="00CD1315" w:rsidP="00CA0267">
      <w:pPr>
        <w:spacing w:after="100" w:afterAutospacing="1" w:line="276" w:lineRule="auto"/>
        <w:jc w:val="left"/>
      </w:pPr>
      <w:r w:rsidRPr="00A77FB2">
        <w:t xml:space="preserve">Bovenberg, A. and Goulder, L. 1996. “Optimal Taxation in the Presence of Other Taxes: General-Equilibrium Analysis.” </w:t>
      </w:r>
      <w:r w:rsidRPr="00A77FB2">
        <w:rPr>
          <w:i/>
        </w:rPr>
        <w:t>American Economic Review</w:t>
      </w:r>
      <w:r w:rsidRPr="00A77FB2">
        <w:t xml:space="preserve"> 86(4): 985-1000.  </w:t>
      </w:r>
    </w:p>
    <w:p w14:paraId="5C8808F0" w14:textId="77777777" w:rsidR="00CD1315" w:rsidRPr="00A77FB2" w:rsidRDefault="00CD1315" w:rsidP="00CA0267">
      <w:pPr>
        <w:spacing w:after="100" w:afterAutospacing="1" w:line="276" w:lineRule="auto"/>
        <w:jc w:val="left"/>
      </w:pPr>
      <w:r w:rsidRPr="00A77FB2">
        <w:t>Burfisher, M. 2011. Introduction to Computable General Equilibrium Models. Cambridge University Press.</w:t>
      </w:r>
    </w:p>
    <w:p w14:paraId="6629A29D" w14:textId="77777777" w:rsidR="00BC37F2" w:rsidRPr="00A77FB2" w:rsidRDefault="00BC37F2" w:rsidP="00BC37F2">
      <w:pPr>
        <w:spacing w:line="276" w:lineRule="auto"/>
      </w:pPr>
      <w:r w:rsidRPr="00A77FB2">
        <w:t>Burniaux, J., Martin, J, Nicoletti, G., and Oliveira, J. 1992. “GREEN: A Multi-Region Dynamic General Equilibrium Model for Quantifying the Costs of Curbing CO2 Emissions: A Technical Manual” Working Paper 116, Economics and Statistics Department. OECD, Paris.</w:t>
      </w:r>
    </w:p>
    <w:p w14:paraId="69CBBEA5" w14:textId="77777777" w:rsidR="00CD1315" w:rsidRPr="00A77FB2" w:rsidRDefault="00CD1315" w:rsidP="005B1696">
      <w:pPr>
        <w:spacing w:after="0" w:line="276" w:lineRule="auto"/>
        <w:jc w:val="left"/>
      </w:pPr>
      <w:r w:rsidRPr="00A77FB2">
        <w:t xml:space="preserve">Cai, Y., and Arora, V. 2015. “Disaggregating electricity generation technologies in CGE models: A revised technology bundle approach with an application to the U.S. Clean Power Plan.”  </w:t>
      </w:r>
      <w:r w:rsidRPr="00A77FB2">
        <w:rPr>
          <w:i/>
        </w:rPr>
        <w:t>Applied Energy</w:t>
      </w:r>
      <w:r w:rsidRPr="00A77FB2">
        <w:t xml:space="preserve"> 154: 543-555.</w:t>
      </w:r>
    </w:p>
    <w:p w14:paraId="13B66D63" w14:textId="77777777" w:rsidR="00DF1F00" w:rsidRPr="00A77FB2" w:rsidRDefault="00DF1F00" w:rsidP="00DF1F00">
      <w:pPr>
        <w:spacing w:after="0" w:line="276" w:lineRule="auto"/>
        <w:jc w:val="left"/>
      </w:pPr>
    </w:p>
    <w:p w14:paraId="5F47E01D" w14:textId="49C9CD56" w:rsidR="002D15A8" w:rsidRPr="00A77FB2" w:rsidRDefault="002D15A8" w:rsidP="00CA0267">
      <w:pPr>
        <w:spacing w:after="100" w:afterAutospacing="1" w:line="276" w:lineRule="auto"/>
        <w:jc w:val="left"/>
      </w:pPr>
      <w:r w:rsidRPr="00A77FB2">
        <w:t xml:space="preserve">Canova, F. 1995. “Sensitivity Analysis and Model Evaluation in Simulated Dynamic General Equilibrium Economies.” </w:t>
      </w:r>
      <w:r w:rsidRPr="00A77FB2">
        <w:rPr>
          <w:i/>
        </w:rPr>
        <w:t>International Economic Review</w:t>
      </w:r>
      <w:r w:rsidRPr="00A77FB2">
        <w:t xml:space="preserve"> 36(2): 477-501.</w:t>
      </w:r>
    </w:p>
    <w:p w14:paraId="3AAC3931" w14:textId="313E2306" w:rsidR="00350259" w:rsidRPr="00A77FB2" w:rsidRDefault="00350259" w:rsidP="00DF1F00">
      <w:pPr>
        <w:spacing w:after="100" w:afterAutospacing="1" w:line="276" w:lineRule="auto"/>
      </w:pPr>
      <w:r w:rsidRPr="00A77FB2">
        <w:t>Chan, G., Stavins, R., Stowe, R., and Sweeney, R. 2012. “The SO2 Allowance Trading System and the Clean Air Act Amendments of 1990: Reflections on Twenty Years of Policy Innovation.” National Bureau of Economic Research, Working Paper #17845.</w:t>
      </w:r>
    </w:p>
    <w:p w14:paraId="41B3E0DE" w14:textId="77777777" w:rsidR="00F02DBA" w:rsidRPr="00A77FB2" w:rsidRDefault="00F02DBA" w:rsidP="00F02DBA">
      <w:pPr>
        <w:spacing w:line="276" w:lineRule="auto"/>
        <w:rPr>
          <w:rFonts w:cs="Times New Roman"/>
        </w:rPr>
      </w:pPr>
      <w:r w:rsidRPr="00A77FB2">
        <w:rPr>
          <w:rFonts w:cs="Times New Roman"/>
        </w:rPr>
        <w:t xml:space="preserve">Clarke, L., Weyant, J., and Birky, A. 2006. “On the Sources of Technological Advance: Assessing the Evidence.” </w:t>
      </w:r>
      <w:r w:rsidRPr="00A77FB2">
        <w:rPr>
          <w:rFonts w:cs="Times New Roman"/>
          <w:i/>
        </w:rPr>
        <w:t>Energy Economics</w:t>
      </w:r>
      <w:r w:rsidRPr="00A77FB2">
        <w:rPr>
          <w:rFonts w:cs="Times New Roman"/>
        </w:rPr>
        <w:t xml:space="preserve"> 28: 579-595.</w:t>
      </w:r>
    </w:p>
    <w:p w14:paraId="3C8373AB" w14:textId="77777777" w:rsidR="008F6D52" w:rsidRPr="00A77FB2" w:rsidRDefault="008F6D52" w:rsidP="008F6D52">
      <w:pPr>
        <w:spacing w:line="276" w:lineRule="auto"/>
        <w:rPr>
          <w:rFonts w:cs="Times New Roman"/>
        </w:rPr>
      </w:pPr>
      <w:r w:rsidRPr="00A77FB2">
        <w:rPr>
          <w:rFonts w:cs="Times New Roman"/>
        </w:rPr>
        <w:t xml:space="preserve">Clarke, L., Weyant, J., and Edmonds, J. 2008. “On the sources of technological change: What do the models assume?” </w:t>
      </w:r>
      <w:r w:rsidRPr="00A77FB2">
        <w:rPr>
          <w:rFonts w:cs="Times New Roman"/>
          <w:i/>
        </w:rPr>
        <w:t>Energy Economics</w:t>
      </w:r>
      <w:r w:rsidRPr="00A77FB2">
        <w:rPr>
          <w:rFonts w:cs="Times New Roman"/>
        </w:rPr>
        <w:t xml:space="preserve"> 30: 409-424.</w:t>
      </w:r>
    </w:p>
    <w:p w14:paraId="485DA984" w14:textId="636D9F09" w:rsidR="00CD1315" w:rsidRPr="00A77FB2" w:rsidRDefault="00CD1315" w:rsidP="00CA0267">
      <w:pPr>
        <w:spacing w:after="100" w:afterAutospacing="1" w:line="276" w:lineRule="auto"/>
        <w:jc w:val="left"/>
      </w:pPr>
      <w:r w:rsidRPr="00A77FB2">
        <w:t xml:space="preserve">Congressional Budget Office (CBO). 1996. Labor Supply and Taxes. CBO Memorandum. </w:t>
      </w:r>
    </w:p>
    <w:p w14:paraId="6E2EC709" w14:textId="7689639E" w:rsidR="00F50233" w:rsidRPr="00A77FB2" w:rsidRDefault="00F50233" w:rsidP="00CA0267">
      <w:pPr>
        <w:pStyle w:val="NoSpacing"/>
        <w:spacing w:after="100" w:afterAutospacing="1"/>
      </w:pPr>
      <w:r w:rsidRPr="00A77FB2">
        <w:t xml:space="preserve">David, J., and Herzog, H. (2000). “The cost of carbon capture.” Presented at the Fifth International Conference on Greenhouse Gas Control Technologies, Cairns, Australia.  </w:t>
      </w:r>
    </w:p>
    <w:p w14:paraId="5BD5CFF1" w14:textId="77777777" w:rsidR="00CD1315" w:rsidRPr="00A77FB2" w:rsidRDefault="00CD1315" w:rsidP="00CA0267">
      <w:pPr>
        <w:spacing w:after="100" w:afterAutospacing="1" w:line="276" w:lineRule="auto"/>
        <w:jc w:val="left"/>
      </w:pPr>
      <w:r w:rsidRPr="00A77FB2">
        <w:t xml:space="preserve">de la Chesnaye, F. 2013. “PRISM 2.0: Regional Energy and Economic Model Development and Initial Application. US-REGEN Model Documentation.” EPRI Report # 3002000128. </w:t>
      </w:r>
    </w:p>
    <w:p w14:paraId="34974717" w14:textId="77777777" w:rsidR="00CD1315" w:rsidRPr="00A77FB2" w:rsidRDefault="00CD1315" w:rsidP="00CA0267">
      <w:pPr>
        <w:spacing w:after="100" w:afterAutospacing="1" w:line="276" w:lineRule="auto"/>
        <w:jc w:val="left"/>
      </w:pPr>
      <w:r w:rsidRPr="00A77FB2">
        <w:t xml:space="preserve">Dellink, R., Hofkes, M., van Ierland, E., Verbruggen, H. 2004. “Dynamic modelling of pollution abatement in a CGE framework.” </w:t>
      </w:r>
      <w:r w:rsidRPr="00A77FB2">
        <w:rPr>
          <w:i/>
        </w:rPr>
        <w:t>Economic Modelling</w:t>
      </w:r>
      <w:r w:rsidRPr="00A77FB2">
        <w:t xml:space="preserve"> 21(6): 965-989.  </w:t>
      </w:r>
    </w:p>
    <w:p w14:paraId="76F00E8F" w14:textId="1F9CC47B" w:rsidR="00F50233" w:rsidRPr="00A77FB2" w:rsidRDefault="00CD1315" w:rsidP="00CA0267">
      <w:pPr>
        <w:spacing w:after="100" w:afterAutospacing="1" w:line="276" w:lineRule="auto"/>
        <w:jc w:val="left"/>
      </w:pPr>
      <w:r w:rsidRPr="00A77FB2">
        <w:t xml:space="preserve">Dellink, R. 2005. </w:t>
      </w:r>
      <w:r w:rsidRPr="00A77FB2">
        <w:rPr>
          <w:i/>
        </w:rPr>
        <w:t>Modelling the Costs of Environmental Policy: A Dynamic Applied General Equilibrium Assessment.</w:t>
      </w:r>
      <w:r w:rsidRPr="00A77FB2">
        <w:t xml:space="preserve"> Cheltenham: Edward Elgar.</w:t>
      </w:r>
    </w:p>
    <w:p w14:paraId="4AC51583" w14:textId="78C1F3DA" w:rsidR="00CD1315" w:rsidRPr="00713B93" w:rsidRDefault="00CD1315" w:rsidP="00CA0267">
      <w:pPr>
        <w:spacing w:after="100" w:afterAutospacing="1" w:line="276" w:lineRule="auto"/>
        <w:jc w:val="left"/>
      </w:pPr>
      <w:r w:rsidRPr="00A77FB2">
        <w:t xml:space="preserve">Dixon, P., and Rimmer, M. </w:t>
      </w:r>
      <w:r w:rsidR="007277F5" w:rsidRPr="00A77FB2">
        <w:t>2002</w:t>
      </w:r>
      <w:r w:rsidRPr="00A77FB2">
        <w:t xml:space="preserve">. “USAGE-ITC: Theoretical Structure.” Available at: </w:t>
      </w:r>
      <w:hyperlink r:id="rId58" w:history="1">
        <w:r w:rsidR="007277F5" w:rsidRPr="00713B93">
          <w:rPr>
            <w:rStyle w:val="Hyperlink"/>
          </w:rPr>
          <w:t>https://www.gtap.agecon.purdue.edu/resources/download/958.pdf</w:t>
        </w:r>
      </w:hyperlink>
    </w:p>
    <w:p w14:paraId="53345BBA" w14:textId="481DDF61" w:rsidR="005726D5" w:rsidRPr="00713B93" w:rsidRDefault="007277F5" w:rsidP="005726D5">
      <w:pPr>
        <w:spacing w:after="100" w:afterAutospacing="1" w:line="276" w:lineRule="auto"/>
        <w:jc w:val="left"/>
      </w:pPr>
      <w:r w:rsidRPr="00713B93">
        <w:t xml:space="preserve">Dixon, P., </w:t>
      </w:r>
      <w:r w:rsidR="00F97F32" w:rsidRPr="00713B93">
        <w:t xml:space="preserve">Johnson, M., </w:t>
      </w:r>
      <w:r w:rsidRPr="009B1C39">
        <w:t>and Rimmer, M. 2011.</w:t>
      </w:r>
      <w:r w:rsidR="005726D5" w:rsidRPr="0052723E">
        <w:t xml:space="preserve"> “Economy-Wide Effects of Reducing Illegal Immigrants in U.S</w:t>
      </w:r>
      <w:r w:rsidR="005726D5" w:rsidRPr="00E17F17">
        <w:t>.</w:t>
      </w:r>
      <w:r w:rsidR="005726D5" w:rsidRPr="00B12DA8">
        <w:t xml:space="preserve"> Employment.” </w:t>
      </w:r>
      <w:r w:rsidR="005726D5" w:rsidRPr="00A77FB2">
        <w:rPr>
          <w:i/>
        </w:rPr>
        <w:t>Contemporary Economic Policy</w:t>
      </w:r>
      <w:r w:rsidR="005726D5" w:rsidRPr="00713B93">
        <w:t xml:space="preserve"> 29(1): 14–30.</w:t>
      </w:r>
    </w:p>
    <w:p w14:paraId="05D72D37" w14:textId="77777777" w:rsidR="00CD1315" w:rsidRPr="00B12DA8" w:rsidRDefault="00CD1315" w:rsidP="00CA0267">
      <w:pPr>
        <w:spacing w:after="100" w:afterAutospacing="1" w:line="276" w:lineRule="auto"/>
        <w:jc w:val="left"/>
      </w:pPr>
      <w:r w:rsidRPr="0052723E">
        <w:t xml:space="preserve">Dixon, P., Pearson, K., Picton, M., &amp; Rimmer, M. 2005. Rational expectations for large CGE models: a practical algorithm and a policy application. </w:t>
      </w:r>
      <w:r w:rsidRPr="00E17F17">
        <w:rPr>
          <w:i/>
        </w:rPr>
        <w:t>Economic</w:t>
      </w:r>
      <w:r w:rsidRPr="00B12DA8">
        <w:rPr>
          <w:i/>
        </w:rPr>
        <w:t xml:space="preserve"> Modelling</w:t>
      </w:r>
      <w:r w:rsidRPr="00B12DA8">
        <w:t xml:space="preserve"> 22(6): 1001-1019.</w:t>
      </w:r>
    </w:p>
    <w:p w14:paraId="6A70D65C" w14:textId="74E1FE1C" w:rsidR="004C2656" w:rsidRDefault="004C2656" w:rsidP="004D6FD6">
      <w:pPr>
        <w:spacing w:after="0" w:line="276" w:lineRule="auto"/>
      </w:pPr>
      <w:r w:rsidRPr="004C2656">
        <w:t xml:space="preserve">Elliott, J. Franklin, M., Foster, I., Munson, T., and Loudermilk, M. 2012. “Propagation of Data Error and Parametric Sensitivity in Computable General Equilibrium Models.” </w:t>
      </w:r>
      <w:r w:rsidRPr="00C07B9E">
        <w:rPr>
          <w:i/>
        </w:rPr>
        <w:t>Computational Economics</w:t>
      </w:r>
      <w:r w:rsidRPr="004C2656">
        <w:t xml:space="preserve"> 39: 219-241.</w:t>
      </w:r>
    </w:p>
    <w:p w14:paraId="0603B053" w14:textId="77777777" w:rsidR="00CF6D8D" w:rsidRDefault="00CF6D8D" w:rsidP="004D6FD6">
      <w:pPr>
        <w:spacing w:after="0" w:line="276" w:lineRule="auto"/>
      </w:pPr>
    </w:p>
    <w:p w14:paraId="2EC26248" w14:textId="05DC70DA" w:rsidR="004D6FD6" w:rsidRPr="00A77FB2" w:rsidRDefault="004D6FD6" w:rsidP="004D6FD6">
      <w:pPr>
        <w:spacing w:after="0" w:line="276" w:lineRule="auto"/>
      </w:pPr>
      <w:r w:rsidRPr="00E16A96">
        <w:t>Fischer, C., Parry, I., and Pizer, W. 2003. “Instrument Choice for Environme</w:t>
      </w:r>
      <w:r w:rsidRPr="00291A63">
        <w:t>ntal Protection When Technological Innovation is Endogenous</w:t>
      </w:r>
      <w:r w:rsidRPr="00A77FB2">
        <w:rPr>
          <w:i/>
        </w:rPr>
        <w:t>.” Journal of Environmental Economics and Management</w:t>
      </w:r>
      <w:r w:rsidRPr="00A77FB2">
        <w:t xml:space="preserve"> 45: 523-545.</w:t>
      </w:r>
    </w:p>
    <w:p w14:paraId="4770A54C" w14:textId="77777777" w:rsidR="004D6FD6" w:rsidRPr="00A77FB2" w:rsidRDefault="004D6FD6" w:rsidP="004D6FD6">
      <w:pPr>
        <w:spacing w:after="0" w:line="276" w:lineRule="auto"/>
      </w:pPr>
    </w:p>
    <w:p w14:paraId="7B06E72A" w14:textId="77777777" w:rsidR="00CD1315" w:rsidRPr="00A77FB2" w:rsidRDefault="00CD1315" w:rsidP="00CA0267">
      <w:pPr>
        <w:spacing w:after="100" w:afterAutospacing="1" w:line="276" w:lineRule="auto"/>
        <w:jc w:val="left"/>
      </w:pPr>
      <w:r w:rsidRPr="00A77FB2">
        <w:t xml:space="preserve">Fox, T., and Fullerton, D. 1991. “The irrelevance of detail in a computable general equilibrium model.” </w:t>
      </w:r>
      <w:r w:rsidRPr="00A77FB2">
        <w:rPr>
          <w:i/>
        </w:rPr>
        <w:t>Economic Letters</w:t>
      </w:r>
      <w:r w:rsidRPr="00A77FB2">
        <w:t xml:space="preserve"> 36(1): 67-70.</w:t>
      </w:r>
    </w:p>
    <w:p w14:paraId="52DF3928" w14:textId="77777777" w:rsidR="00CD1315" w:rsidRPr="00A77FB2" w:rsidRDefault="00CD1315" w:rsidP="00CA0267">
      <w:pPr>
        <w:spacing w:after="100" w:afterAutospacing="1" w:line="276" w:lineRule="auto"/>
        <w:jc w:val="left"/>
      </w:pPr>
      <w:r w:rsidRPr="00A77FB2">
        <w:t xml:space="preserve">Fluerbaey, M. 2009. “Beyond GDP: The Quest for a Measure of Social Welfare.” </w:t>
      </w:r>
      <w:r w:rsidRPr="00A77FB2">
        <w:rPr>
          <w:i/>
        </w:rPr>
        <w:t xml:space="preserve">Journal of Economic Literature </w:t>
      </w:r>
      <w:r w:rsidRPr="00A77FB2">
        <w:t>47(4): 1029–1075</w:t>
      </w:r>
    </w:p>
    <w:p w14:paraId="2913D14D" w14:textId="61D31690" w:rsidR="00F50233" w:rsidRPr="00A77FB2" w:rsidRDefault="00CD1315" w:rsidP="00CA0267">
      <w:pPr>
        <w:spacing w:after="100" w:afterAutospacing="1" w:line="276" w:lineRule="auto"/>
        <w:jc w:val="left"/>
      </w:pPr>
      <w:r w:rsidRPr="00A77FB2">
        <w:t xml:space="preserve">Frei, C., Hadi, P.-A., Sarlos, G. (2003). “Dynamic formulation of a top-down and bottom-up merging energy policy model.” </w:t>
      </w:r>
      <w:r w:rsidRPr="00A77FB2">
        <w:rPr>
          <w:i/>
        </w:rPr>
        <w:t>Energy Policy</w:t>
      </w:r>
      <w:r w:rsidRPr="00A77FB2">
        <w:t xml:space="preserve"> 31(10): 1017–1031.  </w:t>
      </w:r>
    </w:p>
    <w:p w14:paraId="03D18F22" w14:textId="7E669D0E" w:rsidR="00B124B6" w:rsidRDefault="00B124B6" w:rsidP="00CA0267">
      <w:pPr>
        <w:spacing w:after="100" w:afterAutospacing="1" w:line="276" w:lineRule="auto"/>
        <w:jc w:val="left"/>
      </w:pPr>
      <w:r>
        <w:t>Fugazza, M., and Maur, J.-C. 2008. “Non-Tariff Barriers in Computable General Equilibrium Modeling.” Policy Issues in International Trade and Commodities Study Series, No. 38. United Nations.</w:t>
      </w:r>
    </w:p>
    <w:p w14:paraId="243F3175" w14:textId="196CC772" w:rsidR="00CD1315" w:rsidRPr="00A77FB2" w:rsidRDefault="00CD1315" w:rsidP="00CA0267">
      <w:pPr>
        <w:spacing w:after="100" w:afterAutospacing="1" w:line="276" w:lineRule="auto"/>
        <w:jc w:val="left"/>
      </w:pPr>
      <w:r w:rsidRPr="00A77FB2">
        <w:t xml:space="preserve">Fullerton, D. and Heutel, G. 2010. “The General Equilibrium Incidence of Environmental Mandates.” </w:t>
      </w:r>
      <w:r w:rsidRPr="00A77FB2">
        <w:rPr>
          <w:i/>
        </w:rPr>
        <w:t>American Economic Journal: Economic Policy</w:t>
      </w:r>
      <w:r w:rsidRPr="00A77FB2">
        <w:t xml:space="preserve"> 2(3): 64-89.  </w:t>
      </w:r>
    </w:p>
    <w:p w14:paraId="2323D886" w14:textId="77777777" w:rsidR="00CD1315" w:rsidRPr="00A77FB2" w:rsidRDefault="00CD1315" w:rsidP="00CA0267">
      <w:pPr>
        <w:spacing w:after="100" w:afterAutospacing="1" w:line="276" w:lineRule="auto"/>
        <w:jc w:val="left"/>
      </w:pPr>
      <w:r w:rsidRPr="00A77FB2">
        <w:t xml:space="preserve">Gilbert, J., and Tower, E. 2013. </w:t>
      </w:r>
      <w:r w:rsidRPr="00A77FB2">
        <w:rPr>
          <w:i/>
        </w:rPr>
        <w:t>Introduction to Numerical Simulation for Trade Theory and Policy</w:t>
      </w:r>
      <w:r w:rsidRPr="00A77FB2">
        <w:t xml:space="preserve">. World Scientific Publishing Co.  </w:t>
      </w:r>
    </w:p>
    <w:p w14:paraId="3EB4AE0C" w14:textId="77777777" w:rsidR="006C72E2" w:rsidRPr="00A77FB2" w:rsidRDefault="006C72E2" w:rsidP="006C72E2">
      <w:pPr>
        <w:spacing w:line="276" w:lineRule="auto"/>
      </w:pPr>
      <w:r w:rsidRPr="00A77FB2">
        <w:t xml:space="preserve">Gillingham, K., Newell, R., and Pizer, W. 2008. “Modeling endogenous technological change for climate policy analysis,” </w:t>
      </w:r>
      <w:r w:rsidRPr="00A77FB2">
        <w:rPr>
          <w:i/>
        </w:rPr>
        <w:t>Energy Economics</w:t>
      </w:r>
      <w:r w:rsidRPr="00A77FB2">
        <w:t xml:space="preserve"> 30: 2734-2753.</w:t>
      </w:r>
    </w:p>
    <w:p w14:paraId="3485D036" w14:textId="77777777" w:rsidR="006C72E2" w:rsidRPr="00A77FB2" w:rsidRDefault="006C72E2" w:rsidP="006C72E2">
      <w:pPr>
        <w:spacing w:line="276" w:lineRule="auto"/>
      </w:pPr>
      <w:r w:rsidRPr="00A77FB2">
        <w:t xml:space="preserve">Goulder, L., and Schneider, S. 1999. “Induced technological change and the attractiveness of CO2 abatement policies.” </w:t>
      </w:r>
      <w:r w:rsidRPr="00A77FB2">
        <w:rPr>
          <w:i/>
        </w:rPr>
        <w:t>Resource and Energy Economics</w:t>
      </w:r>
      <w:r w:rsidRPr="00A77FB2">
        <w:t xml:space="preserve"> 21: 211-253.</w:t>
      </w:r>
    </w:p>
    <w:p w14:paraId="31364840" w14:textId="77777777" w:rsidR="00CD1315" w:rsidRPr="00A77FB2" w:rsidRDefault="00CD1315" w:rsidP="00CA0267">
      <w:pPr>
        <w:spacing w:after="100" w:afterAutospacing="1" w:line="276" w:lineRule="auto"/>
        <w:jc w:val="left"/>
      </w:pPr>
      <w:r w:rsidRPr="00A77FB2">
        <w:t xml:space="preserve">Gurgel, A., Paltsev, S., Reilly, J., and Metcalf, G. 2011. “An Analysis of US Greenhouse Gas Cap-and-Trade Proposals using a Forward-Looking Economic Model.” </w:t>
      </w:r>
      <w:r w:rsidRPr="00A77FB2">
        <w:rPr>
          <w:i/>
        </w:rPr>
        <w:t>Environment and Development Economics</w:t>
      </w:r>
      <w:r w:rsidRPr="00A77FB2">
        <w:t xml:space="preserve"> 16(2): 155-176.</w:t>
      </w:r>
    </w:p>
    <w:p w14:paraId="0587F5F4" w14:textId="04084FF2" w:rsidR="00D73A4B" w:rsidRPr="00A77FB2" w:rsidRDefault="00D73A4B" w:rsidP="00CA0267">
      <w:pPr>
        <w:spacing w:after="100" w:afterAutospacing="1" w:line="276" w:lineRule="auto"/>
        <w:jc w:val="left"/>
      </w:pPr>
      <w:r w:rsidRPr="00A77FB2">
        <w:t>Hafstead, M., and Williams, R. 2014. “Unemployment and Environmental Regulation in General Equilibrium.” Working Paper. November.</w:t>
      </w:r>
    </w:p>
    <w:p w14:paraId="0358D05B" w14:textId="4BF35740" w:rsidR="00AE045D" w:rsidRPr="00A77FB2" w:rsidRDefault="00AE045D" w:rsidP="00CA0267">
      <w:pPr>
        <w:spacing w:after="100" w:afterAutospacing="1" w:line="276" w:lineRule="auto"/>
        <w:jc w:val="left"/>
      </w:pPr>
      <w:r w:rsidRPr="00A77FB2">
        <w:t xml:space="preserve">Hahn, R., and Hird, J. 1990. “The Costs and Benefits of Regulation: Review and Synthesis.” </w:t>
      </w:r>
      <w:r w:rsidRPr="00A77FB2">
        <w:rPr>
          <w:i/>
        </w:rPr>
        <w:t>Yale Journal of Regulation</w:t>
      </w:r>
      <w:r w:rsidRPr="00A77FB2">
        <w:t xml:space="preserve"> 8: 233-278.</w:t>
      </w:r>
    </w:p>
    <w:p w14:paraId="4C7144A9" w14:textId="77CE0D89" w:rsidR="004C2656" w:rsidRDefault="004C2656" w:rsidP="0035119D">
      <w:pPr>
        <w:spacing w:line="276" w:lineRule="auto"/>
      </w:pPr>
      <w:r>
        <w:t>Hansen, L. and Heckman, J</w:t>
      </w:r>
      <w:r w:rsidRPr="004C2656">
        <w:t xml:space="preserve">. 1996. “The Empirical </w:t>
      </w:r>
      <w:r>
        <w:t>Foundations of Calibration.”</w:t>
      </w:r>
      <w:r w:rsidRPr="004C2656">
        <w:t xml:space="preserve"> </w:t>
      </w:r>
      <w:r w:rsidRPr="00811281">
        <w:rPr>
          <w:i/>
        </w:rPr>
        <w:t>Journal of Economic Perspectives</w:t>
      </w:r>
      <w:r w:rsidRPr="004C2656">
        <w:t xml:space="preserve"> 10(1): 87-104.</w:t>
      </w:r>
    </w:p>
    <w:p w14:paraId="1CB35F53" w14:textId="3063F637" w:rsidR="0035119D" w:rsidRPr="00A77FB2" w:rsidRDefault="0035119D" w:rsidP="0035119D">
      <w:pPr>
        <w:spacing w:line="276" w:lineRule="auto"/>
      </w:pPr>
      <w:r w:rsidRPr="00A77FB2">
        <w:t xml:space="preserve">Harris, R. 1984. “Applied General Equilibrium Analysis of Small Open Economies with Scale Economies and Imperfect Competition.” </w:t>
      </w:r>
      <w:r w:rsidRPr="00A77FB2">
        <w:rPr>
          <w:i/>
        </w:rPr>
        <w:t>American Economic Review</w:t>
      </w:r>
      <w:r w:rsidRPr="00A77FB2">
        <w:t>: 74(5): 1016-1032.</w:t>
      </w:r>
    </w:p>
    <w:p w14:paraId="1C2302BD" w14:textId="716B6FEF" w:rsidR="009769BE" w:rsidRPr="00A77FB2" w:rsidRDefault="009769BE" w:rsidP="009769BE">
      <w:r w:rsidRPr="00A77FB2">
        <w:t>Harrison G., Rutherford, T., and Tarr, D. 1997. “Quantifying the Uruguay Round.”</w:t>
      </w:r>
      <w:r w:rsidR="00A71A98">
        <w:t xml:space="preserve"> </w:t>
      </w:r>
      <w:r w:rsidRPr="00A77FB2">
        <w:rPr>
          <w:i/>
        </w:rPr>
        <w:t xml:space="preserve">Economic Journal </w:t>
      </w:r>
      <w:r w:rsidRPr="00A77FB2">
        <w:t>107: 1405-1430.</w:t>
      </w:r>
    </w:p>
    <w:p w14:paraId="32572079" w14:textId="2B13463C" w:rsidR="00CD1315" w:rsidRPr="00A77FB2" w:rsidRDefault="00CD1315" w:rsidP="009769BE">
      <w:pPr>
        <w:spacing w:after="100" w:afterAutospacing="1" w:line="276" w:lineRule="auto"/>
        <w:jc w:val="left"/>
      </w:pPr>
      <w:r w:rsidRPr="00A77FB2">
        <w:t xml:space="preserve">Hazilla, M. and Kopp, R. 1990. “Social Costs of Environmental Quality Regulations: A General Equilibrium Analysis.” </w:t>
      </w:r>
      <w:r w:rsidRPr="00A77FB2">
        <w:rPr>
          <w:i/>
        </w:rPr>
        <w:t>Journal of Political Economy</w:t>
      </w:r>
      <w:r w:rsidRPr="00A77FB2">
        <w:t xml:space="preserve"> 98(4):853-873.  </w:t>
      </w:r>
    </w:p>
    <w:p w14:paraId="53859247" w14:textId="77777777" w:rsidR="00CD1315" w:rsidRPr="00A77FB2" w:rsidRDefault="00CD1315" w:rsidP="00CA0267">
      <w:pPr>
        <w:spacing w:after="100" w:afterAutospacing="1" w:line="276" w:lineRule="auto"/>
        <w:jc w:val="left"/>
      </w:pPr>
      <w:r w:rsidRPr="00A77FB2">
        <w:t xml:space="preserve">Hertel, T., Hummels, D., Ivanic, M., and Keeney, R. 2007. “How confident can we be of CGE-based assessments of free trade agreements?” </w:t>
      </w:r>
      <w:r w:rsidRPr="00A77FB2">
        <w:rPr>
          <w:i/>
        </w:rPr>
        <w:t>Economic Modelling</w:t>
      </w:r>
      <w:r w:rsidRPr="00A77FB2">
        <w:t xml:space="preserve"> 24(4): 611-635.</w:t>
      </w:r>
    </w:p>
    <w:p w14:paraId="4649A335" w14:textId="77777777" w:rsidR="00CD1315" w:rsidRPr="00A77FB2" w:rsidRDefault="00CD1315" w:rsidP="00CA0267">
      <w:pPr>
        <w:spacing w:after="100" w:afterAutospacing="1" w:line="276" w:lineRule="auto"/>
        <w:jc w:val="left"/>
      </w:pPr>
      <w:r w:rsidRPr="00A77FB2">
        <w:t xml:space="preserve">Hillberry, R., and Hummels, D. 2013. “Trade elasticity parameters for a computable general equilibrium model.” In. P. Dixon and D. Jorgenson (Eds.), </w:t>
      </w:r>
      <w:r w:rsidRPr="00A77FB2">
        <w:rPr>
          <w:i/>
        </w:rPr>
        <w:t>Handbook of Computable General Equilibrium Modeling: Volume 1</w:t>
      </w:r>
      <w:r w:rsidRPr="00A77FB2">
        <w:t xml:space="preserve"> (pp.1213-1269). Elsevier.</w:t>
      </w:r>
    </w:p>
    <w:p w14:paraId="1206F3EF" w14:textId="77777777" w:rsidR="00CD1315" w:rsidRPr="00A77FB2" w:rsidRDefault="00CD1315" w:rsidP="00CA0267">
      <w:pPr>
        <w:spacing w:after="100" w:afterAutospacing="1" w:line="276" w:lineRule="auto"/>
        <w:jc w:val="left"/>
      </w:pPr>
      <w:r w:rsidRPr="00A77FB2">
        <w:t xml:space="preserve">Horridge, M., Meeraus, A., Pearson, K., and Rutherford, T. 2013. “Solution Software for Computable General Equilibrium Modeling.” In P. Dixon and D. Jorgenson (Eds.), </w:t>
      </w:r>
      <w:r w:rsidRPr="00A77FB2">
        <w:rPr>
          <w:i/>
        </w:rPr>
        <w:t>Handbook of Computable General Equilibrium Modeling</w:t>
      </w:r>
      <w:r w:rsidRPr="00A77FB2">
        <w:t xml:space="preserve">. Elsevier.  </w:t>
      </w:r>
    </w:p>
    <w:p w14:paraId="43D35139" w14:textId="261308F7" w:rsidR="000C7EC2" w:rsidRDefault="000C7EC2" w:rsidP="00CA0267">
      <w:pPr>
        <w:spacing w:after="100" w:afterAutospacing="1" w:line="276" w:lineRule="auto"/>
        <w:jc w:val="left"/>
      </w:pPr>
      <w:r>
        <w:t xml:space="preserve">Hourcade, J.-C., Jaccard, M., Bataille, C., and Ghersi, F. (2006). “Hybrid Modeling: New Answers to Old Challenges, Introduction to the Special Issue.” </w:t>
      </w:r>
      <w:r w:rsidRPr="00811281">
        <w:rPr>
          <w:i/>
        </w:rPr>
        <w:t>The Energy Journal</w:t>
      </w:r>
      <w:r>
        <w:t xml:space="preserve"> 27: 1 – 11.</w:t>
      </w:r>
    </w:p>
    <w:p w14:paraId="2FC8DCD6" w14:textId="2BF3E967" w:rsidR="00CD1315" w:rsidRPr="00A77FB2" w:rsidRDefault="00CD1315" w:rsidP="00CA0267">
      <w:pPr>
        <w:spacing w:after="100" w:afterAutospacing="1" w:line="276" w:lineRule="auto"/>
        <w:jc w:val="left"/>
      </w:pPr>
      <w:r w:rsidRPr="00A77FB2">
        <w:t xml:space="preserve">Ianchovichina, E., and McDougall, R. 2000. “Theoretical Structure of Dynamic GTAP.” GTAP Technical Paper, 17. Available at: </w:t>
      </w:r>
      <w:hyperlink r:id="rId59" w:history="1">
        <w:r w:rsidR="00742198" w:rsidRPr="00880AF0">
          <w:rPr>
            <w:rStyle w:val="Hyperlink"/>
          </w:rPr>
          <w:t>https://www.gtap.agecon.purdue.edu/resources/res_display.asp?RecordID=480</w:t>
        </w:r>
      </w:hyperlink>
      <w:r w:rsidR="00742198">
        <w:t xml:space="preserve"> </w:t>
      </w:r>
    </w:p>
    <w:p w14:paraId="38CA3B55" w14:textId="5D6E1C64" w:rsidR="0046763A" w:rsidRPr="00A77FB2" w:rsidRDefault="0046763A" w:rsidP="00CA0267">
      <w:pPr>
        <w:spacing w:after="100" w:afterAutospacing="1" w:line="240" w:lineRule="auto"/>
        <w:jc w:val="left"/>
      </w:pPr>
      <w:r w:rsidRPr="00A77FB2">
        <w:t xml:space="preserve">Intergovernmental Panel on Climate Change (IPCC). 1996. </w:t>
      </w:r>
      <w:r w:rsidRPr="00A77FB2">
        <w:rPr>
          <w:i/>
        </w:rPr>
        <w:t xml:space="preserve">Climate </w:t>
      </w:r>
      <w:r w:rsidR="006D441C">
        <w:rPr>
          <w:i/>
        </w:rPr>
        <w:t>C</w:t>
      </w:r>
      <w:r w:rsidRPr="00A77FB2">
        <w:rPr>
          <w:i/>
        </w:rPr>
        <w:t>hange 1995: Economic and Social Dimensions of Climate Change</w:t>
      </w:r>
      <w:r w:rsidRPr="00A77FB2">
        <w:t xml:space="preserve">. Cambridge University Press.  </w:t>
      </w:r>
    </w:p>
    <w:p w14:paraId="47CCBC62" w14:textId="4E125792" w:rsidR="00CD1315" w:rsidRPr="00A77FB2" w:rsidRDefault="001806EA" w:rsidP="00CA0267">
      <w:pPr>
        <w:spacing w:after="100" w:afterAutospacing="1" w:line="276" w:lineRule="auto"/>
        <w:jc w:val="left"/>
      </w:pPr>
      <w:r w:rsidRPr="00A77FB2">
        <w:t>Jacoby, H., Reilly, J., McFarland, J.</w:t>
      </w:r>
      <w:r w:rsidR="00CD1315" w:rsidRPr="00A77FB2">
        <w:t xml:space="preserve">, and Paltsev, S. 2006. “Technology and technical change in the MIT EPPA model” </w:t>
      </w:r>
      <w:r w:rsidR="00CD1315" w:rsidRPr="00A77FB2">
        <w:rPr>
          <w:i/>
        </w:rPr>
        <w:t>Energy Economics</w:t>
      </w:r>
      <w:r w:rsidR="00CD1315" w:rsidRPr="00A77FB2">
        <w:t xml:space="preserve"> 28(5-6): 610-631.</w:t>
      </w:r>
    </w:p>
    <w:p w14:paraId="1463CFC0" w14:textId="43963129" w:rsidR="00CD1315" w:rsidRPr="00A77FB2" w:rsidRDefault="001806EA" w:rsidP="00CA0267">
      <w:pPr>
        <w:spacing w:after="100" w:afterAutospacing="1" w:line="276" w:lineRule="auto"/>
        <w:jc w:val="left"/>
      </w:pPr>
      <w:r w:rsidRPr="00A77FB2">
        <w:t>Jaffe, A.</w:t>
      </w:r>
      <w:r w:rsidR="00CD1315" w:rsidRPr="00A77FB2">
        <w:t>, Newell</w:t>
      </w:r>
      <w:r w:rsidRPr="00A77FB2">
        <w:t>, R., and Stavins, R., 2002</w:t>
      </w:r>
      <w:r w:rsidR="00CD1315" w:rsidRPr="00A77FB2">
        <w:t xml:space="preserve">. "Technological change and the environment." </w:t>
      </w:r>
      <w:r w:rsidRPr="00A77FB2">
        <w:rPr>
          <w:i/>
        </w:rPr>
        <w:t xml:space="preserve">Environmental and Resource Economics </w:t>
      </w:r>
      <w:r w:rsidRPr="00A77FB2">
        <w:t>22: 41-69.</w:t>
      </w:r>
    </w:p>
    <w:p w14:paraId="5425AB8D" w14:textId="77777777" w:rsidR="00CD1315" w:rsidRPr="00A77FB2" w:rsidRDefault="00CD1315" w:rsidP="00CA0267">
      <w:pPr>
        <w:spacing w:after="100" w:afterAutospacing="1" w:line="276" w:lineRule="auto"/>
        <w:jc w:val="left"/>
      </w:pPr>
      <w:r w:rsidRPr="00A77FB2">
        <w:t xml:space="preserve">Jorgenson, D., Jin, H., Slesnick, D., and Wilcoxen, P. 2013. “An Econometric Approach to General Equilibrium Modeling.” In P. Dixon and D. Jorgenson (Eds.), </w:t>
      </w:r>
      <w:r w:rsidRPr="00A77FB2">
        <w:rPr>
          <w:i/>
        </w:rPr>
        <w:t>Handbook of Computable General Equilibrium Modeling</w:t>
      </w:r>
      <w:r w:rsidRPr="00A77FB2">
        <w:t xml:space="preserve">. Elsevier.  </w:t>
      </w:r>
    </w:p>
    <w:p w14:paraId="44331FE8" w14:textId="644405B0" w:rsidR="00CD1315" w:rsidRPr="00A77FB2" w:rsidRDefault="00CD1315" w:rsidP="00CA0267">
      <w:pPr>
        <w:spacing w:after="100" w:afterAutospacing="1" w:line="276" w:lineRule="auto"/>
        <w:jc w:val="left"/>
      </w:pPr>
      <w:r w:rsidRPr="00A77FB2">
        <w:t xml:space="preserve">Jorgenson, D., and Wilcoxen, P. 1990. “Environmental Regulation and U.S. Economic Growth.” </w:t>
      </w:r>
      <w:r w:rsidRPr="00A77FB2">
        <w:rPr>
          <w:i/>
        </w:rPr>
        <w:t>RAND Journal of Economics</w:t>
      </w:r>
      <w:r w:rsidRPr="00A77FB2">
        <w:t xml:space="preserve"> 21(2): 314-340</w:t>
      </w:r>
    </w:p>
    <w:p w14:paraId="53F9ADCD" w14:textId="77777777" w:rsidR="00CD1315" w:rsidRPr="00A77FB2" w:rsidRDefault="00CD1315" w:rsidP="00CA0267">
      <w:pPr>
        <w:spacing w:after="100" w:afterAutospacing="1" w:line="276" w:lineRule="auto"/>
        <w:jc w:val="left"/>
      </w:pPr>
      <w:r w:rsidRPr="00A77FB2">
        <w:t xml:space="preserve">Karplus, V., Paltsev, S., Babiker, M., and Reilly, J. 2013. “Applying engineering and fleet detail to represent passenger vehicle transport in a computable general equilibrium model.” </w:t>
      </w:r>
      <w:r w:rsidRPr="00A77FB2">
        <w:rPr>
          <w:i/>
        </w:rPr>
        <w:t>Economic Modelling</w:t>
      </w:r>
      <w:r w:rsidRPr="00A77FB2">
        <w:t xml:space="preserve"> 30: 295-305.</w:t>
      </w:r>
    </w:p>
    <w:p w14:paraId="4C208248" w14:textId="77777777" w:rsidR="00CD1315" w:rsidRPr="00A77FB2" w:rsidRDefault="00CD1315" w:rsidP="00CA0267">
      <w:pPr>
        <w:spacing w:after="100" w:afterAutospacing="1" w:line="276" w:lineRule="auto"/>
        <w:jc w:val="left"/>
      </w:pPr>
      <w:r w:rsidRPr="00A77FB2">
        <w:t xml:space="preserve">Kiuila, O., and Rutherford, T. 2013. “The cost of reducing CO2 emissions: Integrating abatement technologies into economic modeling.” </w:t>
      </w:r>
      <w:r w:rsidRPr="00A77FB2">
        <w:rPr>
          <w:i/>
        </w:rPr>
        <w:t>Ecological Economics</w:t>
      </w:r>
      <w:r w:rsidRPr="00A77FB2">
        <w:t xml:space="preserve"> 87: 62-71.  </w:t>
      </w:r>
    </w:p>
    <w:p w14:paraId="1632D9F4" w14:textId="77777777" w:rsidR="00CD1315" w:rsidRPr="00A77FB2" w:rsidRDefault="00CD1315" w:rsidP="00CA0267">
      <w:pPr>
        <w:spacing w:after="100" w:afterAutospacing="1" w:line="276" w:lineRule="auto"/>
        <w:jc w:val="left"/>
      </w:pPr>
      <w:r w:rsidRPr="00A77FB2">
        <w:t xml:space="preserve">Kokoski, M., and Smith, K. 1987. “A General Equilibrium Analysis of Partial Equilibrium Welfare Measures: The Case of Climate Change.” </w:t>
      </w:r>
      <w:r w:rsidRPr="00A77FB2">
        <w:rPr>
          <w:i/>
        </w:rPr>
        <w:t>American Economic Review</w:t>
      </w:r>
      <w:r w:rsidRPr="00A77FB2">
        <w:t xml:space="preserve"> 77(3): 331-341.</w:t>
      </w:r>
    </w:p>
    <w:p w14:paraId="0C7B2B3E" w14:textId="7A2F9843" w:rsidR="0046763A" w:rsidRPr="00A77FB2" w:rsidRDefault="0046763A" w:rsidP="00CA0267">
      <w:pPr>
        <w:spacing w:after="100" w:afterAutospacing="1" w:line="240" w:lineRule="auto"/>
        <w:jc w:val="left"/>
      </w:pPr>
      <w:r w:rsidRPr="00A77FB2">
        <w:t xml:space="preserve">Krook Riekkola, A., Berg, C., Ahlgren, E., and Söderholm, P. 2013. “Challenges in Soft-Linking: The Case of EMEC and TIMES-Sweden.” Working Paper No. 133, National Institute of Economic Research, Sweden.  </w:t>
      </w:r>
    </w:p>
    <w:p w14:paraId="78582391" w14:textId="0CA39248" w:rsidR="0046763A" w:rsidRPr="00A77FB2" w:rsidRDefault="005D6273" w:rsidP="00CA0267">
      <w:pPr>
        <w:spacing w:after="100" w:afterAutospacing="1" w:line="276" w:lineRule="auto"/>
        <w:jc w:val="left"/>
      </w:pPr>
      <w:r w:rsidRPr="00A77FB2">
        <w:t>Krupnick</w:t>
      </w:r>
      <w:r w:rsidR="006D2D22" w:rsidRPr="00A77FB2">
        <w:t>, A.,</w:t>
      </w:r>
      <w:r w:rsidRPr="00A77FB2">
        <w:t xml:space="preserve"> and McLaughlin</w:t>
      </w:r>
      <w:r w:rsidR="006D2D22" w:rsidRPr="00A77FB2">
        <w:t>, D</w:t>
      </w:r>
      <w:r w:rsidRPr="00A77FB2">
        <w:t>.</w:t>
      </w:r>
      <w:r w:rsidR="006D2D22" w:rsidRPr="00A77FB2">
        <w:t xml:space="preserve"> 2011. “GDP, Consumption, Jobs, and Costs: Tracking the Effects of Energy Policy.” Issue Brief 11-08. Resources for the Future.</w:t>
      </w:r>
    </w:p>
    <w:p w14:paraId="37E0184B" w14:textId="01C5A5BF" w:rsidR="00CD1315" w:rsidRPr="00A77FB2" w:rsidRDefault="00CD1315" w:rsidP="00CA0267">
      <w:pPr>
        <w:spacing w:after="100" w:afterAutospacing="1" w:line="276" w:lineRule="auto"/>
        <w:jc w:val="left"/>
      </w:pPr>
      <w:r w:rsidRPr="00A77FB2">
        <w:t>Lanz</w:t>
      </w:r>
      <w:r w:rsidR="00570BF1">
        <w:t>,</w:t>
      </w:r>
      <w:r w:rsidRPr="00A77FB2">
        <w:t xml:space="preserve"> B., and Rausch, S. 2011. “General equilibrium, electricity generation technologies and the cost of carbon abatement: A structural sensitivity analysis.” </w:t>
      </w:r>
      <w:r w:rsidRPr="00A77FB2">
        <w:rPr>
          <w:i/>
        </w:rPr>
        <w:t>Energy Economics</w:t>
      </w:r>
      <w:r w:rsidRPr="00A77FB2">
        <w:t xml:space="preserve"> 33(5): 1035–1047. </w:t>
      </w:r>
    </w:p>
    <w:p w14:paraId="68D7E8EE" w14:textId="77777777" w:rsidR="001806EA" w:rsidRPr="00A77FB2" w:rsidRDefault="001806EA" w:rsidP="001806EA">
      <w:pPr>
        <w:spacing w:after="100" w:afterAutospacing="1" w:line="276" w:lineRule="auto"/>
        <w:jc w:val="left"/>
      </w:pPr>
      <w:r w:rsidRPr="00A77FB2">
        <w:t>Lau, M., Pahlke, A., and Rutherford, T. 2002. “Approximating Infinite-Horizon Models in a Complementarity Format: A Primer in Dynamic General Equilibrium Analysis</w:t>
      </w:r>
      <w:r w:rsidRPr="00A77FB2">
        <w:rPr>
          <w:i/>
        </w:rPr>
        <w:t xml:space="preserve">.” Journal of Economic Dynamics and Control </w:t>
      </w:r>
      <w:r w:rsidRPr="00A77FB2">
        <w:t>26(4): 577-609.</w:t>
      </w:r>
    </w:p>
    <w:p w14:paraId="5A1A952F" w14:textId="77777777" w:rsidR="00306D26" w:rsidRPr="00A77FB2" w:rsidRDefault="00306D26" w:rsidP="00306D26">
      <w:pPr>
        <w:spacing w:after="0" w:line="276" w:lineRule="auto"/>
      </w:pPr>
      <w:r w:rsidRPr="00A77FB2">
        <w:t xml:space="preserve">Magat, W. 1978. “Pollution Control and Technological Advance: A Dynamic Model of the Firm.” </w:t>
      </w:r>
      <w:r w:rsidRPr="00A77FB2">
        <w:rPr>
          <w:i/>
        </w:rPr>
        <w:t xml:space="preserve">Journal of Environmental Economics and Management </w:t>
      </w:r>
      <w:r w:rsidRPr="00A77FB2">
        <w:t>5: 1–25.</w:t>
      </w:r>
    </w:p>
    <w:p w14:paraId="6E3EB4E6" w14:textId="77777777" w:rsidR="00306D26" w:rsidRPr="00A77FB2" w:rsidRDefault="00306D26" w:rsidP="00306D26">
      <w:pPr>
        <w:spacing w:after="0" w:line="276" w:lineRule="auto"/>
      </w:pPr>
    </w:p>
    <w:p w14:paraId="593678CC" w14:textId="4643E84C" w:rsidR="0046763A" w:rsidRPr="00A77FB2" w:rsidRDefault="0046763A" w:rsidP="00A77FB2">
      <w:pPr>
        <w:spacing w:after="0" w:line="276" w:lineRule="auto"/>
      </w:pPr>
      <w:r w:rsidRPr="00A77FB2">
        <w:t xml:space="preserve">Manne, A. and Wene, C.-O. 1992. “MARKAL-MACRO: A linked model for energy-economy analysis,” BNL-47161, Department of Applied Science, Brookhaven National Laboratories.  </w:t>
      </w:r>
    </w:p>
    <w:p w14:paraId="4DB8E025" w14:textId="77777777" w:rsidR="0030001C" w:rsidRPr="00A77FB2" w:rsidRDefault="0030001C" w:rsidP="00306D26">
      <w:pPr>
        <w:spacing w:after="0" w:line="276" w:lineRule="auto"/>
      </w:pPr>
    </w:p>
    <w:p w14:paraId="3DAEDEA2" w14:textId="77777777" w:rsidR="00CD1315" w:rsidRPr="00A77FB2" w:rsidRDefault="00CD1315" w:rsidP="00CA0267">
      <w:pPr>
        <w:spacing w:after="100" w:afterAutospacing="1" w:line="276" w:lineRule="auto"/>
        <w:jc w:val="left"/>
      </w:pPr>
      <w:r w:rsidRPr="00A77FB2">
        <w:t xml:space="preserve">Martinsen, T. 2011. “Introducing technology learning for energy technologies in a national CGE model through soft links to global and national energy models.” </w:t>
      </w:r>
      <w:r w:rsidRPr="00A77FB2">
        <w:rPr>
          <w:i/>
        </w:rPr>
        <w:t>Energy Policy</w:t>
      </w:r>
      <w:r w:rsidRPr="00A77FB2">
        <w:t xml:space="preserve"> 39(6): 3327–3336</w:t>
      </w:r>
    </w:p>
    <w:p w14:paraId="789FB6F4" w14:textId="77777777" w:rsidR="00CD1315" w:rsidRPr="00A77FB2" w:rsidRDefault="00CD1315" w:rsidP="00CA0267">
      <w:pPr>
        <w:spacing w:after="100" w:afterAutospacing="1" w:line="276" w:lineRule="auto"/>
        <w:jc w:val="left"/>
      </w:pPr>
      <w:r w:rsidRPr="00A77FB2">
        <w:t xml:space="preserve">McClelland, R., and Mok, S. 2012. “A Review of Recent Research on Labor Supply Elasticities.” Congressional Budget Office Working Paper.  </w:t>
      </w:r>
    </w:p>
    <w:p w14:paraId="77C06E68" w14:textId="77777777" w:rsidR="00F7076D" w:rsidRPr="00A77FB2" w:rsidRDefault="00F7076D" w:rsidP="00F7076D">
      <w:pPr>
        <w:spacing w:line="276" w:lineRule="auto"/>
        <w:rPr>
          <w:rFonts w:cs="Times New Roman"/>
        </w:rPr>
      </w:pPr>
      <w:r w:rsidRPr="00A77FB2">
        <w:rPr>
          <w:rFonts w:eastAsia="Times New Roman" w:cs="Times New Roman"/>
        </w:rPr>
        <w:t xml:space="preserve">McCracken, C., Edmonds, J., Kim, S., and Sands, R. 1999. “The Economics of the Kyoto Protocol.” </w:t>
      </w:r>
      <w:r w:rsidRPr="00A77FB2">
        <w:rPr>
          <w:rFonts w:eastAsia="Times New Roman" w:cs="Times New Roman"/>
          <w:i/>
        </w:rPr>
        <w:t>Energy Journal</w:t>
      </w:r>
      <w:r w:rsidRPr="00A77FB2">
        <w:rPr>
          <w:rFonts w:eastAsia="Times New Roman" w:cs="Times New Roman"/>
        </w:rPr>
        <w:t xml:space="preserve"> 20 (Special Issue): 25-71.</w:t>
      </w:r>
    </w:p>
    <w:p w14:paraId="223AA122" w14:textId="003806EA" w:rsidR="00CD1315" w:rsidRPr="00A77FB2" w:rsidRDefault="00CD1315" w:rsidP="00CA0267">
      <w:pPr>
        <w:spacing w:after="100" w:afterAutospacing="1" w:line="276" w:lineRule="auto"/>
        <w:jc w:val="left"/>
      </w:pPr>
      <w:r w:rsidRPr="00A77FB2">
        <w:t xml:space="preserve">McDaniel, C., and Balistreri, E. 2003. “A review of Armington trade </w:t>
      </w:r>
      <w:r w:rsidR="006E7292">
        <w:t xml:space="preserve">substitution </w:t>
      </w:r>
      <w:r w:rsidRPr="00A77FB2">
        <w:t xml:space="preserve">elasticities.” </w:t>
      </w:r>
      <w:r w:rsidRPr="00A77FB2">
        <w:rPr>
          <w:i/>
        </w:rPr>
        <w:t>Economie Internationale</w:t>
      </w:r>
      <w:r w:rsidRPr="00A77FB2">
        <w:t xml:space="preserve"> 3(94-95): 301-313.</w:t>
      </w:r>
    </w:p>
    <w:p w14:paraId="3E445DCF" w14:textId="77777777" w:rsidR="00CD1315" w:rsidRPr="00A77FB2" w:rsidRDefault="00CD1315" w:rsidP="00CA0267">
      <w:pPr>
        <w:spacing w:after="100" w:afterAutospacing="1" w:line="276" w:lineRule="auto"/>
        <w:jc w:val="left"/>
      </w:pPr>
      <w:r w:rsidRPr="00A77FB2">
        <w:t xml:space="preserve">McFarland, J., Reilly, J., and Herzog, H. 2004. “Representing Energy Technologies in Top-down Economic Models using Bottom-up Information.” </w:t>
      </w:r>
      <w:r w:rsidRPr="00A77FB2">
        <w:rPr>
          <w:i/>
        </w:rPr>
        <w:t>Energy Economics</w:t>
      </w:r>
      <w:r w:rsidRPr="00A77FB2">
        <w:t xml:space="preserve"> 26(4): 685-707.</w:t>
      </w:r>
    </w:p>
    <w:p w14:paraId="257926B5" w14:textId="4FD56055" w:rsidR="00EC1672" w:rsidRDefault="00EC1672" w:rsidP="00CA0267">
      <w:pPr>
        <w:spacing w:after="100" w:afterAutospacing="1" w:line="276" w:lineRule="auto"/>
        <w:jc w:val="left"/>
      </w:pPr>
      <w:r>
        <w:t xml:space="preserve">NERA Economic Consulting. 2013. </w:t>
      </w:r>
      <w:r w:rsidRPr="00811281">
        <w:rPr>
          <w:i/>
        </w:rPr>
        <w:t>Economic Outcomes of a U.S. Carbon Tax</w:t>
      </w:r>
      <w:r>
        <w:t>. Prepared for the National Association of Manufacturers. February 17.</w:t>
      </w:r>
    </w:p>
    <w:p w14:paraId="789C0083" w14:textId="33CEAE1E" w:rsidR="00CD1315" w:rsidRPr="00A77FB2" w:rsidRDefault="00CD1315" w:rsidP="00CA0267">
      <w:pPr>
        <w:spacing w:after="100" w:afterAutospacing="1" w:line="276" w:lineRule="auto"/>
        <w:jc w:val="left"/>
      </w:pPr>
      <w:r w:rsidRPr="00A77FB2">
        <w:t xml:space="preserve">Nestor, D., and C. Pasurka, C. 1995a. “CGE model of pollution abatement processes for assessing the economic effects of environmental policy.” </w:t>
      </w:r>
      <w:r w:rsidRPr="00A77FB2">
        <w:rPr>
          <w:i/>
        </w:rPr>
        <w:t>Economic Modelling</w:t>
      </w:r>
      <w:r w:rsidRPr="00A77FB2">
        <w:t xml:space="preserve"> 12(1): 53-59.</w:t>
      </w:r>
    </w:p>
    <w:p w14:paraId="13CC9F19" w14:textId="77777777" w:rsidR="00CD1315" w:rsidRPr="00A77FB2" w:rsidRDefault="00CD1315" w:rsidP="00CA0267">
      <w:pPr>
        <w:spacing w:after="100" w:afterAutospacing="1" w:line="276" w:lineRule="auto"/>
        <w:jc w:val="left"/>
      </w:pPr>
      <w:r w:rsidRPr="00A77FB2">
        <w:t xml:space="preserve">Nestor, D., and Pasurka, C. 1995b. “Alternative specifications for environmental control costs in a general equilibrium framework.” </w:t>
      </w:r>
      <w:r w:rsidRPr="00A77FB2">
        <w:rPr>
          <w:i/>
        </w:rPr>
        <w:t>Economics Letters</w:t>
      </w:r>
      <w:r w:rsidRPr="00A77FB2">
        <w:t xml:space="preserve"> 48(3-4): 273-280.</w:t>
      </w:r>
    </w:p>
    <w:p w14:paraId="4F7A3925" w14:textId="1EEF1FD4" w:rsidR="0030001C" w:rsidRPr="00A77FB2" w:rsidRDefault="0030001C" w:rsidP="0030001C">
      <w:pPr>
        <w:spacing w:after="0" w:line="276" w:lineRule="auto"/>
      </w:pPr>
      <w:r w:rsidRPr="00A77FB2">
        <w:t xml:space="preserve">Newell, R., Jaffe, A., and Stavins, R. 1999. “The induced innovation hypothesis and energy-saving technological change.” </w:t>
      </w:r>
      <w:r w:rsidRPr="00A77FB2">
        <w:rPr>
          <w:i/>
        </w:rPr>
        <w:t>Quarterly Journal of Economics</w:t>
      </w:r>
      <w:r w:rsidRPr="00A77FB2">
        <w:t xml:space="preserve"> 114(3): 941–975.</w:t>
      </w:r>
    </w:p>
    <w:p w14:paraId="56A4C442" w14:textId="77777777" w:rsidR="0030001C" w:rsidRPr="00A77FB2" w:rsidRDefault="0030001C" w:rsidP="0030001C">
      <w:pPr>
        <w:spacing w:after="0" w:line="276" w:lineRule="auto"/>
      </w:pPr>
    </w:p>
    <w:p w14:paraId="2C003F26" w14:textId="5787B4B6" w:rsidR="00CD1315" w:rsidRPr="00A77FB2" w:rsidRDefault="00CD1315" w:rsidP="00CA0267">
      <w:pPr>
        <w:spacing w:after="100" w:afterAutospacing="1" w:line="276" w:lineRule="auto"/>
        <w:jc w:val="left"/>
      </w:pPr>
      <w:r w:rsidRPr="00A77FB2">
        <w:t xml:space="preserve">Office of Management and Budget 2003. “Regulatory Impact Analysis: A primer.” Circular A-4. </w:t>
      </w:r>
    </w:p>
    <w:p w14:paraId="0BB348A5" w14:textId="77777777" w:rsidR="00CA0267" w:rsidRPr="00A77FB2" w:rsidRDefault="003B7B13" w:rsidP="00CA0267">
      <w:pPr>
        <w:autoSpaceDE w:val="0"/>
        <w:autoSpaceDN w:val="0"/>
        <w:adjustRightInd w:val="0"/>
        <w:spacing w:after="100" w:afterAutospacing="1" w:line="276" w:lineRule="auto"/>
        <w:jc w:val="left"/>
        <w:rPr>
          <w:rFonts w:cs="dcr10"/>
        </w:rPr>
      </w:pPr>
      <w:r w:rsidRPr="00A77FB2">
        <w:rPr>
          <w:rFonts w:cs="dcr10"/>
        </w:rPr>
        <w:t xml:space="preserve">Office of Management and Budget (OMB). 2014. 2014 </w:t>
      </w:r>
      <w:r w:rsidRPr="00A77FB2">
        <w:rPr>
          <w:rFonts w:cs="dcr10"/>
          <w:i/>
        </w:rPr>
        <w:t>Draft Report to Congress on the Benefits and Costs of Federal Regulations and unfunded Mandates on State, Local, and Tribal Entities</w:t>
      </w:r>
      <w:r w:rsidR="00CA0267" w:rsidRPr="00A77FB2">
        <w:rPr>
          <w:rFonts w:cs="dcr10"/>
        </w:rPr>
        <w:t>.</w:t>
      </w:r>
    </w:p>
    <w:p w14:paraId="3F9E2979" w14:textId="4BD425F8" w:rsidR="003046FE" w:rsidRPr="00A77FB2" w:rsidRDefault="003046FE" w:rsidP="00CA0267">
      <w:pPr>
        <w:spacing w:after="100" w:afterAutospacing="1" w:line="276" w:lineRule="auto"/>
        <w:jc w:val="left"/>
      </w:pPr>
      <w:r w:rsidRPr="00A77FB2">
        <w:t xml:space="preserve">Paltsev, S., and Capros, P. 2013. “Cost Concepts for Climate Change Mitigation.” </w:t>
      </w:r>
      <w:r w:rsidRPr="00A77FB2">
        <w:rPr>
          <w:i/>
        </w:rPr>
        <w:t xml:space="preserve">Climate Change </w:t>
      </w:r>
      <w:r w:rsidR="00AD53B5" w:rsidRPr="00A77FB2">
        <w:rPr>
          <w:i/>
        </w:rPr>
        <w:t>Economics</w:t>
      </w:r>
      <w:r w:rsidRPr="00A77FB2">
        <w:t xml:space="preserve"> 4(Suppl. 1): 1340003.</w:t>
      </w:r>
    </w:p>
    <w:p w14:paraId="6D6F1F27" w14:textId="20AD7C82" w:rsidR="00CD1315" w:rsidRPr="00A77FB2" w:rsidRDefault="00CD1315" w:rsidP="00CA0267">
      <w:pPr>
        <w:spacing w:after="100" w:afterAutospacing="1" w:line="276" w:lineRule="auto"/>
        <w:jc w:val="left"/>
      </w:pPr>
      <w:r w:rsidRPr="00A77FB2">
        <w:t xml:space="preserve">Paltsev, S., Reilly, J., Jacoby, H., Eckaus, R., McFarland, R., Sarofim, M., Assadoorian, M. and Babiker, M. 2005. “The MIT Emissions Prediction and Policy Analysis (EPPA) Model: Version 4.” MIT Joint Program on the Science and Policy of Global Change Report, 125. </w:t>
      </w:r>
    </w:p>
    <w:p w14:paraId="5B0B1959" w14:textId="77777777" w:rsidR="00CD1315" w:rsidRPr="00A77FB2" w:rsidRDefault="00CD1315" w:rsidP="00CA0267">
      <w:pPr>
        <w:spacing w:after="100" w:afterAutospacing="1" w:line="276" w:lineRule="auto"/>
        <w:jc w:val="left"/>
      </w:pPr>
      <w:r w:rsidRPr="00A77FB2">
        <w:t xml:space="preserve">Paltsev, S., Reilly, J., Jacoby, H., and Morris, J. 2009.  “Appendix B: Measuring the Cost of Climate Policy.” of </w:t>
      </w:r>
      <w:r w:rsidRPr="00A77FB2">
        <w:rPr>
          <w:i/>
        </w:rPr>
        <w:t>The Cost of Climate Policy in the United States</w:t>
      </w:r>
      <w:r w:rsidRPr="00A77FB2">
        <w:t>. Report 173. MIT Joint Program on the Science and Policy of Global Change.</w:t>
      </w:r>
    </w:p>
    <w:p w14:paraId="750786FA" w14:textId="77777777" w:rsidR="00CD1315" w:rsidRPr="00A77FB2" w:rsidRDefault="00CD1315" w:rsidP="00CA0267">
      <w:pPr>
        <w:spacing w:after="100" w:afterAutospacing="1" w:line="276" w:lineRule="auto"/>
        <w:jc w:val="left"/>
      </w:pPr>
      <w:r w:rsidRPr="00A77FB2">
        <w:t xml:space="preserve">Parry, I. 1995. “Pollution Taxes and Revenue Recycling.” </w:t>
      </w:r>
      <w:r w:rsidRPr="00A77FB2">
        <w:rPr>
          <w:i/>
        </w:rPr>
        <w:t xml:space="preserve">Journal of Environmental Economics and Management </w:t>
      </w:r>
      <w:r w:rsidRPr="00A77FB2">
        <w:t>29(3): S64-77.</w:t>
      </w:r>
    </w:p>
    <w:p w14:paraId="6587017A" w14:textId="77777777" w:rsidR="00CD1315" w:rsidRPr="00A77FB2" w:rsidRDefault="00CD1315" w:rsidP="00CA0267">
      <w:pPr>
        <w:spacing w:after="100" w:afterAutospacing="1" w:line="276" w:lineRule="auto"/>
        <w:jc w:val="left"/>
      </w:pPr>
      <w:r w:rsidRPr="00A77FB2">
        <w:t xml:space="preserve">Pizer, W., Burtraw, D., Harrington, W., Newell, R., and Sanchirico, J. 2006.  “Modeling Economy-Wide versus Sectoral Climate Policies Using Combined Aggregate-Sectoral Policies.” </w:t>
      </w:r>
      <w:r w:rsidRPr="00A77FB2">
        <w:rPr>
          <w:i/>
        </w:rPr>
        <w:t>The Energy Journal</w:t>
      </w:r>
      <w:r w:rsidRPr="00A77FB2">
        <w:t xml:space="preserve"> 27(3): 135-168.</w:t>
      </w:r>
    </w:p>
    <w:p w14:paraId="0750A05B" w14:textId="77777777" w:rsidR="00CD1315" w:rsidRPr="00A77FB2" w:rsidRDefault="00CD1315" w:rsidP="00CA0267">
      <w:pPr>
        <w:spacing w:after="100" w:afterAutospacing="1" w:line="276" w:lineRule="auto"/>
        <w:jc w:val="left"/>
      </w:pPr>
      <w:r w:rsidRPr="00A77FB2">
        <w:t xml:space="preserve">Pizer, W., and Kopp, R. 2005.  “Calculating the Costs of Environmental Regulation” in K-G. Mäler and J. Vincent (Eds.). </w:t>
      </w:r>
      <w:r w:rsidRPr="00A77FB2">
        <w:rPr>
          <w:i/>
        </w:rPr>
        <w:t>The Handbook of Environmental Economics</w:t>
      </w:r>
      <w:r w:rsidRPr="00A77FB2">
        <w:t xml:space="preserve"> (pp. 1307-1351). Elsevier. Vol. 3.</w:t>
      </w:r>
    </w:p>
    <w:p w14:paraId="56719DCD" w14:textId="1C579B76" w:rsidR="00130BD3" w:rsidRDefault="00130BD3" w:rsidP="00CA0267">
      <w:pPr>
        <w:spacing w:after="100" w:afterAutospacing="1" w:line="276" w:lineRule="auto"/>
        <w:jc w:val="left"/>
      </w:pPr>
      <w:r>
        <w:t xml:space="preserve">Pizer, W., and Popp, D. 2008. “Endogenizing technological change: Matching empirical evidence to modeling needs.” </w:t>
      </w:r>
      <w:r>
        <w:rPr>
          <w:i/>
          <w:iCs/>
        </w:rPr>
        <w:t>Energy Economics</w:t>
      </w:r>
      <w:r>
        <w:t xml:space="preserve"> </w:t>
      </w:r>
      <w:r w:rsidRPr="00811281">
        <w:rPr>
          <w:iCs/>
        </w:rPr>
        <w:t>30</w:t>
      </w:r>
      <w:r>
        <w:t>(6):</w:t>
      </w:r>
      <w:r w:rsidRPr="00130BD3">
        <w:t xml:space="preserve"> 2754-2770.</w:t>
      </w:r>
    </w:p>
    <w:p w14:paraId="3B248047" w14:textId="5FBFAA85" w:rsidR="00CD1315" w:rsidRPr="00A77FB2" w:rsidRDefault="00CD1315" w:rsidP="00CA0267">
      <w:pPr>
        <w:spacing w:after="100" w:afterAutospacing="1" w:line="276" w:lineRule="auto"/>
        <w:jc w:val="left"/>
      </w:pPr>
      <w:r w:rsidRPr="00A77FB2">
        <w:t xml:space="preserve">Popp, D. 2005. "Lessons from Patents: Using Patents to Measure Technological Change in Environmental Models." </w:t>
      </w:r>
      <w:r w:rsidRPr="00A77FB2">
        <w:rPr>
          <w:i/>
        </w:rPr>
        <w:t>Ecological Economics</w:t>
      </w:r>
      <w:r w:rsidRPr="00A77FB2">
        <w:t xml:space="preserve"> 54:209-226.</w:t>
      </w:r>
    </w:p>
    <w:p w14:paraId="0259E6A2" w14:textId="77777777" w:rsidR="00CD1315" w:rsidRPr="00A77FB2" w:rsidRDefault="00CD1315" w:rsidP="00CA0267">
      <w:pPr>
        <w:spacing w:after="100" w:afterAutospacing="1" w:line="276" w:lineRule="auto"/>
        <w:jc w:val="left"/>
      </w:pPr>
      <w:r w:rsidRPr="00A77FB2">
        <w:t xml:space="preserve">Popp, D., Newell, R., Jaffe, A. 2010. “Energy, the Environment and Technological Change” in .H. Hall and N. Rosenberg (Eds.). </w:t>
      </w:r>
      <w:r w:rsidRPr="00A77FB2">
        <w:rPr>
          <w:i/>
        </w:rPr>
        <w:t>Handbook of the Economics of Innovation</w:t>
      </w:r>
      <w:r w:rsidRPr="00A77FB2">
        <w:t xml:space="preserve"> (pp. 873-938). Volume 2. Elsevier.</w:t>
      </w:r>
    </w:p>
    <w:p w14:paraId="76DAB1F9" w14:textId="0840709C" w:rsidR="00D01A25" w:rsidRPr="00A77FB2" w:rsidRDefault="00D01A25" w:rsidP="00CA0267">
      <w:pPr>
        <w:spacing w:after="100" w:afterAutospacing="1" w:line="276" w:lineRule="auto"/>
        <w:jc w:val="left"/>
      </w:pPr>
      <w:r w:rsidRPr="00A77FB2">
        <w:t>Rattso, J. 1982. “Different Macroclosures of the Original Johansen Model and Their Impact on Policy Evaluation.” Journal of Policy Modeling 4(1): 85-97.</w:t>
      </w:r>
    </w:p>
    <w:p w14:paraId="462A4EA3" w14:textId="261825A2" w:rsidR="00CD1315" w:rsidRPr="00A77FB2" w:rsidRDefault="00CD1315" w:rsidP="00CA0267">
      <w:pPr>
        <w:spacing w:after="100" w:afterAutospacing="1" w:line="276" w:lineRule="auto"/>
        <w:jc w:val="left"/>
      </w:pPr>
      <w:r w:rsidRPr="00A77FB2">
        <w:t xml:space="preserve">Rausch, S., </w:t>
      </w:r>
      <w:r w:rsidR="007B5C27">
        <w:t xml:space="preserve">and </w:t>
      </w:r>
      <w:r w:rsidRPr="00A77FB2">
        <w:t xml:space="preserve">Karplus, V. 2014. “Markets versus Regulation: The Efficiency and Distributional Impacts of U.S. Climate Policy Proposals.” </w:t>
      </w:r>
      <w:r w:rsidRPr="00A77FB2">
        <w:rPr>
          <w:i/>
        </w:rPr>
        <w:t>The Energy Journal</w:t>
      </w:r>
      <w:r w:rsidRPr="00A77FB2">
        <w:t xml:space="preserve"> 35(special issue).</w:t>
      </w:r>
    </w:p>
    <w:p w14:paraId="6017A884" w14:textId="77777777" w:rsidR="00CD1315" w:rsidRPr="00A77FB2" w:rsidRDefault="00CD1315" w:rsidP="00CA0267">
      <w:pPr>
        <w:spacing w:after="100" w:afterAutospacing="1" w:line="276" w:lineRule="auto"/>
        <w:jc w:val="left"/>
      </w:pPr>
      <w:r w:rsidRPr="00A77FB2">
        <w:t xml:space="preserve">Rausch, S., Metcalf, G., Reilly, J., and Paltsev, S. 2009. “Distributional impacts of a US greenhouse gas policy: A general equilibrium analysis of carbon pricing.” MIT Joint Program on the Science and Policy of Global Change Report No. 182. </w:t>
      </w:r>
    </w:p>
    <w:p w14:paraId="37F79731" w14:textId="3FAF5096" w:rsidR="00E56129" w:rsidRPr="00A77FB2" w:rsidRDefault="00CD1315" w:rsidP="00CA0267">
      <w:pPr>
        <w:spacing w:after="100" w:afterAutospacing="1" w:line="276" w:lineRule="auto"/>
        <w:jc w:val="left"/>
      </w:pPr>
      <w:r w:rsidRPr="00A77FB2">
        <w:t>Rausch, S., and Mowers, M. 201</w:t>
      </w:r>
      <w:r w:rsidR="00E56129" w:rsidRPr="00A77FB2">
        <w:t>4</w:t>
      </w:r>
      <w:r w:rsidRPr="00A77FB2">
        <w:t xml:space="preserve">. “Distributional and efficiency impacts of clean and renewable energy standards for electricity.” </w:t>
      </w:r>
      <w:r w:rsidRPr="00A77FB2">
        <w:rPr>
          <w:i/>
        </w:rPr>
        <w:t>Resource and Energy Economics</w:t>
      </w:r>
      <w:r w:rsidRPr="00A77FB2">
        <w:t xml:space="preserve"> 36(2): 556-585</w:t>
      </w:r>
      <w:r w:rsidR="005D4868" w:rsidRPr="00A77FB2">
        <w:t>.</w:t>
      </w:r>
    </w:p>
    <w:p w14:paraId="75506327" w14:textId="50EB0A76" w:rsidR="00E155E5" w:rsidRDefault="00E155E5" w:rsidP="00CA0267">
      <w:pPr>
        <w:spacing w:after="100" w:afterAutospacing="1" w:line="276" w:lineRule="auto"/>
        <w:jc w:val="left"/>
      </w:pPr>
      <w:r>
        <w:t>Riker, D., and W. Swanson. 2015. “A Survey of Empirical Models of Labor Transitions Following Trade Liberalization.” Office of Economics Working Paper. No. 2015-09A. U.S. International Trade Commission.</w:t>
      </w:r>
    </w:p>
    <w:p w14:paraId="63476C69" w14:textId="27F8CF39" w:rsidR="006E7292" w:rsidRDefault="006E7292" w:rsidP="00CA0267">
      <w:pPr>
        <w:spacing w:after="100" w:afterAutospacing="1" w:line="276" w:lineRule="auto"/>
        <w:jc w:val="left"/>
      </w:pPr>
      <w:r>
        <w:t>Rivera, S. 2003. “Key Methods for Quantifying the Effects of Trade Liberalization</w:t>
      </w:r>
      <w:r w:rsidRPr="00811281">
        <w:rPr>
          <w:i/>
        </w:rPr>
        <w:t>.” International Economic Review</w:t>
      </w:r>
      <w:r>
        <w:t>, January/February: 1-8.</w:t>
      </w:r>
    </w:p>
    <w:p w14:paraId="061EEF44" w14:textId="4616F0EE" w:rsidR="005D6273" w:rsidRPr="00A77FB2" w:rsidRDefault="005D6273" w:rsidP="00CA0267">
      <w:pPr>
        <w:spacing w:after="100" w:afterAutospacing="1" w:line="276" w:lineRule="auto"/>
        <w:jc w:val="left"/>
      </w:pPr>
      <w:r w:rsidRPr="00A77FB2">
        <w:t>Rogerson, R. 2015.</w:t>
      </w:r>
      <w:r w:rsidR="005734FF" w:rsidRPr="00A77FB2">
        <w:t xml:space="preserve"> “A Macroeconomic Perspective on Evaluating Environmental Regulations.”  </w:t>
      </w:r>
      <w:r w:rsidR="005734FF" w:rsidRPr="00A77FB2">
        <w:rPr>
          <w:i/>
        </w:rPr>
        <w:t>Review of Environmental Economics and Policy</w:t>
      </w:r>
      <w:r w:rsidR="005734FF" w:rsidRPr="00A77FB2">
        <w:t xml:space="preserve"> 9(2): 219-238.</w:t>
      </w:r>
    </w:p>
    <w:p w14:paraId="2D0D7051" w14:textId="04A1E59C" w:rsidR="00DE5EC3" w:rsidRPr="00A77FB2" w:rsidRDefault="00DE5EC3" w:rsidP="00CA0267">
      <w:pPr>
        <w:pStyle w:val="NoSpacing"/>
        <w:spacing w:after="100" w:afterAutospacing="1"/>
      </w:pPr>
      <w:r w:rsidRPr="00A77FB2">
        <w:t xml:space="preserve">Schafer, A. and Jacoby, H. 2005. “Technology detail in a multi-sector CGE model: Transport under climate policy.” </w:t>
      </w:r>
      <w:r w:rsidRPr="00A77FB2">
        <w:rPr>
          <w:i/>
        </w:rPr>
        <w:t>Energy Economics</w:t>
      </w:r>
      <w:r w:rsidRPr="00A77FB2">
        <w:t xml:space="preserve"> 27(1): 1–24.  </w:t>
      </w:r>
    </w:p>
    <w:p w14:paraId="1F9596CC" w14:textId="0D107A3E" w:rsidR="002D15A8" w:rsidRPr="00A77FB2" w:rsidRDefault="002D15A8" w:rsidP="00CA0267">
      <w:pPr>
        <w:spacing w:after="100" w:afterAutospacing="1" w:line="276" w:lineRule="auto"/>
        <w:jc w:val="left"/>
      </w:pPr>
      <w:r w:rsidRPr="00A77FB2">
        <w:t xml:space="preserve">Selin, N., Wu, S., Nam K.-M., Reilly, J., Palsev, S., Prinn, R. 2009. “Global Health and Economic Impacts of Future Ozone Pollution.” </w:t>
      </w:r>
      <w:r w:rsidRPr="00A77FB2">
        <w:rPr>
          <w:i/>
        </w:rPr>
        <w:t>Environmental Research Letters</w:t>
      </w:r>
      <w:r w:rsidRPr="00A77FB2">
        <w:t xml:space="preserve"> 4: 1-9.</w:t>
      </w:r>
    </w:p>
    <w:p w14:paraId="21EFA7DC" w14:textId="32751249" w:rsidR="00D73A4B" w:rsidRPr="00A77FB2" w:rsidRDefault="00D73A4B" w:rsidP="006A233F">
      <w:pPr>
        <w:spacing w:after="100" w:afterAutospacing="1" w:line="276" w:lineRule="auto"/>
        <w:jc w:val="left"/>
      </w:pPr>
      <w:r w:rsidRPr="00A77FB2">
        <w:t xml:space="preserve">Shimer, </w:t>
      </w:r>
      <w:r w:rsidR="00D820B1" w:rsidRPr="00A77FB2">
        <w:t xml:space="preserve">R. </w:t>
      </w:r>
      <w:r w:rsidRPr="00A77FB2">
        <w:t>2013.</w:t>
      </w:r>
      <w:r w:rsidR="00D820B1" w:rsidRPr="00A77FB2">
        <w:t xml:space="preserve"> “Optimal Taxation of Consumption Externalities with Search Unemployment.” Working Paper.</w:t>
      </w:r>
    </w:p>
    <w:p w14:paraId="6839AB0B" w14:textId="02076191" w:rsidR="005D6273" w:rsidRPr="00A77FB2" w:rsidRDefault="005D6273" w:rsidP="00CA0267">
      <w:pPr>
        <w:spacing w:after="100" w:afterAutospacing="1" w:line="276" w:lineRule="auto"/>
        <w:jc w:val="left"/>
      </w:pPr>
      <w:r w:rsidRPr="00A77FB2">
        <w:t>Shoven</w:t>
      </w:r>
      <w:r w:rsidR="006D2D22" w:rsidRPr="00A77FB2">
        <w:t>, J.,</w:t>
      </w:r>
      <w:r w:rsidRPr="00A77FB2">
        <w:t xml:space="preserve"> and </w:t>
      </w:r>
      <w:r w:rsidR="006D2D22" w:rsidRPr="00A77FB2">
        <w:t xml:space="preserve">Whalley, J. 1984. “Applied General-Equilibrium Models of Taxation and International Trade: An Introduction and Survey.” </w:t>
      </w:r>
      <w:r w:rsidR="006D2D22" w:rsidRPr="00A77FB2">
        <w:rPr>
          <w:i/>
        </w:rPr>
        <w:t>Journal of Economic Literature</w:t>
      </w:r>
      <w:r w:rsidR="006D2D22" w:rsidRPr="00A77FB2">
        <w:t xml:space="preserve"> 22 (3): 1007-1051.</w:t>
      </w:r>
    </w:p>
    <w:p w14:paraId="092F2AFC" w14:textId="79E37417" w:rsidR="00446EF0" w:rsidRPr="00713B93" w:rsidRDefault="00446EF0" w:rsidP="006A233F">
      <w:pPr>
        <w:spacing w:after="100" w:afterAutospacing="1" w:line="276" w:lineRule="auto"/>
        <w:jc w:val="left"/>
      </w:pPr>
      <w:r w:rsidRPr="00A77FB2">
        <w:t>Smith, K. 2015.</w:t>
      </w:r>
      <w:r w:rsidR="00D820B1" w:rsidRPr="00A77FB2">
        <w:t xml:space="preserve"> “Should Benefit–Cost Methods Take Account of High Unemployment? Symposium Introduction.” </w:t>
      </w:r>
      <w:r w:rsidR="00D820B1" w:rsidRPr="00A77FB2">
        <w:rPr>
          <w:i/>
        </w:rPr>
        <w:t>Review of Environmental Economics and Policy</w:t>
      </w:r>
      <w:r w:rsidR="00D820B1" w:rsidRPr="00713B93">
        <w:t xml:space="preserve"> 9(2): 165-178.</w:t>
      </w:r>
    </w:p>
    <w:p w14:paraId="02ACE097" w14:textId="7190A8B0" w:rsidR="00CD1315" w:rsidRPr="0052723E" w:rsidRDefault="00CD1315" w:rsidP="00CA0267">
      <w:pPr>
        <w:spacing w:after="100" w:afterAutospacing="1" w:line="276" w:lineRule="auto"/>
        <w:jc w:val="left"/>
      </w:pPr>
      <w:r w:rsidRPr="009B1C39">
        <w:t xml:space="preserve">Stiglitz, </w:t>
      </w:r>
      <w:r w:rsidRPr="0052723E">
        <w:t>J., Sen, A., and Fitoussi, J. 2009. Report by the Commission on the Measurement of Economic Performance and Social Progress.</w:t>
      </w:r>
    </w:p>
    <w:p w14:paraId="3D309FA7" w14:textId="77777777" w:rsidR="00CD1315" w:rsidRPr="00364008" w:rsidRDefault="00CD1315" w:rsidP="00CA0267">
      <w:pPr>
        <w:spacing w:after="100" w:afterAutospacing="1" w:line="276" w:lineRule="auto"/>
        <w:jc w:val="left"/>
      </w:pPr>
      <w:r w:rsidRPr="00E17F17">
        <w:t xml:space="preserve">Sue Wing, I. 2006a. “Representing induced technological change in models for climate policy analysis.” </w:t>
      </w:r>
      <w:r w:rsidRPr="00FA0302">
        <w:rPr>
          <w:i/>
        </w:rPr>
        <w:t>Energy Economics</w:t>
      </w:r>
      <w:r w:rsidRPr="00364008">
        <w:t>. 28(5-6):539-562.</w:t>
      </w:r>
    </w:p>
    <w:p w14:paraId="0BECE247" w14:textId="0EF0A391" w:rsidR="00DE5EC3" w:rsidRPr="00A77FB2" w:rsidRDefault="00CD1315" w:rsidP="00CA0267">
      <w:pPr>
        <w:spacing w:after="100" w:afterAutospacing="1" w:line="276" w:lineRule="auto"/>
        <w:jc w:val="left"/>
      </w:pPr>
      <w:r w:rsidRPr="00364008">
        <w:t>Sue Wing, I. 2006</w:t>
      </w:r>
      <w:r w:rsidR="00DE5EC3" w:rsidRPr="00364008">
        <w:t>b</w:t>
      </w:r>
      <w:r w:rsidRPr="00ED46C4">
        <w:t xml:space="preserve">. “The synthesis of bottom-up and top-down approaches to climate policy modeling: Electric power technologies and the cost of limiting US CO2 emissions.” </w:t>
      </w:r>
      <w:r w:rsidRPr="00E16A96">
        <w:rPr>
          <w:i/>
        </w:rPr>
        <w:t>Energy Policy</w:t>
      </w:r>
      <w:r w:rsidRPr="00291A63">
        <w:t xml:space="preserve"> 34(18):3847–3869</w:t>
      </w:r>
      <w:r w:rsidR="00331201" w:rsidRPr="00291A63">
        <w:t>.</w:t>
      </w:r>
    </w:p>
    <w:p w14:paraId="19B1850D" w14:textId="7C813A2E" w:rsidR="00DE5EC3" w:rsidRPr="00A77FB2" w:rsidRDefault="00DE5EC3" w:rsidP="00CA0267">
      <w:pPr>
        <w:pStyle w:val="NoSpacing"/>
        <w:spacing w:after="100" w:afterAutospacing="1"/>
      </w:pPr>
      <w:r w:rsidRPr="00A77FB2">
        <w:t xml:space="preserve">Sue Wing, I. 2008. “The synthesis of bottom-up and top-down approaches to climate policy modeling: Electric power technology detail in a social accounting framework.” </w:t>
      </w:r>
      <w:r w:rsidRPr="00A77FB2">
        <w:rPr>
          <w:i/>
        </w:rPr>
        <w:t>Energy Economics</w:t>
      </w:r>
      <w:r w:rsidRPr="00A77FB2">
        <w:t xml:space="preserve"> 30: 547–573.  </w:t>
      </w:r>
    </w:p>
    <w:p w14:paraId="5B73C816" w14:textId="77777777" w:rsidR="009769BE" w:rsidRPr="00A77FB2" w:rsidRDefault="009769BE" w:rsidP="009769BE">
      <w:r w:rsidRPr="00A77FB2">
        <w:t>Swaminathan, P., and Hertel, T. 1997. “Introducing Monopolistic Competition into the GTAP Model.” GTAP Technical Paper No. 6, Center for Global Trade Analysis, Purdue University.</w:t>
      </w:r>
    </w:p>
    <w:p w14:paraId="73CE85AE" w14:textId="77777777" w:rsidR="00CD1315" w:rsidRPr="00A77FB2" w:rsidRDefault="00CD1315" w:rsidP="00CA0267">
      <w:pPr>
        <w:spacing w:after="100" w:afterAutospacing="1" w:line="276" w:lineRule="auto"/>
        <w:jc w:val="left"/>
      </w:pPr>
      <w:r w:rsidRPr="00A77FB2">
        <w:t xml:space="preserve">Tuladhar, S., Yuan, M., Bernstein, P., Montgomery, W., Smith, A. 2009. “A top-down bottom-up modeling approach to climate change policy analysis.” </w:t>
      </w:r>
      <w:r w:rsidRPr="00A77FB2">
        <w:rPr>
          <w:i/>
        </w:rPr>
        <w:t>Energy Economics</w:t>
      </w:r>
      <w:r w:rsidRPr="00A77FB2">
        <w:t xml:space="preserve"> 31(S2): S223–S234.</w:t>
      </w:r>
    </w:p>
    <w:p w14:paraId="54EB5FC4" w14:textId="64B50C11" w:rsidR="00CD1315" w:rsidRPr="00A77FB2" w:rsidRDefault="00CD1315" w:rsidP="00CA0267">
      <w:pPr>
        <w:spacing w:after="100" w:afterAutospacing="1" w:line="276" w:lineRule="auto"/>
        <w:jc w:val="left"/>
      </w:pPr>
      <w:r w:rsidRPr="00A77FB2">
        <w:t xml:space="preserve">U.S. EPA .1995a. “The U.S. Environmental Protection Industry: A Proposed Framework for Assessment.” Available at: </w:t>
      </w:r>
      <w:hyperlink r:id="rId60" w:history="1">
        <w:r w:rsidR="00742198" w:rsidRPr="00880AF0">
          <w:rPr>
            <w:rStyle w:val="Hyperlink"/>
          </w:rPr>
          <w:t>http://yosemite.epa.gov/ee/epa/eerm.nsf/vwAN/EE-0217A-1.pdf/$file/EE-0217A-1.pdf</w:t>
        </w:r>
      </w:hyperlink>
      <w:r w:rsidR="00742198">
        <w:t xml:space="preserve"> </w:t>
      </w:r>
    </w:p>
    <w:p w14:paraId="64C5D045" w14:textId="4A3F3B70" w:rsidR="00CD1315" w:rsidRPr="00A77FB2" w:rsidRDefault="00CD1315" w:rsidP="00CA0267">
      <w:pPr>
        <w:spacing w:after="100" w:afterAutospacing="1" w:line="276" w:lineRule="auto"/>
        <w:jc w:val="left"/>
      </w:pPr>
      <w:r w:rsidRPr="00A77FB2">
        <w:t xml:space="preserve">U.S. EPA. 1995b. “The U.S. Environmental Protection Industry: The Technical Document.” Available at: </w:t>
      </w:r>
      <w:hyperlink r:id="rId61" w:history="1">
        <w:r w:rsidR="00742198" w:rsidRPr="00880AF0">
          <w:rPr>
            <w:rStyle w:val="Hyperlink"/>
          </w:rPr>
          <w:t>http://yosemite.epa.gov/ee/epa/eerm.nsf/vwAN/EE-0217B-1.pdf/$file/EE-0217B-1.pdf</w:t>
        </w:r>
      </w:hyperlink>
      <w:r w:rsidR="00742198">
        <w:t xml:space="preserve"> </w:t>
      </w:r>
    </w:p>
    <w:p w14:paraId="118B35B4" w14:textId="72ACA70B" w:rsidR="00DC6B99" w:rsidRDefault="00504812" w:rsidP="00CA0267">
      <w:pPr>
        <w:spacing w:after="100" w:afterAutospacing="1" w:line="276" w:lineRule="auto"/>
        <w:jc w:val="left"/>
      </w:pPr>
      <w:r>
        <w:t>U.S. EPA. 1996</w:t>
      </w:r>
      <w:r w:rsidR="00DC6B99">
        <w:t>.</w:t>
      </w:r>
      <w:r w:rsidR="00A31C68">
        <w:t xml:space="preserve"> “Economic Impact and Regulatory Flexibility Analysis of the Regulation of VOCs form Consumer Products: Final Report.” EPA-453/R-96-014.</w:t>
      </w:r>
    </w:p>
    <w:p w14:paraId="5B3B10CB" w14:textId="2973E685" w:rsidR="00DC6B99" w:rsidRDefault="00DC6B99" w:rsidP="00DC6B99">
      <w:pPr>
        <w:spacing w:after="100" w:afterAutospacing="1" w:line="276" w:lineRule="auto"/>
        <w:jc w:val="left"/>
      </w:pPr>
      <w:r>
        <w:t xml:space="preserve">U.S. EPA. 2002. “Final Regulatory Support Document: Control of Emissions from Unregulated Nonroad Engines.” </w:t>
      </w:r>
      <w:r w:rsidRPr="00DC6B99">
        <w:t>EPA420-R-02-022</w:t>
      </w:r>
      <w:r>
        <w:t xml:space="preserve">. Available at: </w:t>
      </w:r>
      <w:hyperlink r:id="rId62" w:history="1">
        <w:r w:rsidRPr="00880AF0">
          <w:rPr>
            <w:rStyle w:val="Hyperlink"/>
          </w:rPr>
          <w:t>http://www.epa.gov/otaq/regs/nonroad/2002/r02022.pdf</w:t>
        </w:r>
      </w:hyperlink>
      <w:r>
        <w:t xml:space="preserve"> </w:t>
      </w:r>
    </w:p>
    <w:p w14:paraId="7DAAC8E9" w14:textId="040010A5" w:rsidR="00742198" w:rsidRDefault="00742198" w:rsidP="00CA0267">
      <w:pPr>
        <w:spacing w:after="100" w:afterAutospacing="1" w:line="276" w:lineRule="auto"/>
        <w:jc w:val="left"/>
      </w:pPr>
      <w:r>
        <w:t xml:space="preserve">U.S. EPA. 2004. “Regulatory Impact Analysis for the Automobile and Light Duty Vehicle NESHAP: Final Report.” </w:t>
      </w:r>
      <w:r w:rsidRPr="00742198">
        <w:t>EPA-452/R-04-007</w:t>
      </w:r>
      <w:r>
        <w:t xml:space="preserve">.  Available at: </w:t>
      </w:r>
      <w:hyperlink r:id="rId63" w:history="1">
        <w:r w:rsidRPr="00880AF0">
          <w:rPr>
            <w:rStyle w:val="Hyperlink"/>
          </w:rPr>
          <w:t>http://yosemite1.epa.gov/ee/epa/ria.nsf/vwAN/autolightdutyRIAfinaltotal.pdf/$file/autolightdutyRIAfinaltotal.pdf</w:t>
        </w:r>
      </w:hyperlink>
      <w:r>
        <w:t xml:space="preserve"> </w:t>
      </w:r>
    </w:p>
    <w:p w14:paraId="4261FEFD" w14:textId="29D29605" w:rsidR="00CD1315" w:rsidRPr="00A77FB2" w:rsidRDefault="00CD1315" w:rsidP="00CA0267">
      <w:pPr>
        <w:spacing w:after="100" w:afterAutospacing="1" w:line="276" w:lineRule="auto"/>
        <w:jc w:val="left"/>
      </w:pPr>
      <w:r w:rsidRPr="00A77FB2">
        <w:t xml:space="preserve">U.S. EPA. 2006. “Response to Peer Reviews of EPA’s EMPAX Computable General Equilibrium Model.” Available at: </w:t>
      </w:r>
      <w:hyperlink r:id="rId64" w:history="1">
        <w:r w:rsidR="00742198" w:rsidRPr="00880AF0">
          <w:rPr>
            <w:rStyle w:val="Hyperlink"/>
          </w:rPr>
          <w:t>http://www.epa.gov/ttnecas1/models/empax_peer_review_comments_responses.pdf</w:t>
        </w:r>
      </w:hyperlink>
      <w:r w:rsidR="00742198">
        <w:t xml:space="preserve"> </w:t>
      </w:r>
    </w:p>
    <w:p w14:paraId="2AD270FE" w14:textId="56052377" w:rsidR="00CD232E" w:rsidRDefault="00CD232E" w:rsidP="00CD232E">
      <w:pPr>
        <w:spacing w:after="100" w:afterAutospacing="1" w:line="276" w:lineRule="auto"/>
        <w:jc w:val="left"/>
      </w:pPr>
      <w:r>
        <w:t xml:space="preserve">U.S. EPA. 2008a. “Regulatory Impact Analysis of the Proposed Revisions to the National Ambient Air Quality Standards for Lead.” Available at: </w:t>
      </w:r>
      <w:hyperlink r:id="rId65" w:history="1">
        <w:r w:rsidRPr="00880AF0">
          <w:rPr>
            <w:rStyle w:val="Hyperlink"/>
          </w:rPr>
          <w:t>http://www.epa.gov/ttn/ecas/regdata/RIAs/finalpbria.pdf</w:t>
        </w:r>
      </w:hyperlink>
      <w:r>
        <w:t xml:space="preserve"> </w:t>
      </w:r>
    </w:p>
    <w:p w14:paraId="4494C1FD" w14:textId="4A7FFB24" w:rsidR="000858A0" w:rsidRDefault="000858A0" w:rsidP="00CA0267">
      <w:pPr>
        <w:spacing w:after="100" w:afterAutospacing="1" w:line="276" w:lineRule="auto"/>
        <w:jc w:val="left"/>
      </w:pPr>
      <w:r>
        <w:t>U.S. EPA. 2008</w:t>
      </w:r>
      <w:r w:rsidR="00CD232E">
        <w:t>b</w:t>
      </w:r>
      <w:r>
        <w:t xml:space="preserve">. “Final Ozone NAAQS Regulatory Impact Analysis.” EPA-452/R-08-003. Available at: </w:t>
      </w:r>
      <w:hyperlink r:id="rId66" w:history="1">
        <w:r w:rsidRPr="00880AF0">
          <w:rPr>
            <w:rStyle w:val="Hyperlink"/>
          </w:rPr>
          <w:t>http://www.epa.gov/ttn/ecas/regdata/RIAs/452_R_08_003.pdf</w:t>
        </w:r>
      </w:hyperlink>
      <w:r>
        <w:t xml:space="preserve"> </w:t>
      </w:r>
    </w:p>
    <w:p w14:paraId="78C1508A" w14:textId="2B3BAA8E" w:rsidR="004A2C59" w:rsidRPr="00A77FB2" w:rsidRDefault="004A2C59" w:rsidP="004A2C59">
      <w:pPr>
        <w:spacing w:after="100" w:afterAutospacing="1" w:line="276" w:lineRule="auto"/>
        <w:jc w:val="left"/>
      </w:pPr>
      <w:r>
        <w:t>U.S. EPA</w:t>
      </w:r>
      <w:r w:rsidRPr="00A77FB2">
        <w:t>. 2008</w:t>
      </w:r>
      <w:r>
        <w:t>c</w:t>
      </w:r>
      <w:r w:rsidRPr="00A77FB2">
        <w:t xml:space="preserve">. “EMPAX-CGE Model Documentation. Interim Report.” Available at: </w:t>
      </w:r>
      <w:hyperlink r:id="rId67" w:history="1">
        <w:r w:rsidRPr="00880AF0">
          <w:rPr>
            <w:rStyle w:val="Hyperlink"/>
          </w:rPr>
          <w:t>http://www.epa.gov/ttnecas1/models/empax_model_documentation.pdf</w:t>
        </w:r>
      </w:hyperlink>
      <w:r>
        <w:t xml:space="preserve"> </w:t>
      </w:r>
    </w:p>
    <w:p w14:paraId="44801690" w14:textId="38AD8B35" w:rsidR="00CD1315" w:rsidRPr="00A77FB2" w:rsidRDefault="00CD1315" w:rsidP="00CA0267">
      <w:pPr>
        <w:spacing w:after="100" w:afterAutospacing="1" w:line="276" w:lineRule="auto"/>
        <w:jc w:val="left"/>
      </w:pPr>
      <w:r w:rsidRPr="00A77FB2">
        <w:t xml:space="preserve">U.S. EPA. 2010a. </w:t>
      </w:r>
      <w:r w:rsidRPr="00A77FB2">
        <w:rPr>
          <w:i/>
        </w:rPr>
        <w:t>Guidelines for Preparing Economic Analyses</w:t>
      </w:r>
      <w:r w:rsidRPr="00A77FB2">
        <w:t xml:space="preserve">. Report Number EPA 240-R-10-001. Available at: </w:t>
      </w:r>
      <w:hyperlink r:id="rId68" w:history="1">
        <w:r w:rsidR="00742198" w:rsidRPr="00880AF0">
          <w:rPr>
            <w:rStyle w:val="Hyperlink"/>
          </w:rPr>
          <w:t>http://yosemite.epa.gov/ee/epa/eerm.nsf/vwAN/EE-0568-50.pdf/$file/EE-0568-50.pdf</w:t>
        </w:r>
      </w:hyperlink>
      <w:r w:rsidR="00742198">
        <w:t xml:space="preserve"> </w:t>
      </w:r>
      <w:r w:rsidRPr="00A77FB2">
        <w:t xml:space="preserve"> </w:t>
      </w:r>
      <w:r w:rsidR="00742198">
        <w:t xml:space="preserve"> </w:t>
      </w:r>
    </w:p>
    <w:p w14:paraId="7C70032D" w14:textId="7036DA7E" w:rsidR="008F4506" w:rsidRDefault="00CD1315" w:rsidP="00CA0267">
      <w:pPr>
        <w:spacing w:after="100" w:afterAutospacing="1" w:line="276" w:lineRule="auto"/>
        <w:jc w:val="left"/>
      </w:pPr>
      <w:r w:rsidRPr="00A77FB2">
        <w:t xml:space="preserve">U.S. EPA. 2010b. “Peer Review of Computable General Equilibrium Models for Climate Change Analysis.” Available at: </w:t>
      </w:r>
      <w:hyperlink r:id="rId69" w:history="1">
        <w:r w:rsidR="00742198" w:rsidRPr="00880AF0">
          <w:rPr>
            <w:rStyle w:val="Hyperlink"/>
          </w:rPr>
          <w:t>http://www.epa.gov/climatechange/Downloads/EPAactivities/Final_peer_review_report_for_IGEM_and_ADAGE.pdf</w:t>
        </w:r>
      </w:hyperlink>
      <w:r w:rsidR="00742198">
        <w:t xml:space="preserve"> </w:t>
      </w:r>
    </w:p>
    <w:p w14:paraId="03690B70" w14:textId="414AD815" w:rsidR="008F4506" w:rsidRPr="005D33F3" w:rsidRDefault="008F4506" w:rsidP="008F4506">
      <w:pPr>
        <w:spacing w:after="100" w:afterAutospacing="1" w:line="276" w:lineRule="auto"/>
        <w:jc w:val="left"/>
      </w:pPr>
      <w:r>
        <w:t>U.S. EPA. 2010c. “Regulatory Impact Analysis: Amendments to the National Emission Standards for Hazardous Air Pollutants and New Source Performance Standards (NSPS) for the Portland Cement</w:t>
      </w:r>
      <w:r w:rsidR="00015EFC">
        <w:t xml:space="preserve"> </w:t>
      </w:r>
      <w:r>
        <w:t xml:space="preserve">Manufacturing Industry – Final Report.” Available at: </w:t>
      </w:r>
      <w:hyperlink r:id="rId70" w:history="1">
        <w:r w:rsidRPr="00880AF0">
          <w:rPr>
            <w:rStyle w:val="Hyperlink"/>
          </w:rPr>
          <w:t>http://www.epa.gov/ttnecas1/regdata/RIAs/portlandcementfinalria.pdf</w:t>
        </w:r>
      </w:hyperlink>
      <w:r>
        <w:t xml:space="preserve"> </w:t>
      </w:r>
    </w:p>
    <w:p w14:paraId="04251E60" w14:textId="77777777" w:rsidR="001C43A7" w:rsidRDefault="00CD1315" w:rsidP="00CA0267">
      <w:pPr>
        <w:spacing w:after="100" w:afterAutospacing="1" w:line="276" w:lineRule="auto"/>
        <w:jc w:val="left"/>
      </w:pPr>
      <w:r w:rsidRPr="00A77FB2">
        <w:t>U.S. EPA. 2011</w:t>
      </w:r>
      <w:r w:rsidR="001C43A7">
        <w:t>a</w:t>
      </w:r>
      <w:r w:rsidRPr="00A77FB2">
        <w:t xml:space="preserve">. </w:t>
      </w:r>
      <w:r w:rsidRPr="00A77FB2">
        <w:rPr>
          <w:i/>
        </w:rPr>
        <w:t>The Benefits and Costs of the Clean Air Act from 1990 to 2020</w:t>
      </w:r>
      <w:r w:rsidRPr="00A77FB2">
        <w:t xml:space="preserve">. Final Report. Available at: </w:t>
      </w:r>
      <w:hyperlink r:id="rId71" w:history="1">
        <w:r w:rsidR="00742198" w:rsidRPr="00880AF0">
          <w:rPr>
            <w:rStyle w:val="Hyperlink"/>
          </w:rPr>
          <w:t>http://www.epa.gov/air/sect812/feb11/fullreport_rev_a.pdf</w:t>
        </w:r>
      </w:hyperlink>
      <w:r w:rsidR="00742198">
        <w:t xml:space="preserve"> </w:t>
      </w:r>
    </w:p>
    <w:p w14:paraId="46F5496B" w14:textId="77777777" w:rsidR="0044754E" w:rsidRDefault="001C43A7" w:rsidP="00CA0267">
      <w:pPr>
        <w:spacing w:after="100" w:afterAutospacing="1" w:line="276" w:lineRule="auto"/>
        <w:jc w:val="left"/>
      </w:pPr>
      <w:r>
        <w:t>U.S. EPA. 2011b</w:t>
      </w:r>
      <w:r w:rsidRPr="001C43A7">
        <w:t>.</w:t>
      </w:r>
      <w:r>
        <w:t xml:space="preserve"> “Regulatory Impact Analysis for the Final Mercury and Air Toxics Standards.” </w:t>
      </w:r>
      <w:r w:rsidRPr="001C43A7">
        <w:t>EPA-452/R-11-011</w:t>
      </w:r>
      <w:r>
        <w:t xml:space="preserve">. Available at: </w:t>
      </w:r>
      <w:hyperlink r:id="rId72" w:history="1">
        <w:r w:rsidRPr="00880AF0">
          <w:rPr>
            <w:rStyle w:val="Hyperlink"/>
          </w:rPr>
          <w:t>http://www.epa.gov/mats/pdfs/20111221MATSfinalRIA.pdf</w:t>
        </w:r>
      </w:hyperlink>
      <w:r>
        <w:t xml:space="preserve"> </w:t>
      </w:r>
    </w:p>
    <w:p w14:paraId="006236BA" w14:textId="77777777" w:rsidR="00D946DB" w:rsidRDefault="0044754E" w:rsidP="0044754E">
      <w:pPr>
        <w:spacing w:after="100" w:afterAutospacing="1" w:line="276" w:lineRule="auto"/>
        <w:jc w:val="left"/>
      </w:pPr>
      <w:r>
        <w:t xml:space="preserve">U.S. EPA. 2011c. “Regulatory Impact Analysis for the Federal Implementation Plans to Reduce Interstate Transport of Fine Particulate Matter and Ozone in 27 States; Correction of SIP Approvals for 22 States.” </w:t>
      </w:r>
      <w:r>
        <w:cr/>
      </w:r>
      <w:r w:rsidRPr="0044754E">
        <w:t xml:space="preserve"> </w:t>
      </w:r>
      <w:r>
        <w:t xml:space="preserve">EPA-HQ-OAR-2009-0491. Available at: </w:t>
      </w:r>
      <w:hyperlink r:id="rId73" w:history="1">
        <w:r w:rsidRPr="00880AF0">
          <w:rPr>
            <w:rStyle w:val="Hyperlink"/>
          </w:rPr>
          <w:t>http://www.epa.gov/crossstaterule/pdfs/FinalRIA.pdf</w:t>
        </w:r>
      </w:hyperlink>
      <w:r>
        <w:t xml:space="preserve"> </w:t>
      </w:r>
      <w:r w:rsidR="00EF7C84">
        <w:t xml:space="preserve"> </w:t>
      </w:r>
    </w:p>
    <w:p w14:paraId="7184FF06" w14:textId="2FDF58A5" w:rsidR="00CD1315" w:rsidRPr="00A77FB2" w:rsidRDefault="00D946DB" w:rsidP="00D946DB">
      <w:pPr>
        <w:spacing w:after="100" w:afterAutospacing="1" w:line="276" w:lineRule="auto"/>
        <w:jc w:val="left"/>
      </w:pPr>
      <w:r>
        <w:t xml:space="preserve">U.S. EPA. 2011d. “Regulatory Impact Analysis: National Emission Standards for Hazardous Air Pollutants for Industrial, Commercial, and Institutional Boilers and Process Heaters.” Available at: </w:t>
      </w:r>
      <w:hyperlink r:id="rId74" w:history="1">
        <w:r w:rsidRPr="00880AF0">
          <w:rPr>
            <w:rStyle w:val="Hyperlink"/>
          </w:rPr>
          <w:t>http://www.epa.gov/ttn/ecas/regdata/RIAs/boilersriafinal110221_psg.pdf</w:t>
        </w:r>
      </w:hyperlink>
      <w:r>
        <w:t xml:space="preserve"> </w:t>
      </w:r>
    </w:p>
    <w:p w14:paraId="16386C03" w14:textId="79639A42" w:rsidR="00CD1315" w:rsidRDefault="00CD1315" w:rsidP="00CA0267">
      <w:pPr>
        <w:spacing w:after="100" w:afterAutospacing="1" w:line="276" w:lineRule="auto"/>
        <w:jc w:val="left"/>
      </w:pPr>
      <w:r w:rsidRPr="00A77FB2">
        <w:t>U.S. EPA. 2013</w:t>
      </w:r>
      <w:r w:rsidR="002D02DD">
        <w:t>a</w:t>
      </w:r>
      <w:r w:rsidRPr="00A77FB2">
        <w:t xml:space="preserve">. “EMPAX-CGE Source Code.” Available at:   </w:t>
      </w:r>
      <w:hyperlink r:id="rId75" w:history="1">
        <w:r w:rsidR="00742198" w:rsidRPr="00880AF0">
          <w:rPr>
            <w:rStyle w:val="Hyperlink"/>
          </w:rPr>
          <w:t>http://www.epa.gov/ttnecas1/models/EMPAX_812_Jan2013.zip</w:t>
        </w:r>
      </w:hyperlink>
      <w:r w:rsidR="00742198">
        <w:t xml:space="preserve"> </w:t>
      </w:r>
    </w:p>
    <w:p w14:paraId="7D21C193" w14:textId="2DE2CCEE" w:rsidR="002D02DD" w:rsidRPr="00A77FB2" w:rsidRDefault="002D02DD" w:rsidP="002D02DD">
      <w:pPr>
        <w:spacing w:after="100" w:afterAutospacing="1" w:line="276" w:lineRule="auto"/>
        <w:jc w:val="left"/>
      </w:pPr>
      <w:r>
        <w:t xml:space="preserve">U.S. EPA. 2013b. “Regulatory Impact Analysis for Reconsideration of Existing Stationary Spark Ignition (SI) RICE NESHAP.” </w:t>
      </w:r>
      <w:r w:rsidRPr="002D02DD">
        <w:t>EPA-452/R-13-002</w:t>
      </w:r>
      <w:r>
        <w:t xml:space="preserve">. Available at: </w:t>
      </w:r>
      <w:hyperlink r:id="rId76" w:history="1">
        <w:r w:rsidRPr="00880AF0">
          <w:rPr>
            <w:rStyle w:val="Hyperlink"/>
          </w:rPr>
          <w:t>http://www.epa.gov/ttn/ecas/regdata/RIAs/NESHAP_RICE_Spark_Ignition_RIA_finalreconsideration2013_EPA.pdf</w:t>
        </w:r>
      </w:hyperlink>
      <w:r>
        <w:t xml:space="preserve"> </w:t>
      </w:r>
    </w:p>
    <w:p w14:paraId="124F5606" w14:textId="2EE75A55" w:rsidR="00BA3299" w:rsidRPr="00A77FB2" w:rsidRDefault="00BA3299" w:rsidP="00CA0267">
      <w:pPr>
        <w:pStyle w:val="NoSpacing"/>
        <w:spacing w:after="100" w:afterAutospacing="1"/>
      </w:pPr>
      <w:r w:rsidRPr="00A77FB2">
        <w:t xml:space="preserve">Wene, C.-O. 1996. “Energy-economy analysis: linking the macroeconomic and systems engineering approaches.” </w:t>
      </w:r>
      <w:r w:rsidRPr="00A77FB2">
        <w:rPr>
          <w:i/>
        </w:rPr>
        <w:t>Energy</w:t>
      </w:r>
      <w:r w:rsidRPr="00A77FB2">
        <w:t xml:space="preserve"> 21: 809-824.  </w:t>
      </w:r>
    </w:p>
    <w:p w14:paraId="762EA8EF" w14:textId="3CDABF3D" w:rsidR="00BA3299" w:rsidRPr="00A77FB2" w:rsidRDefault="00BA3299" w:rsidP="00CA0267">
      <w:pPr>
        <w:spacing w:after="100" w:afterAutospacing="1" w:line="276" w:lineRule="auto"/>
        <w:jc w:val="left"/>
      </w:pPr>
      <w:r w:rsidRPr="00A77FB2">
        <w:t xml:space="preserve">Wilson, D., and Swisher, J. 1993. “Exploring the gap: top-down versus bottom-up analyses of the cost of mitigating global warming.” </w:t>
      </w:r>
      <w:r w:rsidRPr="00A77FB2">
        <w:rPr>
          <w:i/>
        </w:rPr>
        <w:t>Energy Policy</w:t>
      </w:r>
      <w:r w:rsidRPr="00A77FB2">
        <w:t xml:space="preserve"> 21(3): 249–263.  </w:t>
      </w:r>
    </w:p>
    <w:p w14:paraId="25CE14EC" w14:textId="77777777" w:rsidR="00CD1315" w:rsidRPr="00A77FB2" w:rsidRDefault="00CD1315" w:rsidP="00CA0267">
      <w:pPr>
        <w:spacing w:after="100" w:afterAutospacing="1" w:line="276" w:lineRule="auto"/>
        <w:jc w:val="left"/>
      </w:pPr>
      <w:r w:rsidRPr="00A77FB2">
        <w:t>Zhai, F. 2008. “Armington Meets Melitz: Introducing Firm Heterogeneity in a Global CGE Model of Trade.” Asian Development Bank Working Paper. No. 108.</w:t>
      </w:r>
    </w:p>
    <w:p w14:paraId="54A9FB97" w14:textId="77777777" w:rsidR="009B031F" w:rsidRPr="009B031F" w:rsidRDefault="009B031F" w:rsidP="009B031F">
      <w:pPr>
        <w:spacing w:line="276" w:lineRule="auto"/>
        <w:jc w:val="left"/>
      </w:pPr>
      <w:r w:rsidRPr="009B031F">
        <w:t xml:space="preserve">Abt Associates (2008).  </w:t>
      </w:r>
      <w:r w:rsidRPr="009B031F">
        <w:rPr>
          <w:i/>
        </w:rPr>
        <w:t>Environmental Benefits Mapping and Analysis Program (BenMAP) User’s Manual</w:t>
      </w:r>
      <w:r w:rsidRPr="009B031F">
        <w:t>.  Report Prepared for Office of Air Quality Planning and Standards, U.S. Environmental Protection Agency, Research Triangle Park, NC, Neal Fann, Project Manager.</w:t>
      </w:r>
    </w:p>
    <w:p w14:paraId="1825C306" w14:textId="77777777" w:rsidR="009B031F" w:rsidRPr="009B031F" w:rsidRDefault="009B031F" w:rsidP="009B031F">
      <w:pPr>
        <w:spacing w:line="276" w:lineRule="auto"/>
        <w:jc w:val="left"/>
      </w:pPr>
      <w:r w:rsidRPr="009B031F">
        <w:t xml:space="preserve">Adamowicz, W., Dickie, M., Gerking, S., Veronesi, M., and Zinner, D. 2014. “Household Decision Making and Valuation of Environmental Health Risks to Parents and Their Children.” </w:t>
      </w:r>
      <w:r w:rsidRPr="009B031F">
        <w:rPr>
          <w:i/>
        </w:rPr>
        <w:t xml:space="preserve">Journal of the Association of Environmental and Resource Economics </w:t>
      </w:r>
      <w:r w:rsidRPr="009B031F">
        <w:t>1(4): 481-519.</w:t>
      </w:r>
    </w:p>
    <w:p w14:paraId="7BB7779F" w14:textId="77777777" w:rsidR="009B031F" w:rsidRPr="009B031F" w:rsidRDefault="009B031F" w:rsidP="009B031F">
      <w:pPr>
        <w:spacing w:line="276" w:lineRule="auto"/>
        <w:jc w:val="left"/>
      </w:pPr>
      <w:r w:rsidRPr="009B031F">
        <w:t>Agency for Healthcare Research and Quality. (2000). HCUPnet, Healthcare Cost and Utilization Project. Rockville, MD.</w:t>
      </w:r>
    </w:p>
    <w:p w14:paraId="487502AD" w14:textId="77777777" w:rsidR="009B031F" w:rsidRPr="009B031F" w:rsidRDefault="009B031F" w:rsidP="009B031F">
      <w:pPr>
        <w:spacing w:line="276" w:lineRule="auto"/>
        <w:jc w:val="left"/>
      </w:pPr>
      <w:r w:rsidRPr="009B031F">
        <w:t xml:space="preserve">Antoine, B. Gurgel, A., and Reilly, J. 2008. “Will Recreation Demand for Land Limit Biofuels Production?” </w:t>
      </w:r>
      <w:r w:rsidRPr="009B031F">
        <w:rPr>
          <w:i/>
        </w:rPr>
        <w:t>Journal of Agricultural &amp; Food Industrial Organization</w:t>
      </w:r>
      <w:r w:rsidRPr="009B031F">
        <w:t xml:space="preserve"> 6(2):1-29. </w:t>
      </w:r>
    </w:p>
    <w:p w14:paraId="4BF480B0" w14:textId="77777777" w:rsidR="009B031F" w:rsidRPr="009B031F" w:rsidRDefault="009B031F" w:rsidP="009B031F">
      <w:pPr>
        <w:spacing w:line="276" w:lineRule="auto"/>
        <w:jc w:val="left"/>
      </w:pPr>
      <w:r w:rsidRPr="009B031F">
        <w:t xml:space="preserve">Bickel, P., and Friedrich, R. 2005. </w:t>
      </w:r>
      <w:r w:rsidRPr="009B031F">
        <w:rPr>
          <w:i/>
        </w:rPr>
        <w:t>ExternE: Externalities of Energy, Methodology 2005 Update</w:t>
      </w:r>
      <w:r w:rsidRPr="009B031F">
        <w:t>. European Commission, Community Research.</w:t>
      </w:r>
    </w:p>
    <w:p w14:paraId="7DF9B19B" w14:textId="77777777" w:rsidR="009B031F" w:rsidRPr="009B031F" w:rsidRDefault="009B031F" w:rsidP="009B031F">
      <w:pPr>
        <w:spacing w:line="276" w:lineRule="auto"/>
        <w:jc w:val="left"/>
      </w:pPr>
      <w:r w:rsidRPr="009B031F">
        <w:t xml:space="preserve">Berger, M., Blomquist, G., Kenkel, D., and Tolley, G. 1987. “Valuing Changes in Health Risks: A Comparison of Alternative Measures.” </w:t>
      </w:r>
      <w:r w:rsidRPr="009B031F">
        <w:rPr>
          <w:i/>
        </w:rPr>
        <w:t>The Southern Economic Journal</w:t>
      </w:r>
      <w:r w:rsidRPr="009B031F">
        <w:t xml:space="preserve"> 53(4):977-984.</w:t>
      </w:r>
    </w:p>
    <w:p w14:paraId="6F1F870F" w14:textId="77777777" w:rsidR="009B031F" w:rsidRPr="009B031F" w:rsidRDefault="009B031F" w:rsidP="009B031F">
      <w:pPr>
        <w:spacing w:line="276" w:lineRule="auto"/>
        <w:jc w:val="left"/>
      </w:pPr>
      <w:r w:rsidRPr="009B031F">
        <w:t xml:space="preserve">Bergman, L. 2005. “CGE Modeling of Environmental Policy and Resource Management.” </w:t>
      </w:r>
      <w:r w:rsidRPr="009B031F">
        <w:rPr>
          <w:i/>
        </w:rPr>
        <w:t>Handbook of Environmental Economics</w:t>
      </w:r>
      <w:r w:rsidRPr="009B031F">
        <w:t xml:space="preserve"> 3:1273-1306.</w:t>
      </w:r>
    </w:p>
    <w:p w14:paraId="278D3F1D" w14:textId="77777777" w:rsidR="009B031F" w:rsidRPr="009B031F" w:rsidRDefault="009B031F" w:rsidP="009B031F">
      <w:pPr>
        <w:spacing w:line="276" w:lineRule="auto"/>
        <w:jc w:val="left"/>
      </w:pPr>
      <w:r w:rsidRPr="009B031F">
        <w:t xml:space="preserve">Bovenberg, A. and de Mooij, R. 1994. “Environmental Levies and Distortionary Taxation.” </w:t>
      </w:r>
      <w:r w:rsidRPr="009B031F">
        <w:rPr>
          <w:i/>
        </w:rPr>
        <w:t>American Economic Review</w:t>
      </w:r>
      <w:r w:rsidRPr="009B031F">
        <w:t xml:space="preserve"> 84(4): 1085-1089.</w:t>
      </w:r>
    </w:p>
    <w:p w14:paraId="70BB0E54" w14:textId="77777777" w:rsidR="009B031F" w:rsidRPr="009B031F" w:rsidRDefault="009B031F" w:rsidP="009B031F">
      <w:pPr>
        <w:spacing w:line="276" w:lineRule="auto"/>
        <w:jc w:val="left"/>
      </w:pPr>
      <w:r w:rsidRPr="009B031F">
        <w:t xml:space="preserve">Bovenberg, A. and van der Ploeg, F. 1994. “Green Policies and Public Finance in a Small Open Economy.” </w:t>
      </w:r>
      <w:r w:rsidRPr="009B031F">
        <w:rPr>
          <w:i/>
        </w:rPr>
        <w:t>Scandinavian Journal of Economics</w:t>
      </w:r>
      <w:r w:rsidRPr="009B031F">
        <w:t xml:space="preserve"> 96(3): 343-363.</w:t>
      </w:r>
    </w:p>
    <w:p w14:paraId="5321A1B4" w14:textId="77777777" w:rsidR="009B031F" w:rsidRPr="009B031F" w:rsidRDefault="009B031F" w:rsidP="009B031F">
      <w:pPr>
        <w:spacing w:line="276" w:lineRule="auto"/>
        <w:jc w:val="left"/>
      </w:pPr>
      <w:r w:rsidRPr="009B031F">
        <w:t xml:space="preserve">Brauer, M., Blair, J., and Vedal, S. 1996. “Effect of Ambient Ozone Exposure on Lung Function in Farm Workers.” </w:t>
      </w:r>
      <w:r w:rsidRPr="009B031F">
        <w:rPr>
          <w:i/>
        </w:rPr>
        <w:t>American Journal of Respiratory and Critical Care Medicine</w:t>
      </w:r>
      <w:r w:rsidRPr="009B031F">
        <w:t xml:space="preserve"> 154: 981-987. </w:t>
      </w:r>
    </w:p>
    <w:p w14:paraId="4C455387" w14:textId="77777777" w:rsidR="009B031F" w:rsidRPr="009B031F" w:rsidRDefault="009B031F" w:rsidP="009B031F">
      <w:pPr>
        <w:spacing w:line="276" w:lineRule="auto"/>
        <w:jc w:val="left"/>
      </w:pPr>
      <w:r w:rsidRPr="009B031F">
        <w:t>Caffet, J-C. 2005. “Health effects and optimal environmental taxes in welfare state countries.” Cahiers de la Maison des Sciences Economiques 2005.49.</w:t>
      </w:r>
    </w:p>
    <w:p w14:paraId="1AA2336B" w14:textId="77777777" w:rsidR="009B031F" w:rsidRPr="009B031F" w:rsidRDefault="009B031F" w:rsidP="009B031F">
      <w:pPr>
        <w:spacing w:line="276" w:lineRule="auto"/>
        <w:jc w:val="left"/>
      </w:pPr>
      <w:r w:rsidRPr="009B031F">
        <w:t xml:space="preserve">Carbone, J., and Smith, V. 2013. “Valuing Nature in a General Equilibrium.” </w:t>
      </w:r>
      <w:r w:rsidRPr="009B031F">
        <w:rPr>
          <w:i/>
        </w:rPr>
        <w:t>Journal of Environmental Economics and Management</w:t>
      </w:r>
      <w:r w:rsidRPr="009B031F">
        <w:t xml:space="preserve"> 66(1): 72-89.</w:t>
      </w:r>
    </w:p>
    <w:p w14:paraId="5B9B4D63" w14:textId="77777777" w:rsidR="009B031F" w:rsidRPr="009B031F" w:rsidRDefault="009B031F" w:rsidP="009B031F">
      <w:pPr>
        <w:spacing w:line="276" w:lineRule="auto"/>
        <w:jc w:val="left"/>
      </w:pPr>
      <w:r w:rsidRPr="009B031F">
        <w:t xml:space="preserve">Chambers, C., Chambers, P., and Whitehead, J. 1998. “Contingent Valuation of Quasi-Public Goods: Validity, Reliability, and Application to Valuing a Historic Site.” </w:t>
      </w:r>
      <w:r w:rsidRPr="009B031F">
        <w:rPr>
          <w:i/>
        </w:rPr>
        <w:t>Public Finance Review</w:t>
      </w:r>
      <w:r w:rsidRPr="009B031F">
        <w:t xml:space="preserve"> 26(2): 137-154.</w:t>
      </w:r>
    </w:p>
    <w:p w14:paraId="6FF4ADAC" w14:textId="77777777" w:rsidR="009B031F" w:rsidRPr="009B031F" w:rsidRDefault="009B031F" w:rsidP="009B031F">
      <w:pPr>
        <w:spacing w:line="276" w:lineRule="auto"/>
        <w:jc w:val="left"/>
      </w:pPr>
      <w:r w:rsidRPr="009B031F">
        <w:t xml:space="preserve">Chung-Li, J. 2002. "Including the Feedback of Local Health Improvement in Assessing Costs and Benefits of GHG Reduction." </w:t>
      </w:r>
      <w:r w:rsidRPr="009B031F">
        <w:rPr>
          <w:i/>
        </w:rPr>
        <w:t>Review of Urban and Regional Development Studies</w:t>
      </w:r>
      <w:r w:rsidRPr="009B031F">
        <w:t xml:space="preserve"> 14: 282-304.</w:t>
      </w:r>
    </w:p>
    <w:p w14:paraId="18B7901B" w14:textId="77777777" w:rsidR="009B031F" w:rsidRPr="009B031F" w:rsidRDefault="009B031F" w:rsidP="009B031F">
      <w:pPr>
        <w:spacing w:line="276" w:lineRule="auto"/>
        <w:jc w:val="left"/>
      </w:pPr>
      <w:r w:rsidRPr="009B031F">
        <w:t xml:space="preserve">Crocker, T. and Horst, R. 1981. “Hours of Work, Labor Productivity, and Environmental Conditions: A Case Study.” </w:t>
      </w:r>
      <w:r w:rsidRPr="009B031F">
        <w:rPr>
          <w:i/>
        </w:rPr>
        <w:t>The Review of Economics and Statistics</w:t>
      </w:r>
      <w:r w:rsidRPr="009B031F">
        <w:t xml:space="preserve"> 63(3): 361-368.</w:t>
      </w:r>
    </w:p>
    <w:p w14:paraId="55200F95" w14:textId="77777777" w:rsidR="009B031F" w:rsidRPr="009B031F" w:rsidRDefault="009B031F" w:rsidP="009B031F">
      <w:pPr>
        <w:spacing w:line="276" w:lineRule="auto"/>
        <w:jc w:val="left"/>
      </w:pPr>
      <w:bookmarkStart w:id="84" w:name="Cropper_2000"/>
      <w:r w:rsidRPr="009B031F">
        <w:t>Cropper, M. 2000</w:t>
      </w:r>
      <w:bookmarkEnd w:id="84"/>
      <w:r w:rsidRPr="009B031F">
        <w:t xml:space="preserve">. “Has economic research answered the needs of environmental policy?” </w:t>
      </w:r>
      <w:r w:rsidRPr="009B031F">
        <w:rPr>
          <w:i/>
        </w:rPr>
        <w:t>Journal of Environmental Economics and Management</w:t>
      </w:r>
      <w:r w:rsidRPr="009B031F">
        <w:t xml:space="preserve"> 39(3):328-350.</w:t>
      </w:r>
    </w:p>
    <w:p w14:paraId="4A02B4AC" w14:textId="77777777" w:rsidR="009B031F" w:rsidRPr="009B031F" w:rsidRDefault="009B031F" w:rsidP="009B031F">
      <w:pPr>
        <w:spacing w:line="276" w:lineRule="auto"/>
        <w:jc w:val="left"/>
      </w:pPr>
      <w:bookmarkStart w:id="85" w:name="Cropper_et_al_2011"/>
      <w:r w:rsidRPr="009B031F">
        <w:t xml:space="preserve">Cropper, Maureen and Alan J. Krupnick (1999).  “The Social Costs of Chronic Heart and Lung Disease,” in </w:t>
      </w:r>
      <w:r w:rsidRPr="009B031F">
        <w:rPr>
          <w:i/>
        </w:rPr>
        <w:t>Valuing Environmental Benefits: Selected Essays of Maureen Cropper</w:t>
      </w:r>
      <w:r w:rsidRPr="009B031F">
        <w:t>, eds. Wallace E. Oates and Henk Folmer, Edward Elgar: Northampton, MA.</w:t>
      </w:r>
    </w:p>
    <w:p w14:paraId="64DA19C0" w14:textId="77777777" w:rsidR="009B031F" w:rsidRPr="009B031F" w:rsidRDefault="009B031F" w:rsidP="009B031F">
      <w:pPr>
        <w:spacing w:line="276" w:lineRule="auto"/>
        <w:jc w:val="left"/>
      </w:pPr>
      <w:r w:rsidRPr="009B031F">
        <w:t>Cropper, M., Hammitt, J., Robinson, L., 2011</w:t>
      </w:r>
      <w:bookmarkEnd w:id="85"/>
      <w:r w:rsidRPr="009B031F">
        <w:t xml:space="preserve">. “Valuing mortality risk reductions: progress and challenges.” </w:t>
      </w:r>
      <w:r w:rsidRPr="009B031F">
        <w:rPr>
          <w:i/>
        </w:rPr>
        <w:t>Annual Review of Resource Economics</w:t>
      </w:r>
      <w:r w:rsidRPr="009B031F">
        <w:t xml:space="preserve"> 3:313-336.</w:t>
      </w:r>
    </w:p>
    <w:p w14:paraId="1E1AD0D7" w14:textId="77777777" w:rsidR="009B031F" w:rsidRPr="009B031F" w:rsidRDefault="009B031F" w:rsidP="009B031F">
      <w:pPr>
        <w:spacing w:line="276" w:lineRule="auto"/>
        <w:jc w:val="left"/>
      </w:pPr>
      <w:r w:rsidRPr="009B031F">
        <w:t xml:space="preserve">Dixon, P., Rimmer, M., and Wittwer, G. 2012. “USAGE-R51, A State-Level Multi-Regional CGE Model of the U.S. Economy.” GTAP Conference Paper, Purdue University. Available at: </w:t>
      </w:r>
      <w:hyperlink r:id="rId77" w:history="1">
        <w:r w:rsidRPr="009B031F">
          <w:rPr>
            <w:color w:val="0000FF"/>
            <w:u w:val="single"/>
          </w:rPr>
          <w:t>https://www.gtap.agecon.purdue.edu/resources/download/5933.pdf</w:t>
        </w:r>
      </w:hyperlink>
      <w:r w:rsidRPr="009B031F">
        <w:t xml:space="preserve">. </w:t>
      </w:r>
    </w:p>
    <w:p w14:paraId="05CA85C6" w14:textId="77777777" w:rsidR="009B031F" w:rsidRPr="009B031F" w:rsidRDefault="009B031F" w:rsidP="009B031F">
      <w:pPr>
        <w:spacing w:line="276" w:lineRule="auto"/>
        <w:jc w:val="left"/>
      </w:pPr>
      <w:r w:rsidRPr="009B031F">
        <w:t xml:space="preserve">Edwards, R. 2008. “Health Risk and Portfolio Choice.” </w:t>
      </w:r>
      <w:r w:rsidRPr="009B031F">
        <w:rPr>
          <w:i/>
        </w:rPr>
        <w:t>Journal of Business &amp; Economic Statistics</w:t>
      </w:r>
      <w:r w:rsidRPr="009B031F">
        <w:t xml:space="preserve"> 26(4): 472-485.</w:t>
      </w:r>
    </w:p>
    <w:p w14:paraId="457AC336" w14:textId="77777777" w:rsidR="009B031F" w:rsidRPr="009B031F" w:rsidRDefault="009B031F" w:rsidP="009B031F">
      <w:pPr>
        <w:spacing w:line="276" w:lineRule="auto"/>
        <w:jc w:val="left"/>
      </w:pPr>
      <w:r w:rsidRPr="009B031F">
        <w:t xml:space="preserve">Evans, W. and Viscusi, W. 1991. “Estimation of State-Dependent Utility Functions Using Survey Data.” </w:t>
      </w:r>
      <w:r w:rsidRPr="009B031F">
        <w:rPr>
          <w:i/>
        </w:rPr>
        <w:t>Review of Economics and Statistics</w:t>
      </w:r>
      <w:r w:rsidRPr="009B031F">
        <w:t xml:space="preserve"> 73(1): 94–104.</w:t>
      </w:r>
    </w:p>
    <w:p w14:paraId="119FD6FF" w14:textId="77777777" w:rsidR="009B031F" w:rsidRPr="009B031F" w:rsidRDefault="009B031F" w:rsidP="009B031F">
      <w:pPr>
        <w:spacing w:line="276" w:lineRule="auto"/>
        <w:jc w:val="left"/>
      </w:pPr>
      <w:r w:rsidRPr="009B031F">
        <w:t xml:space="preserve">Fann, N., Lamson, A., Wesson, K., Risley, D., Anenberg, S., and Hubbell, B. 2012. “Estimating the National Public Health Burden Associated with Exposure to Ambient PM2.5 and Ozone. Risk Analysis.” </w:t>
      </w:r>
      <w:r w:rsidRPr="009B031F">
        <w:rPr>
          <w:i/>
        </w:rPr>
        <w:t>Risk Analysis</w:t>
      </w:r>
      <w:r w:rsidRPr="009B031F">
        <w:t xml:space="preserve"> 32(1): 81-95.</w:t>
      </w:r>
    </w:p>
    <w:p w14:paraId="3C07A916" w14:textId="77777777" w:rsidR="009B031F" w:rsidRPr="009B031F" w:rsidRDefault="009B031F" w:rsidP="009B031F">
      <w:pPr>
        <w:spacing w:line="276" w:lineRule="auto"/>
        <w:jc w:val="left"/>
      </w:pPr>
      <w:r w:rsidRPr="009B031F">
        <w:t xml:space="preserve">Finkelstein, A., Luttmer, E., Notowidigdo, M. 2009. “Approaches to estimating the health state dependence of the utility function.”  </w:t>
      </w:r>
      <w:r w:rsidRPr="009B031F">
        <w:rPr>
          <w:i/>
        </w:rPr>
        <w:t>American Economic Review Papers and Proceedings</w:t>
      </w:r>
      <w:r w:rsidRPr="009B031F">
        <w:t xml:space="preserve"> 99(2): 116-121.</w:t>
      </w:r>
    </w:p>
    <w:p w14:paraId="0CEE9087" w14:textId="77777777" w:rsidR="009B031F" w:rsidRPr="009B031F" w:rsidRDefault="009B031F" w:rsidP="009B031F">
      <w:pPr>
        <w:spacing w:line="276" w:lineRule="auto"/>
        <w:jc w:val="left"/>
      </w:pPr>
      <w:r w:rsidRPr="009B031F">
        <w:t xml:space="preserve">Finkelstein, A., Luttmer, E., Notowidigdo, M. 2013. “What good is wealth without health? The effect of health on the marginal utility of consumption.” </w:t>
      </w:r>
      <w:r w:rsidRPr="009B031F">
        <w:rPr>
          <w:i/>
        </w:rPr>
        <w:t>Journal of the European Economic Association</w:t>
      </w:r>
      <w:r w:rsidRPr="009B031F">
        <w:t xml:space="preserve"> 11(S1): 221–258.</w:t>
      </w:r>
    </w:p>
    <w:p w14:paraId="372B5539" w14:textId="77777777" w:rsidR="009B031F" w:rsidRPr="009B031F" w:rsidRDefault="009B031F" w:rsidP="009B031F">
      <w:pPr>
        <w:spacing w:line="276" w:lineRule="auto"/>
        <w:jc w:val="left"/>
      </w:pPr>
      <w:r w:rsidRPr="009B031F">
        <w:t xml:space="preserve">Finnoff, D. and Tschirhart, J. 2008. “Linking Dynamic Economic and Ecological General Equilibrium Models.” </w:t>
      </w:r>
      <w:r w:rsidRPr="009B031F">
        <w:rPr>
          <w:i/>
        </w:rPr>
        <w:t>Resource and Energy Economics</w:t>
      </w:r>
      <w:r w:rsidRPr="009B031F">
        <w:t xml:space="preserve"> 30(2): 91-114.</w:t>
      </w:r>
    </w:p>
    <w:p w14:paraId="14713ECE" w14:textId="77777777" w:rsidR="009B031F" w:rsidRPr="009B031F" w:rsidRDefault="009B031F" w:rsidP="009B031F">
      <w:pPr>
        <w:spacing w:line="276" w:lineRule="auto"/>
        <w:jc w:val="left"/>
      </w:pPr>
      <w:r w:rsidRPr="009B031F">
        <w:t xml:space="preserve">Gayer, T., Hamilton, J., Viscusi, W. K. 2002. “The Market Value of Reducing Cancer Risk: Hedonic Housing Prices with Changing Information.” </w:t>
      </w:r>
      <w:r w:rsidRPr="009B031F">
        <w:rPr>
          <w:i/>
        </w:rPr>
        <w:t>Southern Economic Journal</w:t>
      </w:r>
      <w:r w:rsidRPr="009B031F">
        <w:t xml:space="preserve"> 69(2):266-289.</w:t>
      </w:r>
    </w:p>
    <w:p w14:paraId="5783292B" w14:textId="77777777" w:rsidR="009B031F" w:rsidRPr="009B031F" w:rsidRDefault="009B031F" w:rsidP="009B031F">
      <w:pPr>
        <w:spacing w:line="276" w:lineRule="auto"/>
        <w:jc w:val="left"/>
      </w:pPr>
      <w:r w:rsidRPr="009B031F">
        <w:t xml:space="preserve">Gerking, S., and Dickie, M. 2013. “Valuing Reductions in Environmental Risks to Children’s Health.” </w:t>
      </w:r>
      <w:r w:rsidRPr="009B031F">
        <w:rPr>
          <w:i/>
        </w:rPr>
        <w:t xml:space="preserve">Annual Review of Resource Economics </w:t>
      </w:r>
      <w:r w:rsidRPr="009B031F">
        <w:t>5:245-260.</w:t>
      </w:r>
    </w:p>
    <w:p w14:paraId="5DCF49A2" w14:textId="77777777" w:rsidR="009B031F" w:rsidRPr="009B031F" w:rsidRDefault="009B031F" w:rsidP="009B031F">
      <w:pPr>
        <w:spacing w:line="276" w:lineRule="auto"/>
        <w:jc w:val="left"/>
      </w:pPr>
      <w:r w:rsidRPr="009B031F">
        <w:t xml:space="preserve">Gerking, S., Dickie, M., and Veronesi, M. 2014. “Valuation of Human Health: An Integrated Model of Willingness to Pay for Mortality and Morbidity Risk Reductions.” </w:t>
      </w:r>
      <w:r w:rsidRPr="009B031F">
        <w:rPr>
          <w:i/>
        </w:rPr>
        <w:t>Journal of Environmental Economics and Management</w:t>
      </w:r>
      <w:r w:rsidRPr="009B031F">
        <w:t xml:space="preserve"> 68(1): 20-45.</w:t>
      </w:r>
    </w:p>
    <w:p w14:paraId="7448C515" w14:textId="77777777" w:rsidR="009B031F" w:rsidRPr="009B031F" w:rsidRDefault="009B031F" w:rsidP="009B031F">
      <w:pPr>
        <w:spacing w:line="276" w:lineRule="auto"/>
        <w:jc w:val="left"/>
      </w:pPr>
      <w:r w:rsidRPr="009B031F">
        <w:t>Goettle, R., Ho, M., Jorgenson, D., Slesnick, D., and Wilcoxen, P. 2009. “Analyzing Environmental Policies with IGEM, and Intertemporal General Equilibrium Model of U.S. Growth and the Environment.” Dale Jorgenson Associates. Available at: http://www.igem.insightworks.com/docs/190.html.</w:t>
      </w:r>
    </w:p>
    <w:p w14:paraId="26BDB2C9" w14:textId="77777777" w:rsidR="009B031F" w:rsidRPr="009B031F" w:rsidRDefault="009B031F" w:rsidP="009B031F">
      <w:pPr>
        <w:spacing w:line="276" w:lineRule="auto"/>
        <w:jc w:val="left"/>
      </w:pPr>
      <w:r w:rsidRPr="009B031F">
        <w:t xml:space="preserve">Goulder, L. 1995. “Effects of Carbon Taxes in an Economy with Prior Tax Distortions: An Intertemporal General Equilibrium Analysis.” </w:t>
      </w:r>
      <w:r w:rsidRPr="009B031F">
        <w:rPr>
          <w:i/>
        </w:rPr>
        <w:t>Journal of Environmental Economics and Management</w:t>
      </w:r>
      <w:r w:rsidRPr="009B031F">
        <w:t xml:space="preserve"> 29(3): 271-297.</w:t>
      </w:r>
    </w:p>
    <w:p w14:paraId="5680A21C" w14:textId="77777777" w:rsidR="009B031F" w:rsidRPr="009B031F" w:rsidRDefault="009B031F" w:rsidP="009B031F">
      <w:pPr>
        <w:spacing w:line="276" w:lineRule="auto"/>
        <w:jc w:val="left"/>
      </w:pPr>
      <w:r w:rsidRPr="009B031F">
        <w:t xml:space="preserve">Goulder, L., Parry, I., Williams, R., and Burtraw, D. 1999. “The Cost-Effectiveness of Alternative Instruments for Environmental Protection in a Second-Best Setting.” </w:t>
      </w:r>
      <w:r w:rsidRPr="009B031F">
        <w:rPr>
          <w:i/>
        </w:rPr>
        <w:t>Journal of Public Economics</w:t>
      </w:r>
      <w:r w:rsidRPr="009B031F">
        <w:t xml:space="preserve"> 72(3): 329-360.</w:t>
      </w:r>
    </w:p>
    <w:p w14:paraId="1FD7E4E4" w14:textId="77777777" w:rsidR="009B031F" w:rsidRPr="009B031F" w:rsidRDefault="009B031F" w:rsidP="009B031F">
      <w:pPr>
        <w:spacing w:line="276" w:lineRule="auto"/>
        <w:jc w:val="left"/>
      </w:pPr>
      <w:r w:rsidRPr="009B031F">
        <w:t xml:space="preserve">Goulder, L. and Williams III, R. 2003. “The Substantial Bias from Ignoring General Equilibrium Effects in Estimating Excess Burden, and a Practical Solution.” </w:t>
      </w:r>
      <w:r w:rsidRPr="009B031F">
        <w:rPr>
          <w:i/>
        </w:rPr>
        <w:t>Journal of Political Economy</w:t>
      </w:r>
      <w:r w:rsidRPr="009B031F">
        <w:t xml:space="preserve"> 111(4): 898–927.</w:t>
      </w:r>
    </w:p>
    <w:p w14:paraId="3874B4B4" w14:textId="77777777" w:rsidR="009B031F" w:rsidRPr="009B031F" w:rsidRDefault="009B031F" w:rsidP="009B031F">
      <w:pPr>
        <w:spacing w:line="276" w:lineRule="auto"/>
        <w:jc w:val="left"/>
      </w:pPr>
      <w:r w:rsidRPr="009B031F">
        <w:t xml:space="preserve">Grosclaude, P. and Soguel, N. 1994. “Valuing Damage to Historic Buildings Using a Contingent Market: A Case Study of Road Traffic Externalities.” </w:t>
      </w:r>
      <w:r w:rsidRPr="009B031F">
        <w:rPr>
          <w:i/>
        </w:rPr>
        <w:t>Journal of Environmental Planning and Management</w:t>
      </w:r>
      <w:r w:rsidRPr="009B031F">
        <w:t xml:space="preserve"> 37: 279-287.</w:t>
      </w:r>
    </w:p>
    <w:p w14:paraId="704527DE" w14:textId="77777777" w:rsidR="009B031F" w:rsidRPr="009B031F" w:rsidRDefault="009B031F" w:rsidP="009B031F">
      <w:pPr>
        <w:spacing w:line="276" w:lineRule="auto"/>
        <w:jc w:val="left"/>
      </w:pPr>
      <w:r w:rsidRPr="009B031F">
        <w:t xml:space="preserve">Holland, M., Berry, J., and Forster, D. 1998. </w:t>
      </w:r>
      <w:r w:rsidRPr="009B031F">
        <w:rPr>
          <w:i/>
        </w:rPr>
        <w:t xml:space="preserve">ExternE: Externalities of Energy, Methodology 1998 Update, </w:t>
      </w:r>
      <w:r w:rsidRPr="009B031F">
        <w:t>Volume 7. European Commission, Community Research.</w:t>
      </w:r>
    </w:p>
    <w:p w14:paraId="28175E9E" w14:textId="77777777" w:rsidR="009B031F" w:rsidRPr="009B031F" w:rsidRDefault="009B031F" w:rsidP="009B031F">
      <w:pPr>
        <w:spacing w:line="276" w:lineRule="auto"/>
        <w:jc w:val="left"/>
      </w:pPr>
      <w:r w:rsidRPr="009B031F">
        <w:t xml:space="preserve">Harrington, W. and Portney, P. 1987. “Valuing the Benefits of Health and Safety Regulation.” </w:t>
      </w:r>
      <w:r w:rsidRPr="009B031F">
        <w:rPr>
          <w:i/>
        </w:rPr>
        <w:t>Journal of Urban Economics</w:t>
      </w:r>
      <w:r w:rsidRPr="009B031F">
        <w:t xml:space="preserve"> 22(1):101-112.</w:t>
      </w:r>
    </w:p>
    <w:p w14:paraId="2395ADB0" w14:textId="77777777" w:rsidR="009B031F" w:rsidRPr="009B031F" w:rsidRDefault="009B031F" w:rsidP="009B031F">
      <w:pPr>
        <w:spacing w:line="276" w:lineRule="auto"/>
        <w:jc w:val="left"/>
      </w:pPr>
      <w:r w:rsidRPr="009B031F">
        <w:t xml:space="preserve">Hofstetter, P., Bare, J., Hammitt, J., Murphy, P., and Rice, G. 2002. “Tools for Comparative Analysis of Alternatives: Competing or Complementary Perspectives?” </w:t>
      </w:r>
      <w:r w:rsidRPr="009B031F">
        <w:rPr>
          <w:i/>
        </w:rPr>
        <w:t>Risk Analysis</w:t>
      </w:r>
      <w:r w:rsidRPr="009B031F">
        <w:t xml:space="preserve"> 22(5): 833-851.</w:t>
      </w:r>
    </w:p>
    <w:p w14:paraId="40350E0E" w14:textId="77777777" w:rsidR="009B031F" w:rsidRPr="009B031F" w:rsidRDefault="009B031F" w:rsidP="009B031F">
      <w:pPr>
        <w:spacing w:line="276" w:lineRule="auto"/>
        <w:jc w:val="left"/>
      </w:pPr>
      <w:r w:rsidRPr="009B031F">
        <w:t xml:space="preserve">Hoppe, P., Praml, G., Rabe, G., Lindner, J., Fruhmann, G., and Kessel, R. 1995. “Environmental Ozone Field Study on Pulmonary and Subjective Responses of Assumed Risk Groups.” </w:t>
      </w:r>
      <w:r w:rsidRPr="009B031F">
        <w:rPr>
          <w:i/>
        </w:rPr>
        <w:t>Environmental Research</w:t>
      </w:r>
      <w:r w:rsidRPr="009B031F">
        <w:t xml:space="preserve"> 71(2): 109-121.</w:t>
      </w:r>
    </w:p>
    <w:p w14:paraId="4E69161D" w14:textId="77777777" w:rsidR="009B031F" w:rsidRPr="009B031F" w:rsidRDefault="009B031F" w:rsidP="009B031F">
      <w:pPr>
        <w:spacing w:line="276" w:lineRule="auto"/>
        <w:jc w:val="left"/>
      </w:pPr>
      <w:bookmarkStart w:id="86" w:name="Johansson_1995"/>
      <w:r w:rsidRPr="009B031F">
        <w:t>Johansson, P-O. 1995</w:t>
      </w:r>
      <w:bookmarkEnd w:id="86"/>
      <w:r w:rsidRPr="009B031F">
        <w:t xml:space="preserve">. </w:t>
      </w:r>
      <w:r w:rsidRPr="009B031F">
        <w:rPr>
          <w:i/>
        </w:rPr>
        <w:t>Evaluating Health Risks: An Economic Approach</w:t>
      </w:r>
      <w:r w:rsidRPr="009B031F">
        <w:t>. Cambridge, UK: Cambridge University Press.</w:t>
      </w:r>
    </w:p>
    <w:p w14:paraId="30822702" w14:textId="77777777" w:rsidR="009B031F" w:rsidRPr="009B031F" w:rsidRDefault="009B031F" w:rsidP="009B031F">
      <w:pPr>
        <w:spacing w:line="276" w:lineRule="auto"/>
        <w:jc w:val="left"/>
      </w:pPr>
      <w:r w:rsidRPr="009B031F">
        <w:t>Kleckner, N., and J. Neumann. June 3, 1999. “Recommended Approach to Adjusting WTP Estimates to Reflect Changes in Real Income.” Memorandum to Jim Democker, U.S. EPA/OPAR.</w:t>
      </w:r>
    </w:p>
    <w:p w14:paraId="0C1F54B7" w14:textId="77777777" w:rsidR="009B031F" w:rsidRPr="009B031F" w:rsidRDefault="009B031F" w:rsidP="009B031F">
      <w:pPr>
        <w:spacing w:line="276" w:lineRule="auto"/>
        <w:jc w:val="left"/>
      </w:pPr>
      <w:r w:rsidRPr="009B031F">
        <w:t xml:space="preserve">Kling, R., Revier, C., and Sable, K. 2004. “Estimating the Public Good Value of Preserving a Local Historic Landmark: The Role of Non-substitutability and Citizen Information.” </w:t>
      </w:r>
      <w:r w:rsidRPr="009B031F">
        <w:rPr>
          <w:i/>
        </w:rPr>
        <w:t>Urban Studies</w:t>
      </w:r>
      <w:r w:rsidRPr="009B031F">
        <w:t xml:space="preserve"> 41(10): 2025-2041.</w:t>
      </w:r>
    </w:p>
    <w:p w14:paraId="2901B3EB" w14:textId="77777777" w:rsidR="009B031F" w:rsidRPr="009B031F" w:rsidRDefault="009B031F" w:rsidP="009B031F">
      <w:pPr>
        <w:spacing w:line="276" w:lineRule="auto"/>
        <w:jc w:val="left"/>
      </w:pPr>
      <w:r w:rsidRPr="009B031F">
        <w:t xml:space="preserve">Korrick, S., Neas, L., Dockery, D., Gold, D., Allen, G., Hill, L., Kimball, K., Rosner, B., and Speizer, F., 1998. “Effects of Ozone and Other Pollutants on the Pulmonary Function of Adult Hikers.” </w:t>
      </w:r>
      <w:r w:rsidRPr="009B031F">
        <w:rPr>
          <w:i/>
        </w:rPr>
        <w:t>Environmental Health Perspectives</w:t>
      </w:r>
      <w:r w:rsidRPr="009B031F">
        <w:t xml:space="preserve"> 106(2): 93-99.</w:t>
      </w:r>
    </w:p>
    <w:p w14:paraId="41600421" w14:textId="77777777" w:rsidR="009B031F" w:rsidRPr="009B031F" w:rsidRDefault="009B031F" w:rsidP="009B031F">
      <w:pPr>
        <w:spacing w:line="276" w:lineRule="auto"/>
        <w:jc w:val="left"/>
      </w:pPr>
      <w:r w:rsidRPr="009B031F">
        <w:t>Kuminoff, N., Smith, V., and Timmins, C. 2010. “The New Economics of Equilibrium Sorting and its Transformational Role for Policy Evaluation.” NBER Working Paper #16349 http://www.nber.org/papers/w16349.</w:t>
      </w:r>
    </w:p>
    <w:p w14:paraId="1B8B43F3" w14:textId="77777777" w:rsidR="009B031F" w:rsidRPr="009B031F" w:rsidRDefault="009B031F" w:rsidP="009B031F">
      <w:pPr>
        <w:spacing w:line="276" w:lineRule="auto"/>
        <w:jc w:val="left"/>
      </w:pPr>
      <w:r w:rsidRPr="009B031F">
        <w:t xml:space="preserve">Levy, J., Baxter, L., and Schwartz, J. 2009. “Uncertainty and variability in health-related damages from coal-fired power plants in the United States.” </w:t>
      </w:r>
      <w:r w:rsidRPr="009B031F">
        <w:rPr>
          <w:i/>
        </w:rPr>
        <w:t>Risk Analysis</w:t>
      </w:r>
      <w:r w:rsidRPr="009B031F">
        <w:t xml:space="preserve"> 29(7): 1000-1014.</w:t>
      </w:r>
    </w:p>
    <w:p w14:paraId="48BA9293" w14:textId="77777777" w:rsidR="009B031F" w:rsidRPr="009B031F" w:rsidRDefault="009B031F" w:rsidP="009B031F">
      <w:pPr>
        <w:spacing w:line="276" w:lineRule="auto"/>
        <w:jc w:val="left"/>
      </w:pPr>
      <w:r w:rsidRPr="009B031F">
        <w:t xml:space="preserve">Lillard, L, and Weiss, Y. 1997. “Uncertain Health and Survival: Effects on End-of-Life Consumption.” </w:t>
      </w:r>
      <w:r w:rsidRPr="009B031F">
        <w:rPr>
          <w:i/>
        </w:rPr>
        <w:t>Journal of Business and Economic Statistics</w:t>
      </w:r>
      <w:r w:rsidRPr="009B031F">
        <w:t xml:space="preserve"> 15(2): 254–268.</w:t>
      </w:r>
    </w:p>
    <w:p w14:paraId="3895EE50" w14:textId="77777777" w:rsidR="009B031F" w:rsidRPr="009B031F" w:rsidRDefault="009B031F" w:rsidP="009B031F">
      <w:pPr>
        <w:spacing w:line="276" w:lineRule="auto"/>
        <w:jc w:val="left"/>
      </w:pPr>
      <w:bookmarkStart w:id="87" w:name="Linnerooth_1979"/>
      <w:r w:rsidRPr="009B031F">
        <w:t>Linnerooth, J. 1979</w:t>
      </w:r>
      <w:bookmarkEnd w:id="87"/>
      <w:r w:rsidRPr="009B031F">
        <w:t xml:space="preserve">. “The value of human life: a review of the models.” </w:t>
      </w:r>
      <w:r w:rsidRPr="009B031F">
        <w:rPr>
          <w:i/>
        </w:rPr>
        <w:t>Economic Inquiry</w:t>
      </w:r>
      <w:r w:rsidRPr="009B031F">
        <w:t xml:space="preserve"> 17(1):52-74.</w:t>
      </w:r>
    </w:p>
    <w:p w14:paraId="6AE455E4" w14:textId="77777777" w:rsidR="009B031F" w:rsidRPr="009B031F" w:rsidRDefault="009B031F" w:rsidP="009B031F">
      <w:pPr>
        <w:spacing w:line="276" w:lineRule="auto"/>
        <w:jc w:val="left"/>
      </w:pPr>
      <w:bookmarkStart w:id="88" w:name="Matus_et_al_2008"/>
      <w:r w:rsidRPr="009B031F">
        <w:t>Lofgren, H., Harris, R., and Robinson, S. 2001. “A Standard Computable General Equilibrium (CGE) Model in GAMS.” International Food Policy Research Institute Discussion Paper No. 75.</w:t>
      </w:r>
    </w:p>
    <w:bookmarkEnd w:id="88"/>
    <w:p w14:paraId="54BFFC12" w14:textId="77777777" w:rsidR="009B031F" w:rsidRPr="009B031F" w:rsidRDefault="009B031F" w:rsidP="009B031F">
      <w:pPr>
        <w:spacing w:line="276" w:lineRule="auto"/>
        <w:jc w:val="left"/>
      </w:pPr>
      <w:r w:rsidRPr="009B031F">
        <w:t xml:space="preserve">Matus, K., Yang, T., Paltsev, S., Reilly, J., and Nam, K.-M. 2008. “Toward Integrated Assessment of Environmental Change: Air Pollution Health Effects in the USA.” </w:t>
      </w:r>
      <w:r w:rsidRPr="009B031F">
        <w:rPr>
          <w:i/>
        </w:rPr>
        <w:t>Climatic Change</w:t>
      </w:r>
      <w:r w:rsidRPr="009B031F">
        <w:t xml:space="preserve"> 88(1):59-92.</w:t>
      </w:r>
    </w:p>
    <w:p w14:paraId="64361C46" w14:textId="77777777" w:rsidR="009B031F" w:rsidRPr="009B031F" w:rsidRDefault="009B031F" w:rsidP="009B031F">
      <w:pPr>
        <w:spacing w:line="276" w:lineRule="auto"/>
        <w:jc w:val="left"/>
      </w:pPr>
      <w:bookmarkStart w:id="89" w:name="Mishan_1971"/>
      <w:r w:rsidRPr="009B031F">
        <w:t xml:space="preserve">Matus, K., Nam, K.-M., Selin, N., Lamsal, L., Reilly, J., and Paltsev, S. 2012. “Health Damages from Air Pollution in China.” </w:t>
      </w:r>
      <w:r w:rsidRPr="009B031F">
        <w:rPr>
          <w:i/>
        </w:rPr>
        <w:t>Global Environmental Change</w:t>
      </w:r>
      <w:r w:rsidRPr="009B031F">
        <w:t xml:space="preserve"> 22(1): 55-66.</w:t>
      </w:r>
    </w:p>
    <w:p w14:paraId="0AE78C30" w14:textId="77777777" w:rsidR="009B031F" w:rsidRPr="009B031F" w:rsidRDefault="009B031F" w:rsidP="009B031F">
      <w:pPr>
        <w:spacing w:line="276" w:lineRule="auto"/>
        <w:jc w:val="left"/>
      </w:pPr>
      <w:r w:rsidRPr="009B031F">
        <w:t xml:space="preserve">Mayeres, I. and van Regemorter, D. 2008. “Modeling the Health Related Benefits of Environmental Policies and Their Feedback Effects: A CGE Analysis for the EU Countries with GEM-E3.” </w:t>
      </w:r>
      <w:r w:rsidRPr="009B031F">
        <w:rPr>
          <w:i/>
        </w:rPr>
        <w:t>The Energy Journal</w:t>
      </w:r>
      <w:r w:rsidRPr="009B031F">
        <w:t xml:space="preserve"> 29(1): 135-150.</w:t>
      </w:r>
    </w:p>
    <w:p w14:paraId="6FF9D059" w14:textId="77777777" w:rsidR="009B031F" w:rsidRPr="009B031F" w:rsidRDefault="009B031F" w:rsidP="009B031F">
      <w:pPr>
        <w:spacing w:line="276" w:lineRule="auto"/>
        <w:jc w:val="left"/>
      </w:pPr>
      <w:r w:rsidRPr="009B031F">
        <w:t>Mishan, E. 1971</w:t>
      </w:r>
      <w:bookmarkEnd w:id="89"/>
      <w:r w:rsidRPr="009B031F">
        <w:t xml:space="preserve">. “Evaluation of life and limb: a theoretical approach.” </w:t>
      </w:r>
      <w:r w:rsidRPr="009B031F">
        <w:rPr>
          <w:i/>
        </w:rPr>
        <w:t>Journal of Political Economy</w:t>
      </w:r>
      <w:r w:rsidRPr="009B031F">
        <w:t xml:space="preserve"> 79(4):687-705.</w:t>
      </w:r>
    </w:p>
    <w:p w14:paraId="5DBAC809" w14:textId="77777777" w:rsidR="009B031F" w:rsidRPr="009B031F" w:rsidRDefault="009B031F" w:rsidP="009B031F">
      <w:pPr>
        <w:spacing w:line="276" w:lineRule="auto"/>
        <w:jc w:val="left"/>
      </w:pPr>
      <w:r w:rsidRPr="009B031F">
        <w:t xml:space="preserve">Murphy, K., Topel, R. 2006. “The value of health and longevity.”  </w:t>
      </w:r>
      <w:r w:rsidRPr="009B031F">
        <w:rPr>
          <w:i/>
        </w:rPr>
        <w:t>Journal of Political Economy</w:t>
      </w:r>
      <w:r w:rsidRPr="009B031F">
        <w:t xml:space="preserve"> 114(5): 871-904.</w:t>
      </w:r>
    </w:p>
    <w:p w14:paraId="6198FC13" w14:textId="77777777" w:rsidR="009B031F" w:rsidRPr="009B031F" w:rsidRDefault="009B031F" w:rsidP="009B031F">
      <w:pPr>
        <w:spacing w:line="276" w:lineRule="auto"/>
        <w:jc w:val="left"/>
      </w:pPr>
      <w:r w:rsidRPr="009B031F">
        <w:t xml:space="preserve">Nam, K.-M., Selin, N., Reilly, J., and Paltsev, S. 2010. “Measuring Welfare Loss Caused by Air Pollution in Europe: A CGE Analysis.” </w:t>
      </w:r>
      <w:r w:rsidRPr="009B031F">
        <w:rPr>
          <w:i/>
        </w:rPr>
        <w:t>Energy Policy</w:t>
      </w:r>
      <w:r w:rsidRPr="009B031F">
        <w:t xml:space="preserve"> 38: 5059-5071.</w:t>
      </w:r>
    </w:p>
    <w:p w14:paraId="450B59F1" w14:textId="77777777" w:rsidR="009B031F" w:rsidRPr="009B031F" w:rsidRDefault="009B031F" w:rsidP="009B031F">
      <w:pPr>
        <w:spacing w:line="276" w:lineRule="auto"/>
        <w:jc w:val="left"/>
      </w:pPr>
      <w:bookmarkStart w:id="90" w:name="Reilly_et_al_2013"/>
      <w:r w:rsidRPr="009B031F">
        <w:t xml:space="preserve">OMB. 2003. “Regulatory Analysis: A Primer.” Circular A-4. Washington, DC. Available at </w:t>
      </w:r>
      <w:hyperlink r:id="rId78" w:history="1">
        <w:r w:rsidRPr="009B031F">
          <w:rPr>
            <w:color w:val="0000FF"/>
            <w:u w:val="single"/>
          </w:rPr>
          <w:t>http://www.whitehouse.gov/omb/circulars/a004/a-4.html</w:t>
        </w:r>
      </w:hyperlink>
      <w:r w:rsidRPr="009B031F">
        <w:t xml:space="preserve">. </w:t>
      </w:r>
    </w:p>
    <w:p w14:paraId="5F8641C0" w14:textId="77777777" w:rsidR="009B031F" w:rsidRPr="009B031F" w:rsidRDefault="009B031F" w:rsidP="009B031F">
      <w:pPr>
        <w:spacing w:line="276" w:lineRule="auto"/>
        <w:jc w:val="left"/>
      </w:pPr>
      <w:r w:rsidRPr="009B031F">
        <w:t xml:space="preserve">Palmquist, R. 2005. “Property Value Models.” </w:t>
      </w:r>
      <w:r w:rsidRPr="009B031F">
        <w:rPr>
          <w:i/>
        </w:rPr>
        <w:t>Handbook of Environmental Economics</w:t>
      </w:r>
      <w:r w:rsidRPr="009B031F">
        <w:t xml:space="preserve"> 2:763-819.</w:t>
      </w:r>
    </w:p>
    <w:p w14:paraId="3C953C5D" w14:textId="77777777" w:rsidR="009B031F" w:rsidRPr="009B031F" w:rsidRDefault="009B031F" w:rsidP="009B031F">
      <w:pPr>
        <w:spacing w:line="276" w:lineRule="auto"/>
        <w:jc w:val="left"/>
      </w:pPr>
      <w:r w:rsidRPr="009B031F">
        <w:t xml:space="preserve">Parry, I. 1994. “Pollution Taxes and Revenue Recycling.” </w:t>
      </w:r>
      <w:r w:rsidRPr="009B031F">
        <w:rPr>
          <w:i/>
        </w:rPr>
        <w:t>Journal of Environmental Economics and Managemen</w:t>
      </w:r>
      <w:r w:rsidRPr="009B031F">
        <w:t>t 29(3): 64-77.</w:t>
      </w:r>
    </w:p>
    <w:p w14:paraId="44399EEA" w14:textId="77777777" w:rsidR="009B031F" w:rsidRPr="009B031F" w:rsidRDefault="009B031F" w:rsidP="009B031F">
      <w:pPr>
        <w:spacing w:line="276" w:lineRule="auto"/>
        <w:jc w:val="left"/>
      </w:pPr>
      <w:r w:rsidRPr="009B031F">
        <w:t xml:space="preserve">Parry, I. 1997. “Environmental Taxes and Quotas in the Presence of Distorting Taxes in Factor Markets.” </w:t>
      </w:r>
      <w:r w:rsidRPr="009B031F">
        <w:rPr>
          <w:i/>
        </w:rPr>
        <w:t>Resource and Energy Economics</w:t>
      </w:r>
      <w:r w:rsidRPr="009B031F">
        <w:t xml:space="preserve"> 19(3): 203-220.</w:t>
      </w:r>
    </w:p>
    <w:p w14:paraId="71925CC2" w14:textId="77777777" w:rsidR="009B031F" w:rsidRPr="009B031F" w:rsidRDefault="009B031F" w:rsidP="009B031F">
      <w:pPr>
        <w:spacing w:line="276" w:lineRule="auto"/>
        <w:jc w:val="left"/>
      </w:pPr>
      <w:r w:rsidRPr="009B031F">
        <w:t xml:space="preserve">Parry, I. and Bento, A. 2000. “Tax Deductions, Environmental Policy, and the `Double Dividend’ Hypothesis.” </w:t>
      </w:r>
      <w:r w:rsidRPr="009B031F">
        <w:rPr>
          <w:i/>
        </w:rPr>
        <w:t>Journal of Environmental Economics and Management</w:t>
      </w:r>
      <w:r w:rsidRPr="009B031F">
        <w:t xml:space="preserve"> 39(1): 67-96.</w:t>
      </w:r>
    </w:p>
    <w:p w14:paraId="16FD71F2" w14:textId="77777777" w:rsidR="009B031F" w:rsidRPr="009B031F" w:rsidRDefault="009B031F" w:rsidP="009B031F">
      <w:pPr>
        <w:spacing w:line="276" w:lineRule="auto"/>
        <w:jc w:val="left"/>
      </w:pPr>
      <w:r w:rsidRPr="009B031F">
        <w:t xml:space="preserve">Parry, I., Williams, R., and Goulder, L. 1999. “When Can Carbon Abatement Policies Increase Welfare? The Fundamental Role of Distorted Factor Markets.” </w:t>
      </w:r>
      <w:r w:rsidRPr="009B031F">
        <w:rPr>
          <w:i/>
        </w:rPr>
        <w:t>Journal of Environmental Economics and Management</w:t>
      </w:r>
      <w:r w:rsidRPr="009B031F">
        <w:t xml:space="preserve"> 37(1): 52-84.</w:t>
      </w:r>
    </w:p>
    <w:p w14:paraId="140900F2" w14:textId="77777777" w:rsidR="009B031F" w:rsidRPr="009B031F" w:rsidRDefault="009B031F" w:rsidP="009B031F">
      <w:pPr>
        <w:spacing w:line="276" w:lineRule="auto"/>
        <w:jc w:val="left"/>
      </w:pPr>
      <w:r w:rsidRPr="009B031F">
        <w:t xml:space="preserve">Phaneuf, D., Smith, V. K. 2005. “Recreation Demand Models.” </w:t>
      </w:r>
      <w:r w:rsidRPr="009B031F">
        <w:rPr>
          <w:i/>
        </w:rPr>
        <w:t>Handbook of Environmental Economics</w:t>
      </w:r>
      <w:r w:rsidRPr="009B031F">
        <w:t xml:space="preserve"> 2:671-761.</w:t>
      </w:r>
    </w:p>
    <w:p w14:paraId="387607F3" w14:textId="77777777" w:rsidR="009B031F" w:rsidRPr="009B031F" w:rsidRDefault="009B031F" w:rsidP="009B031F">
      <w:pPr>
        <w:spacing w:line="276" w:lineRule="auto"/>
        <w:jc w:val="left"/>
      </w:pPr>
      <w:bookmarkStart w:id="91" w:name="Rosen_1988"/>
      <w:bookmarkEnd w:id="90"/>
      <w:r w:rsidRPr="009B031F">
        <w:t>Rosen, S. 1988</w:t>
      </w:r>
      <w:bookmarkEnd w:id="91"/>
      <w:r w:rsidRPr="009B031F">
        <w:t xml:space="preserve">. “The value of changes in life expectancy.” </w:t>
      </w:r>
      <w:r w:rsidRPr="009B031F">
        <w:rPr>
          <w:i/>
        </w:rPr>
        <w:t>Journal of Risk and Uncertainty</w:t>
      </w:r>
      <w:r w:rsidRPr="009B031F">
        <w:t xml:space="preserve"> 1(3):285-304.</w:t>
      </w:r>
    </w:p>
    <w:p w14:paraId="231BCC6C" w14:textId="77777777" w:rsidR="009B031F" w:rsidRPr="009B031F" w:rsidRDefault="009B031F" w:rsidP="009B031F">
      <w:pPr>
        <w:spacing w:line="276" w:lineRule="auto"/>
        <w:jc w:val="left"/>
      </w:pPr>
      <w:r w:rsidRPr="009B031F">
        <w:t xml:space="preserve">Russell, M.W., D.M. Huse, S. Drowns, E.C. Hamel, and S.C. Hartz. 1998. “Direct Medical Costs of Coronary Artery Disease in the United States.” </w:t>
      </w:r>
      <w:r w:rsidRPr="009B031F">
        <w:rPr>
          <w:i/>
        </w:rPr>
        <w:t>American Journal of Cardiology</w:t>
      </w:r>
      <w:r w:rsidRPr="009B031F">
        <w:t xml:space="preserve"> 81(9):1110-1115.</w:t>
      </w:r>
    </w:p>
    <w:p w14:paraId="7C7E0839" w14:textId="77777777" w:rsidR="009B031F" w:rsidRPr="009B031F" w:rsidRDefault="009B031F" w:rsidP="009B031F">
      <w:pPr>
        <w:spacing w:line="276" w:lineRule="auto"/>
        <w:jc w:val="left"/>
      </w:pPr>
      <w:r w:rsidRPr="009B031F">
        <w:t xml:space="preserve">Saha, M. and Eckelman, M. 2014. “Urban Scale Mapping of Concrete Degradation from Projected Climate Change.” </w:t>
      </w:r>
      <w:r w:rsidRPr="009B031F">
        <w:rPr>
          <w:i/>
        </w:rPr>
        <w:t>Urban Climate</w:t>
      </w:r>
      <w:r w:rsidRPr="009B031F">
        <w:t xml:space="preserve"> 9:101-114.</w:t>
      </w:r>
    </w:p>
    <w:p w14:paraId="0A0E6D5E" w14:textId="77777777" w:rsidR="009B031F" w:rsidRPr="009B031F" w:rsidRDefault="009B031F" w:rsidP="009B031F">
      <w:pPr>
        <w:spacing w:line="276" w:lineRule="auto"/>
        <w:jc w:val="left"/>
      </w:pPr>
      <w:r w:rsidRPr="009B031F">
        <w:t xml:space="preserve">Samuelson, P. 1974, “Complementarity: An Essay on the 40th Anniversary of the Hicks–Allen Revolution in Demand Theory.” </w:t>
      </w:r>
      <w:r w:rsidRPr="009B031F">
        <w:rPr>
          <w:i/>
        </w:rPr>
        <w:t>Journal of Economic Literature</w:t>
      </w:r>
      <w:r w:rsidRPr="009B031F">
        <w:t xml:space="preserve"> 12(4):1255–1289.</w:t>
      </w:r>
    </w:p>
    <w:p w14:paraId="66866FF6" w14:textId="77777777" w:rsidR="009B031F" w:rsidRPr="009B031F" w:rsidRDefault="009B031F" w:rsidP="009B031F">
      <w:pPr>
        <w:spacing w:line="276" w:lineRule="auto"/>
        <w:jc w:val="left"/>
      </w:pPr>
      <w:bookmarkStart w:id="92" w:name="Schelling_1968"/>
      <w:r w:rsidRPr="009B031F">
        <w:t>Schelling, T. 1968</w:t>
      </w:r>
      <w:bookmarkEnd w:id="92"/>
      <w:r w:rsidRPr="009B031F">
        <w:t>. “The life you save may be your own.” In</w:t>
      </w:r>
      <w:r w:rsidRPr="009B031F">
        <w:rPr>
          <w:i/>
        </w:rPr>
        <w:t xml:space="preserve"> </w:t>
      </w:r>
      <w:r w:rsidRPr="009B031F">
        <w:t xml:space="preserve">Chase, S. Jr, (Ed.). </w:t>
      </w:r>
      <w:r w:rsidRPr="009B031F">
        <w:rPr>
          <w:i/>
        </w:rPr>
        <w:t>Problems in Public Expenditure Analysis</w:t>
      </w:r>
      <w:r w:rsidRPr="009B031F">
        <w:t>. Washington, DC: The Brookings Institution.</w:t>
      </w:r>
    </w:p>
    <w:p w14:paraId="4E820EC7" w14:textId="77777777" w:rsidR="009B031F" w:rsidRPr="009B031F" w:rsidRDefault="009B031F" w:rsidP="009B031F">
      <w:pPr>
        <w:spacing w:line="276" w:lineRule="auto"/>
        <w:jc w:val="left"/>
      </w:pPr>
      <w:r w:rsidRPr="009B031F">
        <w:t xml:space="preserve">Selin, N., Wu, S., Nam K.-M., Reilly, J., Palsev, S., Prinn, R. 2009. “Global Health and Economic Impacts of Future Ozone Pollution.” </w:t>
      </w:r>
      <w:r w:rsidRPr="009B031F">
        <w:rPr>
          <w:i/>
        </w:rPr>
        <w:t>Environmental Research Letters</w:t>
      </w:r>
      <w:r w:rsidRPr="009B031F">
        <w:t xml:space="preserve"> 4: 1-9.</w:t>
      </w:r>
    </w:p>
    <w:p w14:paraId="6E7DBD09" w14:textId="77777777" w:rsidR="009B031F" w:rsidRPr="009B031F" w:rsidRDefault="009B031F" w:rsidP="009B031F">
      <w:pPr>
        <w:spacing w:line="276" w:lineRule="auto"/>
        <w:jc w:val="left"/>
      </w:pPr>
      <w:r w:rsidRPr="009B031F">
        <w:t xml:space="preserve">Sieg, H., Smith, V., Banzhaf, S., and Walsh, R. 2004. “Estimating the General Equilibrium Benefits of Large Changes in Spatially Delineated Public Goods.” </w:t>
      </w:r>
      <w:r w:rsidRPr="009B031F">
        <w:rPr>
          <w:i/>
        </w:rPr>
        <w:t>International Economic Review</w:t>
      </w:r>
      <w:r w:rsidRPr="009B031F">
        <w:t xml:space="preserve"> 45(4): 1047-1077.</w:t>
      </w:r>
    </w:p>
    <w:p w14:paraId="68C9ECD1" w14:textId="77777777" w:rsidR="009B031F" w:rsidRPr="009B031F" w:rsidRDefault="009B031F" w:rsidP="009B031F">
      <w:pPr>
        <w:spacing w:line="276" w:lineRule="auto"/>
        <w:jc w:val="left"/>
      </w:pPr>
      <w:r w:rsidRPr="009B031F">
        <w:t xml:space="preserve">Sloan, F., Viscusi, W., Chesson, H., Conover, C., Whetten-Goldstein, K. 1998. “Alternative approaches to valuing intangible health losses: the evidence for multiple sclerosis.” </w:t>
      </w:r>
      <w:r w:rsidRPr="009B031F">
        <w:rPr>
          <w:i/>
        </w:rPr>
        <w:t>Journal of Health Economics</w:t>
      </w:r>
      <w:r w:rsidRPr="009B031F">
        <w:t xml:space="preserve"> 17(4):475-497.</w:t>
      </w:r>
    </w:p>
    <w:p w14:paraId="258EF328" w14:textId="77777777" w:rsidR="009B031F" w:rsidRPr="009B031F" w:rsidRDefault="009B031F" w:rsidP="009B031F">
      <w:pPr>
        <w:spacing w:line="276" w:lineRule="auto"/>
        <w:jc w:val="left"/>
      </w:pPr>
      <w:bookmarkStart w:id="93" w:name="Smith_2012"/>
      <w:r w:rsidRPr="009B031F">
        <w:t>Smith, V. K. 2012</w:t>
      </w:r>
      <w:bookmarkEnd w:id="93"/>
      <w:r w:rsidRPr="009B031F">
        <w:t xml:space="preserve">. “In search of crosswalks between macroeconomics and environmental economics.” </w:t>
      </w:r>
      <w:r w:rsidRPr="009B031F">
        <w:rPr>
          <w:i/>
        </w:rPr>
        <w:t>Review of Environmental Economics and Policy</w:t>
      </w:r>
      <w:r w:rsidRPr="009B031F">
        <w:t xml:space="preserve"> 6(2):298-317.</w:t>
      </w:r>
    </w:p>
    <w:p w14:paraId="78130837" w14:textId="77777777" w:rsidR="009B031F" w:rsidRPr="009B031F" w:rsidRDefault="009B031F" w:rsidP="009B031F">
      <w:pPr>
        <w:spacing w:line="276" w:lineRule="auto"/>
        <w:jc w:val="left"/>
      </w:pPr>
      <w:r w:rsidRPr="009B031F">
        <w:t>Smith, V. K., Sieg, H., Banzhaf, H. S., Walsh, R. 2004. “General Equilibrium Benefits for Environmental Improvements Projected Ozone Reductions Under EPA’s Prospective Analysis for the Los Angeles Air Basin.” Journal of Environmental Economics and Management 47(2004):559-584.</w:t>
      </w:r>
    </w:p>
    <w:p w14:paraId="0D2F1926" w14:textId="77777777" w:rsidR="009B031F" w:rsidRPr="009B031F" w:rsidRDefault="009B031F" w:rsidP="009B031F">
      <w:pPr>
        <w:spacing w:line="276" w:lineRule="auto"/>
        <w:jc w:val="left"/>
      </w:pPr>
      <w:r w:rsidRPr="009B031F">
        <w:t xml:space="preserve">Tagaris, E., Liao, K., Delucia, A. et al. 2009. “Potential impact of climate change on air-pollution related human health effects.” </w:t>
      </w:r>
      <w:r w:rsidRPr="009B031F">
        <w:rPr>
          <w:i/>
        </w:rPr>
        <w:t>Environmental Science and Technology</w:t>
      </w:r>
      <w:r w:rsidRPr="009B031F">
        <w:t xml:space="preserve"> 43(3): 4979–4988.</w:t>
      </w:r>
    </w:p>
    <w:p w14:paraId="62E48152" w14:textId="77777777" w:rsidR="009B031F" w:rsidRPr="009B031F" w:rsidRDefault="009B031F" w:rsidP="009B031F">
      <w:pPr>
        <w:spacing w:line="276" w:lineRule="auto"/>
        <w:jc w:val="left"/>
      </w:pPr>
      <w:r w:rsidRPr="009B031F">
        <w:t>U.S. EPA. 1999. “The Benefits and Costs of the Clean Air Act 1990 to 2010.” Available at: http://www.epa.gov/cleanairactbenefits/1990-2010/chap1130.pdf.</w:t>
      </w:r>
    </w:p>
    <w:p w14:paraId="734221AB" w14:textId="77777777" w:rsidR="009B031F" w:rsidRPr="009B031F" w:rsidRDefault="009B031F" w:rsidP="009B031F">
      <w:pPr>
        <w:spacing w:line="276" w:lineRule="auto"/>
        <w:jc w:val="left"/>
      </w:pPr>
      <w:r w:rsidRPr="009B031F">
        <w:t xml:space="preserve">U.S. EPA. 2003. </w:t>
      </w:r>
      <w:r w:rsidRPr="009B031F">
        <w:rPr>
          <w:i/>
        </w:rPr>
        <w:t>Children’s Health Valuation Handbook</w:t>
      </w:r>
      <w:r w:rsidRPr="009B031F">
        <w:t>. EPA 100-R-03-003. Available at: http://yosemite.epa.gov/ee/epa/eed.nsf/3cdbd09d7c867d9785256c9200548b12/6ed3736d44c87a4a85256dc1004da4ac/$FILE/handbook1030.pdf.</w:t>
      </w:r>
    </w:p>
    <w:p w14:paraId="4B129921" w14:textId="77777777" w:rsidR="009B031F" w:rsidRPr="009B031F" w:rsidRDefault="009B031F" w:rsidP="009B031F">
      <w:pPr>
        <w:spacing w:line="276" w:lineRule="auto"/>
        <w:jc w:val="left"/>
        <w:rPr>
          <w:color w:val="0000FF"/>
          <w:u w:val="single"/>
        </w:rPr>
      </w:pPr>
      <w:r w:rsidRPr="009B031F">
        <w:t xml:space="preserve">U.S. EPA. 2004a. “Final Regulatory Analysis: Control of Emissions from Nonroad Diesel Engines.” Available at: </w:t>
      </w:r>
      <w:hyperlink r:id="rId79" w:history="1">
        <w:r w:rsidRPr="009B031F">
          <w:rPr>
            <w:color w:val="0000FF"/>
            <w:u w:val="single"/>
          </w:rPr>
          <w:t>http://www.epa.gov/otaq/documents/nonroad-diesel/420r04007.pdf</w:t>
        </w:r>
      </w:hyperlink>
      <w:r w:rsidRPr="009B031F">
        <w:rPr>
          <w:color w:val="0000FF"/>
          <w:u w:val="single"/>
        </w:rPr>
        <w:t>.</w:t>
      </w:r>
    </w:p>
    <w:p w14:paraId="23895225" w14:textId="77777777" w:rsidR="009B031F" w:rsidRPr="009B031F" w:rsidRDefault="009B031F" w:rsidP="009B031F">
      <w:pPr>
        <w:spacing w:line="276" w:lineRule="auto"/>
        <w:jc w:val="left"/>
      </w:pPr>
      <w:r w:rsidRPr="009B031F">
        <w:t xml:space="preserve">U.S. EPA. 2004b “Review of the Revised Analytical Plan for EPA’s Second Prospective Analysis-Benefits and Costs of the Clean Air Act 1990-2020: An Advisory by a Special Panel of the Advisory Council on Clean Air Compliance Analysis.” EPA-SAB-COUNCIL-ADV-04-004. Available at: </w:t>
      </w:r>
      <w:hyperlink r:id="rId80" w:history="1">
        <w:r w:rsidRPr="009B031F">
          <w:rPr>
            <w:color w:val="0000FF"/>
            <w:u w:val="single"/>
          </w:rPr>
          <w:t>http://yosemite.epa.gov/sab/sabproduct.nsf/7CCBBFE15CD4C8B185256F17005E3079/$File/council_adv_04004.pdf</w:t>
        </w:r>
      </w:hyperlink>
      <w:r w:rsidRPr="009B031F">
        <w:t>.</w:t>
      </w:r>
    </w:p>
    <w:p w14:paraId="66211009" w14:textId="77777777" w:rsidR="009B031F" w:rsidRPr="009B031F" w:rsidRDefault="009B031F" w:rsidP="009B031F">
      <w:pPr>
        <w:spacing w:line="276" w:lineRule="auto"/>
        <w:jc w:val="left"/>
      </w:pPr>
      <w:r w:rsidRPr="009B031F">
        <w:t>U.S. EPA. 2007. “Review of the National Ambient Air Quality Standards for Ozone: Policy Assessment of Scientific and Technical Information.” EPA-452/R-07-007. Available at:</w:t>
      </w:r>
      <w:r w:rsidRPr="009B031F">
        <w:rPr>
          <w:color w:val="0000FF"/>
          <w:u w:val="single"/>
        </w:rPr>
        <w:t xml:space="preserve"> </w:t>
      </w:r>
      <w:hyperlink r:id="rId81" w:history="1">
        <w:r w:rsidRPr="009B031F">
          <w:rPr>
            <w:color w:val="0000FF"/>
            <w:u w:val="single"/>
          </w:rPr>
          <w:t>http://www.epa.gov/ttn/naaqs/standards/ozone/data/2007_07_ozone_staff_paper.pdf</w:t>
        </w:r>
      </w:hyperlink>
      <w:r w:rsidRPr="009B031F">
        <w:rPr>
          <w:color w:val="0000FF"/>
          <w:u w:val="single"/>
        </w:rPr>
        <w:t>.</w:t>
      </w:r>
    </w:p>
    <w:p w14:paraId="1D7104C2" w14:textId="77777777" w:rsidR="009B031F" w:rsidRPr="009B031F" w:rsidRDefault="009B031F" w:rsidP="009B031F">
      <w:pPr>
        <w:spacing w:line="276" w:lineRule="auto"/>
        <w:jc w:val="left"/>
      </w:pPr>
      <w:r w:rsidRPr="009B031F">
        <w:t xml:space="preserve">U.S. EPA. 2008. “EMPAX-CGE Model Documentation.” Available at: </w:t>
      </w:r>
      <w:hyperlink r:id="rId82" w:history="1">
        <w:r w:rsidRPr="009B031F">
          <w:rPr>
            <w:color w:val="0000FF"/>
            <w:u w:val="single"/>
          </w:rPr>
          <w:t>http://www.epa.gov/ttnecas1/models/empax_model_documentation.pdf</w:t>
        </w:r>
      </w:hyperlink>
      <w:r w:rsidRPr="009B031F">
        <w:t>.</w:t>
      </w:r>
    </w:p>
    <w:p w14:paraId="13D05800" w14:textId="77777777" w:rsidR="009B031F" w:rsidRPr="009B031F" w:rsidRDefault="009B031F" w:rsidP="009B031F">
      <w:pPr>
        <w:spacing w:line="276" w:lineRule="auto"/>
        <w:jc w:val="left"/>
      </w:pPr>
      <w:r w:rsidRPr="009B031F">
        <w:t xml:space="preserve">U.S. EPA. 2010a. “Valuing Mortality Risk Reductions for Environmental Policy: A White Paper.” Prepared for review by the Science Advisory Board’s Environmental Economics Advisory Committee. Available at: </w:t>
      </w:r>
      <w:hyperlink r:id="rId83" w:history="1">
        <w:r w:rsidRPr="009B031F">
          <w:rPr>
            <w:color w:val="0000FF"/>
            <w:u w:val="single"/>
          </w:rPr>
          <w:t>http://yosemite.epa.gov/ee/epa/eerm.nsf/vwAN/EE-0563-1.pdf/$file/EE-0563-1.pdf</w:t>
        </w:r>
      </w:hyperlink>
      <w:r w:rsidRPr="009B031F">
        <w:t>.</w:t>
      </w:r>
    </w:p>
    <w:p w14:paraId="3ACCC374" w14:textId="77777777" w:rsidR="009B031F" w:rsidRPr="009B031F" w:rsidRDefault="009B031F" w:rsidP="009B031F">
      <w:pPr>
        <w:spacing w:line="276" w:lineRule="auto"/>
        <w:jc w:val="left"/>
      </w:pPr>
      <w:r w:rsidRPr="009B031F">
        <w:t xml:space="preserve">U.S. EPA. 2010b. </w:t>
      </w:r>
      <w:r w:rsidRPr="009B031F">
        <w:rPr>
          <w:i/>
        </w:rPr>
        <w:t>Guidelines for Preparing Economic Analyses</w:t>
      </w:r>
      <w:r w:rsidRPr="009B031F">
        <w:t xml:space="preserve">. EPA-240-R-10-01. Available at: </w:t>
      </w:r>
      <w:hyperlink r:id="rId84" w:history="1">
        <w:r w:rsidRPr="009B031F">
          <w:rPr>
            <w:color w:val="0000FF"/>
            <w:u w:val="single"/>
          </w:rPr>
          <w:t>http://yosemite.epa.gov/ee/epa/eerm.nsf/vwAN/EE-0568-50.pdf/$file/EE-0568-50.pdf</w:t>
        </w:r>
      </w:hyperlink>
      <w:r w:rsidRPr="009B031F">
        <w:t>.</w:t>
      </w:r>
    </w:p>
    <w:p w14:paraId="5C730F9B" w14:textId="77777777" w:rsidR="009B031F" w:rsidRPr="009B031F" w:rsidRDefault="009B031F" w:rsidP="009B031F">
      <w:pPr>
        <w:spacing w:line="276" w:lineRule="auto"/>
        <w:jc w:val="left"/>
      </w:pPr>
      <w:r w:rsidRPr="009B031F">
        <w:t xml:space="preserve">U.S. EPA. 2011. </w:t>
      </w:r>
      <w:r w:rsidRPr="009B031F">
        <w:rPr>
          <w:i/>
        </w:rPr>
        <w:t>The Benefits and Costs of the Clean Air Act 1990 to 2020: EPA Report to Congress</w:t>
      </w:r>
      <w:r w:rsidRPr="009B031F">
        <w:t xml:space="preserve">. Washington, DC. Available at </w:t>
      </w:r>
      <w:hyperlink r:id="rId85" w:history="1">
        <w:r w:rsidRPr="009B031F">
          <w:rPr>
            <w:color w:val="0000FF"/>
            <w:u w:val="single"/>
          </w:rPr>
          <w:t>http://www.epa.gov/air/sect812/feb11/fullreport_rev_a.pdf</w:t>
        </w:r>
      </w:hyperlink>
      <w:r w:rsidRPr="009B031F">
        <w:t>.</w:t>
      </w:r>
    </w:p>
    <w:p w14:paraId="452A9EAD" w14:textId="77777777" w:rsidR="009B031F" w:rsidRPr="009B031F" w:rsidRDefault="009B031F" w:rsidP="009B031F">
      <w:pPr>
        <w:spacing w:line="276" w:lineRule="auto"/>
        <w:jc w:val="left"/>
      </w:pPr>
      <w:r w:rsidRPr="009B031F">
        <w:t xml:space="preserve">U.S. EPA. 2012. “Regulatory Impact Analysis (RIA) for the Final Revisions to the National Ambient Air Quality Standards for Particulate Matter.” Office of Air Quality Planning and Standards, Research Triangle Park, NC. EPA-452/R-12-005 Available at </w:t>
      </w:r>
      <w:hyperlink r:id="rId86" w:history="1">
        <w:r w:rsidRPr="009B031F">
          <w:rPr>
            <w:color w:val="0000FF"/>
            <w:u w:val="single"/>
          </w:rPr>
          <w:t>http://www.epa.gov/ttn/ecas/regdata/RIAs/finalria.pdf</w:t>
        </w:r>
      </w:hyperlink>
      <w:r w:rsidRPr="009B031F">
        <w:t>.</w:t>
      </w:r>
    </w:p>
    <w:p w14:paraId="0F1625DF" w14:textId="77777777" w:rsidR="009B031F" w:rsidRPr="009B031F" w:rsidRDefault="009B031F" w:rsidP="009B031F">
      <w:pPr>
        <w:spacing w:line="276" w:lineRule="auto"/>
        <w:jc w:val="left"/>
      </w:pPr>
      <w:r w:rsidRPr="009B031F">
        <w:t xml:space="preserve">U.S. EPA. 2013a. </w:t>
      </w:r>
      <w:r w:rsidRPr="009B031F">
        <w:rPr>
          <w:i/>
        </w:rPr>
        <w:t>America’s Children and the Environment</w:t>
      </w:r>
      <w:r w:rsidRPr="009B031F">
        <w:t xml:space="preserve">, Third edition. EPA 240-R-13-001. Available at: </w:t>
      </w:r>
      <w:hyperlink r:id="rId87" w:history="1">
        <w:r w:rsidRPr="009B031F">
          <w:rPr>
            <w:color w:val="0000FF"/>
            <w:u w:val="single"/>
          </w:rPr>
          <w:t>http://www.epa.gov/envirohealth/children/pdfs/ACE3_2013.pdf</w:t>
        </w:r>
      </w:hyperlink>
      <w:r w:rsidRPr="009B031F">
        <w:t>.</w:t>
      </w:r>
    </w:p>
    <w:p w14:paraId="5FB79960" w14:textId="77777777" w:rsidR="009B031F" w:rsidRPr="009B031F" w:rsidRDefault="009B031F" w:rsidP="009B031F">
      <w:pPr>
        <w:spacing w:line="276" w:lineRule="auto"/>
        <w:jc w:val="left"/>
      </w:pPr>
      <w:r w:rsidRPr="009B031F">
        <w:t xml:space="preserve">U.S. EPA. 2013b. “Integrated Science Assessment for Ozone and Related Photochemical Oxidants.” EPA 600/R-10/076F. Available at: </w:t>
      </w:r>
      <w:hyperlink r:id="rId88" w:history="1">
        <w:r w:rsidRPr="009B031F">
          <w:rPr>
            <w:color w:val="0000FF"/>
            <w:u w:val="single"/>
          </w:rPr>
          <w:t>http://ofmpub.epa.gov/eims/eimscomm.getfile?p_download_id=511347</w:t>
        </w:r>
      </w:hyperlink>
      <w:r w:rsidRPr="009B031F">
        <w:t>.</w:t>
      </w:r>
    </w:p>
    <w:p w14:paraId="2183EF03" w14:textId="77777777" w:rsidR="009B031F" w:rsidRPr="009B031F" w:rsidRDefault="009B031F" w:rsidP="009B031F">
      <w:pPr>
        <w:spacing w:line="276" w:lineRule="auto"/>
        <w:jc w:val="left"/>
      </w:pPr>
      <w:r w:rsidRPr="009B031F">
        <w:t>U.S. EPA Science Advisory Board. 1998. “Advisory Council on Clean Air Compliance Analysis Advisory on the Clean Air Act Amendments (CAAA) of 1990 Section 812 Prospective Study: Overview of Air Quality and Emissions Estimates: Modeling, Health and Ecological Valuation Issues Initial Studies.” EPA-SAB-COUNCIL-ADV-98-003</w:t>
      </w:r>
    </w:p>
    <w:p w14:paraId="5D751896" w14:textId="77777777" w:rsidR="009B031F" w:rsidRPr="009B031F" w:rsidRDefault="009B031F" w:rsidP="009B031F">
      <w:pPr>
        <w:spacing w:line="276" w:lineRule="auto"/>
        <w:jc w:val="left"/>
      </w:pPr>
      <w:r w:rsidRPr="009B031F">
        <w:t xml:space="preserve">Vennemo, H. 1997. “A Dynamic Applied General Equilibrium Model with Environmental Feedbacks.” </w:t>
      </w:r>
      <w:r w:rsidRPr="009B031F">
        <w:rPr>
          <w:i/>
        </w:rPr>
        <w:t>Economic Modeling</w:t>
      </w:r>
      <w:r w:rsidRPr="009B031F">
        <w:t xml:space="preserve"> 14(1): 99-154.</w:t>
      </w:r>
    </w:p>
    <w:p w14:paraId="703D0BCE" w14:textId="77777777" w:rsidR="009B031F" w:rsidRPr="009B031F" w:rsidRDefault="009B031F" w:rsidP="009B031F">
      <w:pPr>
        <w:spacing w:line="276" w:lineRule="auto"/>
        <w:jc w:val="left"/>
      </w:pPr>
      <w:r w:rsidRPr="009B031F">
        <w:t xml:space="preserve">Viscusi, W. and Evans, W. 1990. “Utility Functions That Depend on Health Status: Estimates and Economic Implications.” </w:t>
      </w:r>
      <w:r w:rsidRPr="009B031F">
        <w:rPr>
          <w:i/>
        </w:rPr>
        <w:t>American Economic Review</w:t>
      </w:r>
      <w:r w:rsidRPr="009B031F">
        <w:t xml:space="preserve"> 80(3): 353–74.</w:t>
      </w:r>
    </w:p>
    <w:p w14:paraId="70FACB74" w14:textId="77777777" w:rsidR="009B031F" w:rsidRPr="009B031F" w:rsidRDefault="009B031F" w:rsidP="009B031F">
      <w:pPr>
        <w:spacing w:line="276" w:lineRule="auto"/>
        <w:jc w:val="left"/>
      </w:pPr>
      <w:r w:rsidRPr="009B031F">
        <w:t xml:space="preserve">Williams, R. 2002. “Environmental Tax Interactions when Pollution Affects Health or Productivity.” </w:t>
      </w:r>
      <w:r w:rsidRPr="009B031F">
        <w:rPr>
          <w:i/>
        </w:rPr>
        <w:t>Journal of Environmental Economics and Management</w:t>
      </w:r>
      <w:r w:rsidRPr="009B031F">
        <w:t xml:space="preserve"> 44(2): 261-270.</w:t>
      </w:r>
    </w:p>
    <w:p w14:paraId="605C1773" w14:textId="77777777" w:rsidR="009B031F" w:rsidRPr="009B031F" w:rsidRDefault="009B031F" w:rsidP="009B031F">
      <w:pPr>
        <w:spacing w:line="276" w:lineRule="auto"/>
        <w:jc w:val="left"/>
      </w:pPr>
      <w:r w:rsidRPr="009B031F">
        <w:t xml:space="preserve">Willis, K. 1994. “Paying for Heritage: What Price for Durham Cathedral?” </w:t>
      </w:r>
      <w:r w:rsidRPr="009B031F">
        <w:rPr>
          <w:i/>
        </w:rPr>
        <w:t>Journal of Environmental Planning and Management</w:t>
      </w:r>
      <w:r w:rsidRPr="009B031F">
        <w:t xml:space="preserve"> 37(3): 267-278.</w:t>
      </w:r>
    </w:p>
    <w:p w14:paraId="47FC8FC9" w14:textId="77777777" w:rsidR="009B031F" w:rsidRPr="009B031F" w:rsidRDefault="009B031F" w:rsidP="009B031F">
      <w:pPr>
        <w:spacing w:line="276" w:lineRule="auto"/>
        <w:jc w:val="left"/>
      </w:pPr>
      <w:bookmarkStart w:id="94" w:name="Xu_et_al_2010"/>
      <w:r w:rsidRPr="009B031F">
        <w:t xml:space="preserve">Wittels, E.H., J.W. Hay, and A.M. Gotto, Jr. 1990. “Medical Costs of Coronary Artery Disease in the United States.” </w:t>
      </w:r>
      <w:r w:rsidRPr="009B031F">
        <w:rPr>
          <w:i/>
        </w:rPr>
        <w:t>American Journal of Cardiology</w:t>
      </w:r>
      <w:r w:rsidRPr="009B031F">
        <w:t xml:space="preserve"> 65(7):432-440.</w:t>
      </w:r>
    </w:p>
    <w:p w14:paraId="3F24F945" w14:textId="77777777" w:rsidR="009B031F" w:rsidRPr="009B031F" w:rsidRDefault="009B031F" w:rsidP="009B031F">
      <w:pPr>
        <w:spacing w:line="276" w:lineRule="auto"/>
        <w:jc w:val="left"/>
      </w:pPr>
      <w:r w:rsidRPr="009B031F">
        <w:t>Xu, J., Kochanek, K., Murphy, S., Tejada-Vera, B. 2010</w:t>
      </w:r>
      <w:bookmarkEnd w:id="94"/>
      <w:r w:rsidRPr="009B031F">
        <w:t xml:space="preserve">. “Deaths: Final data for 2007.” </w:t>
      </w:r>
      <w:r w:rsidRPr="009B031F">
        <w:rPr>
          <w:i/>
        </w:rPr>
        <w:t>National Vital Statistics Reports</w:t>
      </w:r>
      <w:r w:rsidRPr="009B031F">
        <w:t xml:space="preserve"> 58(19).</w:t>
      </w:r>
    </w:p>
    <w:p w14:paraId="087BB173" w14:textId="77777777" w:rsidR="009B031F" w:rsidRPr="009B031F" w:rsidRDefault="009B031F" w:rsidP="009B031F">
      <w:pPr>
        <w:spacing w:line="276" w:lineRule="auto"/>
        <w:jc w:val="left"/>
      </w:pPr>
      <w:r w:rsidRPr="009B031F">
        <w:rPr>
          <w:rFonts w:eastAsiaTheme="minorEastAsia"/>
        </w:rPr>
        <w:t xml:space="preserve">Yamagami, H. 2009. “Health Effects, Tax Deductions for Medical Expenditure, and the Double Dividend.” </w:t>
      </w:r>
      <w:r w:rsidRPr="009B031F">
        <w:rPr>
          <w:rFonts w:eastAsiaTheme="minorEastAsia"/>
          <w:i/>
        </w:rPr>
        <w:t xml:space="preserve">FinanzArchiv / Public Finance Analysis </w:t>
      </w:r>
      <w:r w:rsidRPr="009B031F">
        <w:rPr>
          <w:rFonts w:eastAsiaTheme="minorEastAsia"/>
        </w:rPr>
        <w:t>65(1): 105-121.</w:t>
      </w:r>
    </w:p>
    <w:p w14:paraId="0C53330A" w14:textId="77777777" w:rsidR="009B031F" w:rsidRPr="009B031F" w:rsidRDefault="009B031F" w:rsidP="009B031F">
      <w:pPr>
        <w:spacing w:line="276" w:lineRule="auto"/>
        <w:jc w:val="left"/>
      </w:pPr>
      <w:r w:rsidRPr="009B031F">
        <w:t xml:space="preserve">Yoo, S-H., Kwak, S-J., Lee, J-S. 2008. “Using a Choice Experiment to Measure the Environmental Costs of Air Pollution Impacts in Seoul.” </w:t>
      </w:r>
      <w:r w:rsidRPr="009B031F">
        <w:rPr>
          <w:i/>
        </w:rPr>
        <w:t>Journal of Environmental Management</w:t>
      </w:r>
      <w:r w:rsidRPr="009B031F">
        <w:t xml:space="preserve"> 86: 308-318.</w:t>
      </w:r>
    </w:p>
    <w:p w14:paraId="6ED9CB31" w14:textId="77777777" w:rsidR="009B031F" w:rsidRPr="009B031F" w:rsidRDefault="009B031F" w:rsidP="009B031F">
      <w:pPr>
        <w:spacing w:line="276" w:lineRule="auto"/>
      </w:pPr>
      <w:r w:rsidRPr="009B031F">
        <w:t xml:space="preserve">Zivin, G. and Neidell, M. 2012. “The Impact of Pollution on Worker Productivity.” </w:t>
      </w:r>
      <w:r w:rsidRPr="009B031F">
        <w:rPr>
          <w:i/>
        </w:rPr>
        <w:t>American Economic Review</w:t>
      </w:r>
      <w:r w:rsidRPr="009B031F">
        <w:t xml:space="preserve"> 102(7): 3652-3673.</w:t>
      </w:r>
    </w:p>
    <w:p w14:paraId="356E846B" w14:textId="3EE4EC1F" w:rsidR="00610E3D" w:rsidRPr="00713B93" w:rsidRDefault="00610E3D" w:rsidP="00CE4E17">
      <w:pPr>
        <w:spacing w:line="276" w:lineRule="auto"/>
        <w:jc w:val="left"/>
      </w:pPr>
    </w:p>
    <w:sectPr w:rsidR="00610E3D" w:rsidRPr="00713B93" w:rsidSect="00CD31E1">
      <w:headerReference w:type="default" r:id="rId89"/>
      <w:footerReference w:type="default" r:id="rId90"/>
      <w:footerReference w:type="first" r:id="rId9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429304" w14:textId="77777777" w:rsidR="008B3A3D" w:rsidRDefault="008B3A3D" w:rsidP="00EA6BEA">
      <w:pPr>
        <w:spacing w:after="0" w:line="240" w:lineRule="auto"/>
      </w:pPr>
      <w:r>
        <w:separator/>
      </w:r>
    </w:p>
  </w:endnote>
  <w:endnote w:type="continuationSeparator" w:id="0">
    <w:p w14:paraId="47C65265" w14:textId="77777777" w:rsidR="008B3A3D" w:rsidRDefault="008B3A3D" w:rsidP="00EA6BEA">
      <w:pPr>
        <w:spacing w:after="0" w:line="240" w:lineRule="auto"/>
      </w:pPr>
      <w:r>
        <w:continuationSeparator/>
      </w:r>
    </w:p>
  </w:endnote>
  <w:endnote w:type="continuationNotice" w:id="1">
    <w:p w14:paraId="0D05B753" w14:textId="77777777" w:rsidR="008B3A3D" w:rsidRDefault="008B3A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dcr10">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284148"/>
      <w:docPartObj>
        <w:docPartGallery w:val="Page Numbers (Bottom of Page)"/>
        <w:docPartUnique/>
      </w:docPartObj>
    </w:sdtPr>
    <w:sdtEndPr>
      <w:rPr>
        <w:noProof/>
      </w:rPr>
    </w:sdtEndPr>
    <w:sdtContent>
      <w:p w14:paraId="70A398A6" w14:textId="77777777" w:rsidR="003A0138" w:rsidRDefault="003A0138">
        <w:pPr>
          <w:pStyle w:val="Footer"/>
          <w:jc w:val="center"/>
        </w:pPr>
        <w:r>
          <w:fldChar w:fldCharType="begin"/>
        </w:r>
        <w:r>
          <w:instrText xml:space="preserve"> PAGE   \* MERGEFORMAT </w:instrText>
        </w:r>
        <w:r>
          <w:fldChar w:fldCharType="separate"/>
        </w:r>
        <w:r w:rsidR="001A2665">
          <w:rPr>
            <w:noProof/>
          </w:rPr>
          <w:t>2</w:t>
        </w:r>
        <w:r>
          <w:rPr>
            <w:noProof/>
          </w:rPr>
          <w:fldChar w:fldCharType="end"/>
        </w:r>
      </w:p>
    </w:sdtContent>
  </w:sdt>
  <w:p w14:paraId="4F241BCE" w14:textId="77777777" w:rsidR="003A0138" w:rsidRDefault="003A013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3464765"/>
      <w:docPartObj>
        <w:docPartGallery w:val="Page Numbers (Bottom of Page)"/>
        <w:docPartUnique/>
      </w:docPartObj>
    </w:sdtPr>
    <w:sdtEndPr>
      <w:rPr>
        <w:noProof/>
      </w:rPr>
    </w:sdtEndPr>
    <w:sdtContent>
      <w:p w14:paraId="3A0451D6" w14:textId="518E4D70" w:rsidR="003A0138" w:rsidRDefault="003A0138">
        <w:pPr>
          <w:pStyle w:val="Footer"/>
          <w:jc w:val="center"/>
        </w:pPr>
        <w:r>
          <w:fldChar w:fldCharType="begin"/>
        </w:r>
        <w:r>
          <w:instrText xml:space="preserve"> PAGE   \* MERGEFORMAT </w:instrText>
        </w:r>
        <w:r>
          <w:fldChar w:fldCharType="separate"/>
        </w:r>
        <w:r w:rsidR="00562633">
          <w:rPr>
            <w:noProof/>
          </w:rPr>
          <w:t>21</w:t>
        </w:r>
        <w:r>
          <w:rPr>
            <w:noProof/>
          </w:rPr>
          <w:fldChar w:fldCharType="end"/>
        </w:r>
      </w:p>
    </w:sdtContent>
  </w:sdt>
  <w:p w14:paraId="00290F60" w14:textId="77777777" w:rsidR="003A0138" w:rsidRDefault="003A013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F2E5B5" w14:textId="05B8FD64" w:rsidR="003A0138" w:rsidRDefault="003A0138">
    <w:pPr>
      <w:pStyle w:val="Footer"/>
      <w:jc w:val="center"/>
    </w:pPr>
  </w:p>
  <w:p w14:paraId="1BA8E1C5" w14:textId="77777777" w:rsidR="003A0138" w:rsidRDefault="003A01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4EAE86" w14:textId="77777777" w:rsidR="008B3A3D" w:rsidRDefault="008B3A3D" w:rsidP="00EA6BEA">
      <w:pPr>
        <w:spacing w:after="0" w:line="240" w:lineRule="auto"/>
      </w:pPr>
      <w:r>
        <w:separator/>
      </w:r>
    </w:p>
  </w:footnote>
  <w:footnote w:type="continuationSeparator" w:id="0">
    <w:p w14:paraId="03CA5271" w14:textId="77777777" w:rsidR="008B3A3D" w:rsidRDefault="008B3A3D" w:rsidP="00EA6BEA">
      <w:pPr>
        <w:spacing w:after="0" w:line="240" w:lineRule="auto"/>
      </w:pPr>
      <w:r>
        <w:continuationSeparator/>
      </w:r>
    </w:p>
  </w:footnote>
  <w:footnote w:type="continuationNotice" w:id="1">
    <w:p w14:paraId="5F9A9CA1" w14:textId="77777777" w:rsidR="008B3A3D" w:rsidRDefault="008B3A3D">
      <w:pPr>
        <w:spacing w:after="0" w:line="240" w:lineRule="auto"/>
      </w:pPr>
    </w:p>
  </w:footnote>
  <w:footnote w:id="2">
    <w:p w14:paraId="645BA8DC" w14:textId="4F5C3AC3" w:rsidR="003A0138" w:rsidRPr="00713B93" w:rsidRDefault="003A0138" w:rsidP="00D2605D">
      <w:pPr>
        <w:pStyle w:val="FootnoteText"/>
        <w:jc w:val="both"/>
      </w:pPr>
      <w:r w:rsidRPr="00713B93">
        <w:rPr>
          <w:rStyle w:val="FootnoteReference"/>
        </w:rPr>
        <w:footnoteRef/>
      </w:r>
      <w:r w:rsidRPr="00713B93">
        <w:t xml:space="preserve"> Regulatory options are “modeled as economic changes that move the economy from a state of equilibrium absent the regulation (the baseline) to a new state of equilibrium with the regulation in effect” (</w:t>
      </w:r>
      <w:r>
        <w:t xml:space="preserve">U.S. </w:t>
      </w:r>
      <w:r w:rsidRPr="00713B93">
        <w:t>EPA, 2010</w:t>
      </w:r>
      <w:r>
        <w:t>a</w:t>
      </w:r>
      <w:r w:rsidRPr="00713B93">
        <w:t>).</w:t>
      </w:r>
    </w:p>
  </w:footnote>
  <w:footnote w:id="3">
    <w:p w14:paraId="5BDA6E82" w14:textId="2695A155" w:rsidR="003A0138" w:rsidRPr="00713B93" w:rsidRDefault="003A0138" w:rsidP="00D2605D">
      <w:pPr>
        <w:pStyle w:val="FootnoteText"/>
        <w:jc w:val="both"/>
      </w:pPr>
      <w:r w:rsidRPr="00713B93">
        <w:rPr>
          <w:rStyle w:val="FootnoteReference"/>
        </w:rPr>
        <w:footnoteRef/>
      </w:r>
      <w:r w:rsidRPr="00713B93">
        <w:t xml:space="preserve"> Smith (2015) refers to adjustment costs as “resource re-allocations that arise from unanticipated shocks.” Note that many EPA regulations are phased in over time in an attempt to reduce these costs.</w:t>
      </w:r>
    </w:p>
  </w:footnote>
  <w:footnote w:id="4">
    <w:p w14:paraId="4C9B3946" w14:textId="77777777" w:rsidR="003A0138" w:rsidRPr="00496DC6" w:rsidRDefault="003A0138" w:rsidP="003A0138">
      <w:pPr>
        <w:pStyle w:val="footnote"/>
        <w:rPr>
          <w:rFonts w:ascii="Times New Roman" w:hAnsi="Times New Roman"/>
        </w:rPr>
      </w:pPr>
      <w:r w:rsidRPr="003334EA">
        <w:rPr>
          <w:rStyle w:val="footnoteChar"/>
          <w:vertAlign w:val="superscript"/>
        </w:rPr>
        <w:footnoteRef/>
      </w:r>
      <w:r w:rsidRPr="003334EA">
        <w:rPr>
          <w:rStyle w:val="footnoteChar"/>
        </w:rPr>
        <w:t xml:space="preserve"> The damage function approach </w:t>
      </w:r>
      <w:r>
        <w:rPr>
          <w:rStyle w:val="footnoteChar"/>
        </w:rPr>
        <w:t>may provide</w:t>
      </w:r>
      <w:r w:rsidRPr="003334EA">
        <w:rPr>
          <w:rStyle w:val="footnoteChar"/>
        </w:rPr>
        <w:t xml:space="preserve"> a more </w:t>
      </w:r>
      <w:r>
        <w:rPr>
          <w:rStyle w:val="footnoteChar"/>
        </w:rPr>
        <w:t>bottom-up</w:t>
      </w:r>
      <w:r w:rsidRPr="003334EA">
        <w:rPr>
          <w:rStyle w:val="footnoteChar"/>
        </w:rPr>
        <w:t xml:space="preserve"> method of estimating </w:t>
      </w:r>
      <w:r>
        <w:rPr>
          <w:rStyle w:val="footnoteChar"/>
        </w:rPr>
        <w:t xml:space="preserve">total benefits in some cases than other methods such as a hedonic </w:t>
      </w:r>
      <w:r w:rsidRPr="003334EA">
        <w:rPr>
          <w:rStyle w:val="footnoteChar"/>
        </w:rPr>
        <w:t xml:space="preserve">price approach applied to housing prices, which </w:t>
      </w:r>
      <w:r>
        <w:rPr>
          <w:rStyle w:val="footnoteChar"/>
        </w:rPr>
        <w:t xml:space="preserve">would </w:t>
      </w:r>
      <w:r w:rsidRPr="003334EA">
        <w:rPr>
          <w:rStyle w:val="footnoteChar"/>
        </w:rPr>
        <w:t xml:space="preserve">require </w:t>
      </w:r>
      <w:r>
        <w:rPr>
          <w:rStyle w:val="footnoteChar"/>
        </w:rPr>
        <w:t>strong assumptions, such as perfect information, to fully characterize willingness to pay estimates</w:t>
      </w:r>
      <w:r w:rsidRPr="003334EA">
        <w:rPr>
          <w:rStyle w:val="footnoteChar"/>
        </w:rPr>
        <w:t>.</w:t>
      </w:r>
      <w:r w:rsidRPr="00496DC6">
        <w:rPr>
          <w:rFonts w:ascii="Times New Roman" w:hAnsi="Times New Roman"/>
        </w:rPr>
        <w:t xml:space="preserve"> </w:t>
      </w:r>
    </w:p>
  </w:footnote>
  <w:footnote w:id="5">
    <w:p w14:paraId="79F120F2" w14:textId="77777777" w:rsidR="003A0138" w:rsidRDefault="003A0138" w:rsidP="003A0138">
      <w:pPr>
        <w:pStyle w:val="FootnoteText"/>
      </w:pPr>
      <w:r>
        <w:rPr>
          <w:rStyle w:val="FootnoteReference"/>
        </w:rPr>
        <w:footnoteRef/>
      </w:r>
      <w:r>
        <w:t xml:space="preserve"> EPA’s Environmental Economics Advisory Committee of EPA’s Science Advisory Board noted that estimates of the income elasticity of the VSL range from 0.1 to 1.0 in cross-section analysis of stated preference survey results and between 1.3 and 3.0 in longitudinal studies of hedonic wage results (US EPA, 2011 p 21).</w:t>
      </w:r>
    </w:p>
  </w:footnote>
  <w:footnote w:id="6">
    <w:p w14:paraId="0FFD73A6" w14:textId="77777777" w:rsidR="003A0138" w:rsidRPr="00ED46C4" w:rsidRDefault="003A0138" w:rsidP="003A0138">
      <w:pPr>
        <w:pStyle w:val="FootnoteText"/>
        <w:jc w:val="both"/>
      </w:pPr>
      <w:r w:rsidRPr="00E16A96">
        <w:rPr>
          <w:rStyle w:val="FootnoteReference"/>
        </w:rPr>
        <w:footnoteRef/>
      </w:r>
      <w:r w:rsidRPr="00E16A96">
        <w:t xml:space="preserve"> </w:t>
      </w:r>
      <w:r w:rsidRPr="00ED46C4">
        <w:t xml:space="preserve">Also of interest are the effects of regulation on prices and production in specific economic sectors. </w:t>
      </w:r>
      <w:r>
        <w:t>T</w:t>
      </w:r>
      <w:r w:rsidRPr="00ED46C4">
        <w:t>he economic impacts white paper</w:t>
      </w:r>
      <w:r>
        <w:t xml:space="preserve"> will discuss </w:t>
      </w:r>
      <w:r w:rsidRPr="00ED46C4">
        <w:t>issues related to deriving energy price and sectoral impacts from CGE models.</w:t>
      </w:r>
    </w:p>
  </w:footnote>
  <w:footnote w:id="7">
    <w:p w14:paraId="094A6234" w14:textId="77777777" w:rsidR="003A0138" w:rsidRPr="00ED46C4" w:rsidRDefault="003A0138" w:rsidP="003A0138">
      <w:pPr>
        <w:pStyle w:val="FootnoteText"/>
        <w:jc w:val="both"/>
      </w:pPr>
      <w:r w:rsidRPr="00ED46C4">
        <w:rPr>
          <w:rStyle w:val="FootnoteReference"/>
        </w:rPr>
        <w:footnoteRef/>
      </w:r>
      <w:r w:rsidRPr="00ED46C4">
        <w:t xml:space="preserve"> We focus on EV as a measure of economic welfare in the subsequent discussion, not because it is necessarily the preferred metric but because it is more commonly reported by CGE models.</w:t>
      </w:r>
    </w:p>
  </w:footnote>
  <w:footnote w:id="8">
    <w:p w14:paraId="05A60F87" w14:textId="77777777" w:rsidR="003A0138" w:rsidRPr="00ED46C4" w:rsidRDefault="003A0138" w:rsidP="003A0138">
      <w:pPr>
        <w:pStyle w:val="FootnoteText"/>
        <w:jc w:val="both"/>
      </w:pPr>
      <w:r w:rsidRPr="00ED46C4">
        <w:rPr>
          <w:rStyle w:val="FootnoteReference"/>
        </w:rPr>
        <w:footnoteRef/>
      </w:r>
      <w:r w:rsidRPr="00ED46C4">
        <w:t xml:space="preserve"> Paltsev et al. (2009) also note that changes in consumption are higher than changes in welfare when measured in percentage terms because the denominator is total consumption, which excludes the value of leisure.</w:t>
      </w:r>
    </w:p>
  </w:footnote>
  <w:footnote w:id="9">
    <w:p w14:paraId="4EAE6F15" w14:textId="77777777" w:rsidR="003A0138" w:rsidRPr="00ED46C4" w:rsidRDefault="003A0138" w:rsidP="003A0138">
      <w:pPr>
        <w:pStyle w:val="FootnoteText"/>
        <w:jc w:val="both"/>
      </w:pPr>
      <w:r w:rsidRPr="00ED46C4">
        <w:rPr>
          <w:rStyle w:val="FootnoteReference"/>
        </w:rPr>
        <w:footnoteRef/>
      </w:r>
      <w:r w:rsidRPr="00ED46C4">
        <w:t xml:space="preserve"> McClelland and Mok</w:t>
      </w:r>
      <w:r>
        <w:t xml:space="preserve"> (</w:t>
      </w:r>
      <w:r w:rsidRPr="00ED46C4">
        <w:t>2012) find that empirical estimates of compensated labor supply elasticity range from 0.1 to 0.3. A previous review of the literature found a range of 0.2 to 0.4</w:t>
      </w:r>
      <w:r>
        <w:t xml:space="preserve"> (CBO, 1996)</w:t>
      </w:r>
      <w:r w:rsidRPr="00ED46C4">
        <w:t xml:space="preserve">. U.S. CGE models vary in the value used but </w:t>
      </w:r>
      <w:r>
        <w:t>are</w:t>
      </w:r>
      <w:r w:rsidRPr="00ED46C4">
        <w:t xml:space="preserve"> at or above the top end of the range found by McClelland and Mok. For instance, NewERA uses 0.25, USAGE-ITC uses 0.3, and EMPAX</w:t>
      </w:r>
      <w:r>
        <w:t>-CGE</w:t>
      </w:r>
      <w:r w:rsidRPr="00ED46C4">
        <w:t xml:space="preserve"> uses 0.4. IGEM empirically estimates compensated elasticity of labor supply as part of its model of household behavior and finds a value of 0.7 (Jorgenson et. al 2013). </w:t>
      </w:r>
      <w:r>
        <w:t>The</w:t>
      </w:r>
      <w:r w:rsidRPr="00ED46C4">
        <w:t xml:space="preserve"> economic impacts white paper </w:t>
      </w:r>
      <w:r>
        <w:t>will include a</w:t>
      </w:r>
      <w:r w:rsidRPr="00ED46C4">
        <w:t xml:space="preserve"> more detailed discussion of labor supply in CGE models.</w:t>
      </w:r>
    </w:p>
  </w:footnote>
  <w:footnote w:id="10">
    <w:p w14:paraId="14E84595" w14:textId="77777777" w:rsidR="003A0138" w:rsidRPr="00291869" w:rsidRDefault="003A0138" w:rsidP="003A0138">
      <w:pPr>
        <w:pStyle w:val="FootnoteText"/>
        <w:jc w:val="both"/>
      </w:pPr>
      <w:r w:rsidRPr="00291869">
        <w:rPr>
          <w:rStyle w:val="FootnoteReference"/>
        </w:rPr>
        <w:footnoteRef/>
      </w:r>
      <w:r w:rsidRPr="00291869">
        <w:t xml:space="preserve"> Because GDP is viewed as a relatively poor indic</w:t>
      </w:r>
      <w:r>
        <w:t>a</w:t>
      </w:r>
      <w:r w:rsidRPr="00291869">
        <w:t xml:space="preserve">tor of social welfare, there </w:t>
      </w:r>
      <w:r>
        <w:t>is</w:t>
      </w:r>
      <w:r w:rsidRPr="00291869">
        <w:t xml:space="preserve"> an active discussion of ways to move national account metrics closer to a measure of well-being (e.g., Stiglitz et al., 2009; Fleurbaey, 2009).</w:t>
      </w:r>
    </w:p>
  </w:footnote>
  <w:footnote w:id="11">
    <w:p w14:paraId="2DC22D83" w14:textId="77777777" w:rsidR="003A0138" w:rsidRPr="00E8604B" w:rsidRDefault="003A0138" w:rsidP="003A0138">
      <w:pPr>
        <w:pStyle w:val="FootnoteText"/>
        <w:jc w:val="both"/>
      </w:pPr>
      <w:r w:rsidRPr="00E16A96">
        <w:rPr>
          <w:rStyle w:val="FootnoteReference"/>
        </w:rPr>
        <w:footnoteRef/>
      </w:r>
      <w:r w:rsidRPr="00E16A96">
        <w:t xml:space="preserve"> Note that a potential loss in employment within the regulated sector does not capture the possibility that these jobs are made up in other part</w:t>
      </w:r>
      <w:r w:rsidRPr="00E8604B">
        <w:t>s of the economy.</w:t>
      </w:r>
    </w:p>
  </w:footnote>
  <w:footnote w:id="12">
    <w:p w14:paraId="0903544F" w14:textId="5DE348EA" w:rsidR="003A0138" w:rsidRPr="0052723E" w:rsidRDefault="003A0138" w:rsidP="00D2605D">
      <w:pPr>
        <w:pStyle w:val="FootnoteText"/>
        <w:jc w:val="both"/>
      </w:pPr>
      <w:r w:rsidRPr="00713B93">
        <w:rPr>
          <w:rStyle w:val="FootnoteReference"/>
        </w:rPr>
        <w:footnoteRef/>
      </w:r>
      <w:r w:rsidRPr="00713B93">
        <w:t xml:space="preserve"> For example, pre-existing distortions in the labor market (e.g., the choice between the number of hours an individual works versus how much leisure he or she takes, which is defined as any time spent on activities that do not earn a wage</w:t>
      </w:r>
      <w:r w:rsidRPr="009B1C39">
        <w:t>, is already distorted due to income taxes that tax labor but not leisure) may be alleviated or exacerbated by an implicit change i</w:t>
      </w:r>
      <w:r w:rsidRPr="0052723E">
        <w:t>n the real wage due to the imposition of a regulation.</w:t>
      </w:r>
    </w:p>
  </w:footnote>
  <w:footnote w:id="13">
    <w:p w14:paraId="266522D3" w14:textId="71866B4C" w:rsidR="003A0138" w:rsidRPr="00FA0302" w:rsidRDefault="003A0138" w:rsidP="00D2605D">
      <w:pPr>
        <w:pStyle w:val="FootnoteText"/>
        <w:jc w:val="both"/>
      </w:pPr>
      <w:r w:rsidRPr="0052723E">
        <w:rPr>
          <w:rStyle w:val="FootnoteReference"/>
        </w:rPr>
        <w:footnoteRef/>
      </w:r>
      <w:r w:rsidRPr="0052723E">
        <w:t xml:space="preserve"> Pre-existing distortions stem from taxes or regulations that are already in place. These create a wedge between where a market would naturally equilibrate absent intervention and where it actually</w:t>
      </w:r>
      <w:r w:rsidRPr="00FA0302">
        <w:t xml:space="preserve"> equilibrates in the presence of these interventions. The literature refers to this wedge as deadweight loss because it reduces the production possibilities of the entire economy (Pizer</w:t>
      </w:r>
      <w:r>
        <w:t xml:space="preserve"> and Kopp</w:t>
      </w:r>
      <w:r w:rsidRPr="00FA0302">
        <w:t>, 2005).</w:t>
      </w:r>
    </w:p>
  </w:footnote>
  <w:footnote w:id="14">
    <w:p w14:paraId="44DD6491" w14:textId="5A63B694" w:rsidR="003A0138" w:rsidRDefault="003A0138" w:rsidP="00AA5517">
      <w:pPr>
        <w:pStyle w:val="FootnoteText"/>
      </w:pPr>
      <w:r>
        <w:rPr>
          <w:rStyle w:val="FootnoteReference"/>
        </w:rPr>
        <w:footnoteRef/>
      </w:r>
      <w:r>
        <w:t xml:space="preserve"> Somewhat comparable to the challenge of representing an air regulation that does not operate through price is the modeling non-tariff barriers (NTB). Fugazza and Maur (2008) note that NTBs “are not straightforwardly quantifiable and not necessarily easy to model,” and that “the modeling of NTBs using general equilibrium modeling techniques is still in its early stages.” Much empirical analysis is context specific (i.e., analyzing a specific instrument in a particular sector in a single country) due to the wide variety of NTBs. One approach to including NTBs in a CGE model is to rely on available econometrically estimated ad valorem equivalents to represent the wedges between the domestic and international prices of protected goods (e.g., Andrianmananjara et al., 2004). </w:t>
      </w:r>
    </w:p>
  </w:footnote>
  <w:footnote w:id="15">
    <w:p w14:paraId="1008E2F3" w14:textId="5B81937D" w:rsidR="003A0138" w:rsidRDefault="003A0138">
      <w:pPr>
        <w:pStyle w:val="FootnoteText"/>
      </w:pPr>
      <w:r>
        <w:rPr>
          <w:rStyle w:val="FootnoteReference"/>
        </w:rPr>
        <w:footnoteRef/>
      </w:r>
      <w:r>
        <w:t xml:space="preserve"> When a change in a firm’s production technology is represented in a Hicks neutral way this means that the amount of output a firm can produce for a given level of inputs changes (i.e., overall productivity either increases or declines) but the relative proportion of the specific inputs utilized (e.g., capital, labor) remains the same.</w:t>
      </w:r>
    </w:p>
  </w:footnote>
  <w:footnote w:id="16">
    <w:p w14:paraId="12B66ABC" w14:textId="50A474F2" w:rsidR="003A0138" w:rsidRDefault="003A0138">
      <w:pPr>
        <w:pStyle w:val="FootnoteText"/>
      </w:pPr>
      <w:r>
        <w:rPr>
          <w:rStyle w:val="FootnoteReference"/>
        </w:rPr>
        <w:footnoteRef/>
      </w:r>
      <w:r>
        <w:t xml:space="preserve"> Note that for Tables 3 – 6, the date in parentheses indicates the year the regulatory analysis was conducted, not necessarily the year the regulation was finalized.</w:t>
      </w:r>
    </w:p>
  </w:footnote>
  <w:footnote w:id="17">
    <w:p w14:paraId="768A7618" w14:textId="527EE686" w:rsidR="003A0138" w:rsidRPr="00ED46C4" w:rsidRDefault="003A0138" w:rsidP="00D2605D">
      <w:pPr>
        <w:pStyle w:val="FootnoteText"/>
        <w:jc w:val="both"/>
      </w:pPr>
      <w:r w:rsidRPr="00FA0302">
        <w:rPr>
          <w:rStyle w:val="FootnoteReference"/>
        </w:rPr>
        <w:footnoteRef/>
      </w:r>
      <w:r w:rsidRPr="00FA0302">
        <w:t xml:space="preserve"> Separate new source performance standards for industrial, commercial, and institutional boilers and process heaters that operate as solid waste incinerators were promulgated in 2011, covering multiple sectors and allowing flexibility in compliance. The exact number and location of incinerators is difficult</w:t>
      </w:r>
      <w:r w:rsidRPr="00ED46C4">
        <w:t xml:space="preserve"> to estimate. If an incinerator stops combusting hazardous waste it may be covered under the boiler rule. </w:t>
      </w:r>
    </w:p>
  </w:footnote>
  <w:footnote w:id="18">
    <w:p w14:paraId="69EBBE04" w14:textId="70784A49" w:rsidR="003A0138" w:rsidRPr="00E8604B" w:rsidRDefault="003A0138" w:rsidP="00D2605D">
      <w:pPr>
        <w:pStyle w:val="FootnoteText"/>
        <w:jc w:val="both"/>
      </w:pPr>
      <w:r w:rsidRPr="00ED46C4">
        <w:rPr>
          <w:rStyle w:val="FootnoteReference"/>
        </w:rPr>
        <w:footnoteRef/>
      </w:r>
      <w:r w:rsidRPr="00E8604B">
        <w:t xml:space="preserve"> It is worth noting that process change may also be an effective method of compliance for other categories of regulations even though that is not the focus of the </w:t>
      </w:r>
      <w:r>
        <w:t xml:space="preserve">regulatory </w:t>
      </w:r>
      <w:r w:rsidRPr="00E8604B">
        <w:t>requirements.</w:t>
      </w:r>
    </w:p>
  </w:footnote>
  <w:footnote w:id="19">
    <w:p w14:paraId="2C4C3606" w14:textId="4FDD1F6D" w:rsidR="003A0138" w:rsidRPr="00D73359" w:rsidRDefault="003A0138" w:rsidP="00D2605D">
      <w:pPr>
        <w:pStyle w:val="FootnoteText"/>
        <w:jc w:val="both"/>
      </w:pPr>
      <w:r w:rsidRPr="00E8604B">
        <w:rPr>
          <w:rStyle w:val="FootnoteReference"/>
        </w:rPr>
        <w:footnoteRef/>
      </w:r>
      <w:r w:rsidRPr="00E8604B">
        <w:t xml:space="preserve"> The installation and </w:t>
      </w:r>
      <w:r w:rsidRPr="00D73359">
        <w:t xml:space="preserve">operating costs of pollution control technologies are engineering estimates and generally well-known, though some uncertainty exists regarding the cost of emerging abatement technologies. For example, the electricity sector has had relatively limited but meaningful experience with dry sorbent injection, which can be used to control hydrochloric acid. The cost of new generating capacity or of increased operation of existing units to replace generating units that are shut down is also relatively well known. Likewise, there may be differences in the fuel extraction process across locations that may not be captured by a CGE model. For example, coal production is more capital intensive in in the western U.S. than in the east.  </w:t>
      </w:r>
    </w:p>
  </w:footnote>
  <w:footnote w:id="20">
    <w:p w14:paraId="35CA427A" w14:textId="1A659C84" w:rsidR="003A0138" w:rsidRPr="00ED46C4" w:rsidRDefault="003A0138" w:rsidP="00D2605D">
      <w:pPr>
        <w:pStyle w:val="FootnoteText"/>
        <w:jc w:val="both"/>
      </w:pPr>
      <w:r w:rsidRPr="00FA0302">
        <w:rPr>
          <w:rStyle w:val="FootnoteReference"/>
        </w:rPr>
        <w:footnoteRef/>
      </w:r>
      <w:r w:rsidRPr="00FA0302">
        <w:t xml:space="preserve"> National Ambient Air Quality Standards (NAAQS) for criteria pollutants (carbon monoxide, lead, nitrogen dioxide, ozone, particle pollution, and sulfur dioxide) set a maximum atmospheric concentration level of pollution that is not to be exceeded. This level can be me</w:t>
      </w:r>
      <w:r w:rsidRPr="00ED46C4">
        <w:t>asured over a short period of time, such as an 8 hour average ozone level, an annual level, or a combination of standards for short and long average time periods, such as the annual and 24 hour standards for particulate matter concentrations.</w:t>
      </w:r>
    </w:p>
  </w:footnote>
  <w:footnote w:id="21">
    <w:p w14:paraId="4AB41862" w14:textId="77777777" w:rsidR="003A0138" w:rsidRDefault="003A0138" w:rsidP="003A0138">
      <w:pPr>
        <w:pStyle w:val="FootnoteText"/>
      </w:pPr>
      <w:r>
        <w:rPr>
          <w:rStyle w:val="FootnoteReference"/>
        </w:rPr>
        <w:footnoteRef/>
      </w:r>
      <w:r>
        <w:t xml:space="preserve"> </w:t>
      </w:r>
      <w:r w:rsidRPr="00170D65">
        <w:t>EMPAX-CGE is a multi-industry, multi-region computable general equilibrium model of the U.S. economy. The version of EMPAX-CGE used for the 2011 EPA study models 35 sectors and 4 representative households for each of the 5 regions, and is resolved with 5-year time steps. It is assumed that households have perfect foresight of future changes in policy and maximize utility over the full time horizon of the model by adjusting their consumption patterns and their decisions about labor force participation. EMPAX-CGE is a full-employment model, so households choose between labor (within their region’s single labor market) and leisure based on income and substitution effects alone.</w:t>
      </w:r>
      <w:r>
        <w:t xml:space="preserve"> Detailed information about the structure and calibration of the EMPAX-CGE model is available at </w:t>
      </w:r>
      <w:r w:rsidRPr="00ED0F8C">
        <w:t>http://www.epa.gov/ttnecas1/EMPAXCGE.htm</w:t>
      </w:r>
      <w:r>
        <w:t>.</w:t>
      </w:r>
    </w:p>
  </w:footnote>
  <w:footnote w:id="22">
    <w:p w14:paraId="7A1843FC" w14:textId="77777777" w:rsidR="003A0138" w:rsidRDefault="003A0138" w:rsidP="003A0138">
      <w:pPr>
        <w:pStyle w:val="FootnoteText"/>
      </w:pPr>
      <w:r>
        <w:rPr>
          <w:rStyle w:val="FootnoteReference"/>
        </w:rPr>
        <w:footnoteRef/>
      </w:r>
      <w:r>
        <w:t xml:space="preserve"> A</w:t>
      </w:r>
      <w:r w:rsidRPr="00170D65">
        <w:t xml:space="preserve"> more complete discussion can be found in Chapter 8 of </w:t>
      </w:r>
      <w:r>
        <w:t>EPA</w:t>
      </w:r>
      <w:r w:rsidRPr="00170D65">
        <w:t xml:space="preserve"> </w:t>
      </w:r>
      <w:r>
        <w:t>(</w:t>
      </w:r>
      <w:r w:rsidRPr="00170D65">
        <w:t>2011)</w:t>
      </w:r>
      <w:r>
        <w:t>.</w:t>
      </w:r>
    </w:p>
  </w:footnote>
  <w:footnote w:id="23">
    <w:p w14:paraId="0FF51954" w14:textId="77777777" w:rsidR="003A0138" w:rsidRDefault="003A0138" w:rsidP="003A0138">
      <w:pPr>
        <w:pStyle w:val="FootnoteText"/>
      </w:pPr>
      <w:r>
        <w:rPr>
          <w:rStyle w:val="FootnoteReference"/>
        </w:rPr>
        <w:footnoteRef/>
      </w:r>
      <w:r>
        <w:t xml:space="preserve"> The Environmental Benefits Mapping and Analysis Program (BenMAP) is a software package containing a library of concentration–response relationships, population data, baseline incidence rates, and valuation functions. It quantifies and values the PM</w:t>
      </w:r>
      <w:r w:rsidRPr="00E83F2A">
        <w:rPr>
          <w:vertAlign w:val="subscript"/>
        </w:rPr>
        <w:t>2.5</w:t>
      </w:r>
      <w:r>
        <w:t xml:space="preserve"> and ozone health impacts from air quality scenarios. Documentation for the most current version of the software is available at </w:t>
      </w:r>
      <w:hyperlink r:id="rId1" w:history="1">
        <w:r w:rsidRPr="00E90EE1">
          <w:rPr>
            <w:rStyle w:val="Hyperlink"/>
          </w:rPr>
          <w:t>http://www2.epa.gov/sites/production/files/2015-04/documents/benmap-ce_user_manual_march_2015.pdf</w:t>
        </w:r>
      </w:hyperlink>
      <w:r>
        <w:t>.</w:t>
      </w:r>
    </w:p>
  </w:footnote>
  <w:footnote w:id="24">
    <w:p w14:paraId="48D96BE1" w14:textId="77777777" w:rsidR="003A0138" w:rsidRDefault="003A0138" w:rsidP="003A0138">
      <w:pPr>
        <w:pStyle w:val="FootnoteText"/>
      </w:pPr>
      <w:r>
        <w:rPr>
          <w:rStyle w:val="FootnoteReference"/>
        </w:rPr>
        <w:footnoteRef/>
      </w:r>
      <w:r>
        <w:t xml:space="preserve"> </w:t>
      </w:r>
      <w:r w:rsidRPr="002E54F8">
        <w:t>Benefit per ton ($/ton) estimates are derived by dividing the total monetized human health benefits associated with an air quality scenario by the emission reductions associated with that scenario.</w:t>
      </w:r>
    </w:p>
  </w:footnote>
  <w:footnote w:id="25">
    <w:p w14:paraId="580C71B3" w14:textId="77777777" w:rsidR="003A0138" w:rsidRDefault="003A0138" w:rsidP="003A0138">
      <w:pPr>
        <w:pStyle w:val="FootnoteText"/>
      </w:pPr>
      <w:r>
        <w:rPr>
          <w:rStyle w:val="FootnoteReference"/>
        </w:rPr>
        <w:footnoteRef/>
      </w:r>
      <w:r>
        <w:t xml:space="preserve"> Vennemo (1997) also considers the feedbacks from changes in traffic volumes, though the treatment is analogous to that of air pollution.</w:t>
      </w:r>
    </w:p>
  </w:footnote>
  <w:footnote w:id="26">
    <w:p w14:paraId="7072CD7F" w14:textId="77777777" w:rsidR="003A0138" w:rsidRDefault="003A0138" w:rsidP="003A0138">
      <w:pPr>
        <w:pStyle w:val="FootnoteText"/>
      </w:pPr>
      <w:r>
        <w:rPr>
          <w:rStyle w:val="FootnoteReference"/>
        </w:rPr>
        <w:footnoteRef/>
      </w:r>
      <w:r>
        <w:t xml:space="preserve"> While the GEM-E3 model is dynamic, for convenience we focus on the household problem for only a single period.</w:t>
      </w:r>
    </w:p>
  </w:footnote>
  <w:footnote w:id="27">
    <w:p w14:paraId="7F42696F" w14:textId="77777777" w:rsidR="003A0138" w:rsidRDefault="003A0138" w:rsidP="003A0138">
      <w:pPr>
        <w:pStyle w:val="FootnoteText"/>
      </w:pPr>
      <w:r>
        <w:rPr>
          <w:rStyle w:val="FootnoteReference"/>
        </w:rPr>
        <w:footnoteRef/>
      </w:r>
      <w:r>
        <w:t xml:space="preserve"> </w:t>
      </w:r>
      <w:r w:rsidRPr="00C30D2F">
        <w:t xml:space="preserve">EPPA version 4 is a global recursive dynamic CGE model with a </w:t>
      </w:r>
      <w:r>
        <w:t>five</w:t>
      </w:r>
      <w:r w:rsidRPr="00C30D2F">
        <w:t>-year time step and 16 regions built on the Global Trade Analysis Project (GTAP) database.</w:t>
      </w:r>
    </w:p>
  </w:footnote>
  <w:footnote w:id="28">
    <w:p w14:paraId="31D3C189" w14:textId="77777777" w:rsidR="003A0138" w:rsidRDefault="003A0138" w:rsidP="003A0138">
      <w:pPr>
        <w:pStyle w:val="FootnoteText"/>
      </w:pPr>
      <w:r>
        <w:rPr>
          <w:rStyle w:val="FootnoteReference"/>
        </w:rPr>
        <w:footnoteRef/>
      </w:r>
      <w:r>
        <w:t xml:space="preserve"> To date chronic exposure induced premature mortality in the EPPA-HE model has been based on PM</w:t>
      </w:r>
      <w:r w:rsidRPr="000860CF">
        <w:rPr>
          <w:vertAlign w:val="subscript"/>
        </w:rPr>
        <w:t>10</w:t>
      </w:r>
      <w:r>
        <w:t>. The underlying epidemiological studies on the effects of chronic exposure to PM</w:t>
      </w:r>
      <w:r w:rsidRPr="000860CF">
        <w:rPr>
          <w:vertAlign w:val="subscript"/>
        </w:rPr>
        <w:t>10</w:t>
      </w:r>
      <w:r>
        <w:t xml:space="preserve"> typically estimate the average exposure-response function for the population over 30 years of age. The EPPA-HE model accounts for cohort specific differences by weighting the exposure response function by the share of the cohorts’ historic mortality due to cardiopulmonary and lung diseases relative to the total population over 30 and consistent with the epidemiological literature assumes to increase in mortality rates for those under 30.</w:t>
      </w:r>
    </w:p>
  </w:footnote>
  <w:footnote w:id="29">
    <w:p w14:paraId="23B46223" w14:textId="77777777" w:rsidR="003A0138" w:rsidRDefault="003A0138" w:rsidP="003A0138">
      <w:pPr>
        <w:pStyle w:val="FootnoteText"/>
      </w:pPr>
      <w:r>
        <w:rPr>
          <w:rStyle w:val="FootnoteReference"/>
        </w:rPr>
        <w:footnoteRef/>
      </w:r>
      <w:r>
        <w:t xml:space="preserve"> Matus et al. (2008) focus on incorporating the health impacts of air pollution mitigation policy in a CGE models and do not explicitly consider the costs of the mitigation in their framework.</w:t>
      </w:r>
    </w:p>
  </w:footnote>
  <w:footnote w:id="30">
    <w:p w14:paraId="5A25A97C" w14:textId="77777777" w:rsidR="003A0138" w:rsidRDefault="003A0138" w:rsidP="003A0138">
      <w:pPr>
        <w:pStyle w:val="FootnoteText"/>
      </w:pPr>
      <w:r>
        <w:rPr>
          <w:rStyle w:val="FootnoteReference"/>
        </w:rPr>
        <w:footnoteRef/>
      </w:r>
      <w:r>
        <w:t xml:space="preserve"> Conversion to unmanaged but protected forests is considered permanent.</w:t>
      </w:r>
    </w:p>
  </w:footnote>
  <w:footnote w:id="31">
    <w:p w14:paraId="71E3F2E7" w14:textId="77777777" w:rsidR="003A0138" w:rsidRDefault="003A0138" w:rsidP="003A0138">
      <w:pPr>
        <w:pStyle w:val="FootnoteText"/>
        <w:ind w:hanging="4"/>
      </w:pPr>
      <w:r>
        <w:rPr>
          <w:rStyle w:val="FootnoteReference"/>
        </w:rPr>
        <w:footnoteRef/>
      </w:r>
      <w:r>
        <w:t xml:space="preserve"> While the focus of the study was on greenhouse gas mitigation policies in the U.S., the authors noted that incorporating the same demand for outdoor recreation services in other regions was necessary to ensure that food and forestry imports were appropriately priced, such that the opportunity costs of preserving land within the U.S. were appropriately characterized. </w:t>
      </w:r>
    </w:p>
  </w:footnote>
  <w:footnote w:id="32">
    <w:p w14:paraId="50EA8798" w14:textId="77777777" w:rsidR="003A0138" w:rsidRDefault="003A0138" w:rsidP="003A0138">
      <w:pPr>
        <w:pStyle w:val="FootnoteText"/>
        <w:tabs>
          <w:tab w:val="left" w:pos="360"/>
        </w:tabs>
      </w:pPr>
      <w:r>
        <w:rPr>
          <w:rStyle w:val="FootnoteReference"/>
        </w:rPr>
        <w:footnoteRef/>
      </w:r>
      <w:r>
        <w:t xml:space="preserve"> Carbone and Smith (2013) recalibrated the model depending on whether the welfare measure includes general equilibrium effects and for the different sets of substitution elasticities so that the marginal WTP implicit in the model remained in line with empirical estimates.</w:t>
      </w:r>
    </w:p>
  </w:footnote>
  <w:footnote w:id="33">
    <w:p w14:paraId="5060BFD7" w14:textId="77777777" w:rsidR="003A0138" w:rsidRDefault="003A0138" w:rsidP="003A0138">
      <w:pPr>
        <w:pStyle w:val="FootnoteText"/>
      </w:pPr>
      <w:r>
        <w:rPr>
          <w:rStyle w:val="FootnoteReference"/>
        </w:rPr>
        <w:footnoteRef/>
      </w:r>
      <w:r>
        <w:t xml:space="preserve"> See for example Bovenberg and de Mooij (1994), Bovenberg and van der Ploeg (1994), Goulder (1995), Goulder et al. (1999), Parry (1994), Parry (1997), and Parry et al. (1999).</w:t>
      </w:r>
    </w:p>
  </w:footnote>
  <w:footnote w:id="34">
    <w:p w14:paraId="2AAC6AFB" w14:textId="77777777" w:rsidR="003A0138" w:rsidRDefault="003A0138" w:rsidP="003A0138">
      <w:pPr>
        <w:pStyle w:val="FootnoteText"/>
        <w:ind w:hanging="4"/>
      </w:pPr>
      <w:r>
        <w:rPr>
          <w:rStyle w:val="FootnoteReference"/>
        </w:rPr>
        <w:footnoteRef/>
      </w:r>
      <w:r>
        <w:t xml:space="preserve"> </w:t>
      </w:r>
      <w:r w:rsidRPr="000A0A66">
        <w:t>The role of this effect is unclear with respect to most EPA regulations, as they rarely generate revenue. However, in some cases EPA regulations implicitly relax the government’s budget constraint (e.g., by preventing future publicly funded remediation).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89E10C" w14:textId="77777777" w:rsidR="003A0138" w:rsidRPr="0099183A" w:rsidRDefault="003A0138" w:rsidP="003A0138">
    <w:pPr>
      <w:pStyle w:val="Header"/>
      <w:jc w:val="center"/>
      <w:rPr>
        <w: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E2D399" w14:textId="65EDD7AF" w:rsidR="003A0138" w:rsidRDefault="003A0138">
    <w:pPr>
      <w:pStyle w:val="Header"/>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FB4D88"/>
    <w:multiLevelType w:val="hybridMultilevel"/>
    <w:tmpl w:val="39443E6C"/>
    <w:lvl w:ilvl="0" w:tplc="5C32777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220D61"/>
    <w:multiLevelType w:val="multilevel"/>
    <w:tmpl w:val="8950476E"/>
    <w:lvl w:ilvl="0">
      <w:start w:val="1"/>
      <w:numFmt w:val="decimal"/>
      <w:lvlText w:val="%1"/>
      <w:lvlJc w:val="left"/>
      <w:pPr>
        <w:ind w:left="448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9E22C71"/>
    <w:multiLevelType w:val="multilevel"/>
    <w:tmpl w:val="EC96E270"/>
    <w:lvl w:ilvl="0">
      <w:start w:val="1"/>
      <w:numFmt w:val="decimal"/>
      <w:pStyle w:val="Heading1"/>
      <w:lvlText w:val="%1."/>
      <w:lvlJc w:val="left"/>
      <w:pPr>
        <w:ind w:left="720" w:hanging="360"/>
      </w:pPr>
      <w:rPr>
        <w:rFonts w:hint="default"/>
      </w:rPr>
    </w:lvl>
    <w:lvl w:ilvl="1">
      <w:start w:val="2"/>
      <w:numFmt w:val="decimal"/>
      <w:pStyle w:val="Heading2"/>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5E244F08"/>
    <w:multiLevelType w:val="hybridMultilevel"/>
    <w:tmpl w:val="6A4C5E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717276DA"/>
    <w:multiLevelType w:val="hybridMultilevel"/>
    <w:tmpl w:val="B0FAE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3"/>
  </w:num>
  <w:num w:numId="5">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
    <w:lvlOverride w:ilvl="0">
      <w:startOverride w:val="5"/>
    </w:lvlOverride>
    <w:lvlOverride w:ilvl="1">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BEA"/>
    <w:rsid w:val="00000E40"/>
    <w:rsid w:val="00001774"/>
    <w:rsid w:val="00001D2C"/>
    <w:rsid w:val="000021FD"/>
    <w:rsid w:val="00003482"/>
    <w:rsid w:val="00003AF6"/>
    <w:rsid w:val="00003B18"/>
    <w:rsid w:val="00003FF9"/>
    <w:rsid w:val="00004959"/>
    <w:rsid w:val="00004B9D"/>
    <w:rsid w:val="00004BC3"/>
    <w:rsid w:val="000056F7"/>
    <w:rsid w:val="00010F35"/>
    <w:rsid w:val="00015EFC"/>
    <w:rsid w:val="00020822"/>
    <w:rsid w:val="00023016"/>
    <w:rsid w:val="00025A5F"/>
    <w:rsid w:val="0002695B"/>
    <w:rsid w:val="00026DE2"/>
    <w:rsid w:val="00027CE8"/>
    <w:rsid w:val="000301B4"/>
    <w:rsid w:val="00030542"/>
    <w:rsid w:val="00030AEE"/>
    <w:rsid w:val="00030B04"/>
    <w:rsid w:val="00031968"/>
    <w:rsid w:val="0003229E"/>
    <w:rsid w:val="00032B3F"/>
    <w:rsid w:val="00033D1E"/>
    <w:rsid w:val="00035EB5"/>
    <w:rsid w:val="00036088"/>
    <w:rsid w:val="00036F84"/>
    <w:rsid w:val="00037F62"/>
    <w:rsid w:val="00040025"/>
    <w:rsid w:val="0004003A"/>
    <w:rsid w:val="0004129B"/>
    <w:rsid w:val="0004179D"/>
    <w:rsid w:val="000425F1"/>
    <w:rsid w:val="00044BC1"/>
    <w:rsid w:val="00046563"/>
    <w:rsid w:val="0005158A"/>
    <w:rsid w:val="000515A9"/>
    <w:rsid w:val="00052E1D"/>
    <w:rsid w:val="000558D6"/>
    <w:rsid w:val="00055DF5"/>
    <w:rsid w:val="00056D03"/>
    <w:rsid w:val="00060719"/>
    <w:rsid w:val="00061C55"/>
    <w:rsid w:val="00062EC4"/>
    <w:rsid w:val="00063F3F"/>
    <w:rsid w:val="00064254"/>
    <w:rsid w:val="00065BAE"/>
    <w:rsid w:val="00067354"/>
    <w:rsid w:val="000702FB"/>
    <w:rsid w:val="00070A91"/>
    <w:rsid w:val="00071243"/>
    <w:rsid w:val="00072074"/>
    <w:rsid w:val="00074F3C"/>
    <w:rsid w:val="0007525D"/>
    <w:rsid w:val="00075B31"/>
    <w:rsid w:val="0007619D"/>
    <w:rsid w:val="00076B16"/>
    <w:rsid w:val="00076BB2"/>
    <w:rsid w:val="00077024"/>
    <w:rsid w:val="0008062C"/>
    <w:rsid w:val="00080DD9"/>
    <w:rsid w:val="0008153E"/>
    <w:rsid w:val="00082443"/>
    <w:rsid w:val="00082D58"/>
    <w:rsid w:val="000838CF"/>
    <w:rsid w:val="00083C21"/>
    <w:rsid w:val="000858A0"/>
    <w:rsid w:val="00085F25"/>
    <w:rsid w:val="000862F1"/>
    <w:rsid w:val="000864BD"/>
    <w:rsid w:val="000871A2"/>
    <w:rsid w:val="000876CB"/>
    <w:rsid w:val="0008788C"/>
    <w:rsid w:val="00090A82"/>
    <w:rsid w:val="0009104D"/>
    <w:rsid w:val="00091967"/>
    <w:rsid w:val="00093D45"/>
    <w:rsid w:val="0009406A"/>
    <w:rsid w:val="00094355"/>
    <w:rsid w:val="000946B0"/>
    <w:rsid w:val="000946E3"/>
    <w:rsid w:val="00094FCA"/>
    <w:rsid w:val="000957B4"/>
    <w:rsid w:val="00096728"/>
    <w:rsid w:val="000A11D4"/>
    <w:rsid w:val="000A2B1E"/>
    <w:rsid w:val="000A2DAE"/>
    <w:rsid w:val="000A2EB9"/>
    <w:rsid w:val="000A52B6"/>
    <w:rsid w:val="000B1322"/>
    <w:rsid w:val="000B1B6B"/>
    <w:rsid w:val="000B214E"/>
    <w:rsid w:val="000B283C"/>
    <w:rsid w:val="000B2C5D"/>
    <w:rsid w:val="000B3D4C"/>
    <w:rsid w:val="000B5303"/>
    <w:rsid w:val="000B7B8F"/>
    <w:rsid w:val="000C05C6"/>
    <w:rsid w:val="000C0FDC"/>
    <w:rsid w:val="000C10C4"/>
    <w:rsid w:val="000C1754"/>
    <w:rsid w:val="000C1A22"/>
    <w:rsid w:val="000C2519"/>
    <w:rsid w:val="000C27C9"/>
    <w:rsid w:val="000C32A3"/>
    <w:rsid w:val="000C62B2"/>
    <w:rsid w:val="000C65C3"/>
    <w:rsid w:val="000C6947"/>
    <w:rsid w:val="000C6D28"/>
    <w:rsid w:val="000C733B"/>
    <w:rsid w:val="000C7EC2"/>
    <w:rsid w:val="000D05B5"/>
    <w:rsid w:val="000D0C0E"/>
    <w:rsid w:val="000D4B6A"/>
    <w:rsid w:val="000D55D6"/>
    <w:rsid w:val="000D5850"/>
    <w:rsid w:val="000D6562"/>
    <w:rsid w:val="000D723B"/>
    <w:rsid w:val="000E2302"/>
    <w:rsid w:val="000E2D2C"/>
    <w:rsid w:val="000E395F"/>
    <w:rsid w:val="000E4CC6"/>
    <w:rsid w:val="000E5150"/>
    <w:rsid w:val="000E5301"/>
    <w:rsid w:val="000E5FB2"/>
    <w:rsid w:val="000E6399"/>
    <w:rsid w:val="000E7864"/>
    <w:rsid w:val="000E7E8C"/>
    <w:rsid w:val="000F2D93"/>
    <w:rsid w:val="000F38D3"/>
    <w:rsid w:val="000F3A07"/>
    <w:rsid w:val="000F4CD5"/>
    <w:rsid w:val="000F52D2"/>
    <w:rsid w:val="000F6CCA"/>
    <w:rsid w:val="000F79D5"/>
    <w:rsid w:val="000F7E03"/>
    <w:rsid w:val="00101CD6"/>
    <w:rsid w:val="001029E2"/>
    <w:rsid w:val="0010301A"/>
    <w:rsid w:val="00103449"/>
    <w:rsid w:val="001035D4"/>
    <w:rsid w:val="0010523A"/>
    <w:rsid w:val="00106A47"/>
    <w:rsid w:val="001071E0"/>
    <w:rsid w:val="001104DB"/>
    <w:rsid w:val="001109CE"/>
    <w:rsid w:val="00111BE1"/>
    <w:rsid w:val="001164A8"/>
    <w:rsid w:val="00116B55"/>
    <w:rsid w:val="0012017E"/>
    <w:rsid w:val="00120EE7"/>
    <w:rsid w:val="00130058"/>
    <w:rsid w:val="0013042F"/>
    <w:rsid w:val="00130BD3"/>
    <w:rsid w:val="00132BBE"/>
    <w:rsid w:val="001337E9"/>
    <w:rsid w:val="00133D18"/>
    <w:rsid w:val="00135417"/>
    <w:rsid w:val="001374D3"/>
    <w:rsid w:val="001402F1"/>
    <w:rsid w:val="001408DA"/>
    <w:rsid w:val="00143754"/>
    <w:rsid w:val="00143BA2"/>
    <w:rsid w:val="00145460"/>
    <w:rsid w:val="0014705E"/>
    <w:rsid w:val="00150834"/>
    <w:rsid w:val="001513F7"/>
    <w:rsid w:val="00151A2D"/>
    <w:rsid w:val="0015204A"/>
    <w:rsid w:val="001524D7"/>
    <w:rsid w:val="00153B4D"/>
    <w:rsid w:val="0015650C"/>
    <w:rsid w:val="00156F1D"/>
    <w:rsid w:val="00156FFF"/>
    <w:rsid w:val="00157A67"/>
    <w:rsid w:val="00157BCA"/>
    <w:rsid w:val="001604F0"/>
    <w:rsid w:val="001609F0"/>
    <w:rsid w:val="001610E3"/>
    <w:rsid w:val="00162801"/>
    <w:rsid w:val="0016401E"/>
    <w:rsid w:val="00164BCE"/>
    <w:rsid w:val="00164E74"/>
    <w:rsid w:val="00165050"/>
    <w:rsid w:val="00166949"/>
    <w:rsid w:val="00166EA4"/>
    <w:rsid w:val="00170EE1"/>
    <w:rsid w:val="0017285F"/>
    <w:rsid w:val="00174663"/>
    <w:rsid w:val="00174A0A"/>
    <w:rsid w:val="00175902"/>
    <w:rsid w:val="00177692"/>
    <w:rsid w:val="001806EA"/>
    <w:rsid w:val="00182DDD"/>
    <w:rsid w:val="001860DD"/>
    <w:rsid w:val="00186B48"/>
    <w:rsid w:val="00187591"/>
    <w:rsid w:val="00187EE8"/>
    <w:rsid w:val="001919F9"/>
    <w:rsid w:val="00193A54"/>
    <w:rsid w:val="00197704"/>
    <w:rsid w:val="00197E3A"/>
    <w:rsid w:val="001A2665"/>
    <w:rsid w:val="001A4E92"/>
    <w:rsid w:val="001B1432"/>
    <w:rsid w:val="001B3761"/>
    <w:rsid w:val="001B5F01"/>
    <w:rsid w:val="001B65BA"/>
    <w:rsid w:val="001C01EB"/>
    <w:rsid w:val="001C43A7"/>
    <w:rsid w:val="001C5876"/>
    <w:rsid w:val="001C5A72"/>
    <w:rsid w:val="001C5B04"/>
    <w:rsid w:val="001C5C01"/>
    <w:rsid w:val="001C7AC2"/>
    <w:rsid w:val="001C7FD9"/>
    <w:rsid w:val="001D0AA2"/>
    <w:rsid w:val="001D22EE"/>
    <w:rsid w:val="001D2495"/>
    <w:rsid w:val="001D2A0F"/>
    <w:rsid w:val="001D3D93"/>
    <w:rsid w:val="001D42D1"/>
    <w:rsid w:val="001D5779"/>
    <w:rsid w:val="001D57A7"/>
    <w:rsid w:val="001D58BE"/>
    <w:rsid w:val="001D5EB0"/>
    <w:rsid w:val="001D702C"/>
    <w:rsid w:val="001E23CE"/>
    <w:rsid w:val="001F2684"/>
    <w:rsid w:val="001F2704"/>
    <w:rsid w:val="001F271E"/>
    <w:rsid w:val="001F429B"/>
    <w:rsid w:val="001F5053"/>
    <w:rsid w:val="001F5A52"/>
    <w:rsid w:val="001F649E"/>
    <w:rsid w:val="001F72B3"/>
    <w:rsid w:val="001F79FB"/>
    <w:rsid w:val="00200DC3"/>
    <w:rsid w:val="00200DFF"/>
    <w:rsid w:val="00201255"/>
    <w:rsid w:val="00201A71"/>
    <w:rsid w:val="00201C9E"/>
    <w:rsid w:val="00203FE0"/>
    <w:rsid w:val="0020443F"/>
    <w:rsid w:val="00205010"/>
    <w:rsid w:val="00206C9D"/>
    <w:rsid w:val="002109DB"/>
    <w:rsid w:val="00212FE7"/>
    <w:rsid w:val="00213D08"/>
    <w:rsid w:val="00214B41"/>
    <w:rsid w:val="002160AB"/>
    <w:rsid w:val="00216637"/>
    <w:rsid w:val="00216A0C"/>
    <w:rsid w:val="00217139"/>
    <w:rsid w:val="002176E1"/>
    <w:rsid w:val="00217AA1"/>
    <w:rsid w:val="0022058B"/>
    <w:rsid w:val="00222BA0"/>
    <w:rsid w:val="00223F3B"/>
    <w:rsid w:val="002240C1"/>
    <w:rsid w:val="00226757"/>
    <w:rsid w:val="00226A9D"/>
    <w:rsid w:val="002278F8"/>
    <w:rsid w:val="0023051A"/>
    <w:rsid w:val="00231BAA"/>
    <w:rsid w:val="00232EB0"/>
    <w:rsid w:val="00232EFF"/>
    <w:rsid w:val="00234457"/>
    <w:rsid w:val="0023589E"/>
    <w:rsid w:val="00235DAF"/>
    <w:rsid w:val="00237834"/>
    <w:rsid w:val="00243039"/>
    <w:rsid w:val="00244033"/>
    <w:rsid w:val="00247BC7"/>
    <w:rsid w:val="00247F2D"/>
    <w:rsid w:val="00251C96"/>
    <w:rsid w:val="00251F19"/>
    <w:rsid w:val="0025284C"/>
    <w:rsid w:val="00253549"/>
    <w:rsid w:val="00254DC1"/>
    <w:rsid w:val="00257404"/>
    <w:rsid w:val="002575B8"/>
    <w:rsid w:val="002576C9"/>
    <w:rsid w:val="0025793A"/>
    <w:rsid w:val="00264B69"/>
    <w:rsid w:val="00265AFF"/>
    <w:rsid w:val="00266868"/>
    <w:rsid w:val="00266A1F"/>
    <w:rsid w:val="00266DF8"/>
    <w:rsid w:val="002677BA"/>
    <w:rsid w:val="002732C1"/>
    <w:rsid w:val="00273B46"/>
    <w:rsid w:val="00274801"/>
    <w:rsid w:val="00274896"/>
    <w:rsid w:val="002758FE"/>
    <w:rsid w:val="00275FAF"/>
    <w:rsid w:val="0027625D"/>
    <w:rsid w:val="002765AA"/>
    <w:rsid w:val="00276D95"/>
    <w:rsid w:val="00277337"/>
    <w:rsid w:val="002777DE"/>
    <w:rsid w:val="00277A14"/>
    <w:rsid w:val="00281B5B"/>
    <w:rsid w:val="00281CC6"/>
    <w:rsid w:val="00283008"/>
    <w:rsid w:val="00283E3F"/>
    <w:rsid w:val="0028490D"/>
    <w:rsid w:val="0028774C"/>
    <w:rsid w:val="002907CC"/>
    <w:rsid w:val="00290B61"/>
    <w:rsid w:val="00291869"/>
    <w:rsid w:val="00291A54"/>
    <w:rsid w:val="00291A63"/>
    <w:rsid w:val="002931C0"/>
    <w:rsid w:val="00294BFB"/>
    <w:rsid w:val="002952A0"/>
    <w:rsid w:val="00295757"/>
    <w:rsid w:val="00295B72"/>
    <w:rsid w:val="00295D42"/>
    <w:rsid w:val="002A09E1"/>
    <w:rsid w:val="002A2233"/>
    <w:rsid w:val="002A30DB"/>
    <w:rsid w:val="002A318B"/>
    <w:rsid w:val="002A3878"/>
    <w:rsid w:val="002A64F7"/>
    <w:rsid w:val="002A6C24"/>
    <w:rsid w:val="002A7998"/>
    <w:rsid w:val="002B0248"/>
    <w:rsid w:val="002B6268"/>
    <w:rsid w:val="002B62F8"/>
    <w:rsid w:val="002C0120"/>
    <w:rsid w:val="002C2A7D"/>
    <w:rsid w:val="002C38BB"/>
    <w:rsid w:val="002C5490"/>
    <w:rsid w:val="002C660E"/>
    <w:rsid w:val="002D02DD"/>
    <w:rsid w:val="002D0C6F"/>
    <w:rsid w:val="002D1224"/>
    <w:rsid w:val="002D15A8"/>
    <w:rsid w:val="002D2744"/>
    <w:rsid w:val="002D295E"/>
    <w:rsid w:val="002D37D4"/>
    <w:rsid w:val="002D5042"/>
    <w:rsid w:val="002D547B"/>
    <w:rsid w:val="002D56A2"/>
    <w:rsid w:val="002D6A5F"/>
    <w:rsid w:val="002E0E86"/>
    <w:rsid w:val="002E153A"/>
    <w:rsid w:val="002E353F"/>
    <w:rsid w:val="002E3B50"/>
    <w:rsid w:val="002E5787"/>
    <w:rsid w:val="002E5D01"/>
    <w:rsid w:val="002E5EBE"/>
    <w:rsid w:val="002E66F8"/>
    <w:rsid w:val="002E72CE"/>
    <w:rsid w:val="002F362B"/>
    <w:rsid w:val="002F4291"/>
    <w:rsid w:val="002F7DB4"/>
    <w:rsid w:val="0030001C"/>
    <w:rsid w:val="003046FE"/>
    <w:rsid w:val="00306D26"/>
    <w:rsid w:val="0031031D"/>
    <w:rsid w:val="00310431"/>
    <w:rsid w:val="003112A3"/>
    <w:rsid w:val="003125DF"/>
    <w:rsid w:val="00313146"/>
    <w:rsid w:val="00313348"/>
    <w:rsid w:val="0031372D"/>
    <w:rsid w:val="00313A63"/>
    <w:rsid w:val="003143EB"/>
    <w:rsid w:val="00314BAC"/>
    <w:rsid w:val="003163A8"/>
    <w:rsid w:val="003213D7"/>
    <w:rsid w:val="00323C38"/>
    <w:rsid w:val="0033064C"/>
    <w:rsid w:val="00331201"/>
    <w:rsid w:val="00331B84"/>
    <w:rsid w:val="00331C9F"/>
    <w:rsid w:val="0033497B"/>
    <w:rsid w:val="00334FFC"/>
    <w:rsid w:val="00335983"/>
    <w:rsid w:val="00335CD3"/>
    <w:rsid w:val="00337644"/>
    <w:rsid w:val="003406F7"/>
    <w:rsid w:val="00346B4A"/>
    <w:rsid w:val="00350259"/>
    <w:rsid w:val="0035119D"/>
    <w:rsid w:val="00351CC0"/>
    <w:rsid w:val="003534C8"/>
    <w:rsid w:val="00354ECF"/>
    <w:rsid w:val="00357D3A"/>
    <w:rsid w:val="003616D8"/>
    <w:rsid w:val="00362E23"/>
    <w:rsid w:val="00363590"/>
    <w:rsid w:val="00363827"/>
    <w:rsid w:val="003639E0"/>
    <w:rsid w:val="00364008"/>
    <w:rsid w:val="00364C55"/>
    <w:rsid w:val="003652AE"/>
    <w:rsid w:val="00366656"/>
    <w:rsid w:val="003705FF"/>
    <w:rsid w:val="0037120D"/>
    <w:rsid w:val="0037172C"/>
    <w:rsid w:val="003729E3"/>
    <w:rsid w:val="003745A9"/>
    <w:rsid w:val="00374789"/>
    <w:rsid w:val="00375677"/>
    <w:rsid w:val="00376579"/>
    <w:rsid w:val="003802A8"/>
    <w:rsid w:val="003814EC"/>
    <w:rsid w:val="003831FE"/>
    <w:rsid w:val="00383CD7"/>
    <w:rsid w:val="00384A8C"/>
    <w:rsid w:val="00385155"/>
    <w:rsid w:val="00385169"/>
    <w:rsid w:val="00385B2F"/>
    <w:rsid w:val="003866B8"/>
    <w:rsid w:val="0038688E"/>
    <w:rsid w:val="00387C78"/>
    <w:rsid w:val="00390761"/>
    <w:rsid w:val="0039101C"/>
    <w:rsid w:val="0039161E"/>
    <w:rsid w:val="00391C57"/>
    <w:rsid w:val="00392068"/>
    <w:rsid w:val="00392B61"/>
    <w:rsid w:val="00393ED0"/>
    <w:rsid w:val="003953A9"/>
    <w:rsid w:val="003953D1"/>
    <w:rsid w:val="003957AC"/>
    <w:rsid w:val="00396B82"/>
    <w:rsid w:val="003A0138"/>
    <w:rsid w:val="003A05B6"/>
    <w:rsid w:val="003A10B4"/>
    <w:rsid w:val="003A1E02"/>
    <w:rsid w:val="003A3790"/>
    <w:rsid w:val="003A6444"/>
    <w:rsid w:val="003A679D"/>
    <w:rsid w:val="003A73C5"/>
    <w:rsid w:val="003B001A"/>
    <w:rsid w:val="003B0135"/>
    <w:rsid w:val="003B3154"/>
    <w:rsid w:val="003B57B7"/>
    <w:rsid w:val="003B7764"/>
    <w:rsid w:val="003B7B13"/>
    <w:rsid w:val="003C1A8A"/>
    <w:rsid w:val="003C27FE"/>
    <w:rsid w:val="003C52D3"/>
    <w:rsid w:val="003C611F"/>
    <w:rsid w:val="003C6E3A"/>
    <w:rsid w:val="003D03CE"/>
    <w:rsid w:val="003D2511"/>
    <w:rsid w:val="003D3E14"/>
    <w:rsid w:val="003D4E9D"/>
    <w:rsid w:val="003D6DE6"/>
    <w:rsid w:val="003E65D7"/>
    <w:rsid w:val="003E6AC2"/>
    <w:rsid w:val="003E7F05"/>
    <w:rsid w:val="003F2B77"/>
    <w:rsid w:val="003F4348"/>
    <w:rsid w:val="003F6255"/>
    <w:rsid w:val="003F63A1"/>
    <w:rsid w:val="00402EE4"/>
    <w:rsid w:val="00403201"/>
    <w:rsid w:val="00406ACC"/>
    <w:rsid w:val="004073AE"/>
    <w:rsid w:val="00410F0E"/>
    <w:rsid w:val="0041198A"/>
    <w:rsid w:val="00412253"/>
    <w:rsid w:val="004150AD"/>
    <w:rsid w:val="004207D5"/>
    <w:rsid w:val="004213FC"/>
    <w:rsid w:val="004216FD"/>
    <w:rsid w:val="00422B4A"/>
    <w:rsid w:val="004252A4"/>
    <w:rsid w:val="00425406"/>
    <w:rsid w:val="00426E65"/>
    <w:rsid w:val="00430F85"/>
    <w:rsid w:val="00432350"/>
    <w:rsid w:val="00433126"/>
    <w:rsid w:val="00433300"/>
    <w:rsid w:val="00435887"/>
    <w:rsid w:val="00437475"/>
    <w:rsid w:val="004406D4"/>
    <w:rsid w:val="004420C6"/>
    <w:rsid w:val="00442173"/>
    <w:rsid w:val="004422AD"/>
    <w:rsid w:val="004428DB"/>
    <w:rsid w:val="00443191"/>
    <w:rsid w:val="00443A6F"/>
    <w:rsid w:val="004452CB"/>
    <w:rsid w:val="0044552D"/>
    <w:rsid w:val="00446382"/>
    <w:rsid w:val="00446872"/>
    <w:rsid w:val="00446EF0"/>
    <w:rsid w:val="0044754E"/>
    <w:rsid w:val="004505B2"/>
    <w:rsid w:val="0045194B"/>
    <w:rsid w:val="0045251C"/>
    <w:rsid w:val="00455375"/>
    <w:rsid w:val="00461BF3"/>
    <w:rsid w:val="004631C3"/>
    <w:rsid w:val="00463CE3"/>
    <w:rsid w:val="00463E48"/>
    <w:rsid w:val="00465573"/>
    <w:rsid w:val="00466396"/>
    <w:rsid w:val="004663EA"/>
    <w:rsid w:val="00466E0E"/>
    <w:rsid w:val="0046763A"/>
    <w:rsid w:val="0047082F"/>
    <w:rsid w:val="00471A03"/>
    <w:rsid w:val="00472F65"/>
    <w:rsid w:val="00480766"/>
    <w:rsid w:val="00481AD5"/>
    <w:rsid w:val="0048285D"/>
    <w:rsid w:val="00482A0B"/>
    <w:rsid w:val="004833C6"/>
    <w:rsid w:val="00483AF4"/>
    <w:rsid w:val="004861E1"/>
    <w:rsid w:val="004873C2"/>
    <w:rsid w:val="0048796F"/>
    <w:rsid w:val="00490E0C"/>
    <w:rsid w:val="0049328E"/>
    <w:rsid w:val="00495542"/>
    <w:rsid w:val="00496FE3"/>
    <w:rsid w:val="004975F3"/>
    <w:rsid w:val="004A0D89"/>
    <w:rsid w:val="004A1B89"/>
    <w:rsid w:val="004A22DC"/>
    <w:rsid w:val="004A2C59"/>
    <w:rsid w:val="004A3365"/>
    <w:rsid w:val="004A34C7"/>
    <w:rsid w:val="004A3CC1"/>
    <w:rsid w:val="004A6638"/>
    <w:rsid w:val="004B0B2E"/>
    <w:rsid w:val="004B291F"/>
    <w:rsid w:val="004B29B3"/>
    <w:rsid w:val="004B5382"/>
    <w:rsid w:val="004B6B81"/>
    <w:rsid w:val="004C0E10"/>
    <w:rsid w:val="004C132D"/>
    <w:rsid w:val="004C1AC9"/>
    <w:rsid w:val="004C1FA0"/>
    <w:rsid w:val="004C2656"/>
    <w:rsid w:val="004C46A8"/>
    <w:rsid w:val="004C5E2A"/>
    <w:rsid w:val="004C6E84"/>
    <w:rsid w:val="004C7A6D"/>
    <w:rsid w:val="004C7DDA"/>
    <w:rsid w:val="004D0BC2"/>
    <w:rsid w:val="004D35C2"/>
    <w:rsid w:val="004D586A"/>
    <w:rsid w:val="004D682D"/>
    <w:rsid w:val="004D6CE3"/>
    <w:rsid w:val="004D6FD6"/>
    <w:rsid w:val="004E134C"/>
    <w:rsid w:val="004E3C79"/>
    <w:rsid w:val="004E484E"/>
    <w:rsid w:val="004E4BA3"/>
    <w:rsid w:val="004E51EB"/>
    <w:rsid w:val="004E6F57"/>
    <w:rsid w:val="004F0911"/>
    <w:rsid w:val="004F2151"/>
    <w:rsid w:val="004F279C"/>
    <w:rsid w:val="004F462B"/>
    <w:rsid w:val="004F7754"/>
    <w:rsid w:val="004F797C"/>
    <w:rsid w:val="004F7A7D"/>
    <w:rsid w:val="004F7C14"/>
    <w:rsid w:val="0050062B"/>
    <w:rsid w:val="00500DB5"/>
    <w:rsid w:val="005013DC"/>
    <w:rsid w:val="00502112"/>
    <w:rsid w:val="00502687"/>
    <w:rsid w:val="00503605"/>
    <w:rsid w:val="00503B88"/>
    <w:rsid w:val="00504812"/>
    <w:rsid w:val="00506292"/>
    <w:rsid w:val="00507966"/>
    <w:rsid w:val="00513D52"/>
    <w:rsid w:val="00513F70"/>
    <w:rsid w:val="00523B4A"/>
    <w:rsid w:val="005268F2"/>
    <w:rsid w:val="0052723E"/>
    <w:rsid w:val="005275E0"/>
    <w:rsid w:val="0052762E"/>
    <w:rsid w:val="00530422"/>
    <w:rsid w:val="005309F5"/>
    <w:rsid w:val="00530FBC"/>
    <w:rsid w:val="00531C4E"/>
    <w:rsid w:val="00532ED2"/>
    <w:rsid w:val="00536609"/>
    <w:rsid w:val="0053713B"/>
    <w:rsid w:val="00537CC6"/>
    <w:rsid w:val="005404E7"/>
    <w:rsid w:val="00541B8C"/>
    <w:rsid w:val="00542954"/>
    <w:rsid w:val="0054420B"/>
    <w:rsid w:val="00544402"/>
    <w:rsid w:val="0054475C"/>
    <w:rsid w:val="005450B7"/>
    <w:rsid w:val="00545210"/>
    <w:rsid w:val="005452D9"/>
    <w:rsid w:val="00545E22"/>
    <w:rsid w:val="00546463"/>
    <w:rsid w:val="005505AF"/>
    <w:rsid w:val="00551C60"/>
    <w:rsid w:val="005529C1"/>
    <w:rsid w:val="00552BB5"/>
    <w:rsid w:val="00553695"/>
    <w:rsid w:val="00553A5A"/>
    <w:rsid w:val="00553EE8"/>
    <w:rsid w:val="00553FFF"/>
    <w:rsid w:val="00554015"/>
    <w:rsid w:val="00555930"/>
    <w:rsid w:val="00555CCC"/>
    <w:rsid w:val="00556ACB"/>
    <w:rsid w:val="00556F25"/>
    <w:rsid w:val="005570D2"/>
    <w:rsid w:val="005573CF"/>
    <w:rsid w:val="0055755C"/>
    <w:rsid w:val="005621D8"/>
    <w:rsid w:val="00562633"/>
    <w:rsid w:val="00562FC1"/>
    <w:rsid w:val="00564B9C"/>
    <w:rsid w:val="005658BD"/>
    <w:rsid w:val="00566808"/>
    <w:rsid w:val="00567313"/>
    <w:rsid w:val="00570BF1"/>
    <w:rsid w:val="00570E7C"/>
    <w:rsid w:val="005726D5"/>
    <w:rsid w:val="00573460"/>
    <w:rsid w:val="005734FF"/>
    <w:rsid w:val="00574B5D"/>
    <w:rsid w:val="00575A2D"/>
    <w:rsid w:val="00576097"/>
    <w:rsid w:val="00583DCF"/>
    <w:rsid w:val="00583DEF"/>
    <w:rsid w:val="00585E18"/>
    <w:rsid w:val="0058736C"/>
    <w:rsid w:val="0059037E"/>
    <w:rsid w:val="005920C5"/>
    <w:rsid w:val="00592AB7"/>
    <w:rsid w:val="00592CD2"/>
    <w:rsid w:val="005937FF"/>
    <w:rsid w:val="0059590F"/>
    <w:rsid w:val="005A0982"/>
    <w:rsid w:val="005A0A43"/>
    <w:rsid w:val="005A2903"/>
    <w:rsid w:val="005A4094"/>
    <w:rsid w:val="005A5D1C"/>
    <w:rsid w:val="005A5F3F"/>
    <w:rsid w:val="005A6ABC"/>
    <w:rsid w:val="005A6B63"/>
    <w:rsid w:val="005A7842"/>
    <w:rsid w:val="005B06C1"/>
    <w:rsid w:val="005B1696"/>
    <w:rsid w:val="005B3A36"/>
    <w:rsid w:val="005B5308"/>
    <w:rsid w:val="005B6D0A"/>
    <w:rsid w:val="005B715F"/>
    <w:rsid w:val="005B75D8"/>
    <w:rsid w:val="005C4050"/>
    <w:rsid w:val="005C4F6A"/>
    <w:rsid w:val="005C7CD2"/>
    <w:rsid w:val="005D03AE"/>
    <w:rsid w:val="005D06FD"/>
    <w:rsid w:val="005D1A09"/>
    <w:rsid w:val="005D33F3"/>
    <w:rsid w:val="005D3FA9"/>
    <w:rsid w:val="005D462D"/>
    <w:rsid w:val="005D4868"/>
    <w:rsid w:val="005D53FA"/>
    <w:rsid w:val="005D6273"/>
    <w:rsid w:val="005D6849"/>
    <w:rsid w:val="005D6E61"/>
    <w:rsid w:val="005D77C1"/>
    <w:rsid w:val="005E0AB0"/>
    <w:rsid w:val="005E3DFA"/>
    <w:rsid w:val="005F12F0"/>
    <w:rsid w:val="005F1667"/>
    <w:rsid w:val="005F483A"/>
    <w:rsid w:val="005F486E"/>
    <w:rsid w:val="005F5E97"/>
    <w:rsid w:val="005F68CD"/>
    <w:rsid w:val="0060267D"/>
    <w:rsid w:val="00603052"/>
    <w:rsid w:val="006035FF"/>
    <w:rsid w:val="0060385A"/>
    <w:rsid w:val="0060415D"/>
    <w:rsid w:val="00606324"/>
    <w:rsid w:val="00607BDF"/>
    <w:rsid w:val="00610E3D"/>
    <w:rsid w:val="00612239"/>
    <w:rsid w:val="006148D2"/>
    <w:rsid w:val="00615EB9"/>
    <w:rsid w:val="00616A4D"/>
    <w:rsid w:val="00616FCF"/>
    <w:rsid w:val="006202D2"/>
    <w:rsid w:val="006205E5"/>
    <w:rsid w:val="00620D66"/>
    <w:rsid w:val="00621398"/>
    <w:rsid w:val="00622DAB"/>
    <w:rsid w:val="00622EAE"/>
    <w:rsid w:val="006238D9"/>
    <w:rsid w:val="00627657"/>
    <w:rsid w:val="00627A7D"/>
    <w:rsid w:val="00630833"/>
    <w:rsid w:val="0063139D"/>
    <w:rsid w:val="006323BB"/>
    <w:rsid w:val="00632832"/>
    <w:rsid w:val="00632998"/>
    <w:rsid w:val="00632C1F"/>
    <w:rsid w:val="00636C3A"/>
    <w:rsid w:val="00637728"/>
    <w:rsid w:val="00637DDC"/>
    <w:rsid w:val="00641A1F"/>
    <w:rsid w:val="00641AE8"/>
    <w:rsid w:val="0064421D"/>
    <w:rsid w:val="00644B5A"/>
    <w:rsid w:val="00645D69"/>
    <w:rsid w:val="00646488"/>
    <w:rsid w:val="00647AC7"/>
    <w:rsid w:val="00647C59"/>
    <w:rsid w:val="00650423"/>
    <w:rsid w:val="00650891"/>
    <w:rsid w:val="00650E4D"/>
    <w:rsid w:val="00651453"/>
    <w:rsid w:val="006516FB"/>
    <w:rsid w:val="00655568"/>
    <w:rsid w:val="00655CE4"/>
    <w:rsid w:val="00656FA6"/>
    <w:rsid w:val="0065740D"/>
    <w:rsid w:val="006607B9"/>
    <w:rsid w:val="006623EE"/>
    <w:rsid w:val="00662DE7"/>
    <w:rsid w:val="00663B09"/>
    <w:rsid w:val="00663F1F"/>
    <w:rsid w:val="0066765D"/>
    <w:rsid w:val="006679D8"/>
    <w:rsid w:val="00670A02"/>
    <w:rsid w:val="00670A05"/>
    <w:rsid w:val="00671CA2"/>
    <w:rsid w:val="0067231E"/>
    <w:rsid w:val="0067426F"/>
    <w:rsid w:val="006743A9"/>
    <w:rsid w:val="00675542"/>
    <w:rsid w:val="0067592A"/>
    <w:rsid w:val="006779B4"/>
    <w:rsid w:val="00682E4A"/>
    <w:rsid w:val="00683BD2"/>
    <w:rsid w:val="00683D3F"/>
    <w:rsid w:val="0068503F"/>
    <w:rsid w:val="00685574"/>
    <w:rsid w:val="006859B7"/>
    <w:rsid w:val="006861D8"/>
    <w:rsid w:val="006901A9"/>
    <w:rsid w:val="006901F0"/>
    <w:rsid w:val="00691011"/>
    <w:rsid w:val="00691A66"/>
    <w:rsid w:val="00692932"/>
    <w:rsid w:val="00693185"/>
    <w:rsid w:val="006932ED"/>
    <w:rsid w:val="006938EE"/>
    <w:rsid w:val="006955BD"/>
    <w:rsid w:val="00696696"/>
    <w:rsid w:val="00697865"/>
    <w:rsid w:val="006A20AA"/>
    <w:rsid w:val="006A233F"/>
    <w:rsid w:val="006A25E6"/>
    <w:rsid w:val="006A26AD"/>
    <w:rsid w:val="006A2E32"/>
    <w:rsid w:val="006A3532"/>
    <w:rsid w:val="006A4D96"/>
    <w:rsid w:val="006A539E"/>
    <w:rsid w:val="006A7795"/>
    <w:rsid w:val="006B20ED"/>
    <w:rsid w:val="006B5754"/>
    <w:rsid w:val="006B5C32"/>
    <w:rsid w:val="006B7120"/>
    <w:rsid w:val="006B7521"/>
    <w:rsid w:val="006B7DFC"/>
    <w:rsid w:val="006C2FEE"/>
    <w:rsid w:val="006C320E"/>
    <w:rsid w:val="006C3D68"/>
    <w:rsid w:val="006C72E2"/>
    <w:rsid w:val="006D2D22"/>
    <w:rsid w:val="006D332E"/>
    <w:rsid w:val="006D441C"/>
    <w:rsid w:val="006D5E98"/>
    <w:rsid w:val="006D60D8"/>
    <w:rsid w:val="006D6D13"/>
    <w:rsid w:val="006D7FD1"/>
    <w:rsid w:val="006E1457"/>
    <w:rsid w:val="006E3896"/>
    <w:rsid w:val="006E7292"/>
    <w:rsid w:val="006E7801"/>
    <w:rsid w:val="006F086F"/>
    <w:rsid w:val="006F2487"/>
    <w:rsid w:val="006F28FB"/>
    <w:rsid w:val="006F2CA4"/>
    <w:rsid w:val="006F3091"/>
    <w:rsid w:val="006F317C"/>
    <w:rsid w:val="006F3DD1"/>
    <w:rsid w:val="006F4410"/>
    <w:rsid w:val="006F4586"/>
    <w:rsid w:val="006F65B5"/>
    <w:rsid w:val="006F7B9B"/>
    <w:rsid w:val="00700F49"/>
    <w:rsid w:val="00702319"/>
    <w:rsid w:val="00703D07"/>
    <w:rsid w:val="007077B8"/>
    <w:rsid w:val="00711965"/>
    <w:rsid w:val="0071296D"/>
    <w:rsid w:val="00712CCB"/>
    <w:rsid w:val="00713B93"/>
    <w:rsid w:val="007140BD"/>
    <w:rsid w:val="00717F5C"/>
    <w:rsid w:val="00720FAB"/>
    <w:rsid w:val="00721412"/>
    <w:rsid w:val="007240AA"/>
    <w:rsid w:val="00724F97"/>
    <w:rsid w:val="0072743D"/>
    <w:rsid w:val="007277F5"/>
    <w:rsid w:val="00730D9C"/>
    <w:rsid w:val="00733957"/>
    <w:rsid w:val="007348A1"/>
    <w:rsid w:val="00735570"/>
    <w:rsid w:val="00735EFB"/>
    <w:rsid w:val="00736BA6"/>
    <w:rsid w:val="0074039F"/>
    <w:rsid w:val="00740DC8"/>
    <w:rsid w:val="00741E55"/>
    <w:rsid w:val="00742198"/>
    <w:rsid w:val="00744342"/>
    <w:rsid w:val="00744E24"/>
    <w:rsid w:val="00746DA4"/>
    <w:rsid w:val="00747815"/>
    <w:rsid w:val="00751D7F"/>
    <w:rsid w:val="00752409"/>
    <w:rsid w:val="007534B3"/>
    <w:rsid w:val="007561A1"/>
    <w:rsid w:val="00756799"/>
    <w:rsid w:val="007609F1"/>
    <w:rsid w:val="00760AA1"/>
    <w:rsid w:val="00760D77"/>
    <w:rsid w:val="00761591"/>
    <w:rsid w:val="00761D62"/>
    <w:rsid w:val="00766E32"/>
    <w:rsid w:val="0077081B"/>
    <w:rsid w:val="00771298"/>
    <w:rsid w:val="007728DA"/>
    <w:rsid w:val="0077415C"/>
    <w:rsid w:val="00775708"/>
    <w:rsid w:val="007758C7"/>
    <w:rsid w:val="007772DE"/>
    <w:rsid w:val="00777442"/>
    <w:rsid w:val="007775F2"/>
    <w:rsid w:val="00777DD5"/>
    <w:rsid w:val="0078131A"/>
    <w:rsid w:val="007815D7"/>
    <w:rsid w:val="00782642"/>
    <w:rsid w:val="0078515C"/>
    <w:rsid w:val="007859CC"/>
    <w:rsid w:val="00785C21"/>
    <w:rsid w:val="007860D5"/>
    <w:rsid w:val="007861BA"/>
    <w:rsid w:val="00787F4E"/>
    <w:rsid w:val="0079101D"/>
    <w:rsid w:val="00791443"/>
    <w:rsid w:val="00791D7A"/>
    <w:rsid w:val="00793CC2"/>
    <w:rsid w:val="00793D7F"/>
    <w:rsid w:val="00794EEE"/>
    <w:rsid w:val="007974D1"/>
    <w:rsid w:val="007A025A"/>
    <w:rsid w:val="007A0F10"/>
    <w:rsid w:val="007A1E2B"/>
    <w:rsid w:val="007A20EF"/>
    <w:rsid w:val="007A414B"/>
    <w:rsid w:val="007A5DFE"/>
    <w:rsid w:val="007A6636"/>
    <w:rsid w:val="007A6ECC"/>
    <w:rsid w:val="007B10E2"/>
    <w:rsid w:val="007B2460"/>
    <w:rsid w:val="007B4285"/>
    <w:rsid w:val="007B4EAB"/>
    <w:rsid w:val="007B5C27"/>
    <w:rsid w:val="007B5F5C"/>
    <w:rsid w:val="007B6DD7"/>
    <w:rsid w:val="007B7FE5"/>
    <w:rsid w:val="007C06B1"/>
    <w:rsid w:val="007C262D"/>
    <w:rsid w:val="007C34EA"/>
    <w:rsid w:val="007C379E"/>
    <w:rsid w:val="007C4E09"/>
    <w:rsid w:val="007D00B0"/>
    <w:rsid w:val="007D1BD5"/>
    <w:rsid w:val="007D1F8F"/>
    <w:rsid w:val="007D2C11"/>
    <w:rsid w:val="007D5A93"/>
    <w:rsid w:val="007D74CB"/>
    <w:rsid w:val="007D7EB6"/>
    <w:rsid w:val="007E16F9"/>
    <w:rsid w:val="007E1E08"/>
    <w:rsid w:val="007E527C"/>
    <w:rsid w:val="007E5C71"/>
    <w:rsid w:val="007F30A2"/>
    <w:rsid w:val="007F7001"/>
    <w:rsid w:val="007F7387"/>
    <w:rsid w:val="00800AF9"/>
    <w:rsid w:val="00801D37"/>
    <w:rsid w:val="008034AA"/>
    <w:rsid w:val="008042AA"/>
    <w:rsid w:val="0080444F"/>
    <w:rsid w:val="0080576A"/>
    <w:rsid w:val="00805A85"/>
    <w:rsid w:val="00806A67"/>
    <w:rsid w:val="00807B3F"/>
    <w:rsid w:val="00807C72"/>
    <w:rsid w:val="00811281"/>
    <w:rsid w:val="00811A1A"/>
    <w:rsid w:val="008139CF"/>
    <w:rsid w:val="008153EB"/>
    <w:rsid w:val="00815737"/>
    <w:rsid w:val="00815B43"/>
    <w:rsid w:val="00815FD4"/>
    <w:rsid w:val="00816050"/>
    <w:rsid w:val="00816A77"/>
    <w:rsid w:val="008210E9"/>
    <w:rsid w:val="00821327"/>
    <w:rsid w:val="00822815"/>
    <w:rsid w:val="00822E89"/>
    <w:rsid w:val="00825578"/>
    <w:rsid w:val="00826CFC"/>
    <w:rsid w:val="00826E85"/>
    <w:rsid w:val="008316A0"/>
    <w:rsid w:val="00832610"/>
    <w:rsid w:val="00836ABA"/>
    <w:rsid w:val="00836DD6"/>
    <w:rsid w:val="00837866"/>
    <w:rsid w:val="00840AC6"/>
    <w:rsid w:val="00844B0D"/>
    <w:rsid w:val="008450AC"/>
    <w:rsid w:val="00845E9A"/>
    <w:rsid w:val="00846121"/>
    <w:rsid w:val="00847103"/>
    <w:rsid w:val="0084731E"/>
    <w:rsid w:val="00847E12"/>
    <w:rsid w:val="00850FDC"/>
    <w:rsid w:val="0085123C"/>
    <w:rsid w:val="00851726"/>
    <w:rsid w:val="0085287D"/>
    <w:rsid w:val="00854023"/>
    <w:rsid w:val="008549E2"/>
    <w:rsid w:val="00854AE3"/>
    <w:rsid w:val="0085574F"/>
    <w:rsid w:val="008604BA"/>
    <w:rsid w:val="00860501"/>
    <w:rsid w:val="00860510"/>
    <w:rsid w:val="00861221"/>
    <w:rsid w:val="008644F0"/>
    <w:rsid w:val="00864F75"/>
    <w:rsid w:val="008664A1"/>
    <w:rsid w:val="00867277"/>
    <w:rsid w:val="00867784"/>
    <w:rsid w:val="00870356"/>
    <w:rsid w:val="00870AAC"/>
    <w:rsid w:val="008713E7"/>
    <w:rsid w:val="0087173F"/>
    <w:rsid w:val="00872E4E"/>
    <w:rsid w:val="0087314A"/>
    <w:rsid w:val="008739EC"/>
    <w:rsid w:val="0087405D"/>
    <w:rsid w:val="00874138"/>
    <w:rsid w:val="008741B6"/>
    <w:rsid w:val="008762C4"/>
    <w:rsid w:val="008769B4"/>
    <w:rsid w:val="00877F83"/>
    <w:rsid w:val="0088087E"/>
    <w:rsid w:val="00881134"/>
    <w:rsid w:val="008850FD"/>
    <w:rsid w:val="00885D39"/>
    <w:rsid w:val="00887BCD"/>
    <w:rsid w:val="0089246C"/>
    <w:rsid w:val="00896E8F"/>
    <w:rsid w:val="00897090"/>
    <w:rsid w:val="00897777"/>
    <w:rsid w:val="008A1259"/>
    <w:rsid w:val="008A28B3"/>
    <w:rsid w:val="008A294A"/>
    <w:rsid w:val="008A2A36"/>
    <w:rsid w:val="008A622B"/>
    <w:rsid w:val="008A6C88"/>
    <w:rsid w:val="008B074A"/>
    <w:rsid w:val="008B07E4"/>
    <w:rsid w:val="008B2E74"/>
    <w:rsid w:val="008B3A3D"/>
    <w:rsid w:val="008B40A3"/>
    <w:rsid w:val="008B5BDA"/>
    <w:rsid w:val="008B6AA0"/>
    <w:rsid w:val="008B6E36"/>
    <w:rsid w:val="008B6FF7"/>
    <w:rsid w:val="008C05DB"/>
    <w:rsid w:val="008C191D"/>
    <w:rsid w:val="008C20BE"/>
    <w:rsid w:val="008C47BE"/>
    <w:rsid w:val="008C52EF"/>
    <w:rsid w:val="008C5870"/>
    <w:rsid w:val="008C661C"/>
    <w:rsid w:val="008C67DB"/>
    <w:rsid w:val="008D12E1"/>
    <w:rsid w:val="008D68DC"/>
    <w:rsid w:val="008E2006"/>
    <w:rsid w:val="008E2800"/>
    <w:rsid w:val="008E3104"/>
    <w:rsid w:val="008E34A7"/>
    <w:rsid w:val="008E45FE"/>
    <w:rsid w:val="008E4C73"/>
    <w:rsid w:val="008E51EC"/>
    <w:rsid w:val="008E56E9"/>
    <w:rsid w:val="008E723E"/>
    <w:rsid w:val="008F099B"/>
    <w:rsid w:val="008F1583"/>
    <w:rsid w:val="008F1CC6"/>
    <w:rsid w:val="008F225B"/>
    <w:rsid w:val="008F2959"/>
    <w:rsid w:val="008F342F"/>
    <w:rsid w:val="008F37DF"/>
    <w:rsid w:val="008F3C91"/>
    <w:rsid w:val="008F4081"/>
    <w:rsid w:val="008F4506"/>
    <w:rsid w:val="008F6508"/>
    <w:rsid w:val="008F6D52"/>
    <w:rsid w:val="008F7E91"/>
    <w:rsid w:val="009004EC"/>
    <w:rsid w:val="00900FCF"/>
    <w:rsid w:val="009024FC"/>
    <w:rsid w:val="00903041"/>
    <w:rsid w:val="009040F8"/>
    <w:rsid w:val="00906E3C"/>
    <w:rsid w:val="009074D9"/>
    <w:rsid w:val="00907783"/>
    <w:rsid w:val="00907CE4"/>
    <w:rsid w:val="00907DD6"/>
    <w:rsid w:val="00911C35"/>
    <w:rsid w:val="0091205C"/>
    <w:rsid w:val="00914F8C"/>
    <w:rsid w:val="00917764"/>
    <w:rsid w:val="00917786"/>
    <w:rsid w:val="009203A4"/>
    <w:rsid w:val="009207BD"/>
    <w:rsid w:val="0093296E"/>
    <w:rsid w:val="009345CC"/>
    <w:rsid w:val="00935075"/>
    <w:rsid w:val="00940CC9"/>
    <w:rsid w:val="00944DF7"/>
    <w:rsid w:val="009457F4"/>
    <w:rsid w:val="00945ECF"/>
    <w:rsid w:val="009466F4"/>
    <w:rsid w:val="009467AB"/>
    <w:rsid w:val="00952496"/>
    <w:rsid w:val="00954426"/>
    <w:rsid w:val="00955975"/>
    <w:rsid w:val="00955D5A"/>
    <w:rsid w:val="00955FE8"/>
    <w:rsid w:val="00956492"/>
    <w:rsid w:val="00956FA4"/>
    <w:rsid w:val="009571AC"/>
    <w:rsid w:val="00962D61"/>
    <w:rsid w:val="0096307F"/>
    <w:rsid w:val="00964080"/>
    <w:rsid w:val="00964229"/>
    <w:rsid w:val="009646F2"/>
    <w:rsid w:val="009651C8"/>
    <w:rsid w:val="00967558"/>
    <w:rsid w:val="00967D67"/>
    <w:rsid w:val="00972A83"/>
    <w:rsid w:val="009734ED"/>
    <w:rsid w:val="00973A84"/>
    <w:rsid w:val="00974270"/>
    <w:rsid w:val="009743E2"/>
    <w:rsid w:val="009743E9"/>
    <w:rsid w:val="00975807"/>
    <w:rsid w:val="00975B87"/>
    <w:rsid w:val="009766AA"/>
    <w:rsid w:val="009768B3"/>
    <w:rsid w:val="009769BE"/>
    <w:rsid w:val="00976E26"/>
    <w:rsid w:val="0097760B"/>
    <w:rsid w:val="00983E40"/>
    <w:rsid w:val="009849EE"/>
    <w:rsid w:val="00985448"/>
    <w:rsid w:val="0098745F"/>
    <w:rsid w:val="009905A3"/>
    <w:rsid w:val="0099211C"/>
    <w:rsid w:val="00994AA3"/>
    <w:rsid w:val="009A213A"/>
    <w:rsid w:val="009A5203"/>
    <w:rsid w:val="009A5868"/>
    <w:rsid w:val="009A7B18"/>
    <w:rsid w:val="009A7C7E"/>
    <w:rsid w:val="009A7E96"/>
    <w:rsid w:val="009B031F"/>
    <w:rsid w:val="009B1C39"/>
    <w:rsid w:val="009B2ECF"/>
    <w:rsid w:val="009B3383"/>
    <w:rsid w:val="009B4D26"/>
    <w:rsid w:val="009B5284"/>
    <w:rsid w:val="009B5A49"/>
    <w:rsid w:val="009B5E15"/>
    <w:rsid w:val="009B6A95"/>
    <w:rsid w:val="009B76AE"/>
    <w:rsid w:val="009C1111"/>
    <w:rsid w:val="009C182C"/>
    <w:rsid w:val="009C2100"/>
    <w:rsid w:val="009C2DB0"/>
    <w:rsid w:val="009C3957"/>
    <w:rsid w:val="009C5A7B"/>
    <w:rsid w:val="009C5F50"/>
    <w:rsid w:val="009C611B"/>
    <w:rsid w:val="009C726D"/>
    <w:rsid w:val="009D1488"/>
    <w:rsid w:val="009D1DA6"/>
    <w:rsid w:val="009D282D"/>
    <w:rsid w:val="009D3EF4"/>
    <w:rsid w:val="009D62EC"/>
    <w:rsid w:val="009D6985"/>
    <w:rsid w:val="009D7539"/>
    <w:rsid w:val="009D78A2"/>
    <w:rsid w:val="009D7FF1"/>
    <w:rsid w:val="009E08C5"/>
    <w:rsid w:val="009E1C2C"/>
    <w:rsid w:val="009E3766"/>
    <w:rsid w:val="009E6C92"/>
    <w:rsid w:val="009E6FC6"/>
    <w:rsid w:val="009E75CD"/>
    <w:rsid w:val="009F0B3B"/>
    <w:rsid w:val="009F215C"/>
    <w:rsid w:val="009F2C2E"/>
    <w:rsid w:val="009F3D29"/>
    <w:rsid w:val="009F4540"/>
    <w:rsid w:val="009F4C0E"/>
    <w:rsid w:val="009F610E"/>
    <w:rsid w:val="009F6A03"/>
    <w:rsid w:val="009F6E16"/>
    <w:rsid w:val="009F765A"/>
    <w:rsid w:val="009F7860"/>
    <w:rsid w:val="009F7CEF"/>
    <w:rsid w:val="00A024B6"/>
    <w:rsid w:val="00A028C7"/>
    <w:rsid w:val="00A02932"/>
    <w:rsid w:val="00A03324"/>
    <w:rsid w:val="00A04CF7"/>
    <w:rsid w:val="00A05DAC"/>
    <w:rsid w:val="00A06134"/>
    <w:rsid w:val="00A066F5"/>
    <w:rsid w:val="00A070E5"/>
    <w:rsid w:val="00A102CF"/>
    <w:rsid w:val="00A13C27"/>
    <w:rsid w:val="00A15903"/>
    <w:rsid w:val="00A16F98"/>
    <w:rsid w:val="00A2039F"/>
    <w:rsid w:val="00A20696"/>
    <w:rsid w:val="00A207B6"/>
    <w:rsid w:val="00A21ECB"/>
    <w:rsid w:val="00A25FE8"/>
    <w:rsid w:val="00A27446"/>
    <w:rsid w:val="00A27D68"/>
    <w:rsid w:val="00A31238"/>
    <w:rsid w:val="00A313A5"/>
    <w:rsid w:val="00A31C68"/>
    <w:rsid w:val="00A31EAD"/>
    <w:rsid w:val="00A31FC2"/>
    <w:rsid w:val="00A33039"/>
    <w:rsid w:val="00A341A6"/>
    <w:rsid w:val="00A37D42"/>
    <w:rsid w:val="00A406E6"/>
    <w:rsid w:val="00A411AF"/>
    <w:rsid w:val="00A41641"/>
    <w:rsid w:val="00A432E2"/>
    <w:rsid w:val="00A440A3"/>
    <w:rsid w:val="00A44C1A"/>
    <w:rsid w:val="00A45F21"/>
    <w:rsid w:val="00A479DA"/>
    <w:rsid w:val="00A50933"/>
    <w:rsid w:val="00A52684"/>
    <w:rsid w:val="00A527F1"/>
    <w:rsid w:val="00A52D75"/>
    <w:rsid w:val="00A537D2"/>
    <w:rsid w:val="00A53CFA"/>
    <w:rsid w:val="00A5503F"/>
    <w:rsid w:val="00A554B1"/>
    <w:rsid w:val="00A56750"/>
    <w:rsid w:val="00A56E59"/>
    <w:rsid w:val="00A57640"/>
    <w:rsid w:val="00A60379"/>
    <w:rsid w:val="00A607A3"/>
    <w:rsid w:val="00A61D7C"/>
    <w:rsid w:val="00A635AD"/>
    <w:rsid w:val="00A64791"/>
    <w:rsid w:val="00A65EC9"/>
    <w:rsid w:val="00A70677"/>
    <w:rsid w:val="00A71A98"/>
    <w:rsid w:val="00A72BCE"/>
    <w:rsid w:val="00A73D12"/>
    <w:rsid w:val="00A746A5"/>
    <w:rsid w:val="00A74DB4"/>
    <w:rsid w:val="00A75E3B"/>
    <w:rsid w:val="00A768A0"/>
    <w:rsid w:val="00A77DAD"/>
    <w:rsid w:val="00A77F69"/>
    <w:rsid w:val="00A77FB2"/>
    <w:rsid w:val="00A806F1"/>
    <w:rsid w:val="00A80D65"/>
    <w:rsid w:val="00A80E88"/>
    <w:rsid w:val="00A82D7C"/>
    <w:rsid w:val="00A82E92"/>
    <w:rsid w:val="00A83A92"/>
    <w:rsid w:val="00A846CE"/>
    <w:rsid w:val="00A87256"/>
    <w:rsid w:val="00A941EC"/>
    <w:rsid w:val="00A94812"/>
    <w:rsid w:val="00A94E4E"/>
    <w:rsid w:val="00A95014"/>
    <w:rsid w:val="00AA00F9"/>
    <w:rsid w:val="00AA1994"/>
    <w:rsid w:val="00AA2C6B"/>
    <w:rsid w:val="00AA4795"/>
    <w:rsid w:val="00AA5517"/>
    <w:rsid w:val="00AA7DB9"/>
    <w:rsid w:val="00AB1763"/>
    <w:rsid w:val="00AB295E"/>
    <w:rsid w:val="00AB363C"/>
    <w:rsid w:val="00AB3F9E"/>
    <w:rsid w:val="00AB68E5"/>
    <w:rsid w:val="00AB6BEE"/>
    <w:rsid w:val="00AB7DB9"/>
    <w:rsid w:val="00AC0AFE"/>
    <w:rsid w:val="00AC15C7"/>
    <w:rsid w:val="00AC1C74"/>
    <w:rsid w:val="00AC2133"/>
    <w:rsid w:val="00AC31F3"/>
    <w:rsid w:val="00AC5C31"/>
    <w:rsid w:val="00AC6044"/>
    <w:rsid w:val="00AC6216"/>
    <w:rsid w:val="00AC6720"/>
    <w:rsid w:val="00AC6A02"/>
    <w:rsid w:val="00AD16D0"/>
    <w:rsid w:val="00AD3048"/>
    <w:rsid w:val="00AD3825"/>
    <w:rsid w:val="00AD5349"/>
    <w:rsid w:val="00AD53B5"/>
    <w:rsid w:val="00AD72CA"/>
    <w:rsid w:val="00AD7F69"/>
    <w:rsid w:val="00AE045D"/>
    <w:rsid w:val="00AE0991"/>
    <w:rsid w:val="00AE2158"/>
    <w:rsid w:val="00AE22AA"/>
    <w:rsid w:val="00AE23CC"/>
    <w:rsid w:val="00AE2A64"/>
    <w:rsid w:val="00AE3B55"/>
    <w:rsid w:val="00AE4EF1"/>
    <w:rsid w:val="00AE55F8"/>
    <w:rsid w:val="00AE62EF"/>
    <w:rsid w:val="00AE75ED"/>
    <w:rsid w:val="00AF01CE"/>
    <w:rsid w:val="00AF08CF"/>
    <w:rsid w:val="00AF11E4"/>
    <w:rsid w:val="00AF2734"/>
    <w:rsid w:val="00AF3E8D"/>
    <w:rsid w:val="00AF4F14"/>
    <w:rsid w:val="00B012A1"/>
    <w:rsid w:val="00B0234A"/>
    <w:rsid w:val="00B02A13"/>
    <w:rsid w:val="00B063BC"/>
    <w:rsid w:val="00B0683D"/>
    <w:rsid w:val="00B1176D"/>
    <w:rsid w:val="00B124B6"/>
    <w:rsid w:val="00B12DA8"/>
    <w:rsid w:val="00B13933"/>
    <w:rsid w:val="00B13EF4"/>
    <w:rsid w:val="00B16ACA"/>
    <w:rsid w:val="00B16B6F"/>
    <w:rsid w:val="00B2297B"/>
    <w:rsid w:val="00B23644"/>
    <w:rsid w:val="00B23A2B"/>
    <w:rsid w:val="00B26A09"/>
    <w:rsid w:val="00B307FA"/>
    <w:rsid w:val="00B31405"/>
    <w:rsid w:val="00B31DF0"/>
    <w:rsid w:val="00B31FCD"/>
    <w:rsid w:val="00B3240B"/>
    <w:rsid w:val="00B33097"/>
    <w:rsid w:val="00B3444D"/>
    <w:rsid w:val="00B34DD1"/>
    <w:rsid w:val="00B37FCE"/>
    <w:rsid w:val="00B40232"/>
    <w:rsid w:val="00B41708"/>
    <w:rsid w:val="00B44C1F"/>
    <w:rsid w:val="00B45A2C"/>
    <w:rsid w:val="00B46265"/>
    <w:rsid w:val="00B464D7"/>
    <w:rsid w:val="00B465B4"/>
    <w:rsid w:val="00B466B4"/>
    <w:rsid w:val="00B46715"/>
    <w:rsid w:val="00B515BC"/>
    <w:rsid w:val="00B52423"/>
    <w:rsid w:val="00B53023"/>
    <w:rsid w:val="00B538AD"/>
    <w:rsid w:val="00B55BA4"/>
    <w:rsid w:val="00B55C4E"/>
    <w:rsid w:val="00B57853"/>
    <w:rsid w:val="00B612D0"/>
    <w:rsid w:val="00B6197D"/>
    <w:rsid w:val="00B62029"/>
    <w:rsid w:val="00B629F4"/>
    <w:rsid w:val="00B632CF"/>
    <w:rsid w:val="00B63377"/>
    <w:rsid w:val="00B633BA"/>
    <w:rsid w:val="00B63BA3"/>
    <w:rsid w:val="00B63F68"/>
    <w:rsid w:val="00B64306"/>
    <w:rsid w:val="00B70248"/>
    <w:rsid w:val="00B741F0"/>
    <w:rsid w:val="00B75336"/>
    <w:rsid w:val="00B765B1"/>
    <w:rsid w:val="00B77071"/>
    <w:rsid w:val="00B80064"/>
    <w:rsid w:val="00B81004"/>
    <w:rsid w:val="00B814D3"/>
    <w:rsid w:val="00B82C10"/>
    <w:rsid w:val="00B84BA3"/>
    <w:rsid w:val="00B85388"/>
    <w:rsid w:val="00B85AA2"/>
    <w:rsid w:val="00B85B1B"/>
    <w:rsid w:val="00B86F3B"/>
    <w:rsid w:val="00B91A65"/>
    <w:rsid w:val="00B93331"/>
    <w:rsid w:val="00B95058"/>
    <w:rsid w:val="00B96157"/>
    <w:rsid w:val="00B965BE"/>
    <w:rsid w:val="00B96C47"/>
    <w:rsid w:val="00B9720E"/>
    <w:rsid w:val="00B976AE"/>
    <w:rsid w:val="00B97AE2"/>
    <w:rsid w:val="00B97D79"/>
    <w:rsid w:val="00BA0E8C"/>
    <w:rsid w:val="00BA0ED5"/>
    <w:rsid w:val="00BA1077"/>
    <w:rsid w:val="00BA2A27"/>
    <w:rsid w:val="00BA2B0B"/>
    <w:rsid w:val="00BA2B81"/>
    <w:rsid w:val="00BA3299"/>
    <w:rsid w:val="00BA3529"/>
    <w:rsid w:val="00BA46BB"/>
    <w:rsid w:val="00BA4B7C"/>
    <w:rsid w:val="00BA7B5F"/>
    <w:rsid w:val="00BA7D82"/>
    <w:rsid w:val="00BA7EFA"/>
    <w:rsid w:val="00BB0014"/>
    <w:rsid w:val="00BB006A"/>
    <w:rsid w:val="00BB0B88"/>
    <w:rsid w:val="00BB16AF"/>
    <w:rsid w:val="00BB1957"/>
    <w:rsid w:val="00BB23D1"/>
    <w:rsid w:val="00BB378B"/>
    <w:rsid w:val="00BB441B"/>
    <w:rsid w:val="00BB4F63"/>
    <w:rsid w:val="00BB4FB7"/>
    <w:rsid w:val="00BB5BB6"/>
    <w:rsid w:val="00BB672C"/>
    <w:rsid w:val="00BC1027"/>
    <w:rsid w:val="00BC2300"/>
    <w:rsid w:val="00BC29B6"/>
    <w:rsid w:val="00BC37F2"/>
    <w:rsid w:val="00BC4977"/>
    <w:rsid w:val="00BC504C"/>
    <w:rsid w:val="00BC56F3"/>
    <w:rsid w:val="00BC61D2"/>
    <w:rsid w:val="00BD2364"/>
    <w:rsid w:val="00BD6182"/>
    <w:rsid w:val="00BD6ABF"/>
    <w:rsid w:val="00BE5F85"/>
    <w:rsid w:val="00BE640F"/>
    <w:rsid w:val="00BE6E9D"/>
    <w:rsid w:val="00BE72F6"/>
    <w:rsid w:val="00BE7453"/>
    <w:rsid w:val="00BF02BC"/>
    <w:rsid w:val="00BF04A6"/>
    <w:rsid w:val="00BF3B18"/>
    <w:rsid w:val="00BF483F"/>
    <w:rsid w:val="00BF4A83"/>
    <w:rsid w:val="00C00B09"/>
    <w:rsid w:val="00C03711"/>
    <w:rsid w:val="00C04050"/>
    <w:rsid w:val="00C04995"/>
    <w:rsid w:val="00C054C6"/>
    <w:rsid w:val="00C061E3"/>
    <w:rsid w:val="00C07B9E"/>
    <w:rsid w:val="00C07C17"/>
    <w:rsid w:val="00C10205"/>
    <w:rsid w:val="00C126D6"/>
    <w:rsid w:val="00C14B40"/>
    <w:rsid w:val="00C15BD9"/>
    <w:rsid w:val="00C17D93"/>
    <w:rsid w:val="00C22B66"/>
    <w:rsid w:val="00C233AE"/>
    <w:rsid w:val="00C236B1"/>
    <w:rsid w:val="00C244AD"/>
    <w:rsid w:val="00C2506C"/>
    <w:rsid w:val="00C256E7"/>
    <w:rsid w:val="00C303CC"/>
    <w:rsid w:val="00C32785"/>
    <w:rsid w:val="00C34F71"/>
    <w:rsid w:val="00C36312"/>
    <w:rsid w:val="00C415B0"/>
    <w:rsid w:val="00C41766"/>
    <w:rsid w:val="00C42484"/>
    <w:rsid w:val="00C426E9"/>
    <w:rsid w:val="00C458FE"/>
    <w:rsid w:val="00C460C1"/>
    <w:rsid w:val="00C4770B"/>
    <w:rsid w:val="00C50B97"/>
    <w:rsid w:val="00C51AC7"/>
    <w:rsid w:val="00C52467"/>
    <w:rsid w:val="00C52FE5"/>
    <w:rsid w:val="00C555AF"/>
    <w:rsid w:val="00C577D7"/>
    <w:rsid w:val="00C614AF"/>
    <w:rsid w:val="00C61D53"/>
    <w:rsid w:val="00C62A07"/>
    <w:rsid w:val="00C63178"/>
    <w:rsid w:val="00C651A4"/>
    <w:rsid w:val="00C657E0"/>
    <w:rsid w:val="00C659BE"/>
    <w:rsid w:val="00C66177"/>
    <w:rsid w:val="00C6675E"/>
    <w:rsid w:val="00C66C04"/>
    <w:rsid w:val="00C67296"/>
    <w:rsid w:val="00C674DD"/>
    <w:rsid w:val="00C6770B"/>
    <w:rsid w:val="00C67FA4"/>
    <w:rsid w:val="00C70094"/>
    <w:rsid w:val="00C70620"/>
    <w:rsid w:val="00C708B7"/>
    <w:rsid w:val="00C71E6C"/>
    <w:rsid w:val="00C7287B"/>
    <w:rsid w:val="00C73B29"/>
    <w:rsid w:val="00C74E09"/>
    <w:rsid w:val="00C7609E"/>
    <w:rsid w:val="00C8009A"/>
    <w:rsid w:val="00C807EA"/>
    <w:rsid w:val="00C80A31"/>
    <w:rsid w:val="00C80BDE"/>
    <w:rsid w:val="00C81AAA"/>
    <w:rsid w:val="00C83657"/>
    <w:rsid w:val="00C83819"/>
    <w:rsid w:val="00C83F28"/>
    <w:rsid w:val="00C846D4"/>
    <w:rsid w:val="00C84860"/>
    <w:rsid w:val="00C85C5C"/>
    <w:rsid w:val="00C9127A"/>
    <w:rsid w:val="00C91A04"/>
    <w:rsid w:val="00C9398D"/>
    <w:rsid w:val="00C95182"/>
    <w:rsid w:val="00CA0267"/>
    <w:rsid w:val="00CA043C"/>
    <w:rsid w:val="00CA06D4"/>
    <w:rsid w:val="00CA341B"/>
    <w:rsid w:val="00CA3522"/>
    <w:rsid w:val="00CA39A6"/>
    <w:rsid w:val="00CA4B9B"/>
    <w:rsid w:val="00CA6C31"/>
    <w:rsid w:val="00CB099D"/>
    <w:rsid w:val="00CB1B13"/>
    <w:rsid w:val="00CB1E40"/>
    <w:rsid w:val="00CB30B3"/>
    <w:rsid w:val="00CB38CE"/>
    <w:rsid w:val="00CB4340"/>
    <w:rsid w:val="00CB59D8"/>
    <w:rsid w:val="00CB6D83"/>
    <w:rsid w:val="00CC1883"/>
    <w:rsid w:val="00CC2FF6"/>
    <w:rsid w:val="00CC398F"/>
    <w:rsid w:val="00CC49AD"/>
    <w:rsid w:val="00CC702A"/>
    <w:rsid w:val="00CC7A06"/>
    <w:rsid w:val="00CD02F1"/>
    <w:rsid w:val="00CD0635"/>
    <w:rsid w:val="00CD1315"/>
    <w:rsid w:val="00CD232E"/>
    <w:rsid w:val="00CD31E1"/>
    <w:rsid w:val="00CD3BE0"/>
    <w:rsid w:val="00CD57FC"/>
    <w:rsid w:val="00CD79BC"/>
    <w:rsid w:val="00CE1392"/>
    <w:rsid w:val="00CE1D69"/>
    <w:rsid w:val="00CE2E71"/>
    <w:rsid w:val="00CE3CDB"/>
    <w:rsid w:val="00CE4E17"/>
    <w:rsid w:val="00CE7771"/>
    <w:rsid w:val="00CE7AD5"/>
    <w:rsid w:val="00CF1F1C"/>
    <w:rsid w:val="00CF29E8"/>
    <w:rsid w:val="00CF344B"/>
    <w:rsid w:val="00CF348D"/>
    <w:rsid w:val="00CF634A"/>
    <w:rsid w:val="00CF6D8D"/>
    <w:rsid w:val="00CF7681"/>
    <w:rsid w:val="00D01A25"/>
    <w:rsid w:val="00D0280E"/>
    <w:rsid w:val="00D03349"/>
    <w:rsid w:val="00D0475B"/>
    <w:rsid w:val="00D073FA"/>
    <w:rsid w:val="00D07EDF"/>
    <w:rsid w:val="00D1086A"/>
    <w:rsid w:val="00D13448"/>
    <w:rsid w:val="00D14B3C"/>
    <w:rsid w:val="00D159E3"/>
    <w:rsid w:val="00D17064"/>
    <w:rsid w:val="00D2377E"/>
    <w:rsid w:val="00D245F8"/>
    <w:rsid w:val="00D25E8F"/>
    <w:rsid w:val="00D2605D"/>
    <w:rsid w:val="00D30BDC"/>
    <w:rsid w:val="00D34962"/>
    <w:rsid w:val="00D35833"/>
    <w:rsid w:val="00D3633E"/>
    <w:rsid w:val="00D370FA"/>
    <w:rsid w:val="00D37431"/>
    <w:rsid w:val="00D41507"/>
    <w:rsid w:val="00D41E18"/>
    <w:rsid w:val="00D42688"/>
    <w:rsid w:val="00D42A8D"/>
    <w:rsid w:val="00D42F1A"/>
    <w:rsid w:val="00D44DC8"/>
    <w:rsid w:val="00D51502"/>
    <w:rsid w:val="00D51699"/>
    <w:rsid w:val="00D51DBF"/>
    <w:rsid w:val="00D53BF9"/>
    <w:rsid w:val="00D558AC"/>
    <w:rsid w:val="00D5681E"/>
    <w:rsid w:val="00D56A34"/>
    <w:rsid w:val="00D577C5"/>
    <w:rsid w:val="00D57D6A"/>
    <w:rsid w:val="00D648BF"/>
    <w:rsid w:val="00D64D9E"/>
    <w:rsid w:val="00D6651D"/>
    <w:rsid w:val="00D6777E"/>
    <w:rsid w:val="00D73359"/>
    <w:rsid w:val="00D73A4B"/>
    <w:rsid w:val="00D74FBF"/>
    <w:rsid w:val="00D756CE"/>
    <w:rsid w:val="00D803DD"/>
    <w:rsid w:val="00D8085E"/>
    <w:rsid w:val="00D80EFD"/>
    <w:rsid w:val="00D820B1"/>
    <w:rsid w:val="00D859F6"/>
    <w:rsid w:val="00D9043D"/>
    <w:rsid w:val="00D92A94"/>
    <w:rsid w:val="00D93323"/>
    <w:rsid w:val="00D93740"/>
    <w:rsid w:val="00D9414A"/>
    <w:rsid w:val="00D946DB"/>
    <w:rsid w:val="00D955E9"/>
    <w:rsid w:val="00D966B2"/>
    <w:rsid w:val="00D96ED4"/>
    <w:rsid w:val="00D9794B"/>
    <w:rsid w:val="00DA01E8"/>
    <w:rsid w:val="00DA07EE"/>
    <w:rsid w:val="00DA0CDE"/>
    <w:rsid w:val="00DA216F"/>
    <w:rsid w:val="00DA24FF"/>
    <w:rsid w:val="00DA2A5F"/>
    <w:rsid w:val="00DA2C73"/>
    <w:rsid w:val="00DA4B00"/>
    <w:rsid w:val="00DA515B"/>
    <w:rsid w:val="00DA659A"/>
    <w:rsid w:val="00DB21C4"/>
    <w:rsid w:val="00DB2F55"/>
    <w:rsid w:val="00DB52A7"/>
    <w:rsid w:val="00DB5CE9"/>
    <w:rsid w:val="00DB773C"/>
    <w:rsid w:val="00DC2640"/>
    <w:rsid w:val="00DC2754"/>
    <w:rsid w:val="00DC33A9"/>
    <w:rsid w:val="00DC4DED"/>
    <w:rsid w:val="00DC56A4"/>
    <w:rsid w:val="00DC6B99"/>
    <w:rsid w:val="00DC727F"/>
    <w:rsid w:val="00DC7311"/>
    <w:rsid w:val="00DD0264"/>
    <w:rsid w:val="00DD22F3"/>
    <w:rsid w:val="00DD29CA"/>
    <w:rsid w:val="00DD2DFC"/>
    <w:rsid w:val="00DD2E7C"/>
    <w:rsid w:val="00DD4942"/>
    <w:rsid w:val="00DD5B8F"/>
    <w:rsid w:val="00DE16B7"/>
    <w:rsid w:val="00DE1732"/>
    <w:rsid w:val="00DE3FAC"/>
    <w:rsid w:val="00DE4988"/>
    <w:rsid w:val="00DE58C0"/>
    <w:rsid w:val="00DE5EC3"/>
    <w:rsid w:val="00DE626C"/>
    <w:rsid w:val="00DE7A1B"/>
    <w:rsid w:val="00DF0B07"/>
    <w:rsid w:val="00DF0E21"/>
    <w:rsid w:val="00DF0F44"/>
    <w:rsid w:val="00DF19AA"/>
    <w:rsid w:val="00DF1F00"/>
    <w:rsid w:val="00DF262B"/>
    <w:rsid w:val="00DF2F0E"/>
    <w:rsid w:val="00DF3E22"/>
    <w:rsid w:val="00DF6AC0"/>
    <w:rsid w:val="00DF7A9E"/>
    <w:rsid w:val="00E000A9"/>
    <w:rsid w:val="00E00B79"/>
    <w:rsid w:val="00E011D8"/>
    <w:rsid w:val="00E016DB"/>
    <w:rsid w:val="00E01934"/>
    <w:rsid w:val="00E024B5"/>
    <w:rsid w:val="00E03BAA"/>
    <w:rsid w:val="00E04C26"/>
    <w:rsid w:val="00E05141"/>
    <w:rsid w:val="00E051BD"/>
    <w:rsid w:val="00E0554C"/>
    <w:rsid w:val="00E0554F"/>
    <w:rsid w:val="00E05927"/>
    <w:rsid w:val="00E0684E"/>
    <w:rsid w:val="00E076CE"/>
    <w:rsid w:val="00E07917"/>
    <w:rsid w:val="00E079EC"/>
    <w:rsid w:val="00E128B9"/>
    <w:rsid w:val="00E136F0"/>
    <w:rsid w:val="00E155E5"/>
    <w:rsid w:val="00E16A96"/>
    <w:rsid w:val="00E17F17"/>
    <w:rsid w:val="00E200ED"/>
    <w:rsid w:val="00E2029E"/>
    <w:rsid w:val="00E20CB0"/>
    <w:rsid w:val="00E20D40"/>
    <w:rsid w:val="00E22038"/>
    <w:rsid w:val="00E2246C"/>
    <w:rsid w:val="00E22969"/>
    <w:rsid w:val="00E22FAF"/>
    <w:rsid w:val="00E23DB0"/>
    <w:rsid w:val="00E24662"/>
    <w:rsid w:val="00E248F3"/>
    <w:rsid w:val="00E24BF8"/>
    <w:rsid w:val="00E2582F"/>
    <w:rsid w:val="00E2594E"/>
    <w:rsid w:val="00E259DB"/>
    <w:rsid w:val="00E3052B"/>
    <w:rsid w:val="00E306CC"/>
    <w:rsid w:val="00E311CA"/>
    <w:rsid w:val="00E31DDB"/>
    <w:rsid w:val="00E3272A"/>
    <w:rsid w:val="00E33920"/>
    <w:rsid w:val="00E34CF9"/>
    <w:rsid w:val="00E35309"/>
    <w:rsid w:val="00E367A1"/>
    <w:rsid w:val="00E402C8"/>
    <w:rsid w:val="00E4180C"/>
    <w:rsid w:val="00E42171"/>
    <w:rsid w:val="00E42815"/>
    <w:rsid w:val="00E4672F"/>
    <w:rsid w:val="00E5051D"/>
    <w:rsid w:val="00E50946"/>
    <w:rsid w:val="00E524A4"/>
    <w:rsid w:val="00E52BB8"/>
    <w:rsid w:val="00E55C40"/>
    <w:rsid w:val="00E56129"/>
    <w:rsid w:val="00E56701"/>
    <w:rsid w:val="00E628E9"/>
    <w:rsid w:val="00E631C2"/>
    <w:rsid w:val="00E635BC"/>
    <w:rsid w:val="00E64D52"/>
    <w:rsid w:val="00E65247"/>
    <w:rsid w:val="00E6579C"/>
    <w:rsid w:val="00E677EB"/>
    <w:rsid w:val="00E7242D"/>
    <w:rsid w:val="00E724EF"/>
    <w:rsid w:val="00E734FA"/>
    <w:rsid w:val="00E73948"/>
    <w:rsid w:val="00E77F5F"/>
    <w:rsid w:val="00E801C6"/>
    <w:rsid w:val="00E81045"/>
    <w:rsid w:val="00E828FD"/>
    <w:rsid w:val="00E82E7E"/>
    <w:rsid w:val="00E83687"/>
    <w:rsid w:val="00E85B06"/>
    <w:rsid w:val="00E8604B"/>
    <w:rsid w:val="00E87543"/>
    <w:rsid w:val="00E92B81"/>
    <w:rsid w:val="00E94BD2"/>
    <w:rsid w:val="00EA02F6"/>
    <w:rsid w:val="00EA0584"/>
    <w:rsid w:val="00EA1856"/>
    <w:rsid w:val="00EA2061"/>
    <w:rsid w:val="00EA2155"/>
    <w:rsid w:val="00EA28EF"/>
    <w:rsid w:val="00EA46E4"/>
    <w:rsid w:val="00EA4FC8"/>
    <w:rsid w:val="00EA6BEA"/>
    <w:rsid w:val="00EA7607"/>
    <w:rsid w:val="00EB4600"/>
    <w:rsid w:val="00EB6570"/>
    <w:rsid w:val="00EB6E1E"/>
    <w:rsid w:val="00EB754A"/>
    <w:rsid w:val="00EB7B04"/>
    <w:rsid w:val="00EC1672"/>
    <w:rsid w:val="00EC1867"/>
    <w:rsid w:val="00EC1A7A"/>
    <w:rsid w:val="00EC35DF"/>
    <w:rsid w:val="00EC4A41"/>
    <w:rsid w:val="00EC66AB"/>
    <w:rsid w:val="00EC739E"/>
    <w:rsid w:val="00ED1035"/>
    <w:rsid w:val="00ED142A"/>
    <w:rsid w:val="00ED38C1"/>
    <w:rsid w:val="00ED46C4"/>
    <w:rsid w:val="00ED47BB"/>
    <w:rsid w:val="00ED5C69"/>
    <w:rsid w:val="00EE018E"/>
    <w:rsid w:val="00EE076C"/>
    <w:rsid w:val="00EE14A4"/>
    <w:rsid w:val="00EE4270"/>
    <w:rsid w:val="00EE60D1"/>
    <w:rsid w:val="00EE758E"/>
    <w:rsid w:val="00EF0776"/>
    <w:rsid w:val="00EF124E"/>
    <w:rsid w:val="00EF1808"/>
    <w:rsid w:val="00EF19F2"/>
    <w:rsid w:val="00EF1F03"/>
    <w:rsid w:val="00EF227F"/>
    <w:rsid w:val="00EF2A4E"/>
    <w:rsid w:val="00EF7C84"/>
    <w:rsid w:val="00F00D8B"/>
    <w:rsid w:val="00F02DBA"/>
    <w:rsid w:val="00F0429E"/>
    <w:rsid w:val="00F04F27"/>
    <w:rsid w:val="00F05096"/>
    <w:rsid w:val="00F05F3E"/>
    <w:rsid w:val="00F0617A"/>
    <w:rsid w:val="00F0724D"/>
    <w:rsid w:val="00F11D43"/>
    <w:rsid w:val="00F11F17"/>
    <w:rsid w:val="00F11F38"/>
    <w:rsid w:val="00F1203C"/>
    <w:rsid w:val="00F12125"/>
    <w:rsid w:val="00F14B2C"/>
    <w:rsid w:val="00F153CF"/>
    <w:rsid w:val="00F16A58"/>
    <w:rsid w:val="00F176F4"/>
    <w:rsid w:val="00F22C5F"/>
    <w:rsid w:val="00F268FB"/>
    <w:rsid w:val="00F3075A"/>
    <w:rsid w:val="00F32114"/>
    <w:rsid w:val="00F32730"/>
    <w:rsid w:val="00F332D8"/>
    <w:rsid w:val="00F35166"/>
    <w:rsid w:val="00F35479"/>
    <w:rsid w:val="00F36D67"/>
    <w:rsid w:val="00F429BE"/>
    <w:rsid w:val="00F45123"/>
    <w:rsid w:val="00F45A97"/>
    <w:rsid w:val="00F476C0"/>
    <w:rsid w:val="00F479CE"/>
    <w:rsid w:val="00F47F82"/>
    <w:rsid w:val="00F50233"/>
    <w:rsid w:val="00F511F7"/>
    <w:rsid w:val="00F51E1B"/>
    <w:rsid w:val="00F5466E"/>
    <w:rsid w:val="00F55A41"/>
    <w:rsid w:val="00F5657C"/>
    <w:rsid w:val="00F569F5"/>
    <w:rsid w:val="00F56B36"/>
    <w:rsid w:val="00F5789E"/>
    <w:rsid w:val="00F6058D"/>
    <w:rsid w:val="00F610B2"/>
    <w:rsid w:val="00F63650"/>
    <w:rsid w:val="00F639CE"/>
    <w:rsid w:val="00F6435A"/>
    <w:rsid w:val="00F65A88"/>
    <w:rsid w:val="00F65EBB"/>
    <w:rsid w:val="00F66E95"/>
    <w:rsid w:val="00F67181"/>
    <w:rsid w:val="00F67944"/>
    <w:rsid w:val="00F67A3C"/>
    <w:rsid w:val="00F7076D"/>
    <w:rsid w:val="00F725AC"/>
    <w:rsid w:val="00F75168"/>
    <w:rsid w:val="00F7520F"/>
    <w:rsid w:val="00F81109"/>
    <w:rsid w:val="00F83080"/>
    <w:rsid w:val="00F83BCE"/>
    <w:rsid w:val="00F84914"/>
    <w:rsid w:val="00F84D1B"/>
    <w:rsid w:val="00F84F04"/>
    <w:rsid w:val="00F9085E"/>
    <w:rsid w:val="00F9577D"/>
    <w:rsid w:val="00F965D1"/>
    <w:rsid w:val="00F96822"/>
    <w:rsid w:val="00F96C90"/>
    <w:rsid w:val="00F97B65"/>
    <w:rsid w:val="00F97F32"/>
    <w:rsid w:val="00FA0302"/>
    <w:rsid w:val="00FA17D9"/>
    <w:rsid w:val="00FA216E"/>
    <w:rsid w:val="00FA7027"/>
    <w:rsid w:val="00FA743C"/>
    <w:rsid w:val="00FB0F6A"/>
    <w:rsid w:val="00FB1F4A"/>
    <w:rsid w:val="00FB2B09"/>
    <w:rsid w:val="00FB353E"/>
    <w:rsid w:val="00FB3BFD"/>
    <w:rsid w:val="00FB40C8"/>
    <w:rsid w:val="00FB4E11"/>
    <w:rsid w:val="00FC0293"/>
    <w:rsid w:val="00FC1C19"/>
    <w:rsid w:val="00FC39FE"/>
    <w:rsid w:val="00FC40D1"/>
    <w:rsid w:val="00FC41E9"/>
    <w:rsid w:val="00FC4789"/>
    <w:rsid w:val="00FC5AA1"/>
    <w:rsid w:val="00FC64D1"/>
    <w:rsid w:val="00FC6DC3"/>
    <w:rsid w:val="00FC7329"/>
    <w:rsid w:val="00FC7998"/>
    <w:rsid w:val="00FD12B8"/>
    <w:rsid w:val="00FD2F2B"/>
    <w:rsid w:val="00FD3502"/>
    <w:rsid w:val="00FD434F"/>
    <w:rsid w:val="00FD44FD"/>
    <w:rsid w:val="00FD579B"/>
    <w:rsid w:val="00FD7CD3"/>
    <w:rsid w:val="00FE237E"/>
    <w:rsid w:val="00FE378C"/>
    <w:rsid w:val="00FF06EF"/>
    <w:rsid w:val="00FF0C62"/>
    <w:rsid w:val="00FF0D26"/>
    <w:rsid w:val="00FF28A1"/>
    <w:rsid w:val="00FF398F"/>
    <w:rsid w:val="00FF3A35"/>
    <w:rsid w:val="00FF479E"/>
    <w:rsid w:val="00FF62F9"/>
    <w:rsid w:val="0150AE35"/>
    <w:rsid w:val="0BCDA0C1"/>
    <w:rsid w:val="0D360C5D"/>
    <w:rsid w:val="0E60752D"/>
    <w:rsid w:val="16406974"/>
    <w:rsid w:val="16638EF4"/>
    <w:rsid w:val="2052A7CD"/>
    <w:rsid w:val="20B66DC1"/>
    <w:rsid w:val="286470E5"/>
    <w:rsid w:val="2F39FFC6"/>
    <w:rsid w:val="40F0E802"/>
    <w:rsid w:val="43F70A4F"/>
    <w:rsid w:val="4755C559"/>
    <w:rsid w:val="48509ECE"/>
    <w:rsid w:val="4E575934"/>
    <w:rsid w:val="5224977E"/>
    <w:rsid w:val="536E5007"/>
    <w:rsid w:val="646B2FB3"/>
    <w:rsid w:val="6CA9C398"/>
    <w:rsid w:val="70AFDCB1"/>
    <w:rsid w:val="75E65A41"/>
    <w:rsid w:val="7996045A"/>
    <w:rsid w:val="7FC86D55"/>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E7819"/>
  <w15:docId w15:val="{168D1B87-DFE6-4CF6-B27E-2761F7263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229E"/>
    <w:pPr>
      <w:jc w:val="both"/>
    </w:pPr>
  </w:style>
  <w:style w:type="paragraph" w:styleId="Heading1">
    <w:name w:val="heading 1"/>
    <w:basedOn w:val="Normal"/>
    <w:next w:val="Normal"/>
    <w:link w:val="Heading1Char"/>
    <w:autoRedefine/>
    <w:uiPriority w:val="9"/>
    <w:qFormat/>
    <w:rsid w:val="003A0138"/>
    <w:pPr>
      <w:keepNext/>
      <w:keepLines/>
      <w:numPr>
        <w:numId w:val="3"/>
      </w:numPr>
      <w:spacing w:before="240" w:after="0" w:line="240" w:lineRule="auto"/>
      <w:outlineLvl w:val="0"/>
    </w:pPr>
    <w:rPr>
      <w:rFonts w:eastAsiaTheme="majorEastAsia" w:cstheme="majorBidi"/>
      <w:b/>
      <w:sz w:val="32"/>
      <w:szCs w:val="32"/>
    </w:rPr>
  </w:style>
  <w:style w:type="paragraph" w:styleId="Heading2">
    <w:name w:val="heading 2"/>
    <w:basedOn w:val="Normal"/>
    <w:next w:val="Normal"/>
    <w:link w:val="Heading2Char"/>
    <w:autoRedefine/>
    <w:uiPriority w:val="9"/>
    <w:unhideWhenUsed/>
    <w:qFormat/>
    <w:rsid w:val="00C62A07"/>
    <w:pPr>
      <w:keepNext/>
      <w:keepLines/>
      <w:numPr>
        <w:ilvl w:val="1"/>
        <w:numId w:val="3"/>
      </w:numPr>
      <w:spacing w:before="40" w:line="276" w:lineRule="auto"/>
      <w:outlineLvl w:val="1"/>
    </w:pPr>
    <w:rPr>
      <w:rFonts w:eastAsiaTheme="majorEastAsia" w:cstheme="majorBidi"/>
      <w:b/>
      <w:sz w:val="24"/>
      <w:szCs w:val="26"/>
    </w:rPr>
  </w:style>
  <w:style w:type="paragraph" w:styleId="Heading3">
    <w:name w:val="heading 3"/>
    <w:basedOn w:val="Normal"/>
    <w:next w:val="Normal"/>
    <w:link w:val="Heading3Char"/>
    <w:autoRedefine/>
    <w:uiPriority w:val="9"/>
    <w:unhideWhenUsed/>
    <w:qFormat/>
    <w:rsid w:val="00103449"/>
    <w:pPr>
      <w:keepNext/>
      <w:keepLines/>
      <w:numPr>
        <w:ilvl w:val="2"/>
        <w:numId w:val="2"/>
      </w:numPr>
      <w:spacing w:before="40"/>
      <w:outlineLvl w:val="2"/>
    </w:pPr>
    <w:rPr>
      <w:rFonts w:eastAsiaTheme="majorEastAsia" w:cstheme="majorBidi"/>
      <w:b/>
      <w:sz w:val="24"/>
      <w:szCs w:val="24"/>
    </w:rPr>
  </w:style>
  <w:style w:type="paragraph" w:styleId="Heading4">
    <w:name w:val="heading 4"/>
    <w:basedOn w:val="Normal"/>
    <w:next w:val="Normal"/>
    <w:link w:val="Heading4Char"/>
    <w:autoRedefine/>
    <w:uiPriority w:val="9"/>
    <w:unhideWhenUsed/>
    <w:qFormat/>
    <w:rsid w:val="00103449"/>
    <w:pPr>
      <w:keepNext/>
      <w:keepLines/>
      <w:numPr>
        <w:ilvl w:val="3"/>
        <w:numId w:val="2"/>
      </w:numPr>
      <w:spacing w:before="40" w:line="240" w:lineRule="auto"/>
      <w:outlineLvl w:val="3"/>
    </w:pPr>
    <w:rPr>
      <w:rFonts w:asciiTheme="majorHAnsi" w:eastAsiaTheme="majorEastAsia" w:hAnsiTheme="majorHAnsi" w:cstheme="majorBidi"/>
      <w:b/>
      <w:bCs/>
      <w:iCs/>
      <w:sz w:val="24"/>
    </w:rPr>
  </w:style>
  <w:style w:type="paragraph" w:styleId="Heading5">
    <w:name w:val="heading 5"/>
    <w:basedOn w:val="Normal"/>
    <w:next w:val="Normal"/>
    <w:link w:val="Heading5Char"/>
    <w:uiPriority w:val="9"/>
    <w:unhideWhenUsed/>
    <w:qFormat/>
    <w:rsid w:val="00EF0776"/>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EF0776"/>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EF0776"/>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EF0776"/>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EF0776"/>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0138"/>
    <w:rPr>
      <w:rFonts w:eastAsiaTheme="majorEastAsia" w:cstheme="majorBidi"/>
      <w:b/>
      <w:sz w:val="32"/>
      <w:szCs w:val="32"/>
    </w:rPr>
  </w:style>
  <w:style w:type="character" w:customStyle="1" w:styleId="Heading2Char">
    <w:name w:val="Heading 2 Char"/>
    <w:basedOn w:val="DefaultParagraphFont"/>
    <w:link w:val="Heading2"/>
    <w:uiPriority w:val="9"/>
    <w:rsid w:val="00C62A07"/>
    <w:rPr>
      <w:rFonts w:eastAsiaTheme="majorEastAsia" w:cstheme="majorBidi"/>
      <w:b/>
      <w:sz w:val="24"/>
      <w:szCs w:val="26"/>
    </w:rPr>
  </w:style>
  <w:style w:type="character" w:customStyle="1" w:styleId="Heading3Char">
    <w:name w:val="Heading 3 Char"/>
    <w:basedOn w:val="DefaultParagraphFont"/>
    <w:link w:val="Heading3"/>
    <w:uiPriority w:val="9"/>
    <w:rsid w:val="00103449"/>
    <w:rPr>
      <w:rFonts w:eastAsiaTheme="majorEastAsia" w:cstheme="majorBidi"/>
      <w:b/>
      <w:sz w:val="24"/>
      <w:szCs w:val="24"/>
    </w:rPr>
  </w:style>
  <w:style w:type="character" w:customStyle="1" w:styleId="Heading4Char">
    <w:name w:val="Heading 4 Char"/>
    <w:basedOn w:val="DefaultParagraphFont"/>
    <w:link w:val="Heading4"/>
    <w:uiPriority w:val="9"/>
    <w:rsid w:val="00103449"/>
    <w:rPr>
      <w:rFonts w:asciiTheme="majorHAnsi" w:eastAsiaTheme="majorEastAsia" w:hAnsiTheme="majorHAnsi" w:cstheme="majorBidi"/>
      <w:b/>
      <w:bCs/>
      <w:iCs/>
      <w:sz w:val="24"/>
    </w:rPr>
  </w:style>
  <w:style w:type="paragraph" w:styleId="ListParagraph">
    <w:name w:val="List Paragraph"/>
    <w:basedOn w:val="Normal"/>
    <w:uiPriority w:val="34"/>
    <w:qFormat/>
    <w:rsid w:val="00EA6BEA"/>
    <w:pPr>
      <w:ind w:left="720"/>
      <w:contextualSpacing/>
      <w:jc w:val="left"/>
    </w:pPr>
  </w:style>
  <w:style w:type="character" w:styleId="CommentReference">
    <w:name w:val="annotation reference"/>
    <w:basedOn w:val="DefaultParagraphFont"/>
    <w:uiPriority w:val="99"/>
    <w:unhideWhenUsed/>
    <w:rsid w:val="00EA6BEA"/>
    <w:rPr>
      <w:sz w:val="16"/>
      <w:szCs w:val="16"/>
    </w:rPr>
  </w:style>
  <w:style w:type="paragraph" w:styleId="CommentText">
    <w:name w:val="annotation text"/>
    <w:basedOn w:val="Normal"/>
    <w:link w:val="CommentTextChar"/>
    <w:uiPriority w:val="99"/>
    <w:unhideWhenUsed/>
    <w:rsid w:val="00EA6BEA"/>
    <w:pPr>
      <w:spacing w:line="240" w:lineRule="auto"/>
      <w:jc w:val="left"/>
    </w:pPr>
    <w:rPr>
      <w:sz w:val="20"/>
      <w:szCs w:val="20"/>
    </w:rPr>
  </w:style>
  <w:style w:type="character" w:customStyle="1" w:styleId="CommentTextChar">
    <w:name w:val="Comment Text Char"/>
    <w:basedOn w:val="DefaultParagraphFont"/>
    <w:link w:val="CommentText"/>
    <w:uiPriority w:val="99"/>
    <w:rsid w:val="00EA6BEA"/>
    <w:rPr>
      <w:sz w:val="20"/>
      <w:szCs w:val="20"/>
    </w:rPr>
  </w:style>
  <w:style w:type="paragraph" w:styleId="FootnoteText">
    <w:name w:val="footnote text"/>
    <w:aliases w:val="Footnote Text - Preamble,Char,Char2,Footnote Text - Preamble1,Char3,Char11,Footnote Text - Preamble2,Char21,Footnote Text - Preamble11,Char4,Char5,Footnote Text - Preamble3,Char6,Footnote Text - Preamble4,Char7,Char12,Char1"/>
    <w:basedOn w:val="Normal"/>
    <w:link w:val="FootnoteTextChar"/>
    <w:uiPriority w:val="99"/>
    <w:unhideWhenUsed/>
    <w:rsid w:val="00EA6BEA"/>
    <w:pPr>
      <w:spacing w:after="0" w:line="240" w:lineRule="auto"/>
      <w:jc w:val="left"/>
    </w:pPr>
    <w:rPr>
      <w:sz w:val="20"/>
      <w:szCs w:val="20"/>
    </w:rPr>
  </w:style>
  <w:style w:type="character" w:customStyle="1" w:styleId="FootnoteTextChar">
    <w:name w:val="Footnote Text Char"/>
    <w:aliases w:val="Footnote Text - Preamble Char,Char Char,Char2 Char,Footnote Text - Preamble1 Char,Char3 Char,Char11 Char,Footnote Text - Preamble2 Char,Char21 Char,Footnote Text - Preamble11 Char,Char4 Char,Char5 Char,Footnote Text - Preamble3 Char"/>
    <w:basedOn w:val="DefaultParagraphFont"/>
    <w:link w:val="FootnoteText"/>
    <w:uiPriority w:val="99"/>
    <w:rsid w:val="00EA6BEA"/>
    <w:rPr>
      <w:sz w:val="20"/>
      <w:szCs w:val="20"/>
    </w:rPr>
  </w:style>
  <w:style w:type="character" w:styleId="FootnoteReference">
    <w:name w:val="footnote reference"/>
    <w:basedOn w:val="DefaultParagraphFont"/>
    <w:uiPriority w:val="99"/>
    <w:unhideWhenUsed/>
    <w:rsid w:val="00EA6BEA"/>
    <w:rPr>
      <w:vertAlign w:val="superscript"/>
    </w:rPr>
  </w:style>
  <w:style w:type="paragraph" w:styleId="BalloonText">
    <w:name w:val="Balloon Text"/>
    <w:basedOn w:val="Normal"/>
    <w:link w:val="BalloonTextChar"/>
    <w:uiPriority w:val="99"/>
    <w:unhideWhenUsed/>
    <w:rsid w:val="00EA6B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EA6BEA"/>
    <w:rPr>
      <w:rFonts w:ascii="Segoe UI" w:hAnsi="Segoe UI" w:cs="Segoe UI"/>
      <w:sz w:val="18"/>
      <w:szCs w:val="18"/>
    </w:rPr>
  </w:style>
  <w:style w:type="table" w:customStyle="1" w:styleId="PlainTable31">
    <w:name w:val="Plain Table 31"/>
    <w:basedOn w:val="TableNormal"/>
    <w:uiPriority w:val="43"/>
    <w:rsid w:val="00EA6BE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Hyperlink">
    <w:name w:val="Hyperlink"/>
    <w:basedOn w:val="DefaultParagraphFont"/>
    <w:uiPriority w:val="99"/>
    <w:unhideWhenUsed/>
    <w:rsid w:val="00EA6BEA"/>
    <w:rPr>
      <w:color w:val="0563C1" w:themeColor="hyperlink"/>
      <w:u w:val="single"/>
    </w:rPr>
  </w:style>
  <w:style w:type="paragraph" w:styleId="CommentSubject">
    <w:name w:val="annotation subject"/>
    <w:basedOn w:val="CommentText"/>
    <w:next w:val="CommentText"/>
    <w:link w:val="CommentSubjectChar"/>
    <w:uiPriority w:val="99"/>
    <w:unhideWhenUsed/>
    <w:rsid w:val="00D64D9E"/>
    <w:pPr>
      <w:jc w:val="both"/>
    </w:pPr>
    <w:rPr>
      <w:b/>
      <w:bCs/>
    </w:rPr>
  </w:style>
  <w:style w:type="character" w:customStyle="1" w:styleId="CommentSubjectChar">
    <w:name w:val="Comment Subject Char"/>
    <w:basedOn w:val="CommentTextChar"/>
    <w:link w:val="CommentSubject"/>
    <w:uiPriority w:val="99"/>
    <w:rsid w:val="00D64D9E"/>
    <w:rPr>
      <w:b/>
      <w:bCs/>
      <w:sz w:val="20"/>
      <w:szCs w:val="20"/>
    </w:rPr>
  </w:style>
  <w:style w:type="paragraph" w:styleId="Revision">
    <w:name w:val="Revision"/>
    <w:hidden/>
    <w:uiPriority w:val="99"/>
    <w:semiHidden/>
    <w:rsid w:val="005F1667"/>
    <w:pPr>
      <w:spacing w:after="0" w:line="240" w:lineRule="auto"/>
    </w:pPr>
  </w:style>
  <w:style w:type="character" w:customStyle="1" w:styleId="Heading5Char">
    <w:name w:val="Heading 5 Char"/>
    <w:basedOn w:val="DefaultParagraphFont"/>
    <w:link w:val="Heading5"/>
    <w:uiPriority w:val="9"/>
    <w:rsid w:val="00EF0776"/>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sid w:val="00EF0776"/>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EF0776"/>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EF077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EF0776"/>
    <w:rPr>
      <w:rFonts w:asciiTheme="majorHAnsi" w:eastAsiaTheme="majorEastAsia" w:hAnsiTheme="majorHAnsi" w:cstheme="majorBidi"/>
      <w:i/>
      <w:iCs/>
      <w:color w:val="272727" w:themeColor="text1" w:themeTint="D8"/>
      <w:sz w:val="21"/>
      <w:szCs w:val="21"/>
    </w:rPr>
  </w:style>
  <w:style w:type="paragraph" w:styleId="NoSpacing">
    <w:name w:val="No Spacing"/>
    <w:uiPriority w:val="1"/>
    <w:qFormat/>
    <w:rsid w:val="002E72CE"/>
    <w:pPr>
      <w:spacing w:after="0" w:line="240" w:lineRule="auto"/>
    </w:pPr>
  </w:style>
  <w:style w:type="paragraph" w:styleId="Caption">
    <w:name w:val="caption"/>
    <w:basedOn w:val="Normal"/>
    <w:next w:val="Normal"/>
    <w:uiPriority w:val="35"/>
    <w:unhideWhenUsed/>
    <w:qFormat/>
    <w:rsid w:val="002E72CE"/>
    <w:pPr>
      <w:spacing w:after="200" w:line="240" w:lineRule="auto"/>
    </w:pPr>
    <w:rPr>
      <w:i/>
      <w:iCs/>
      <w:color w:val="44546A" w:themeColor="text2"/>
      <w:sz w:val="18"/>
      <w:szCs w:val="18"/>
    </w:rPr>
  </w:style>
  <w:style w:type="paragraph" w:styleId="Header">
    <w:name w:val="header"/>
    <w:basedOn w:val="Normal"/>
    <w:link w:val="HeaderChar"/>
    <w:uiPriority w:val="99"/>
    <w:unhideWhenUsed/>
    <w:rsid w:val="008741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41B6"/>
  </w:style>
  <w:style w:type="paragraph" w:styleId="Footer">
    <w:name w:val="footer"/>
    <w:basedOn w:val="Normal"/>
    <w:link w:val="FooterChar"/>
    <w:uiPriority w:val="99"/>
    <w:unhideWhenUsed/>
    <w:rsid w:val="008741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41B6"/>
  </w:style>
  <w:style w:type="character" w:styleId="FollowedHyperlink">
    <w:name w:val="FollowedHyperlink"/>
    <w:basedOn w:val="DefaultParagraphFont"/>
    <w:uiPriority w:val="99"/>
    <w:semiHidden/>
    <w:unhideWhenUsed/>
    <w:rsid w:val="001513F7"/>
    <w:rPr>
      <w:color w:val="954F72" w:themeColor="followedHyperlink"/>
      <w:u w:val="single"/>
    </w:rPr>
  </w:style>
  <w:style w:type="character" w:customStyle="1" w:styleId="BodyTextChar">
    <w:name w:val="Body Text Char"/>
    <w:basedOn w:val="DefaultParagraphFont"/>
    <w:link w:val="BodyText"/>
    <w:rsid w:val="009C3957"/>
  </w:style>
  <w:style w:type="paragraph" w:styleId="BodyText">
    <w:name w:val="Body Text"/>
    <w:basedOn w:val="Normal"/>
    <w:link w:val="BodyTextChar"/>
    <w:rsid w:val="009C3957"/>
    <w:pPr>
      <w:tabs>
        <w:tab w:val="left" w:pos="720"/>
        <w:tab w:val="left" w:pos="1080"/>
        <w:tab w:val="left" w:pos="1440"/>
        <w:tab w:val="left" w:pos="1800"/>
      </w:tabs>
      <w:spacing w:before="60" w:after="120" w:line="264" w:lineRule="auto"/>
      <w:jc w:val="left"/>
    </w:pPr>
  </w:style>
  <w:style w:type="character" w:customStyle="1" w:styleId="BodyTextChar1">
    <w:name w:val="Body Text Char1"/>
    <w:basedOn w:val="DefaultParagraphFont"/>
    <w:uiPriority w:val="99"/>
    <w:semiHidden/>
    <w:rsid w:val="009C3957"/>
  </w:style>
  <w:style w:type="table" w:customStyle="1" w:styleId="ListTable1Light-Accent31">
    <w:name w:val="List Table 1 Light - Accent 31"/>
    <w:basedOn w:val="TableNormal"/>
    <w:uiPriority w:val="46"/>
    <w:rsid w:val="00B34DD1"/>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TOCHeading">
    <w:name w:val="TOC Heading"/>
    <w:basedOn w:val="Heading1"/>
    <w:next w:val="Normal"/>
    <w:uiPriority w:val="39"/>
    <w:unhideWhenUsed/>
    <w:qFormat/>
    <w:rsid w:val="008A2A36"/>
    <w:pPr>
      <w:numPr>
        <w:numId w:val="0"/>
      </w:numPr>
      <w:jc w:val="left"/>
      <w:outlineLvl w:val="9"/>
    </w:pPr>
    <w:rPr>
      <w:rFonts w:asciiTheme="majorHAnsi" w:hAnsiTheme="majorHAnsi"/>
      <w:b w:val="0"/>
      <w:color w:val="2E74B5" w:themeColor="accent1" w:themeShade="BF"/>
    </w:rPr>
  </w:style>
  <w:style w:type="paragraph" w:styleId="TOC1">
    <w:name w:val="toc 1"/>
    <w:basedOn w:val="Normal"/>
    <w:next w:val="Normal"/>
    <w:autoRedefine/>
    <w:uiPriority w:val="39"/>
    <w:unhideWhenUsed/>
    <w:rsid w:val="00CE4E17"/>
    <w:pPr>
      <w:tabs>
        <w:tab w:val="left" w:pos="440"/>
        <w:tab w:val="right" w:leader="dot" w:pos="9350"/>
      </w:tabs>
      <w:spacing w:after="100"/>
    </w:pPr>
  </w:style>
  <w:style w:type="paragraph" w:styleId="TOC2">
    <w:name w:val="toc 2"/>
    <w:basedOn w:val="Normal"/>
    <w:next w:val="Normal"/>
    <w:autoRedefine/>
    <w:uiPriority w:val="39"/>
    <w:unhideWhenUsed/>
    <w:rsid w:val="008A2A36"/>
    <w:pPr>
      <w:spacing w:after="100"/>
      <w:ind w:left="220"/>
    </w:pPr>
  </w:style>
  <w:style w:type="paragraph" w:styleId="NormalWeb">
    <w:name w:val="Normal (Web)"/>
    <w:basedOn w:val="Normal"/>
    <w:uiPriority w:val="99"/>
    <w:semiHidden/>
    <w:unhideWhenUsed/>
    <w:rsid w:val="0099211C"/>
    <w:pPr>
      <w:spacing w:before="100" w:beforeAutospacing="1" w:after="100" w:afterAutospacing="1" w:line="240" w:lineRule="auto"/>
      <w:jc w:val="left"/>
    </w:pPr>
    <w:rPr>
      <w:rFonts w:ascii="Times New Roman" w:eastAsia="Times New Roman" w:hAnsi="Times New Roman" w:cs="Times New Roman"/>
      <w:sz w:val="24"/>
      <w:szCs w:val="24"/>
    </w:rPr>
  </w:style>
  <w:style w:type="table" w:styleId="TableGrid">
    <w:name w:val="Table Grid"/>
    <w:basedOn w:val="TableNormal"/>
    <w:rsid w:val="003A01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format2">
    <w:name w:val="format2"/>
    <w:basedOn w:val="TableNormal"/>
    <w:uiPriority w:val="99"/>
    <w:rsid w:val="003A0138"/>
    <w:rPr>
      <w:rFonts w:ascii="Calibri" w:hAnsi="Calibri"/>
      <w:sz w:val="18"/>
    </w:rPr>
    <w:tblPr>
      <w:tblCellMar>
        <w:left w:w="72" w:type="dxa"/>
        <w:right w:w="72" w:type="dxa"/>
      </w:tblCellMar>
    </w:tblPr>
    <w:tblStylePr w:type="firstRow">
      <w:pPr>
        <w:jc w:val="center"/>
      </w:pPr>
      <w:tblPr/>
      <w:tcPr>
        <w:tcBorders>
          <w:top w:val="double" w:sz="4" w:space="0" w:color="auto"/>
          <w:bottom w:val="single" w:sz="6" w:space="0" w:color="auto"/>
        </w:tcBorders>
        <w:vAlign w:val="bottom"/>
      </w:tcPr>
    </w:tblStylePr>
    <w:tblStylePr w:type="lastRow">
      <w:tblPr/>
      <w:tcPr>
        <w:tcBorders>
          <w:bottom w:val="double" w:sz="4" w:space="0" w:color="auto"/>
        </w:tcBorders>
      </w:tcPr>
    </w:tblStylePr>
  </w:style>
  <w:style w:type="paragraph" w:customStyle="1" w:styleId="footnote">
    <w:name w:val="footnote"/>
    <w:basedOn w:val="FootnoteText"/>
    <w:link w:val="footnoteChar"/>
    <w:qFormat/>
    <w:rsid w:val="003A0138"/>
    <w:pPr>
      <w:spacing w:after="160" w:line="276" w:lineRule="auto"/>
      <w:jc w:val="both"/>
    </w:pPr>
    <w:rPr>
      <w:rFonts w:ascii="Calibri" w:hAnsi="Calibri" w:cs="Times New Roman"/>
    </w:rPr>
  </w:style>
  <w:style w:type="character" w:customStyle="1" w:styleId="footnoteChar">
    <w:name w:val="footnote Char"/>
    <w:basedOn w:val="DefaultParagraphFont"/>
    <w:link w:val="footnote"/>
    <w:rsid w:val="003A0138"/>
    <w:rPr>
      <w:rFonts w:ascii="Calibri" w:hAnsi="Calibri" w:cs="Times New Roman"/>
      <w:sz w:val="20"/>
      <w:szCs w:val="20"/>
    </w:rPr>
  </w:style>
  <w:style w:type="numbering" w:customStyle="1" w:styleId="NoList1">
    <w:name w:val="No List1"/>
    <w:next w:val="NoList"/>
    <w:uiPriority w:val="99"/>
    <w:semiHidden/>
    <w:unhideWhenUsed/>
    <w:rsid w:val="003A0138"/>
  </w:style>
  <w:style w:type="paragraph" w:customStyle="1" w:styleId="TableTitleContinued">
    <w:name w:val="Table Title Continued"/>
    <w:basedOn w:val="TableTitle"/>
    <w:rsid w:val="003A0138"/>
    <w:pPr>
      <w:pageBreakBefore/>
      <w:spacing w:before="0"/>
      <w:ind w:left="1267" w:hanging="1267"/>
    </w:pPr>
  </w:style>
  <w:style w:type="paragraph" w:customStyle="1" w:styleId="tabfigsource">
    <w:name w:val="tab/fig source"/>
    <w:basedOn w:val="Normal"/>
    <w:link w:val="tabfigsourceChar"/>
    <w:rsid w:val="003A0138"/>
    <w:pPr>
      <w:keepLines/>
      <w:spacing w:before="120" w:after="240" w:line="276" w:lineRule="auto"/>
      <w:ind w:left="187" w:hanging="187"/>
    </w:pPr>
    <w:rPr>
      <w:rFonts w:ascii="Calibri" w:hAnsi="Calibri"/>
      <w:sz w:val="20"/>
      <w:szCs w:val="20"/>
    </w:rPr>
  </w:style>
  <w:style w:type="paragraph" w:customStyle="1" w:styleId="TableTitle">
    <w:name w:val="Table Title"/>
    <w:basedOn w:val="Normal"/>
    <w:link w:val="TableTitleChar"/>
    <w:rsid w:val="003A0138"/>
    <w:pPr>
      <w:keepNext/>
      <w:keepLines/>
      <w:spacing w:before="240" w:after="240" w:line="276" w:lineRule="auto"/>
      <w:ind w:left="1260" w:hanging="1260"/>
    </w:pPr>
    <w:rPr>
      <w:rFonts w:ascii="Calibri" w:hAnsi="Calibri"/>
      <w:b/>
      <w:szCs w:val="20"/>
    </w:rPr>
  </w:style>
  <w:style w:type="character" w:customStyle="1" w:styleId="TableTitleChar">
    <w:name w:val="Table Title Char"/>
    <w:basedOn w:val="DefaultParagraphFont"/>
    <w:link w:val="TableTitle"/>
    <w:locked/>
    <w:rsid w:val="003A0138"/>
    <w:rPr>
      <w:rFonts w:ascii="Calibri" w:hAnsi="Calibri"/>
      <w:b/>
      <w:szCs w:val="20"/>
    </w:rPr>
  </w:style>
  <w:style w:type="paragraph" w:customStyle="1" w:styleId="TableHeaders">
    <w:name w:val="Table Headers"/>
    <w:basedOn w:val="Normal"/>
    <w:rsid w:val="003A0138"/>
    <w:pPr>
      <w:keepNext/>
      <w:keepLines/>
      <w:spacing w:before="80" w:after="80" w:line="240" w:lineRule="exact"/>
      <w:jc w:val="center"/>
    </w:pPr>
    <w:rPr>
      <w:b/>
      <w:sz w:val="20"/>
      <w:szCs w:val="20"/>
    </w:rPr>
  </w:style>
  <w:style w:type="character" w:customStyle="1" w:styleId="tabfigsourceChar">
    <w:name w:val="tab/fig source Char"/>
    <w:basedOn w:val="DefaultParagraphFont"/>
    <w:link w:val="tabfigsource"/>
    <w:locked/>
    <w:rsid w:val="003A0138"/>
    <w:rPr>
      <w:rFonts w:ascii="Calibri" w:hAnsi="Calibri"/>
      <w:sz w:val="20"/>
      <w:szCs w:val="20"/>
    </w:rPr>
  </w:style>
  <w:style w:type="paragraph" w:customStyle="1" w:styleId="BodyText1">
    <w:name w:val="Body Text1"/>
    <w:aliases w:val="bt,body tx,indent,flush,memo body text,body 4h,body 4equationh,body text"/>
    <w:basedOn w:val="Normal"/>
    <w:link w:val="bodytextChar0"/>
    <w:rsid w:val="003A0138"/>
    <w:pPr>
      <w:spacing w:after="240" w:line="360" w:lineRule="atLeast"/>
      <w:ind w:firstLine="720"/>
    </w:pPr>
    <w:rPr>
      <w:rFonts w:ascii="Calibri" w:hAnsi="Calibri"/>
      <w:szCs w:val="20"/>
    </w:rPr>
  </w:style>
  <w:style w:type="character" w:customStyle="1" w:styleId="bodytextChar0">
    <w:name w:val="body text Char"/>
    <w:aliases w:val="bt Char,body tx Char,indent Char,flush Char"/>
    <w:basedOn w:val="DefaultParagraphFont"/>
    <w:link w:val="BodyText1"/>
    <w:locked/>
    <w:rsid w:val="003A0138"/>
    <w:rPr>
      <w:rFonts w:ascii="Calibri" w:hAnsi="Calibri"/>
      <w:szCs w:val="20"/>
    </w:rPr>
  </w:style>
  <w:style w:type="paragraph" w:customStyle="1" w:styleId="TableText">
    <w:name w:val="Table Text"/>
    <w:basedOn w:val="Normal"/>
    <w:rsid w:val="003A0138"/>
    <w:pPr>
      <w:keepNext/>
      <w:spacing w:before="80" w:after="80" w:line="240" w:lineRule="exact"/>
    </w:pPr>
    <w:rPr>
      <w:rFonts w:ascii="Calibri" w:hAnsi="Calibri"/>
      <w:sz w:val="20"/>
      <w:szCs w:val="20"/>
    </w:rPr>
  </w:style>
  <w:style w:type="paragraph" w:customStyle="1" w:styleId="acontinued">
    <w:name w:val="acontinued"/>
    <w:basedOn w:val="tabfigsource"/>
    <w:qFormat/>
    <w:rsid w:val="003A0138"/>
    <w:pPr>
      <w:spacing w:before="0"/>
      <w:jc w:val="right"/>
    </w:pPr>
  </w:style>
  <w:style w:type="paragraph" w:styleId="Title">
    <w:name w:val="Title"/>
    <w:basedOn w:val="Normal"/>
    <w:next w:val="Normal"/>
    <w:link w:val="TitleChar"/>
    <w:uiPriority w:val="10"/>
    <w:qFormat/>
    <w:rsid w:val="003A0138"/>
    <w:pPr>
      <w:spacing w:before="240" w:line="240" w:lineRule="auto"/>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3A0138"/>
    <w:rPr>
      <w:rFonts w:eastAsiaTheme="majorEastAsia" w:cstheme="majorBidi"/>
      <w:b/>
      <w:spacing w:val="-10"/>
      <w:kern w:val="28"/>
      <w:szCs w:val="56"/>
    </w:rPr>
  </w:style>
  <w:style w:type="character" w:customStyle="1" w:styleId="MTEquationSection">
    <w:name w:val="MTEquationSection"/>
    <w:basedOn w:val="DefaultParagraphFont"/>
    <w:rsid w:val="003A0138"/>
    <w:rPr>
      <w:b/>
      <w:vanish/>
      <w:color w:val="FF0000"/>
      <w:sz w:val="32"/>
      <w:szCs w:val="32"/>
    </w:rPr>
  </w:style>
  <w:style w:type="paragraph" w:styleId="TOC3">
    <w:name w:val="toc 3"/>
    <w:basedOn w:val="Normal"/>
    <w:next w:val="Normal"/>
    <w:autoRedefine/>
    <w:uiPriority w:val="39"/>
    <w:unhideWhenUsed/>
    <w:rsid w:val="003A0138"/>
    <w:pPr>
      <w:spacing w:after="0" w:line="276" w:lineRule="auto"/>
      <w:ind w:left="440"/>
      <w:jc w:val="left"/>
    </w:pPr>
  </w:style>
  <w:style w:type="paragraph" w:styleId="TOC4">
    <w:name w:val="toc 4"/>
    <w:basedOn w:val="Normal"/>
    <w:next w:val="Normal"/>
    <w:autoRedefine/>
    <w:uiPriority w:val="39"/>
    <w:unhideWhenUsed/>
    <w:rsid w:val="003A0138"/>
    <w:pPr>
      <w:spacing w:after="0" w:line="276" w:lineRule="auto"/>
      <w:ind w:left="660"/>
      <w:jc w:val="left"/>
    </w:pPr>
    <w:rPr>
      <w:sz w:val="20"/>
      <w:szCs w:val="20"/>
    </w:rPr>
  </w:style>
  <w:style w:type="paragraph" w:styleId="TOC5">
    <w:name w:val="toc 5"/>
    <w:basedOn w:val="Normal"/>
    <w:next w:val="Normal"/>
    <w:autoRedefine/>
    <w:uiPriority w:val="39"/>
    <w:unhideWhenUsed/>
    <w:rsid w:val="003A0138"/>
    <w:pPr>
      <w:spacing w:after="0" w:line="276" w:lineRule="auto"/>
      <w:ind w:left="880"/>
      <w:jc w:val="left"/>
    </w:pPr>
    <w:rPr>
      <w:sz w:val="20"/>
      <w:szCs w:val="20"/>
    </w:rPr>
  </w:style>
  <w:style w:type="paragraph" w:styleId="TOC6">
    <w:name w:val="toc 6"/>
    <w:basedOn w:val="Normal"/>
    <w:next w:val="Normal"/>
    <w:autoRedefine/>
    <w:uiPriority w:val="39"/>
    <w:unhideWhenUsed/>
    <w:rsid w:val="003A0138"/>
    <w:pPr>
      <w:spacing w:after="0" w:line="276" w:lineRule="auto"/>
      <w:ind w:left="1100"/>
      <w:jc w:val="left"/>
    </w:pPr>
    <w:rPr>
      <w:sz w:val="20"/>
      <w:szCs w:val="20"/>
    </w:rPr>
  </w:style>
  <w:style w:type="paragraph" w:styleId="TOC7">
    <w:name w:val="toc 7"/>
    <w:basedOn w:val="Normal"/>
    <w:next w:val="Normal"/>
    <w:autoRedefine/>
    <w:uiPriority w:val="39"/>
    <w:unhideWhenUsed/>
    <w:rsid w:val="003A0138"/>
    <w:pPr>
      <w:spacing w:after="0" w:line="276" w:lineRule="auto"/>
      <w:ind w:left="1320"/>
      <w:jc w:val="left"/>
    </w:pPr>
    <w:rPr>
      <w:sz w:val="20"/>
      <w:szCs w:val="20"/>
    </w:rPr>
  </w:style>
  <w:style w:type="paragraph" w:styleId="TOC8">
    <w:name w:val="toc 8"/>
    <w:basedOn w:val="Normal"/>
    <w:next w:val="Normal"/>
    <w:autoRedefine/>
    <w:uiPriority w:val="39"/>
    <w:unhideWhenUsed/>
    <w:rsid w:val="003A0138"/>
    <w:pPr>
      <w:spacing w:after="0" w:line="276" w:lineRule="auto"/>
      <w:ind w:left="1540"/>
      <w:jc w:val="left"/>
    </w:pPr>
    <w:rPr>
      <w:sz w:val="20"/>
      <w:szCs w:val="20"/>
    </w:rPr>
  </w:style>
  <w:style w:type="paragraph" w:styleId="TOC9">
    <w:name w:val="toc 9"/>
    <w:basedOn w:val="Normal"/>
    <w:next w:val="Normal"/>
    <w:autoRedefine/>
    <w:uiPriority w:val="39"/>
    <w:unhideWhenUsed/>
    <w:rsid w:val="003A0138"/>
    <w:pPr>
      <w:spacing w:after="0" w:line="276" w:lineRule="auto"/>
      <w:ind w:left="1760"/>
      <w:jc w:val="left"/>
    </w:pPr>
    <w:rPr>
      <w:sz w:val="20"/>
      <w:szCs w:val="20"/>
    </w:rPr>
  </w:style>
  <w:style w:type="paragraph" w:customStyle="1" w:styleId="Default">
    <w:name w:val="Default"/>
    <w:rsid w:val="003A0138"/>
    <w:pPr>
      <w:autoSpaceDE w:val="0"/>
      <w:autoSpaceDN w:val="0"/>
      <w:adjustRightInd w:val="0"/>
      <w:spacing w:after="0" w:line="240" w:lineRule="auto"/>
    </w:pPr>
    <w:rPr>
      <w:rFonts w:ascii="Calibri" w:hAnsi="Calibri" w:cs="Calibri"/>
      <w:color w:val="000000"/>
      <w:sz w:val="24"/>
      <w:szCs w:val="24"/>
    </w:rPr>
  </w:style>
  <w:style w:type="character" w:styleId="PlaceholderText">
    <w:name w:val="Placeholder Text"/>
    <w:basedOn w:val="DefaultParagraphFont"/>
    <w:uiPriority w:val="99"/>
    <w:semiHidden/>
    <w:rsid w:val="003A013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822339">
      <w:bodyDiv w:val="1"/>
      <w:marLeft w:val="0"/>
      <w:marRight w:val="0"/>
      <w:marTop w:val="0"/>
      <w:marBottom w:val="0"/>
      <w:divBdr>
        <w:top w:val="none" w:sz="0" w:space="0" w:color="auto"/>
        <w:left w:val="none" w:sz="0" w:space="0" w:color="auto"/>
        <w:bottom w:val="none" w:sz="0" w:space="0" w:color="auto"/>
        <w:right w:val="none" w:sz="0" w:space="0" w:color="auto"/>
      </w:divBdr>
      <w:divsChild>
        <w:div w:id="889027264">
          <w:marLeft w:val="0"/>
          <w:marRight w:val="0"/>
          <w:marTop w:val="0"/>
          <w:marBottom w:val="0"/>
          <w:divBdr>
            <w:top w:val="none" w:sz="0" w:space="0" w:color="auto"/>
            <w:left w:val="none" w:sz="0" w:space="0" w:color="auto"/>
            <w:bottom w:val="none" w:sz="0" w:space="0" w:color="auto"/>
            <w:right w:val="none" w:sz="0" w:space="0" w:color="auto"/>
          </w:divBdr>
        </w:div>
        <w:div w:id="993070855">
          <w:marLeft w:val="0"/>
          <w:marRight w:val="0"/>
          <w:marTop w:val="0"/>
          <w:marBottom w:val="0"/>
          <w:divBdr>
            <w:top w:val="none" w:sz="0" w:space="0" w:color="auto"/>
            <w:left w:val="none" w:sz="0" w:space="0" w:color="auto"/>
            <w:bottom w:val="none" w:sz="0" w:space="0" w:color="auto"/>
            <w:right w:val="none" w:sz="0" w:space="0" w:color="auto"/>
          </w:divBdr>
        </w:div>
        <w:div w:id="55395987">
          <w:marLeft w:val="0"/>
          <w:marRight w:val="0"/>
          <w:marTop w:val="0"/>
          <w:marBottom w:val="0"/>
          <w:divBdr>
            <w:top w:val="none" w:sz="0" w:space="0" w:color="auto"/>
            <w:left w:val="none" w:sz="0" w:space="0" w:color="auto"/>
            <w:bottom w:val="none" w:sz="0" w:space="0" w:color="auto"/>
            <w:right w:val="none" w:sz="0" w:space="0" w:color="auto"/>
          </w:divBdr>
        </w:div>
        <w:div w:id="33584549">
          <w:marLeft w:val="0"/>
          <w:marRight w:val="0"/>
          <w:marTop w:val="0"/>
          <w:marBottom w:val="0"/>
          <w:divBdr>
            <w:top w:val="none" w:sz="0" w:space="0" w:color="auto"/>
            <w:left w:val="none" w:sz="0" w:space="0" w:color="auto"/>
            <w:bottom w:val="none" w:sz="0" w:space="0" w:color="auto"/>
            <w:right w:val="none" w:sz="0" w:space="0" w:color="auto"/>
          </w:divBdr>
        </w:div>
        <w:div w:id="1792741119">
          <w:marLeft w:val="0"/>
          <w:marRight w:val="0"/>
          <w:marTop w:val="0"/>
          <w:marBottom w:val="0"/>
          <w:divBdr>
            <w:top w:val="none" w:sz="0" w:space="0" w:color="auto"/>
            <w:left w:val="none" w:sz="0" w:space="0" w:color="auto"/>
            <w:bottom w:val="none" w:sz="0" w:space="0" w:color="auto"/>
            <w:right w:val="none" w:sz="0" w:space="0" w:color="auto"/>
          </w:divBdr>
        </w:div>
        <w:div w:id="1549489679">
          <w:marLeft w:val="0"/>
          <w:marRight w:val="0"/>
          <w:marTop w:val="0"/>
          <w:marBottom w:val="0"/>
          <w:divBdr>
            <w:top w:val="none" w:sz="0" w:space="0" w:color="auto"/>
            <w:left w:val="none" w:sz="0" w:space="0" w:color="auto"/>
            <w:bottom w:val="none" w:sz="0" w:space="0" w:color="auto"/>
            <w:right w:val="none" w:sz="0" w:space="0" w:color="auto"/>
          </w:divBdr>
        </w:div>
        <w:div w:id="731466823">
          <w:marLeft w:val="0"/>
          <w:marRight w:val="0"/>
          <w:marTop w:val="0"/>
          <w:marBottom w:val="0"/>
          <w:divBdr>
            <w:top w:val="none" w:sz="0" w:space="0" w:color="auto"/>
            <w:left w:val="none" w:sz="0" w:space="0" w:color="auto"/>
            <w:bottom w:val="none" w:sz="0" w:space="0" w:color="auto"/>
            <w:right w:val="none" w:sz="0" w:space="0" w:color="auto"/>
          </w:divBdr>
        </w:div>
        <w:div w:id="1571112514">
          <w:marLeft w:val="0"/>
          <w:marRight w:val="0"/>
          <w:marTop w:val="0"/>
          <w:marBottom w:val="0"/>
          <w:divBdr>
            <w:top w:val="none" w:sz="0" w:space="0" w:color="auto"/>
            <w:left w:val="none" w:sz="0" w:space="0" w:color="auto"/>
            <w:bottom w:val="none" w:sz="0" w:space="0" w:color="auto"/>
            <w:right w:val="none" w:sz="0" w:space="0" w:color="auto"/>
          </w:divBdr>
        </w:div>
        <w:div w:id="11608837">
          <w:marLeft w:val="0"/>
          <w:marRight w:val="0"/>
          <w:marTop w:val="0"/>
          <w:marBottom w:val="0"/>
          <w:divBdr>
            <w:top w:val="none" w:sz="0" w:space="0" w:color="auto"/>
            <w:left w:val="none" w:sz="0" w:space="0" w:color="auto"/>
            <w:bottom w:val="none" w:sz="0" w:space="0" w:color="auto"/>
            <w:right w:val="none" w:sz="0" w:space="0" w:color="auto"/>
          </w:divBdr>
        </w:div>
        <w:div w:id="220868749">
          <w:marLeft w:val="0"/>
          <w:marRight w:val="0"/>
          <w:marTop w:val="0"/>
          <w:marBottom w:val="0"/>
          <w:divBdr>
            <w:top w:val="none" w:sz="0" w:space="0" w:color="auto"/>
            <w:left w:val="none" w:sz="0" w:space="0" w:color="auto"/>
            <w:bottom w:val="none" w:sz="0" w:space="0" w:color="auto"/>
            <w:right w:val="none" w:sz="0" w:space="0" w:color="auto"/>
          </w:divBdr>
        </w:div>
        <w:div w:id="569274726">
          <w:marLeft w:val="0"/>
          <w:marRight w:val="0"/>
          <w:marTop w:val="0"/>
          <w:marBottom w:val="0"/>
          <w:divBdr>
            <w:top w:val="none" w:sz="0" w:space="0" w:color="auto"/>
            <w:left w:val="none" w:sz="0" w:space="0" w:color="auto"/>
            <w:bottom w:val="none" w:sz="0" w:space="0" w:color="auto"/>
            <w:right w:val="none" w:sz="0" w:space="0" w:color="auto"/>
          </w:divBdr>
        </w:div>
      </w:divsChild>
    </w:div>
    <w:div w:id="165560249">
      <w:bodyDiv w:val="1"/>
      <w:marLeft w:val="0"/>
      <w:marRight w:val="0"/>
      <w:marTop w:val="0"/>
      <w:marBottom w:val="0"/>
      <w:divBdr>
        <w:top w:val="none" w:sz="0" w:space="0" w:color="auto"/>
        <w:left w:val="none" w:sz="0" w:space="0" w:color="auto"/>
        <w:bottom w:val="none" w:sz="0" w:space="0" w:color="auto"/>
        <w:right w:val="none" w:sz="0" w:space="0" w:color="auto"/>
      </w:divBdr>
      <w:divsChild>
        <w:div w:id="1189222927">
          <w:marLeft w:val="0"/>
          <w:marRight w:val="0"/>
          <w:marTop w:val="0"/>
          <w:marBottom w:val="0"/>
          <w:divBdr>
            <w:top w:val="none" w:sz="0" w:space="0" w:color="auto"/>
            <w:left w:val="none" w:sz="0" w:space="0" w:color="auto"/>
            <w:bottom w:val="none" w:sz="0" w:space="0" w:color="auto"/>
            <w:right w:val="none" w:sz="0" w:space="0" w:color="auto"/>
          </w:divBdr>
        </w:div>
        <w:div w:id="1364208263">
          <w:marLeft w:val="0"/>
          <w:marRight w:val="0"/>
          <w:marTop w:val="0"/>
          <w:marBottom w:val="0"/>
          <w:divBdr>
            <w:top w:val="none" w:sz="0" w:space="0" w:color="auto"/>
            <w:left w:val="none" w:sz="0" w:space="0" w:color="auto"/>
            <w:bottom w:val="none" w:sz="0" w:space="0" w:color="auto"/>
            <w:right w:val="none" w:sz="0" w:space="0" w:color="auto"/>
          </w:divBdr>
        </w:div>
        <w:div w:id="325940230">
          <w:marLeft w:val="0"/>
          <w:marRight w:val="0"/>
          <w:marTop w:val="0"/>
          <w:marBottom w:val="0"/>
          <w:divBdr>
            <w:top w:val="none" w:sz="0" w:space="0" w:color="auto"/>
            <w:left w:val="none" w:sz="0" w:space="0" w:color="auto"/>
            <w:bottom w:val="none" w:sz="0" w:space="0" w:color="auto"/>
            <w:right w:val="none" w:sz="0" w:space="0" w:color="auto"/>
          </w:divBdr>
        </w:div>
        <w:div w:id="641084996">
          <w:marLeft w:val="0"/>
          <w:marRight w:val="0"/>
          <w:marTop w:val="0"/>
          <w:marBottom w:val="0"/>
          <w:divBdr>
            <w:top w:val="none" w:sz="0" w:space="0" w:color="auto"/>
            <w:left w:val="none" w:sz="0" w:space="0" w:color="auto"/>
            <w:bottom w:val="none" w:sz="0" w:space="0" w:color="auto"/>
            <w:right w:val="none" w:sz="0" w:space="0" w:color="auto"/>
          </w:divBdr>
        </w:div>
      </w:divsChild>
    </w:div>
    <w:div w:id="204802222">
      <w:bodyDiv w:val="1"/>
      <w:marLeft w:val="0"/>
      <w:marRight w:val="0"/>
      <w:marTop w:val="0"/>
      <w:marBottom w:val="0"/>
      <w:divBdr>
        <w:top w:val="none" w:sz="0" w:space="0" w:color="auto"/>
        <w:left w:val="none" w:sz="0" w:space="0" w:color="auto"/>
        <w:bottom w:val="none" w:sz="0" w:space="0" w:color="auto"/>
        <w:right w:val="none" w:sz="0" w:space="0" w:color="auto"/>
      </w:divBdr>
      <w:divsChild>
        <w:div w:id="846752377">
          <w:marLeft w:val="0"/>
          <w:marRight w:val="0"/>
          <w:marTop w:val="0"/>
          <w:marBottom w:val="0"/>
          <w:divBdr>
            <w:top w:val="none" w:sz="0" w:space="0" w:color="auto"/>
            <w:left w:val="none" w:sz="0" w:space="0" w:color="auto"/>
            <w:bottom w:val="none" w:sz="0" w:space="0" w:color="auto"/>
            <w:right w:val="none" w:sz="0" w:space="0" w:color="auto"/>
          </w:divBdr>
        </w:div>
        <w:div w:id="1001857977">
          <w:marLeft w:val="0"/>
          <w:marRight w:val="0"/>
          <w:marTop w:val="0"/>
          <w:marBottom w:val="0"/>
          <w:divBdr>
            <w:top w:val="none" w:sz="0" w:space="0" w:color="auto"/>
            <w:left w:val="none" w:sz="0" w:space="0" w:color="auto"/>
            <w:bottom w:val="none" w:sz="0" w:space="0" w:color="auto"/>
            <w:right w:val="none" w:sz="0" w:space="0" w:color="auto"/>
          </w:divBdr>
        </w:div>
        <w:div w:id="249196754">
          <w:marLeft w:val="0"/>
          <w:marRight w:val="0"/>
          <w:marTop w:val="0"/>
          <w:marBottom w:val="0"/>
          <w:divBdr>
            <w:top w:val="none" w:sz="0" w:space="0" w:color="auto"/>
            <w:left w:val="none" w:sz="0" w:space="0" w:color="auto"/>
            <w:bottom w:val="none" w:sz="0" w:space="0" w:color="auto"/>
            <w:right w:val="none" w:sz="0" w:space="0" w:color="auto"/>
          </w:divBdr>
        </w:div>
        <w:div w:id="1143616155">
          <w:marLeft w:val="0"/>
          <w:marRight w:val="0"/>
          <w:marTop w:val="0"/>
          <w:marBottom w:val="0"/>
          <w:divBdr>
            <w:top w:val="none" w:sz="0" w:space="0" w:color="auto"/>
            <w:left w:val="none" w:sz="0" w:space="0" w:color="auto"/>
            <w:bottom w:val="none" w:sz="0" w:space="0" w:color="auto"/>
            <w:right w:val="none" w:sz="0" w:space="0" w:color="auto"/>
          </w:divBdr>
        </w:div>
      </w:divsChild>
    </w:div>
    <w:div w:id="559680768">
      <w:bodyDiv w:val="1"/>
      <w:marLeft w:val="0"/>
      <w:marRight w:val="0"/>
      <w:marTop w:val="0"/>
      <w:marBottom w:val="0"/>
      <w:divBdr>
        <w:top w:val="none" w:sz="0" w:space="0" w:color="auto"/>
        <w:left w:val="none" w:sz="0" w:space="0" w:color="auto"/>
        <w:bottom w:val="none" w:sz="0" w:space="0" w:color="auto"/>
        <w:right w:val="none" w:sz="0" w:space="0" w:color="auto"/>
      </w:divBdr>
    </w:div>
    <w:div w:id="580795863">
      <w:bodyDiv w:val="1"/>
      <w:marLeft w:val="0"/>
      <w:marRight w:val="0"/>
      <w:marTop w:val="0"/>
      <w:marBottom w:val="0"/>
      <w:divBdr>
        <w:top w:val="none" w:sz="0" w:space="0" w:color="auto"/>
        <w:left w:val="none" w:sz="0" w:space="0" w:color="auto"/>
        <w:bottom w:val="none" w:sz="0" w:space="0" w:color="auto"/>
        <w:right w:val="none" w:sz="0" w:space="0" w:color="auto"/>
      </w:divBdr>
      <w:divsChild>
        <w:div w:id="75902002">
          <w:marLeft w:val="0"/>
          <w:marRight w:val="0"/>
          <w:marTop w:val="0"/>
          <w:marBottom w:val="0"/>
          <w:divBdr>
            <w:top w:val="none" w:sz="0" w:space="0" w:color="auto"/>
            <w:left w:val="none" w:sz="0" w:space="0" w:color="auto"/>
            <w:bottom w:val="none" w:sz="0" w:space="0" w:color="auto"/>
            <w:right w:val="none" w:sz="0" w:space="0" w:color="auto"/>
          </w:divBdr>
        </w:div>
        <w:div w:id="153498955">
          <w:marLeft w:val="0"/>
          <w:marRight w:val="0"/>
          <w:marTop w:val="0"/>
          <w:marBottom w:val="0"/>
          <w:divBdr>
            <w:top w:val="none" w:sz="0" w:space="0" w:color="auto"/>
            <w:left w:val="none" w:sz="0" w:space="0" w:color="auto"/>
            <w:bottom w:val="none" w:sz="0" w:space="0" w:color="auto"/>
            <w:right w:val="none" w:sz="0" w:space="0" w:color="auto"/>
          </w:divBdr>
        </w:div>
      </w:divsChild>
    </w:div>
    <w:div w:id="635064221">
      <w:bodyDiv w:val="1"/>
      <w:marLeft w:val="0"/>
      <w:marRight w:val="0"/>
      <w:marTop w:val="0"/>
      <w:marBottom w:val="0"/>
      <w:divBdr>
        <w:top w:val="none" w:sz="0" w:space="0" w:color="auto"/>
        <w:left w:val="none" w:sz="0" w:space="0" w:color="auto"/>
        <w:bottom w:val="none" w:sz="0" w:space="0" w:color="auto"/>
        <w:right w:val="none" w:sz="0" w:space="0" w:color="auto"/>
      </w:divBdr>
      <w:divsChild>
        <w:div w:id="431440019">
          <w:marLeft w:val="0"/>
          <w:marRight w:val="0"/>
          <w:marTop w:val="0"/>
          <w:marBottom w:val="0"/>
          <w:divBdr>
            <w:top w:val="none" w:sz="0" w:space="0" w:color="auto"/>
            <w:left w:val="none" w:sz="0" w:space="0" w:color="auto"/>
            <w:bottom w:val="none" w:sz="0" w:space="0" w:color="auto"/>
            <w:right w:val="none" w:sz="0" w:space="0" w:color="auto"/>
          </w:divBdr>
        </w:div>
        <w:div w:id="1699425983">
          <w:marLeft w:val="0"/>
          <w:marRight w:val="0"/>
          <w:marTop w:val="0"/>
          <w:marBottom w:val="0"/>
          <w:divBdr>
            <w:top w:val="none" w:sz="0" w:space="0" w:color="auto"/>
            <w:left w:val="none" w:sz="0" w:space="0" w:color="auto"/>
            <w:bottom w:val="none" w:sz="0" w:space="0" w:color="auto"/>
            <w:right w:val="none" w:sz="0" w:space="0" w:color="auto"/>
          </w:divBdr>
        </w:div>
        <w:div w:id="1889146902">
          <w:marLeft w:val="0"/>
          <w:marRight w:val="0"/>
          <w:marTop w:val="0"/>
          <w:marBottom w:val="0"/>
          <w:divBdr>
            <w:top w:val="none" w:sz="0" w:space="0" w:color="auto"/>
            <w:left w:val="none" w:sz="0" w:space="0" w:color="auto"/>
            <w:bottom w:val="none" w:sz="0" w:space="0" w:color="auto"/>
            <w:right w:val="none" w:sz="0" w:space="0" w:color="auto"/>
          </w:divBdr>
        </w:div>
      </w:divsChild>
    </w:div>
    <w:div w:id="809515545">
      <w:bodyDiv w:val="1"/>
      <w:marLeft w:val="0"/>
      <w:marRight w:val="0"/>
      <w:marTop w:val="0"/>
      <w:marBottom w:val="0"/>
      <w:divBdr>
        <w:top w:val="none" w:sz="0" w:space="0" w:color="auto"/>
        <w:left w:val="none" w:sz="0" w:space="0" w:color="auto"/>
        <w:bottom w:val="none" w:sz="0" w:space="0" w:color="auto"/>
        <w:right w:val="none" w:sz="0" w:space="0" w:color="auto"/>
      </w:divBdr>
    </w:div>
    <w:div w:id="1099066385">
      <w:bodyDiv w:val="1"/>
      <w:marLeft w:val="0"/>
      <w:marRight w:val="0"/>
      <w:marTop w:val="0"/>
      <w:marBottom w:val="0"/>
      <w:divBdr>
        <w:top w:val="none" w:sz="0" w:space="0" w:color="auto"/>
        <w:left w:val="none" w:sz="0" w:space="0" w:color="auto"/>
        <w:bottom w:val="none" w:sz="0" w:space="0" w:color="auto"/>
        <w:right w:val="none" w:sz="0" w:space="0" w:color="auto"/>
      </w:divBdr>
      <w:divsChild>
        <w:div w:id="1135177900">
          <w:marLeft w:val="0"/>
          <w:marRight w:val="0"/>
          <w:marTop w:val="0"/>
          <w:marBottom w:val="0"/>
          <w:divBdr>
            <w:top w:val="none" w:sz="0" w:space="0" w:color="auto"/>
            <w:left w:val="none" w:sz="0" w:space="0" w:color="auto"/>
            <w:bottom w:val="none" w:sz="0" w:space="0" w:color="auto"/>
            <w:right w:val="none" w:sz="0" w:space="0" w:color="auto"/>
          </w:divBdr>
        </w:div>
        <w:div w:id="793982838">
          <w:marLeft w:val="0"/>
          <w:marRight w:val="0"/>
          <w:marTop w:val="0"/>
          <w:marBottom w:val="0"/>
          <w:divBdr>
            <w:top w:val="none" w:sz="0" w:space="0" w:color="auto"/>
            <w:left w:val="none" w:sz="0" w:space="0" w:color="auto"/>
            <w:bottom w:val="none" w:sz="0" w:space="0" w:color="auto"/>
            <w:right w:val="none" w:sz="0" w:space="0" w:color="auto"/>
          </w:divBdr>
        </w:div>
      </w:divsChild>
    </w:div>
    <w:div w:id="1199583027">
      <w:bodyDiv w:val="1"/>
      <w:marLeft w:val="0"/>
      <w:marRight w:val="0"/>
      <w:marTop w:val="0"/>
      <w:marBottom w:val="0"/>
      <w:divBdr>
        <w:top w:val="none" w:sz="0" w:space="0" w:color="auto"/>
        <w:left w:val="none" w:sz="0" w:space="0" w:color="auto"/>
        <w:bottom w:val="none" w:sz="0" w:space="0" w:color="auto"/>
        <w:right w:val="none" w:sz="0" w:space="0" w:color="auto"/>
      </w:divBdr>
      <w:divsChild>
        <w:div w:id="311519673">
          <w:marLeft w:val="0"/>
          <w:marRight w:val="0"/>
          <w:marTop w:val="0"/>
          <w:marBottom w:val="0"/>
          <w:divBdr>
            <w:top w:val="none" w:sz="0" w:space="0" w:color="auto"/>
            <w:left w:val="none" w:sz="0" w:space="0" w:color="auto"/>
            <w:bottom w:val="none" w:sz="0" w:space="0" w:color="auto"/>
            <w:right w:val="none" w:sz="0" w:space="0" w:color="auto"/>
          </w:divBdr>
        </w:div>
        <w:div w:id="2097825445">
          <w:marLeft w:val="0"/>
          <w:marRight w:val="0"/>
          <w:marTop w:val="0"/>
          <w:marBottom w:val="0"/>
          <w:divBdr>
            <w:top w:val="none" w:sz="0" w:space="0" w:color="auto"/>
            <w:left w:val="none" w:sz="0" w:space="0" w:color="auto"/>
            <w:bottom w:val="none" w:sz="0" w:space="0" w:color="auto"/>
            <w:right w:val="none" w:sz="0" w:space="0" w:color="auto"/>
          </w:divBdr>
        </w:div>
        <w:div w:id="1179737948">
          <w:marLeft w:val="0"/>
          <w:marRight w:val="0"/>
          <w:marTop w:val="0"/>
          <w:marBottom w:val="0"/>
          <w:divBdr>
            <w:top w:val="none" w:sz="0" w:space="0" w:color="auto"/>
            <w:left w:val="none" w:sz="0" w:space="0" w:color="auto"/>
            <w:bottom w:val="none" w:sz="0" w:space="0" w:color="auto"/>
            <w:right w:val="none" w:sz="0" w:space="0" w:color="auto"/>
          </w:divBdr>
        </w:div>
        <w:div w:id="2058700940">
          <w:marLeft w:val="0"/>
          <w:marRight w:val="0"/>
          <w:marTop w:val="0"/>
          <w:marBottom w:val="0"/>
          <w:divBdr>
            <w:top w:val="none" w:sz="0" w:space="0" w:color="auto"/>
            <w:left w:val="none" w:sz="0" w:space="0" w:color="auto"/>
            <w:bottom w:val="none" w:sz="0" w:space="0" w:color="auto"/>
            <w:right w:val="none" w:sz="0" w:space="0" w:color="auto"/>
          </w:divBdr>
        </w:div>
        <w:div w:id="957640515">
          <w:marLeft w:val="0"/>
          <w:marRight w:val="0"/>
          <w:marTop w:val="0"/>
          <w:marBottom w:val="0"/>
          <w:divBdr>
            <w:top w:val="none" w:sz="0" w:space="0" w:color="auto"/>
            <w:left w:val="none" w:sz="0" w:space="0" w:color="auto"/>
            <w:bottom w:val="none" w:sz="0" w:space="0" w:color="auto"/>
            <w:right w:val="none" w:sz="0" w:space="0" w:color="auto"/>
          </w:divBdr>
        </w:div>
        <w:div w:id="343283933">
          <w:marLeft w:val="0"/>
          <w:marRight w:val="0"/>
          <w:marTop w:val="0"/>
          <w:marBottom w:val="0"/>
          <w:divBdr>
            <w:top w:val="none" w:sz="0" w:space="0" w:color="auto"/>
            <w:left w:val="none" w:sz="0" w:space="0" w:color="auto"/>
            <w:bottom w:val="none" w:sz="0" w:space="0" w:color="auto"/>
            <w:right w:val="none" w:sz="0" w:space="0" w:color="auto"/>
          </w:divBdr>
        </w:div>
        <w:div w:id="1494952558">
          <w:marLeft w:val="0"/>
          <w:marRight w:val="0"/>
          <w:marTop w:val="0"/>
          <w:marBottom w:val="0"/>
          <w:divBdr>
            <w:top w:val="none" w:sz="0" w:space="0" w:color="auto"/>
            <w:left w:val="none" w:sz="0" w:space="0" w:color="auto"/>
            <w:bottom w:val="none" w:sz="0" w:space="0" w:color="auto"/>
            <w:right w:val="none" w:sz="0" w:space="0" w:color="auto"/>
          </w:divBdr>
        </w:div>
        <w:div w:id="1648781162">
          <w:marLeft w:val="0"/>
          <w:marRight w:val="0"/>
          <w:marTop w:val="0"/>
          <w:marBottom w:val="0"/>
          <w:divBdr>
            <w:top w:val="none" w:sz="0" w:space="0" w:color="auto"/>
            <w:left w:val="none" w:sz="0" w:space="0" w:color="auto"/>
            <w:bottom w:val="none" w:sz="0" w:space="0" w:color="auto"/>
            <w:right w:val="none" w:sz="0" w:space="0" w:color="auto"/>
          </w:divBdr>
        </w:div>
        <w:div w:id="1767991912">
          <w:marLeft w:val="0"/>
          <w:marRight w:val="0"/>
          <w:marTop w:val="0"/>
          <w:marBottom w:val="0"/>
          <w:divBdr>
            <w:top w:val="none" w:sz="0" w:space="0" w:color="auto"/>
            <w:left w:val="none" w:sz="0" w:space="0" w:color="auto"/>
            <w:bottom w:val="none" w:sz="0" w:space="0" w:color="auto"/>
            <w:right w:val="none" w:sz="0" w:space="0" w:color="auto"/>
          </w:divBdr>
        </w:div>
      </w:divsChild>
    </w:div>
    <w:div w:id="1348292960">
      <w:bodyDiv w:val="1"/>
      <w:marLeft w:val="0"/>
      <w:marRight w:val="0"/>
      <w:marTop w:val="0"/>
      <w:marBottom w:val="0"/>
      <w:divBdr>
        <w:top w:val="none" w:sz="0" w:space="0" w:color="auto"/>
        <w:left w:val="none" w:sz="0" w:space="0" w:color="auto"/>
        <w:bottom w:val="none" w:sz="0" w:space="0" w:color="auto"/>
        <w:right w:val="none" w:sz="0" w:space="0" w:color="auto"/>
      </w:divBdr>
      <w:divsChild>
        <w:div w:id="1248148316">
          <w:marLeft w:val="0"/>
          <w:marRight w:val="0"/>
          <w:marTop w:val="0"/>
          <w:marBottom w:val="0"/>
          <w:divBdr>
            <w:top w:val="none" w:sz="0" w:space="0" w:color="auto"/>
            <w:left w:val="none" w:sz="0" w:space="0" w:color="auto"/>
            <w:bottom w:val="none" w:sz="0" w:space="0" w:color="auto"/>
            <w:right w:val="none" w:sz="0" w:space="0" w:color="auto"/>
          </w:divBdr>
        </w:div>
        <w:div w:id="1453327717">
          <w:marLeft w:val="0"/>
          <w:marRight w:val="0"/>
          <w:marTop w:val="0"/>
          <w:marBottom w:val="0"/>
          <w:divBdr>
            <w:top w:val="none" w:sz="0" w:space="0" w:color="auto"/>
            <w:left w:val="none" w:sz="0" w:space="0" w:color="auto"/>
            <w:bottom w:val="none" w:sz="0" w:space="0" w:color="auto"/>
            <w:right w:val="none" w:sz="0" w:space="0" w:color="auto"/>
          </w:divBdr>
        </w:div>
        <w:div w:id="1896231391">
          <w:marLeft w:val="0"/>
          <w:marRight w:val="0"/>
          <w:marTop w:val="0"/>
          <w:marBottom w:val="0"/>
          <w:divBdr>
            <w:top w:val="none" w:sz="0" w:space="0" w:color="auto"/>
            <w:left w:val="none" w:sz="0" w:space="0" w:color="auto"/>
            <w:bottom w:val="none" w:sz="0" w:space="0" w:color="auto"/>
            <w:right w:val="none" w:sz="0" w:space="0" w:color="auto"/>
          </w:divBdr>
        </w:div>
        <w:div w:id="1317415580">
          <w:marLeft w:val="0"/>
          <w:marRight w:val="0"/>
          <w:marTop w:val="0"/>
          <w:marBottom w:val="0"/>
          <w:divBdr>
            <w:top w:val="none" w:sz="0" w:space="0" w:color="auto"/>
            <w:left w:val="none" w:sz="0" w:space="0" w:color="auto"/>
            <w:bottom w:val="none" w:sz="0" w:space="0" w:color="auto"/>
            <w:right w:val="none" w:sz="0" w:space="0" w:color="auto"/>
          </w:divBdr>
        </w:div>
        <w:div w:id="752509904">
          <w:marLeft w:val="0"/>
          <w:marRight w:val="0"/>
          <w:marTop w:val="0"/>
          <w:marBottom w:val="0"/>
          <w:divBdr>
            <w:top w:val="none" w:sz="0" w:space="0" w:color="auto"/>
            <w:left w:val="none" w:sz="0" w:space="0" w:color="auto"/>
            <w:bottom w:val="none" w:sz="0" w:space="0" w:color="auto"/>
            <w:right w:val="none" w:sz="0" w:space="0" w:color="auto"/>
          </w:divBdr>
        </w:div>
        <w:div w:id="1308122072">
          <w:marLeft w:val="0"/>
          <w:marRight w:val="0"/>
          <w:marTop w:val="0"/>
          <w:marBottom w:val="0"/>
          <w:divBdr>
            <w:top w:val="none" w:sz="0" w:space="0" w:color="auto"/>
            <w:left w:val="none" w:sz="0" w:space="0" w:color="auto"/>
            <w:bottom w:val="none" w:sz="0" w:space="0" w:color="auto"/>
            <w:right w:val="none" w:sz="0" w:space="0" w:color="auto"/>
          </w:divBdr>
        </w:div>
        <w:div w:id="164982617">
          <w:marLeft w:val="0"/>
          <w:marRight w:val="0"/>
          <w:marTop w:val="0"/>
          <w:marBottom w:val="0"/>
          <w:divBdr>
            <w:top w:val="none" w:sz="0" w:space="0" w:color="auto"/>
            <w:left w:val="none" w:sz="0" w:space="0" w:color="auto"/>
            <w:bottom w:val="none" w:sz="0" w:space="0" w:color="auto"/>
            <w:right w:val="none" w:sz="0" w:space="0" w:color="auto"/>
          </w:divBdr>
        </w:div>
      </w:divsChild>
    </w:div>
    <w:div w:id="1646469626">
      <w:bodyDiv w:val="1"/>
      <w:marLeft w:val="0"/>
      <w:marRight w:val="0"/>
      <w:marTop w:val="0"/>
      <w:marBottom w:val="0"/>
      <w:divBdr>
        <w:top w:val="none" w:sz="0" w:space="0" w:color="auto"/>
        <w:left w:val="none" w:sz="0" w:space="0" w:color="auto"/>
        <w:bottom w:val="none" w:sz="0" w:space="0" w:color="auto"/>
        <w:right w:val="none" w:sz="0" w:space="0" w:color="auto"/>
      </w:divBdr>
      <w:divsChild>
        <w:div w:id="1724912658">
          <w:marLeft w:val="0"/>
          <w:marRight w:val="0"/>
          <w:marTop w:val="0"/>
          <w:marBottom w:val="0"/>
          <w:divBdr>
            <w:top w:val="none" w:sz="0" w:space="0" w:color="auto"/>
            <w:left w:val="none" w:sz="0" w:space="0" w:color="auto"/>
            <w:bottom w:val="none" w:sz="0" w:space="0" w:color="auto"/>
            <w:right w:val="none" w:sz="0" w:space="0" w:color="auto"/>
          </w:divBdr>
        </w:div>
        <w:div w:id="387190798">
          <w:marLeft w:val="0"/>
          <w:marRight w:val="0"/>
          <w:marTop w:val="0"/>
          <w:marBottom w:val="0"/>
          <w:divBdr>
            <w:top w:val="none" w:sz="0" w:space="0" w:color="auto"/>
            <w:left w:val="none" w:sz="0" w:space="0" w:color="auto"/>
            <w:bottom w:val="none" w:sz="0" w:space="0" w:color="auto"/>
            <w:right w:val="none" w:sz="0" w:space="0" w:color="auto"/>
          </w:divBdr>
        </w:div>
        <w:div w:id="1982884565">
          <w:marLeft w:val="0"/>
          <w:marRight w:val="0"/>
          <w:marTop w:val="0"/>
          <w:marBottom w:val="0"/>
          <w:divBdr>
            <w:top w:val="none" w:sz="0" w:space="0" w:color="auto"/>
            <w:left w:val="none" w:sz="0" w:space="0" w:color="auto"/>
            <w:bottom w:val="none" w:sz="0" w:space="0" w:color="auto"/>
            <w:right w:val="none" w:sz="0" w:space="0" w:color="auto"/>
          </w:divBdr>
        </w:div>
        <w:div w:id="300573025">
          <w:marLeft w:val="0"/>
          <w:marRight w:val="0"/>
          <w:marTop w:val="0"/>
          <w:marBottom w:val="0"/>
          <w:divBdr>
            <w:top w:val="none" w:sz="0" w:space="0" w:color="auto"/>
            <w:left w:val="none" w:sz="0" w:space="0" w:color="auto"/>
            <w:bottom w:val="none" w:sz="0" w:space="0" w:color="auto"/>
            <w:right w:val="none" w:sz="0" w:space="0" w:color="auto"/>
          </w:divBdr>
        </w:div>
      </w:divsChild>
    </w:div>
    <w:div w:id="1668904304">
      <w:bodyDiv w:val="1"/>
      <w:marLeft w:val="0"/>
      <w:marRight w:val="0"/>
      <w:marTop w:val="0"/>
      <w:marBottom w:val="0"/>
      <w:divBdr>
        <w:top w:val="none" w:sz="0" w:space="0" w:color="auto"/>
        <w:left w:val="none" w:sz="0" w:space="0" w:color="auto"/>
        <w:bottom w:val="none" w:sz="0" w:space="0" w:color="auto"/>
        <w:right w:val="none" w:sz="0" w:space="0" w:color="auto"/>
      </w:divBdr>
      <w:divsChild>
        <w:div w:id="2112504006">
          <w:marLeft w:val="0"/>
          <w:marRight w:val="0"/>
          <w:marTop w:val="0"/>
          <w:marBottom w:val="0"/>
          <w:divBdr>
            <w:top w:val="none" w:sz="0" w:space="0" w:color="auto"/>
            <w:left w:val="none" w:sz="0" w:space="0" w:color="auto"/>
            <w:bottom w:val="none" w:sz="0" w:space="0" w:color="auto"/>
            <w:right w:val="none" w:sz="0" w:space="0" w:color="auto"/>
          </w:divBdr>
        </w:div>
        <w:div w:id="254284195">
          <w:marLeft w:val="0"/>
          <w:marRight w:val="0"/>
          <w:marTop w:val="0"/>
          <w:marBottom w:val="0"/>
          <w:divBdr>
            <w:top w:val="none" w:sz="0" w:space="0" w:color="auto"/>
            <w:left w:val="none" w:sz="0" w:space="0" w:color="auto"/>
            <w:bottom w:val="none" w:sz="0" w:space="0" w:color="auto"/>
            <w:right w:val="none" w:sz="0" w:space="0" w:color="auto"/>
          </w:divBdr>
        </w:div>
        <w:div w:id="814643571">
          <w:marLeft w:val="0"/>
          <w:marRight w:val="0"/>
          <w:marTop w:val="0"/>
          <w:marBottom w:val="0"/>
          <w:divBdr>
            <w:top w:val="none" w:sz="0" w:space="0" w:color="auto"/>
            <w:left w:val="none" w:sz="0" w:space="0" w:color="auto"/>
            <w:bottom w:val="none" w:sz="0" w:space="0" w:color="auto"/>
            <w:right w:val="none" w:sz="0" w:space="0" w:color="auto"/>
          </w:divBdr>
        </w:div>
        <w:div w:id="1379625705">
          <w:marLeft w:val="0"/>
          <w:marRight w:val="0"/>
          <w:marTop w:val="0"/>
          <w:marBottom w:val="0"/>
          <w:divBdr>
            <w:top w:val="none" w:sz="0" w:space="0" w:color="auto"/>
            <w:left w:val="none" w:sz="0" w:space="0" w:color="auto"/>
            <w:bottom w:val="none" w:sz="0" w:space="0" w:color="auto"/>
            <w:right w:val="none" w:sz="0" w:space="0" w:color="auto"/>
          </w:divBdr>
        </w:div>
        <w:div w:id="205071970">
          <w:marLeft w:val="0"/>
          <w:marRight w:val="0"/>
          <w:marTop w:val="0"/>
          <w:marBottom w:val="0"/>
          <w:divBdr>
            <w:top w:val="none" w:sz="0" w:space="0" w:color="auto"/>
            <w:left w:val="none" w:sz="0" w:space="0" w:color="auto"/>
            <w:bottom w:val="none" w:sz="0" w:space="0" w:color="auto"/>
            <w:right w:val="none" w:sz="0" w:space="0" w:color="auto"/>
          </w:divBdr>
        </w:div>
        <w:div w:id="517892164">
          <w:marLeft w:val="0"/>
          <w:marRight w:val="0"/>
          <w:marTop w:val="0"/>
          <w:marBottom w:val="0"/>
          <w:divBdr>
            <w:top w:val="none" w:sz="0" w:space="0" w:color="auto"/>
            <w:left w:val="none" w:sz="0" w:space="0" w:color="auto"/>
            <w:bottom w:val="none" w:sz="0" w:space="0" w:color="auto"/>
            <w:right w:val="none" w:sz="0" w:space="0" w:color="auto"/>
          </w:divBdr>
        </w:div>
        <w:div w:id="411313953">
          <w:marLeft w:val="0"/>
          <w:marRight w:val="0"/>
          <w:marTop w:val="0"/>
          <w:marBottom w:val="0"/>
          <w:divBdr>
            <w:top w:val="none" w:sz="0" w:space="0" w:color="auto"/>
            <w:left w:val="none" w:sz="0" w:space="0" w:color="auto"/>
            <w:bottom w:val="none" w:sz="0" w:space="0" w:color="auto"/>
            <w:right w:val="none" w:sz="0" w:space="0" w:color="auto"/>
          </w:divBdr>
        </w:div>
        <w:div w:id="910582942">
          <w:marLeft w:val="0"/>
          <w:marRight w:val="0"/>
          <w:marTop w:val="0"/>
          <w:marBottom w:val="0"/>
          <w:divBdr>
            <w:top w:val="none" w:sz="0" w:space="0" w:color="auto"/>
            <w:left w:val="none" w:sz="0" w:space="0" w:color="auto"/>
            <w:bottom w:val="none" w:sz="0" w:space="0" w:color="auto"/>
            <w:right w:val="none" w:sz="0" w:space="0" w:color="auto"/>
          </w:divBdr>
        </w:div>
        <w:div w:id="678047621">
          <w:marLeft w:val="0"/>
          <w:marRight w:val="0"/>
          <w:marTop w:val="0"/>
          <w:marBottom w:val="0"/>
          <w:divBdr>
            <w:top w:val="none" w:sz="0" w:space="0" w:color="auto"/>
            <w:left w:val="none" w:sz="0" w:space="0" w:color="auto"/>
            <w:bottom w:val="none" w:sz="0" w:space="0" w:color="auto"/>
            <w:right w:val="none" w:sz="0" w:space="0" w:color="auto"/>
          </w:divBdr>
        </w:div>
        <w:div w:id="74594679">
          <w:marLeft w:val="0"/>
          <w:marRight w:val="0"/>
          <w:marTop w:val="0"/>
          <w:marBottom w:val="0"/>
          <w:divBdr>
            <w:top w:val="none" w:sz="0" w:space="0" w:color="auto"/>
            <w:left w:val="none" w:sz="0" w:space="0" w:color="auto"/>
            <w:bottom w:val="none" w:sz="0" w:space="0" w:color="auto"/>
            <w:right w:val="none" w:sz="0" w:space="0" w:color="auto"/>
          </w:divBdr>
        </w:div>
        <w:div w:id="489322993">
          <w:marLeft w:val="0"/>
          <w:marRight w:val="0"/>
          <w:marTop w:val="0"/>
          <w:marBottom w:val="0"/>
          <w:divBdr>
            <w:top w:val="none" w:sz="0" w:space="0" w:color="auto"/>
            <w:left w:val="none" w:sz="0" w:space="0" w:color="auto"/>
            <w:bottom w:val="none" w:sz="0" w:space="0" w:color="auto"/>
            <w:right w:val="none" w:sz="0" w:space="0" w:color="auto"/>
          </w:divBdr>
        </w:div>
        <w:div w:id="1168985463">
          <w:marLeft w:val="0"/>
          <w:marRight w:val="0"/>
          <w:marTop w:val="0"/>
          <w:marBottom w:val="0"/>
          <w:divBdr>
            <w:top w:val="none" w:sz="0" w:space="0" w:color="auto"/>
            <w:left w:val="none" w:sz="0" w:space="0" w:color="auto"/>
            <w:bottom w:val="none" w:sz="0" w:space="0" w:color="auto"/>
            <w:right w:val="none" w:sz="0" w:space="0" w:color="auto"/>
          </w:divBdr>
        </w:div>
        <w:div w:id="2129425731">
          <w:marLeft w:val="0"/>
          <w:marRight w:val="0"/>
          <w:marTop w:val="0"/>
          <w:marBottom w:val="0"/>
          <w:divBdr>
            <w:top w:val="none" w:sz="0" w:space="0" w:color="auto"/>
            <w:left w:val="none" w:sz="0" w:space="0" w:color="auto"/>
            <w:bottom w:val="none" w:sz="0" w:space="0" w:color="auto"/>
            <w:right w:val="none" w:sz="0" w:space="0" w:color="auto"/>
          </w:divBdr>
        </w:div>
        <w:div w:id="819688957">
          <w:marLeft w:val="0"/>
          <w:marRight w:val="0"/>
          <w:marTop w:val="0"/>
          <w:marBottom w:val="0"/>
          <w:divBdr>
            <w:top w:val="none" w:sz="0" w:space="0" w:color="auto"/>
            <w:left w:val="none" w:sz="0" w:space="0" w:color="auto"/>
            <w:bottom w:val="none" w:sz="0" w:space="0" w:color="auto"/>
            <w:right w:val="none" w:sz="0" w:space="0" w:color="auto"/>
          </w:divBdr>
        </w:div>
        <w:div w:id="280112713">
          <w:marLeft w:val="0"/>
          <w:marRight w:val="0"/>
          <w:marTop w:val="0"/>
          <w:marBottom w:val="0"/>
          <w:divBdr>
            <w:top w:val="none" w:sz="0" w:space="0" w:color="auto"/>
            <w:left w:val="none" w:sz="0" w:space="0" w:color="auto"/>
            <w:bottom w:val="none" w:sz="0" w:space="0" w:color="auto"/>
            <w:right w:val="none" w:sz="0" w:space="0" w:color="auto"/>
          </w:divBdr>
        </w:div>
        <w:div w:id="737942435">
          <w:marLeft w:val="0"/>
          <w:marRight w:val="0"/>
          <w:marTop w:val="0"/>
          <w:marBottom w:val="0"/>
          <w:divBdr>
            <w:top w:val="none" w:sz="0" w:space="0" w:color="auto"/>
            <w:left w:val="none" w:sz="0" w:space="0" w:color="auto"/>
            <w:bottom w:val="none" w:sz="0" w:space="0" w:color="auto"/>
            <w:right w:val="none" w:sz="0" w:space="0" w:color="auto"/>
          </w:divBdr>
        </w:div>
        <w:div w:id="1294480801">
          <w:marLeft w:val="0"/>
          <w:marRight w:val="0"/>
          <w:marTop w:val="0"/>
          <w:marBottom w:val="0"/>
          <w:divBdr>
            <w:top w:val="none" w:sz="0" w:space="0" w:color="auto"/>
            <w:left w:val="none" w:sz="0" w:space="0" w:color="auto"/>
            <w:bottom w:val="none" w:sz="0" w:space="0" w:color="auto"/>
            <w:right w:val="none" w:sz="0" w:space="0" w:color="auto"/>
          </w:divBdr>
        </w:div>
        <w:div w:id="126558320">
          <w:marLeft w:val="0"/>
          <w:marRight w:val="0"/>
          <w:marTop w:val="0"/>
          <w:marBottom w:val="0"/>
          <w:divBdr>
            <w:top w:val="none" w:sz="0" w:space="0" w:color="auto"/>
            <w:left w:val="none" w:sz="0" w:space="0" w:color="auto"/>
            <w:bottom w:val="none" w:sz="0" w:space="0" w:color="auto"/>
            <w:right w:val="none" w:sz="0" w:space="0" w:color="auto"/>
          </w:divBdr>
        </w:div>
        <w:div w:id="1132731">
          <w:marLeft w:val="0"/>
          <w:marRight w:val="0"/>
          <w:marTop w:val="0"/>
          <w:marBottom w:val="0"/>
          <w:divBdr>
            <w:top w:val="none" w:sz="0" w:space="0" w:color="auto"/>
            <w:left w:val="none" w:sz="0" w:space="0" w:color="auto"/>
            <w:bottom w:val="none" w:sz="0" w:space="0" w:color="auto"/>
            <w:right w:val="none" w:sz="0" w:space="0" w:color="auto"/>
          </w:divBdr>
        </w:div>
        <w:div w:id="1492211771">
          <w:marLeft w:val="0"/>
          <w:marRight w:val="0"/>
          <w:marTop w:val="0"/>
          <w:marBottom w:val="0"/>
          <w:divBdr>
            <w:top w:val="none" w:sz="0" w:space="0" w:color="auto"/>
            <w:left w:val="none" w:sz="0" w:space="0" w:color="auto"/>
            <w:bottom w:val="none" w:sz="0" w:space="0" w:color="auto"/>
            <w:right w:val="none" w:sz="0" w:space="0" w:color="auto"/>
          </w:divBdr>
        </w:div>
      </w:divsChild>
    </w:div>
    <w:div w:id="1759279923">
      <w:bodyDiv w:val="1"/>
      <w:marLeft w:val="0"/>
      <w:marRight w:val="0"/>
      <w:marTop w:val="0"/>
      <w:marBottom w:val="0"/>
      <w:divBdr>
        <w:top w:val="none" w:sz="0" w:space="0" w:color="auto"/>
        <w:left w:val="none" w:sz="0" w:space="0" w:color="auto"/>
        <w:bottom w:val="none" w:sz="0" w:space="0" w:color="auto"/>
        <w:right w:val="none" w:sz="0" w:space="0" w:color="auto"/>
      </w:divBdr>
      <w:divsChild>
        <w:div w:id="1159463678">
          <w:marLeft w:val="0"/>
          <w:marRight w:val="0"/>
          <w:marTop w:val="0"/>
          <w:marBottom w:val="0"/>
          <w:divBdr>
            <w:top w:val="none" w:sz="0" w:space="0" w:color="auto"/>
            <w:left w:val="none" w:sz="0" w:space="0" w:color="auto"/>
            <w:bottom w:val="none" w:sz="0" w:space="0" w:color="auto"/>
            <w:right w:val="none" w:sz="0" w:space="0" w:color="auto"/>
          </w:divBdr>
        </w:div>
        <w:div w:id="1388380734">
          <w:marLeft w:val="0"/>
          <w:marRight w:val="0"/>
          <w:marTop w:val="0"/>
          <w:marBottom w:val="0"/>
          <w:divBdr>
            <w:top w:val="none" w:sz="0" w:space="0" w:color="auto"/>
            <w:left w:val="none" w:sz="0" w:space="0" w:color="auto"/>
            <w:bottom w:val="none" w:sz="0" w:space="0" w:color="auto"/>
            <w:right w:val="none" w:sz="0" w:space="0" w:color="auto"/>
          </w:divBdr>
        </w:div>
        <w:div w:id="231503943">
          <w:marLeft w:val="0"/>
          <w:marRight w:val="0"/>
          <w:marTop w:val="0"/>
          <w:marBottom w:val="0"/>
          <w:divBdr>
            <w:top w:val="none" w:sz="0" w:space="0" w:color="auto"/>
            <w:left w:val="none" w:sz="0" w:space="0" w:color="auto"/>
            <w:bottom w:val="none" w:sz="0" w:space="0" w:color="auto"/>
            <w:right w:val="none" w:sz="0" w:space="0" w:color="auto"/>
          </w:divBdr>
        </w:div>
        <w:div w:id="2053799182">
          <w:marLeft w:val="0"/>
          <w:marRight w:val="0"/>
          <w:marTop w:val="0"/>
          <w:marBottom w:val="0"/>
          <w:divBdr>
            <w:top w:val="none" w:sz="0" w:space="0" w:color="auto"/>
            <w:left w:val="none" w:sz="0" w:space="0" w:color="auto"/>
            <w:bottom w:val="none" w:sz="0" w:space="0" w:color="auto"/>
            <w:right w:val="none" w:sz="0" w:space="0" w:color="auto"/>
          </w:divBdr>
        </w:div>
        <w:div w:id="587230261">
          <w:marLeft w:val="0"/>
          <w:marRight w:val="0"/>
          <w:marTop w:val="0"/>
          <w:marBottom w:val="0"/>
          <w:divBdr>
            <w:top w:val="none" w:sz="0" w:space="0" w:color="auto"/>
            <w:left w:val="none" w:sz="0" w:space="0" w:color="auto"/>
            <w:bottom w:val="none" w:sz="0" w:space="0" w:color="auto"/>
            <w:right w:val="none" w:sz="0" w:space="0" w:color="auto"/>
          </w:divBdr>
        </w:div>
        <w:div w:id="1352950773">
          <w:marLeft w:val="0"/>
          <w:marRight w:val="0"/>
          <w:marTop w:val="0"/>
          <w:marBottom w:val="0"/>
          <w:divBdr>
            <w:top w:val="none" w:sz="0" w:space="0" w:color="auto"/>
            <w:left w:val="none" w:sz="0" w:space="0" w:color="auto"/>
            <w:bottom w:val="none" w:sz="0" w:space="0" w:color="auto"/>
            <w:right w:val="none" w:sz="0" w:space="0" w:color="auto"/>
          </w:divBdr>
        </w:div>
        <w:div w:id="1409035350">
          <w:marLeft w:val="0"/>
          <w:marRight w:val="0"/>
          <w:marTop w:val="0"/>
          <w:marBottom w:val="0"/>
          <w:divBdr>
            <w:top w:val="none" w:sz="0" w:space="0" w:color="auto"/>
            <w:left w:val="none" w:sz="0" w:space="0" w:color="auto"/>
            <w:bottom w:val="none" w:sz="0" w:space="0" w:color="auto"/>
            <w:right w:val="none" w:sz="0" w:space="0" w:color="auto"/>
          </w:divBdr>
        </w:div>
        <w:div w:id="1832914582">
          <w:marLeft w:val="0"/>
          <w:marRight w:val="0"/>
          <w:marTop w:val="0"/>
          <w:marBottom w:val="0"/>
          <w:divBdr>
            <w:top w:val="none" w:sz="0" w:space="0" w:color="auto"/>
            <w:left w:val="none" w:sz="0" w:space="0" w:color="auto"/>
            <w:bottom w:val="none" w:sz="0" w:space="0" w:color="auto"/>
            <w:right w:val="none" w:sz="0" w:space="0" w:color="auto"/>
          </w:divBdr>
        </w:div>
        <w:div w:id="446706064">
          <w:marLeft w:val="0"/>
          <w:marRight w:val="0"/>
          <w:marTop w:val="0"/>
          <w:marBottom w:val="0"/>
          <w:divBdr>
            <w:top w:val="none" w:sz="0" w:space="0" w:color="auto"/>
            <w:left w:val="none" w:sz="0" w:space="0" w:color="auto"/>
            <w:bottom w:val="none" w:sz="0" w:space="0" w:color="auto"/>
            <w:right w:val="none" w:sz="0" w:space="0" w:color="auto"/>
          </w:divBdr>
        </w:div>
      </w:divsChild>
    </w:div>
    <w:div w:id="1898979294">
      <w:bodyDiv w:val="1"/>
      <w:marLeft w:val="0"/>
      <w:marRight w:val="0"/>
      <w:marTop w:val="0"/>
      <w:marBottom w:val="0"/>
      <w:divBdr>
        <w:top w:val="none" w:sz="0" w:space="0" w:color="auto"/>
        <w:left w:val="none" w:sz="0" w:space="0" w:color="auto"/>
        <w:bottom w:val="none" w:sz="0" w:space="0" w:color="auto"/>
        <w:right w:val="none" w:sz="0" w:space="0" w:color="auto"/>
      </w:divBdr>
    </w:div>
    <w:div w:id="2146656193">
      <w:bodyDiv w:val="1"/>
      <w:marLeft w:val="0"/>
      <w:marRight w:val="0"/>
      <w:marTop w:val="0"/>
      <w:marBottom w:val="0"/>
      <w:divBdr>
        <w:top w:val="none" w:sz="0" w:space="0" w:color="auto"/>
        <w:left w:val="none" w:sz="0" w:space="0" w:color="auto"/>
        <w:bottom w:val="none" w:sz="0" w:space="0" w:color="auto"/>
        <w:right w:val="none" w:sz="0" w:space="0" w:color="auto"/>
      </w:divBdr>
      <w:divsChild>
        <w:div w:id="1965379219">
          <w:marLeft w:val="0"/>
          <w:marRight w:val="0"/>
          <w:marTop w:val="0"/>
          <w:marBottom w:val="0"/>
          <w:divBdr>
            <w:top w:val="none" w:sz="0" w:space="0" w:color="auto"/>
            <w:left w:val="none" w:sz="0" w:space="0" w:color="auto"/>
            <w:bottom w:val="none" w:sz="0" w:space="0" w:color="auto"/>
            <w:right w:val="none" w:sz="0" w:space="0" w:color="auto"/>
          </w:divBdr>
        </w:div>
        <w:div w:id="2073577097">
          <w:marLeft w:val="0"/>
          <w:marRight w:val="0"/>
          <w:marTop w:val="0"/>
          <w:marBottom w:val="0"/>
          <w:divBdr>
            <w:top w:val="none" w:sz="0" w:space="0" w:color="auto"/>
            <w:left w:val="none" w:sz="0" w:space="0" w:color="auto"/>
            <w:bottom w:val="none" w:sz="0" w:space="0" w:color="auto"/>
            <w:right w:val="none" w:sz="0" w:space="0" w:color="auto"/>
          </w:divBdr>
        </w:div>
        <w:div w:id="6143647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oleObject" Target="embeddings/oleObject2.bin"/><Relationship Id="rId26" Type="http://schemas.openxmlformats.org/officeDocument/2006/relationships/image" Target="media/image7.png"/><Relationship Id="rId39" Type="http://schemas.openxmlformats.org/officeDocument/2006/relationships/image" Target="media/image14.wmf"/><Relationship Id="rId21" Type="http://schemas.openxmlformats.org/officeDocument/2006/relationships/image" Target="media/image5.wmf"/><Relationship Id="rId34" Type="http://schemas.openxmlformats.org/officeDocument/2006/relationships/oleObject" Target="embeddings/oleObject9.bin"/><Relationship Id="rId42" Type="http://schemas.openxmlformats.org/officeDocument/2006/relationships/oleObject" Target="embeddings/oleObject13.bin"/><Relationship Id="rId47" Type="http://schemas.openxmlformats.org/officeDocument/2006/relationships/image" Target="media/image18.wmf"/><Relationship Id="rId50" Type="http://schemas.openxmlformats.org/officeDocument/2006/relationships/oleObject" Target="embeddings/oleObject17.bin"/><Relationship Id="rId55" Type="http://schemas.openxmlformats.org/officeDocument/2006/relationships/image" Target="media/image23.wmf"/><Relationship Id="rId63" Type="http://schemas.openxmlformats.org/officeDocument/2006/relationships/hyperlink" Target="http://yosemite1.epa.gov/ee/epa/ria.nsf/vwAN/autolightdutyRIAfinaltotal.pdf/$file/autolightdutyRIAfinaltotal.pdf" TargetMode="External"/><Relationship Id="rId68" Type="http://schemas.openxmlformats.org/officeDocument/2006/relationships/hyperlink" Target="http://yosemite.epa.gov/ee/epa/eerm.nsf/vwAN/EE-0568-50.pdf/$file/EE-0568-50.pdf" TargetMode="External"/><Relationship Id="rId76" Type="http://schemas.openxmlformats.org/officeDocument/2006/relationships/hyperlink" Target="http://www.epa.gov/ttn/ecas/regdata/RIAs/NESHAP_RICE_Spark_Ignition_RIA_finalreconsideration2013_EPA.pdf" TargetMode="External"/><Relationship Id="rId84" Type="http://schemas.openxmlformats.org/officeDocument/2006/relationships/hyperlink" Target="http://yosemite.epa.gov/ee/epa/eerm.nsf/vwAN/EE-0568-50.pdf/$file/EE-0568-50.pdf" TargetMode="External"/><Relationship Id="rId89" Type="http://schemas.openxmlformats.org/officeDocument/2006/relationships/header" Target="header2.xml"/><Relationship Id="rId7" Type="http://schemas.openxmlformats.org/officeDocument/2006/relationships/styles" Target="styles.xml"/><Relationship Id="rId71" Type="http://schemas.openxmlformats.org/officeDocument/2006/relationships/hyperlink" Target="http://www.epa.gov/air/sect812/feb11/fullreport_rev_a.pdf" TargetMode="External"/><Relationship Id="rId92"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oleObject" Target="embeddings/oleObject1.bin"/><Relationship Id="rId29" Type="http://schemas.openxmlformats.org/officeDocument/2006/relationships/image" Target="media/image9.wmf"/><Relationship Id="rId11" Type="http://schemas.openxmlformats.org/officeDocument/2006/relationships/endnotes" Target="endnotes.xml"/><Relationship Id="rId24" Type="http://schemas.openxmlformats.org/officeDocument/2006/relationships/oleObject" Target="embeddings/oleObject5.bin"/><Relationship Id="rId32" Type="http://schemas.openxmlformats.org/officeDocument/2006/relationships/oleObject" Target="embeddings/oleObject8.bin"/><Relationship Id="rId37" Type="http://schemas.openxmlformats.org/officeDocument/2006/relationships/image" Target="media/image13.wmf"/><Relationship Id="rId40" Type="http://schemas.openxmlformats.org/officeDocument/2006/relationships/oleObject" Target="embeddings/oleObject12.bin"/><Relationship Id="rId45" Type="http://schemas.openxmlformats.org/officeDocument/2006/relationships/image" Target="media/image17.wmf"/><Relationship Id="rId53" Type="http://schemas.openxmlformats.org/officeDocument/2006/relationships/image" Target="media/image22.wmf"/><Relationship Id="rId58" Type="http://schemas.openxmlformats.org/officeDocument/2006/relationships/hyperlink" Target="https://www.gtap.agecon.purdue.edu/resources/download/958.pdf" TargetMode="External"/><Relationship Id="rId66" Type="http://schemas.openxmlformats.org/officeDocument/2006/relationships/hyperlink" Target="http://www.epa.gov/ttn/ecas/regdata/RIAs/452_R_08_003.pdf" TargetMode="External"/><Relationship Id="rId74" Type="http://schemas.openxmlformats.org/officeDocument/2006/relationships/hyperlink" Target="http://www.epa.gov/ttn/ecas/regdata/RIAs/boilersriafinal110221_psg.pdf" TargetMode="External"/><Relationship Id="rId79" Type="http://schemas.openxmlformats.org/officeDocument/2006/relationships/hyperlink" Target="http://www.epa.gov/otaq/documents/nonroad-diesel/420r04007.pdf" TargetMode="External"/><Relationship Id="rId87" Type="http://schemas.openxmlformats.org/officeDocument/2006/relationships/hyperlink" Target="http://www.epa.gov/envirohealth/children/pdfs/ACE3_2013.pdf" TargetMode="External"/><Relationship Id="rId5" Type="http://schemas.openxmlformats.org/officeDocument/2006/relationships/customXml" Target="../customXml/item5.xml"/><Relationship Id="rId61" Type="http://schemas.openxmlformats.org/officeDocument/2006/relationships/hyperlink" Target="http://yosemite.epa.gov/ee/epa/eerm.nsf/vwAN/EE-0217B-1.pdf/$file/EE-0217B-1.pdf" TargetMode="External"/><Relationship Id="rId82" Type="http://schemas.openxmlformats.org/officeDocument/2006/relationships/hyperlink" Target="http://www.epa.gov/ttnecas1/models/empax_model_documentation.pdf" TargetMode="External"/><Relationship Id="rId90" Type="http://schemas.openxmlformats.org/officeDocument/2006/relationships/footer" Target="footer2.xml"/><Relationship Id="rId19" Type="http://schemas.openxmlformats.org/officeDocument/2006/relationships/image" Target="media/image4.wmf"/><Relationship Id="rId14" Type="http://schemas.openxmlformats.org/officeDocument/2006/relationships/footer" Target="footer1.xml"/><Relationship Id="rId22" Type="http://schemas.openxmlformats.org/officeDocument/2006/relationships/oleObject" Target="embeddings/oleObject4.bin"/><Relationship Id="rId27" Type="http://schemas.openxmlformats.org/officeDocument/2006/relationships/image" Target="media/image8.wmf"/><Relationship Id="rId30" Type="http://schemas.openxmlformats.org/officeDocument/2006/relationships/oleObject" Target="embeddings/oleObject7.bin"/><Relationship Id="rId35" Type="http://schemas.openxmlformats.org/officeDocument/2006/relationships/image" Target="media/image12.wmf"/><Relationship Id="rId43" Type="http://schemas.openxmlformats.org/officeDocument/2006/relationships/image" Target="media/image16.wmf"/><Relationship Id="rId48" Type="http://schemas.openxmlformats.org/officeDocument/2006/relationships/oleObject" Target="embeddings/oleObject16.bin"/><Relationship Id="rId56" Type="http://schemas.openxmlformats.org/officeDocument/2006/relationships/oleObject" Target="embeddings/oleObject19.bin"/><Relationship Id="rId64" Type="http://schemas.openxmlformats.org/officeDocument/2006/relationships/hyperlink" Target="http://www.epa.gov/ttnecas1/models/empax_peer_review_comments_responses.pdf" TargetMode="External"/><Relationship Id="rId69" Type="http://schemas.openxmlformats.org/officeDocument/2006/relationships/hyperlink" Target="http://www.epa.gov/climatechange/Downloads/EPAactivities/Final_peer_review_report_for_IGEM_and_ADAGE.pdf" TargetMode="External"/><Relationship Id="rId77" Type="http://schemas.openxmlformats.org/officeDocument/2006/relationships/hyperlink" Target="https://www.gtap.agecon.purdue.edu/resources/download/5933.pdf" TargetMode="External"/><Relationship Id="rId8" Type="http://schemas.openxmlformats.org/officeDocument/2006/relationships/settings" Target="settings.xml"/><Relationship Id="rId51" Type="http://schemas.openxmlformats.org/officeDocument/2006/relationships/image" Target="media/image20.emf"/><Relationship Id="rId72" Type="http://schemas.openxmlformats.org/officeDocument/2006/relationships/hyperlink" Target="http://www.epa.gov/mats/pdfs/20111221MATSfinalRIA.pdf" TargetMode="External"/><Relationship Id="rId80" Type="http://schemas.openxmlformats.org/officeDocument/2006/relationships/hyperlink" Target="http://yosemite.epa.gov/sab/sabproduct.nsf/7CCBBFE15CD4C8B185256F17005E3079/$File/council_adv_04004.pdf" TargetMode="External"/><Relationship Id="rId85" Type="http://schemas.openxmlformats.org/officeDocument/2006/relationships/hyperlink" Target="http://www.epa.gov/air/sect812/feb11/fullreport_rev_a.pdf" TargetMode="External"/><Relationship Id="rId93"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image" Target="media/image3.wmf"/><Relationship Id="rId25" Type="http://schemas.openxmlformats.org/officeDocument/2006/relationships/chart" Target="charts/chart1.xml"/><Relationship Id="rId33" Type="http://schemas.openxmlformats.org/officeDocument/2006/relationships/image" Target="media/image11.wmf"/><Relationship Id="rId38" Type="http://schemas.openxmlformats.org/officeDocument/2006/relationships/oleObject" Target="embeddings/oleObject11.bin"/><Relationship Id="rId46" Type="http://schemas.openxmlformats.org/officeDocument/2006/relationships/oleObject" Target="embeddings/oleObject15.bin"/><Relationship Id="rId59" Type="http://schemas.openxmlformats.org/officeDocument/2006/relationships/hyperlink" Target="https://www.gtap.agecon.purdue.edu/resources/res_display.asp?RecordID=480" TargetMode="External"/><Relationship Id="rId67" Type="http://schemas.openxmlformats.org/officeDocument/2006/relationships/hyperlink" Target="http://www.epa.gov/ttnecas1/models/empax_model_documentation.pdf" TargetMode="External"/><Relationship Id="rId20" Type="http://schemas.openxmlformats.org/officeDocument/2006/relationships/oleObject" Target="embeddings/oleObject3.bin"/><Relationship Id="rId41" Type="http://schemas.openxmlformats.org/officeDocument/2006/relationships/image" Target="media/image15.wmf"/><Relationship Id="rId54" Type="http://schemas.openxmlformats.org/officeDocument/2006/relationships/oleObject" Target="embeddings/oleObject18.bin"/><Relationship Id="rId62" Type="http://schemas.openxmlformats.org/officeDocument/2006/relationships/hyperlink" Target="http://www.epa.gov/otaq/regs/nonroad/2002/r02022.pdf" TargetMode="External"/><Relationship Id="rId70" Type="http://schemas.openxmlformats.org/officeDocument/2006/relationships/hyperlink" Target="http://www.epa.gov/ttnecas1/regdata/RIAs/portlandcementfinalria.pdf" TargetMode="External"/><Relationship Id="rId75" Type="http://schemas.openxmlformats.org/officeDocument/2006/relationships/hyperlink" Target="http://www.epa.gov/ttnecas1/models/EMPAX_812_Jan2013.zip" TargetMode="External"/><Relationship Id="rId83" Type="http://schemas.openxmlformats.org/officeDocument/2006/relationships/hyperlink" Target="http://yosemite.epa.gov/ee/epa/eerm.nsf/vwAN/EE-0563-1.pdf/$file/EE-0563-1.pdf" TargetMode="External"/><Relationship Id="rId88" Type="http://schemas.openxmlformats.org/officeDocument/2006/relationships/hyperlink" Target="http://ofmpub.epa.gov/eims/eimscomm.getfile?p_download_id=511347" TargetMode="External"/><Relationship Id="rId9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2.wmf"/><Relationship Id="rId23" Type="http://schemas.openxmlformats.org/officeDocument/2006/relationships/image" Target="media/image6.wmf"/><Relationship Id="rId28" Type="http://schemas.openxmlformats.org/officeDocument/2006/relationships/oleObject" Target="embeddings/oleObject6.bin"/><Relationship Id="rId36" Type="http://schemas.openxmlformats.org/officeDocument/2006/relationships/oleObject" Target="embeddings/oleObject10.bin"/><Relationship Id="rId49" Type="http://schemas.openxmlformats.org/officeDocument/2006/relationships/image" Target="media/image19.wmf"/><Relationship Id="rId57" Type="http://schemas.openxmlformats.org/officeDocument/2006/relationships/hyperlink" Target="http://www.factormarkets.eu/system/files/FM%20WP47%20Final%20Modelling%20Report.pdf" TargetMode="External"/><Relationship Id="rId10" Type="http://schemas.openxmlformats.org/officeDocument/2006/relationships/footnotes" Target="footnotes.xml"/><Relationship Id="rId31" Type="http://schemas.openxmlformats.org/officeDocument/2006/relationships/image" Target="media/image10.wmf"/><Relationship Id="rId44" Type="http://schemas.openxmlformats.org/officeDocument/2006/relationships/oleObject" Target="embeddings/oleObject14.bin"/><Relationship Id="rId52" Type="http://schemas.openxmlformats.org/officeDocument/2006/relationships/image" Target="media/image21.emf"/><Relationship Id="rId60" Type="http://schemas.openxmlformats.org/officeDocument/2006/relationships/hyperlink" Target="http://yosemite.epa.gov/ee/epa/eerm.nsf/vwAN/EE-0217A-1.pdf/$file/EE-0217A-1.pdf" TargetMode="External"/><Relationship Id="rId65" Type="http://schemas.openxmlformats.org/officeDocument/2006/relationships/hyperlink" Target="http://www.epa.gov/ttn/ecas/regdata/RIAs/finalpbria.pdf" TargetMode="External"/><Relationship Id="rId73" Type="http://schemas.openxmlformats.org/officeDocument/2006/relationships/hyperlink" Target="http://www.epa.gov/crossstaterule/pdfs/FinalRIA.pdf" TargetMode="External"/><Relationship Id="rId78" Type="http://schemas.openxmlformats.org/officeDocument/2006/relationships/hyperlink" Target="http://www.whitehouse.gov/omb/circulars/a004/a-4.html" TargetMode="External"/><Relationship Id="rId81" Type="http://schemas.openxmlformats.org/officeDocument/2006/relationships/hyperlink" Target="http://www.epa.gov/ttn/naaqs/standards/ozone/data/2007_07_ozone_staff_paper.pdf" TargetMode="External"/><Relationship Id="rId86" Type="http://schemas.openxmlformats.org/officeDocument/2006/relationships/hyperlink" Target="http://www.epa.gov/ttn/ecas/regdata/RIAs/finalria.pdf" TargetMode="External"/><Relationship Id="rId4" Type="http://schemas.openxmlformats.org/officeDocument/2006/relationships/customXml" Target="../customXml/item4.xml"/><Relationship Id="rId9"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www2.epa.gov/sites/production/files/2015-04/documents/benmap-ce_user_manual_march_2015.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arten\Dropbox\Work\templates\report.dotx"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C:\Users\AWolvert\Documents\My%20Documents\economy%20wide%20modeling\illustrative%20runs\prospective%20gdp%20vs%20ev.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Sheet1!$B$2</c:f>
              <c:strCache>
                <c:ptCount val="1"/>
                <c:pt idx="0">
                  <c:v>GDP</c:v>
                </c:pt>
              </c:strCache>
            </c:strRef>
          </c:tx>
          <c:spPr>
            <a:solidFill>
              <a:schemeClr val="accent1"/>
            </a:solidFill>
            <a:ln>
              <a:noFill/>
            </a:ln>
            <a:effectLst/>
          </c:spPr>
          <c:invertIfNegative val="0"/>
          <c:cat>
            <c:numRef>
              <c:f>Sheet1!$A$3:$A$5</c:f>
              <c:numCache>
                <c:formatCode>General</c:formatCode>
                <c:ptCount val="3"/>
                <c:pt idx="0">
                  <c:v>2010</c:v>
                </c:pt>
                <c:pt idx="1">
                  <c:v>2015</c:v>
                </c:pt>
                <c:pt idx="2">
                  <c:v>2020</c:v>
                </c:pt>
              </c:numCache>
            </c:numRef>
          </c:cat>
          <c:val>
            <c:numRef>
              <c:f>Sheet1!$B$3:$B$5</c:f>
              <c:numCache>
                <c:formatCode>General</c:formatCode>
                <c:ptCount val="3"/>
                <c:pt idx="0">
                  <c:v>-0.52</c:v>
                </c:pt>
                <c:pt idx="1">
                  <c:v>-0.53</c:v>
                </c:pt>
                <c:pt idx="2">
                  <c:v>-0.54</c:v>
                </c:pt>
              </c:numCache>
            </c:numRef>
          </c:val>
        </c:ser>
        <c:ser>
          <c:idx val="1"/>
          <c:order val="1"/>
          <c:tx>
            <c:strRef>
              <c:f>Sheet1!$C$2</c:f>
              <c:strCache>
                <c:ptCount val="1"/>
                <c:pt idx="0">
                  <c:v>Consumption</c:v>
                </c:pt>
              </c:strCache>
            </c:strRef>
          </c:tx>
          <c:spPr>
            <a:solidFill>
              <a:schemeClr val="accent2"/>
            </a:solidFill>
            <a:ln>
              <a:noFill/>
            </a:ln>
            <a:effectLst/>
          </c:spPr>
          <c:invertIfNegative val="0"/>
          <c:cat>
            <c:numRef>
              <c:f>Sheet1!$A$3:$A$5</c:f>
              <c:numCache>
                <c:formatCode>General</c:formatCode>
                <c:ptCount val="3"/>
                <c:pt idx="0">
                  <c:v>2010</c:v>
                </c:pt>
                <c:pt idx="1">
                  <c:v>2015</c:v>
                </c:pt>
                <c:pt idx="2">
                  <c:v>2020</c:v>
                </c:pt>
              </c:numCache>
            </c:numRef>
          </c:cat>
          <c:val>
            <c:numRef>
              <c:f>Sheet1!$C$3:$C$5</c:f>
              <c:numCache>
                <c:formatCode>General</c:formatCode>
                <c:ptCount val="3"/>
                <c:pt idx="0">
                  <c:v>-0.49</c:v>
                </c:pt>
                <c:pt idx="1">
                  <c:v>-0.49</c:v>
                </c:pt>
                <c:pt idx="2">
                  <c:v>-0.5</c:v>
                </c:pt>
              </c:numCache>
            </c:numRef>
          </c:val>
        </c:ser>
        <c:ser>
          <c:idx val="2"/>
          <c:order val="2"/>
          <c:tx>
            <c:strRef>
              <c:f>Sheet1!$D$2</c:f>
              <c:strCache>
                <c:ptCount val="1"/>
                <c:pt idx="0">
                  <c:v>Equivalent Variation</c:v>
                </c:pt>
              </c:strCache>
            </c:strRef>
          </c:tx>
          <c:spPr>
            <a:solidFill>
              <a:schemeClr val="accent3"/>
            </a:solidFill>
            <a:ln>
              <a:noFill/>
            </a:ln>
            <a:effectLst/>
          </c:spPr>
          <c:invertIfNegative val="0"/>
          <c:cat>
            <c:numRef>
              <c:f>Sheet1!$A$3:$A$5</c:f>
              <c:numCache>
                <c:formatCode>General</c:formatCode>
                <c:ptCount val="3"/>
                <c:pt idx="0">
                  <c:v>2010</c:v>
                </c:pt>
                <c:pt idx="1">
                  <c:v>2015</c:v>
                </c:pt>
                <c:pt idx="2">
                  <c:v>2020</c:v>
                </c:pt>
              </c:numCache>
            </c:numRef>
          </c:cat>
          <c:val>
            <c:numRef>
              <c:f>Sheet1!$D$3:$D$5</c:f>
              <c:numCache>
                <c:formatCode>General</c:formatCode>
                <c:ptCount val="3"/>
                <c:pt idx="0">
                  <c:v>-0.38</c:v>
                </c:pt>
                <c:pt idx="1">
                  <c:v>-0.38</c:v>
                </c:pt>
                <c:pt idx="2">
                  <c:v>-0.39</c:v>
                </c:pt>
              </c:numCache>
            </c:numRef>
          </c:val>
        </c:ser>
        <c:dLbls>
          <c:showLegendKey val="0"/>
          <c:showVal val="0"/>
          <c:showCatName val="0"/>
          <c:showSerName val="0"/>
          <c:showPercent val="0"/>
          <c:showBubbleSize val="0"/>
        </c:dLbls>
        <c:gapWidth val="219"/>
        <c:overlap val="-27"/>
        <c:axId val="761751400"/>
        <c:axId val="761750616"/>
      </c:barChart>
      <c:catAx>
        <c:axId val="761751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50" b="1" i="0" u="none" strike="noStrike" kern="1200" baseline="0">
                <a:solidFill>
                  <a:schemeClr val="tx1">
                    <a:lumMod val="65000"/>
                    <a:lumOff val="35000"/>
                  </a:schemeClr>
                </a:solidFill>
                <a:latin typeface="+mn-lt"/>
                <a:ea typeface="+mn-ea"/>
                <a:cs typeface="+mn-cs"/>
              </a:defRPr>
            </a:pPr>
            <a:endParaRPr lang="en-US"/>
          </a:p>
        </c:txPr>
        <c:crossAx val="761750616"/>
        <c:crosses val="autoZero"/>
        <c:auto val="1"/>
        <c:lblAlgn val="ctr"/>
        <c:lblOffset val="100"/>
        <c:noMultiLvlLbl val="0"/>
      </c:catAx>
      <c:valAx>
        <c:axId val="7617506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17514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481A49E5D17947B14766C6B4D73805" ma:contentTypeVersion="20" ma:contentTypeDescription="Create a new document." ma:contentTypeScope="" ma:versionID="71d2a8d2889f0a7d05676984c75a9f7b">
  <xsd:schema xmlns:xsd="http://www.w3.org/2001/XMLSchema" xmlns:xs="http://www.w3.org/2001/XMLSchema" xmlns:p="http://schemas.microsoft.com/office/2006/metadata/properties" xmlns:ns1="http://schemas.microsoft.com/sharepoint/v3" xmlns:ns3="4ffa91fb-a0ff-4ac5-b2db-65c790d184a4" xmlns:ns4="http://schemas.microsoft.com/sharepoint.v3" xmlns:ns5="http://schemas.microsoft.com/sharepoint/v3/fields" xmlns:ns6="fb489ee6-2a1a-454b-b8aa-a578c758f047" targetNamespace="http://schemas.microsoft.com/office/2006/metadata/properties" ma:root="true" ma:fieldsID="972c9517b60ac784eadc68bddc382b25" ns1:_="" ns3:_="" ns4:_="" ns5:_="" ns6:_="">
    <xsd:import namespace="http://schemas.microsoft.com/sharepoint/v3"/>
    <xsd:import namespace="4ffa91fb-a0ff-4ac5-b2db-65c790d184a4"/>
    <xsd:import namespace="http://schemas.microsoft.com/sharepoint.v3"/>
    <xsd:import namespace="http://schemas.microsoft.com/sharepoint/v3/fields"/>
    <xsd:import namespace="fb489ee6-2a1a-454b-b8aa-a578c758f047"/>
    <xsd:element name="properties">
      <xsd:complexType>
        <xsd:sequence>
          <xsd:element name="documentManagement">
            <xsd:complexType>
              <xsd:all>
                <xsd:element ref="ns3:Document_x0020_Creation_x0020_Date" minOccurs="0"/>
                <xsd:element ref="ns3:Creator" minOccurs="0"/>
                <xsd:element ref="ns3:EPA_x0020_Office" minOccurs="0"/>
                <xsd:element ref="ns3:Record" minOccurs="0"/>
                <xsd:element ref="ns4:CategoryDescription" minOccurs="0"/>
                <xsd:element ref="ns3:Identifier" minOccurs="0"/>
                <xsd:element ref="ns3:EPA_x0020_Contributor" minOccurs="0"/>
                <xsd:element ref="ns3:External_x0020_Contributor" minOccurs="0"/>
                <xsd:element ref="ns5:_Coverage" minOccurs="0"/>
                <xsd:element ref="ns3:EPA_x0020_Related_x0020_Documents" minOccurs="0"/>
                <xsd:element ref="ns5:_Source" minOccurs="0"/>
                <xsd:element ref="ns3:Rights" minOccurs="0"/>
                <xsd:element ref="ns1:Language" minOccurs="0"/>
                <xsd:element ref="ns3:j747ac98061d40f0aa7bd47e1db5675d" minOccurs="0"/>
                <xsd:element ref="ns3:TaxKeywordTaxHTField" minOccurs="0"/>
                <xsd:element ref="ns3:TaxCatchAllLabel" minOccurs="0"/>
                <xsd:element ref="ns3:TaxCatchAll" minOccurs="0"/>
                <xsd:element ref="ns6:SharedWithUsers" minOccurs="0"/>
                <xsd:element ref="ns6:SharingHintHash" minOccurs="0"/>
                <xsd:element ref="ns6: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ma:readOnly="false">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dd69d4a0-2ea6-4474-83ce-03c93db0914c}" ma:internalName="TaxCatchAllLabel" ma:readOnly="true" ma:showField="CatchAllDataLabel" ma:web="fb489ee6-2a1a-454b-b8aa-a578c758f047">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dd69d4a0-2ea6-4474-83ce-03c93db0914c}" ma:internalName="TaxCatchAll" ma:showField="CatchAllData" ma:web="fb489ee6-2a1a-454b-b8aa-a578c758f04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b489ee6-2a1a-454b-b8aa-a578c758f047" elementFormDefault="qualified">
    <xsd:import namespace="http://schemas.microsoft.com/office/2006/documentManagement/types"/>
    <xsd:import namespace="http://schemas.microsoft.com/office/infopath/2007/PartnerControls"/>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29" nillable="true" ma:displayName="Sharing Hint Hash" ma:internalName="SharingHintHash" ma:readOnly="true">
      <xsd:simpleType>
        <xsd:restriction base="dms:Text"/>
      </xsd:simpleType>
    </xsd:element>
    <xsd:element name="SharedWithDetails" ma:index="30"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29f62856-1543-49d4-a736-4569d363f533" ContentTypeId="0x0101" PreviousValue="false"/>
</file>

<file path=customXml/item3.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Language xmlns="http://schemas.microsoft.com/sharepoint/v3">English</Language>
    <j747ac98061d40f0aa7bd47e1db5675d xmlns="4ffa91fb-a0ff-4ac5-b2db-65c790d184a4">
      <Terms xmlns="http://schemas.microsoft.com/office/infopath/2007/PartnerControls"/>
    </j747ac98061d40f0aa7bd47e1db5675d>
    <External_x0020_Contributor xmlns="4ffa91fb-a0ff-4ac5-b2db-65c790d184a4" xsi:nil="true"/>
    <TaxKeywordTaxHTField xmlns="4ffa91fb-a0ff-4ac5-b2db-65c790d184a4">
      <Terms xmlns="http://schemas.microsoft.com/office/infopath/2007/PartnerControls"/>
    </TaxKeywordTaxHTField>
    <Record xmlns="4ffa91fb-a0ff-4ac5-b2db-65c790d184a4">Shared</Record>
    <Rights xmlns="4ffa91fb-a0ff-4ac5-b2db-65c790d184a4" xsi:nil="true"/>
    <Document_x0020_Creation_x0020_Date xmlns="4ffa91fb-a0ff-4ac5-b2db-65c790d184a4">2015-08-27T18:03:42+00:00</Document_x0020_Creation_x0020_Date>
    <EPA_x0020_Office xmlns="4ffa91fb-a0ff-4ac5-b2db-65c790d184a4" xsi:nil="true"/>
    <CategoryDescription xmlns="http://schemas.microsoft.com/sharepoint.v3" xsi:nil="true"/>
    <Identifier xmlns="4ffa91fb-a0ff-4ac5-b2db-65c790d184a4" xsi:nil="true"/>
    <_Coverage xmlns="http://schemas.microsoft.com/sharepoint/v3/fields" xsi:nil="true"/>
    <Creator xmlns="4ffa91fb-a0ff-4ac5-b2db-65c790d184a4">
      <UserInfo>
        <DisplayName/>
        <AccountId xsi:nil="true"/>
        <AccountType/>
      </UserInfo>
    </Creator>
    <EPA_x0020_Related_x0020_Documents xmlns="4ffa91fb-a0ff-4ac5-b2db-65c790d184a4" xsi:nil="true"/>
    <EPA_x0020_Contributor xmlns="4ffa91fb-a0ff-4ac5-b2db-65c790d184a4">
      <UserInfo>
        <DisplayName/>
        <AccountId xsi:nil="true"/>
        <AccountType/>
      </UserInfo>
    </EPA_x0020_Contributor>
    <TaxCatchAll xmlns="4ffa91fb-a0ff-4ac5-b2db-65c790d184a4"/>
    <SharedWithUsers xmlns="fb489ee6-2a1a-454b-b8aa-a578c758f047">
      <UserInfo>
        <DisplayName>Evans, DavidA</DisplayName>
        <AccountId>11</AccountId>
        <AccountType/>
      </UserInfo>
      <UserInfo>
        <DisplayName>Garbaccio, Richard</DisplayName>
        <AccountId>10</AccountId>
        <AccountType/>
      </UserInfo>
      <UserInfo>
        <DisplayName>Marten, Alex</DisplayName>
        <AccountId>9</AccountId>
        <AccountType/>
      </UserInfo>
      <UserInfo>
        <DisplayName>Hussein, Zekarias</DisplayName>
        <AccountId>29</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617C9F-E15B-481C-AEAF-EC70127D88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fb489ee6-2a1a-454b-b8aa-a578c758f0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F43FA6-B0DE-4E5E-97E2-E80D345E47A6}">
  <ds:schemaRefs>
    <ds:schemaRef ds:uri="Microsoft.SharePoint.Taxonomy.ContentTypeSync"/>
  </ds:schemaRefs>
</ds:datastoreItem>
</file>

<file path=customXml/itemProps3.xml><?xml version="1.0" encoding="utf-8"?>
<ds:datastoreItem xmlns:ds="http://schemas.openxmlformats.org/officeDocument/2006/customXml" ds:itemID="{B680CFF6-3FCD-4BA0-8C42-86EC728B809F}">
  <ds:schemaRefs>
    <ds:schemaRef ds:uri="http://schemas.microsoft.com/office/2006/metadata/properties"/>
    <ds:schemaRef ds:uri="http://schemas.microsoft.com/office/infopath/2007/PartnerControls"/>
    <ds:schemaRef ds:uri="http://schemas.microsoft.com/sharepoint/v3/fields"/>
    <ds:schemaRef ds:uri="http://schemas.microsoft.com/sharepoint/v3"/>
    <ds:schemaRef ds:uri="4ffa91fb-a0ff-4ac5-b2db-65c790d184a4"/>
    <ds:schemaRef ds:uri="http://schemas.microsoft.com/sharepoint.v3"/>
    <ds:schemaRef ds:uri="fb489ee6-2a1a-454b-b8aa-a578c758f047"/>
  </ds:schemaRefs>
</ds:datastoreItem>
</file>

<file path=customXml/itemProps4.xml><?xml version="1.0" encoding="utf-8"?>
<ds:datastoreItem xmlns:ds="http://schemas.openxmlformats.org/officeDocument/2006/customXml" ds:itemID="{96582B00-3F7B-451A-A749-1BB6E456A779}">
  <ds:schemaRefs>
    <ds:schemaRef ds:uri="http://schemas.microsoft.com/sharepoint/v3/contenttype/forms"/>
  </ds:schemaRefs>
</ds:datastoreItem>
</file>

<file path=customXml/itemProps5.xml><?xml version="1.0" encoding="utf-8"?>
<ds:datastoreItem xmlns:ds="http://schemas.openxmlformats.org/officeDocument/2006/customXml" ds:itemID="{7BD81BDF-E4DA-45C6-AC98-7BE1920DC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report.dotx</Template>
  <TotalTime>70</TotalTime>
  <Pages>11</Pages>
  <Words>28275</Words>
  <Characters>161169</Characters>
  <Application>Microsoft Office Word</Application>
  <DocSecurity>0</DocSecurity>
  <Lines>1343</Lines>
  <Paragraphs>378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Marten, Alex</dc:creator>
  <cp:lastModifiedBy>Ann Wolverton</cp:lastModifiedBy>
  <cp:revision>10</cp:revision>
  <cp:lastPrinted>2015-09-22T14:25:00Z</cp:lastPrinted>
  <dcterms:created xsi:type="dcterms:W3CDTF">2016-04-15T13:22:00Z</dcterms:created>
  <dcterms:modified xsi:type="dcterms:W3CDTF">2016-04-15T20:18:00Z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0x010100CB481A49E5D17947B14766C6B4D73805</vt:lpwstr>
  </property>
  <property fmtid="{D5CDD505-2E9C-101B-9397-08002B2CF9AE}" pid="3" name="TaxKeyword">
    <vt:lpwstr/>
  </property>
  <property fmtid="{D5CDD505-2E9C-101B-9397-08002B2CF9AE}" pid="4" name="Document Type">
    <vt:lpwstr/>
  </property>
</Properties>
</file>