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364F0" w14:textId="77777777" w:rsidR="00573B8D" w:rsidRPr="008870FE" w:rsidRDefault="008870FE" w:rsidP="008870FE">
      <w:pPr>
        <w:rPr>
          <w:b/>
        </w:rPr>
      </w:pPr>
      <w:r w:rsidRPr="008870FE">
        <w:rPr>
          <w:b/>
        </w:rPr>
        <w:t xml:space="preserve">A Shared Socio-economic Pathway Approach to Assessing the </w:t>
      </w:r>
      <w:r w:rsidR="00BC2FF3">
        <w:rPr>
          <w:b/>
        </w:rPr>
        <w:t>F</w:t>
      </w:r>
      <w:r w:rsidRPr="008870FE">
        <w:rPr>
          <w:b/>
        </w:rPr>
        <w:t>uture of the New Zealand Forest Sector</w:t>
      </w:r>
    </w:p>
    <w:p w14:paraId="6FC4325C" w14:textId="77777777" w:rsidR="008870FE" w:rsidRDefault="008870FE" w:rsidP="00BC2FF3">
      <w:pPr>
        <w:spacing w:after="0" w:line="240" w:lineRule="auto"/>
        <w:jc w:val="center"/>
        <w:rPr>
          <w:i/>
        </w:rPr>
      </w:pPr>
      <w:r>
        <w:rPr>
          <w:i/>
        </w:rPr>
        <w:t>Adam Daigneault, University of Maine School of Forest Resources</w:t>
      </w:r>
    </w:p>
    <w:p w14:paraId="54CCF845" w14:textId="2B6337C4" w:rsidR="008870FE" w:rsidRDefault="008870FE" w:rsidP="00BC2FF3">
      <w:pPr>
        <w:spacing w:after="0" w:line="240" w:lineRule="auto"/>
        <w:jc w:val="center"/>
        <w:rPr>
          <w:i/>
        </w:rPr>
      </w:pPr>
      <w:r>
        <w:rPr>
          <w:i/>
        </w:rPr>
        <w:t>Anne-</w:t>
      </w:r>
      <w:proofErr w:type="spellStart"/>
      <w:r>
        <w:rPr>
          <w:i/>
        </w:rPr>
        <w:t>Gaelle</w:t>
      </w:r>
      <w:proofErr w:type="spellEnd"/>
      <w:r>
        <w:rPr>
          <w:i/>
        </w:rPr>
        <w:t xml:space="preserve"> </w:t>
      </w:r>
      <w:proofErr w:type="spellStart"/>
      <w:r>
        <w:rPr>
          <w:i/>
        </w:rPr>
        <w:t>Aussei</w:t>
      </w:r>
      <w:r w:rsidR="000E2431">
        <w:rPr>
          <w:i/>
        </w:rPr>
        <w:t>l</w:t>
      </w:r>
      <w:proofErr w:type="spellEnd"/>
      <w:r>
        <w:rPr>
          <w:i/>
        </w:rPr>
        <w:t xml:space="preserve">, </w:t>
      </w:r>
      <w:proofErr w:type="spellStart"/>
      <w:r>
        <w:rPr>
          <w:i/>
        </w:rPr>
        <w:t>Landcare</w:t>
      </w:r>
      <w:proofErr w:type="spellEnd"/>
      <w:r>
        <w:rPr>
          <w:i/>
        </w:rPr>
        <w:t xml:space="preserve"> Research New Zealand</w:t>
      </w:r>
    </w:p>
    <w:p w14:paraId="565D4ADA" w14:textId="77777777" w:rsidR="008870FE" w:rsidRDefault="008870FE" w:rsidP="00BC2FF3">
      <w:pPr>
        <w:spacing w:after="0" w:line="240" w:lineRule="auto"/>
        <w:jc w:val="center"/>
        <w:rPr>
          <w:i/>
        </w:rPr>
      </w:pPr>
      <w:bookmarkStart w:id="0" w:name="_GoBack"/>
      <w:bookmarkEnd w:id="0"/>
      <w:proofErr w:type="spellStart"/>
      <w:r>
        <w:rPr>
          <w:i/>
        </w:rPr>
        <w:t>Miko</w:t>
      </w:r>
      <w:proofErr w:type="spellEnd"/>
      <w:r>
        <w:rPr>
          <w:i/>
        </w:rPr>
        <w:t xml:space="preserve"> </w:t>
      </w:r>
      <w:proofErr w:type="spellStart"/>
      <w:r>
        <w:rPr>
          <w:i/>
        </w:rPr>
        <w:t>Kirschbaum</w:t>
      </w:r>
      <w:proofErr w:type="spellEnd"/>
      <w:r>
        <w:rPr>
          <w:i/>
        </w:rPr>
        <w:t xml:space="preserve">, </w:t>
      </w:r>
      <w:proofErr w:type="spellStart"/>
      <w:r>
        <w:rPr>
          <w:i/>
        </w:rPr>
        <w:t>Landcare</w:t>
      </w:r>
      <w:proofErr w:type="spellEnd"/>
      <w:r>
        <w:rPr>
          <w:i/>
        </w:rPr>
        <w:t xml:space="preserve"> Research New Zealand</w:t>
      </w:r>
    </w:p>
    <w:p w14:paraId="540D7A97" w14:textId="77777777" w:rsidR="00BC2FF3" w:rsidRDefault="00BC2FF3" w:rsidP="00BC2FF3">
      <w:pPr>
        <w:spacing w:after="0" w:line="240" w:lineRule="auto"/>
        <w:rPr>
          <w:i/>
        </w:rPr>
      </w:pPr>
    </w:p>
    <w:p w14:paraId="2424D430" w14:textId="77777777" w:rsidR="008870FE" w:rsidRDefault="008870FE" w:rsidP="008870FE">
      <w:pPr>
        <w:rPr>
          <w:i/>
        </w:rPr>
      </w:pPr>
      <w:r>
        <w:rPr>
          <w:i/>
        </w:rPr>
        <w:t>Overview</w:t>
      </w:r>
    </w:p>
    <w:p w14:paraId="7928753D" w14:textId="4D416F5C" w:rsidR="00A60CFB" w:rsidRDefault="00A60CFB" w:rsidP="00A60CFB">
      <w:r>
        <w:t xml:space="preserve">This analysis focuses on impacts of climate and socio-economic change through 2100 on the New Zealand forest sector. </w:t>
      </w:r>
      <w:r w:rsidRPr="00501772">
        <w:t>The industry is based around sustainably managed exotic plantation forests, covering 1.</w:t>
      </w:r>
      <w:r>
        <w:t xml:space="preserve">8 million hectares, or </w:t>
      </w:r>
      <w:r w:rsidRPr="00501772">
        <w:t xml:space="preserve">7% of New Zealand's land area. </w:t>
      </w:r>
      <w:r>
        <w:t xml:space="preserve">About </w:t>
      </w:r>
      <w:r w:rsidRPr="00501772">
        <w:t>90%</w:t>
      </w:r>
      <w:r>
        <w:t xml:space="preserve"> of plantations are </w:t>
      </w:r>
      <w:proofErr w:type="spellStart"/>
      <w:r w:rsidRPr="00501772">
        <w:t>Radiata</w:t>
      </w:r>
      <w:proofErr w:type="spellEnd"/>
      <w:r w:rsidRPr="00501772">
        <w:t xml:space="preserve"> pine (</w:t>
      </w:r>
      <w:proofErr w:type="spellStart"/>
      <w:r w:rsidRPr="00501772">
        <w:rPr>
          <w:i/>
        </w:rPr>
        <w:t>Pinus</w:t>
      </w:r>
      <w:proofErr w:type="spellEnd"/>
      <w:r w:rsidRPr="00501772">
        <w:rPr>
          <w:i/>
        </w:rPr>
        <w:t xml:space="preserve"> </w:t>
      </w:r>
      <w:proofErr w:type="spellStart"/>
      <w:r w:rsidRPr="00501772">
        <w:rPr>
          <w:i/>
        </w:rPr>
        <w:t>radiata</w:t>
      </w:r>
      <w:proofErr w:type="spellEnd"/>
      <w:r w:rsidRPr="00501772">
        <w:t xml:space="preserve">), with Douglas-fir </w:t>
      </w:r>
      <w:r>
        <w:t>and</w:t>
      </w:r>
      <w:r w:rsidRPr="00501772">
        <w:t xml:space="preserve"> eucalypts</w:t>
      </w:r>
      <w:r>
        <w:t xml:space="preserve"> largely accounting for the remaining area. Although New Zealand is a small player in the global forestry industry, contributing just over 1% of the world's total industrial wood supply, it a significant industry in New Zealand. Economy-wise, the sector accounts for 3% of New Zealand's GDP and wood products are New Zealand's third largest export, behind dairy and meat (MPI, 2016). Furthermore, 30% of the country is covered in forest which sequesters about 20 million tons of carbon dioxide equivalent, (</w:t>
      </w:r>
      <w:proofErr w:type="spellStart"/>
      <w:r>
        <w:t>MtCO</w:t>
      </w:r>
      <w:proofErr w:type="spellEnd"/>
      <w:r>
        <w:t>-e/</w:t>
      </w:r>
      <w:proofErr w:type="spellStart"/>
      <w:r>
        <w:t>yr</w:t>
      </w:r>
      <w:proofErr w:type="spellEnd"/>
      <w:r>
        <w:t>), thus reducing the country’s total GHG emissions by about 1/3 (</w:t>
      </w:r>
      <w:proofErr w:type="spellStart"/>
      <w:r>
        <w:t>MfE</w:t>
      </w:r>
      <w:proofErr w:type="spellEnd"/>
      <w:r>
        <w:t>, 2016</w:t>
      </w:r>
      <w:r w:rsidR="001464AC">
        <w:t>a</w:t>
      </w:r>
      <w:r>
        <w:t>). New Zealand also has some of the highest erosion rates in the world, and sediment loads in many areas are largely mitigated by its extensive forest cover (</w:t>
      </w:r>
      <w:proofErr w:type="spellStart"/>
      <w:r>
        <w:t>Dymond</w:t>
      </w:r>
      <w:proofErr w:type="spellEnd"/>
      <w:r>
        <w:t xml:space="preserve"> et al 2010). </w:t>
      </w:r>
    </w:p>
    <w:p w14:paraId="2DEC0AC6" w14:textId="24D1BC61" w:rsidR="00501772" w:rsidRDefault="008870FE" w:rsidP="00501772">
      <w:r>
        <w:t xml:space="preserve">We use a global integrated assessment model that is focused on the land use sector to model 20 </w:t>
      </w:r>
      <w:r w:rsidR="00684A02">
        <w:t>different</w:t>
      </w:r>
      <w:r>
        <w:t xml:space="preserve"> scenarios that vary climate and socio-economic pathways</w:t>
      </w:r>
      <w:r w:rsidR="002404BA">
        <w:t xml:space="preserve"> </w:t>
      </w:r>
      <w:r w:rsidR="00684A02">
        <w:t>to a</w:t>
      </w:r>
      <w:r w:rsidR="002404BA">
        <w:t xml:space="preserve">nalyze the potential impacts </w:t>
      </w:r>
      <w:r w:rsidR="00684A02">
        <w:t>on</w:t>
      </w:r>
      <w:r w:rsidR="002404BA">
        <w:t xml:space="preserve"> the</w:t>
      </w:r>
      <w:r w:rsidR="00684A02">
        <w:t xml:space="preserve"> New Zealand forest sector. The dynamic model includes a global computable CGE model, a global timber supply model, and a detailed New Zealand land-use sector model that utilizes agriculture and forest production models that estimate forest, pasture, and livestock yields under varying climatic conditions. Key outputs include land use area, forest carbon sequestration, timber harvest, and management regime</w:t>
      </w:r>
      <w:r>
        <w:t xml:space="preserve">. </w:t>
      </w:r>
      <w:r w:rsidR="00A60CFB">
        <w:t>This study provide</w:t>
      </w:r>
      <w:r w:rsidR="002404BA">
        <w:t>s</w:t>
      </w:r>
      <w:r w:rsidR="00A60CFB">
        <w:t xml:space="preserve"> insight on the key drivers that are most likely to affect New Zealand’s forest sector, including</w:t>
      </w:r>
      <w:r w:rsidR="00EB09E4">
        <w:t xml:space="preserve"> population change,</w:t>
      </w:r>
      <w:r w:rsidR="00A60CFB">
        <w:t xml:space="preserve"> </w:t>
      </w:r>
      <w:r w:rsidR="00EB09E4">
        <w:t>commodity prices, agricultural yields, and pricing land-based GHG emissions</w:t>
      </w:r>
      <w:r w:rsidR="00A60CFB">
        <w:t xml:space="preserve">. It also offers valuable insight on possible methods to </w:t>
      </w:r>
      <w:r w:rsidR="002404BA">
        <w:t xml:space="preserve">utilize </w:t>
      </w:r>
      <w:r w:rsidR="00A60CFB">
        <w:t>‘downscale</w:t>
      </w:r>
      <w:r w:rsidR="002404BA">
        <w:t>d</w:t>
      </w:r>
      <w:r w:rsidR="00A60CFB">
        <w:t xml:space="preserve">’ </w:t>
      </w:r>
      <w:r w:rsidR="002404BA">
        <w:t>global climate projections and region-specific</w:t>
      </w:r>
      <w:r w:rsidR="00A60CFB">
        <w:t xml:space="preserve"> socio-economic assumptions into national and sub-national scale integrated assessments. </w:t>
      </w:r>
    </w:p>
    <w:p w14:paraId="28280BB3" w14:textId="77777777" w:rsidR="0024241E" w:rsidRPr="0024241E" w:rsidRDefault="0019030C" w:rsidP="008870FE">
      <w:pPr>
        <w:rPr>
          <w:i/>
        </w:rPr>
      </w:pPr>
      <w:r>
        <w:rPr>
          <w:i/>
        </w:rPr>
        <w:t>Methodology</w:t>
      </w:r>
    </w:p>
    <w:p w14:paraId="23559F5B" w14:textId="733BEF81" w:rsidR="0024241E" w:rsidRPr="0024241E" w:rsidRDefault="008870FE" w:rsidP="008870FE">
      <w:r>
        <w:t>We take a scenario modelling approach that</w:t>
      </w:r>
      <w:r w:rsidR="0024241E">
        <w:t xml:space="preserve"> adopt</w:t>
      </w:r>
      <w:r>
        <w:t>s</w:t>
      </w:r>
      <w:r w:rsidR="0024241E" w:rsidRPr="001452A7">
        <w:t xml:space="preserve"> two </w:t>
      </w:r>
      <w:r w:rsidR="0019030C">
        <w:t xml:space="preserve">global </w:t>
      </w:r>
      <w:r w:rsidR="0024241E" w:rsidRPr="001452A7">
        <w:t xml:space="preserve">elements from a </w:t>
      </w:r>
      <w:r w:rsidR="002C41B2">
        <w:t xml:space="preserve">scenario toolkit </w:t>
      </w:r>
      <w:r w:rsidR="0024241E" w:rsidRPr="001452A7">
        <w:rPr>
          <w:noProof/>
        </w:rPr>
        <w:t>(Ebi</w:t>
      </w:r>
      <w:r w:rsidR="0024241E" w:rsidRPr="001452A7">
        <w:rPr>
          <w:i/>
          <w:noProof/>
        </w:rPr>
        <w:t xml:space="preserve"> et al.</w:t>
      </w:r>
      <w:r w:rsidR="0024241E" w:rsidRPr="001452A7">
        <w:rPr>
          <w:noProof/>
        </w:rPr>
        <w:t>, 2013)</w:t>
      </w:r>
      <w:r w:rsidR="002C41B2">
        <w:rPr>
          <w:noProof/>
        </w:rPr>
        <w:t xml:space="preserve"> to estimate a wide range of possible changes to the New Zealand and global forest market as a result of climate and socio-economic change</w:t>
      </w:r>
      <w:r w:rsidR="0024241E" w:rsidRPr="001452A7">
        <w:t xml:space="preserve">. </w:t>
      </w:r>
      <w:r w:rsidR="0019030C">
        <w:t xml:space="preserve">The scenarios </w:t>
      </w:r>
      <w:r w:rsidR="00D63EDA">
        <w:t xml:space="preserve">we analyze </w:t>
      </w:r>
      <w:r w:rsidR="0019030C">
        <w:t>follow the framework by</w:t>
      </w:r>
      <w:r w:rsidR="0024241E" w:rsidRPr="001452A7">
        <w:t xml:space="preserve"> van </w:t>
      </w:r>
      <w:proofErr w:type="spellStart"/>
      <w:r w:rsidR="0024241E" w:rsidRPr="001452A7">
        <w:t>Vuuren</w:t>
      </w:r>
      <w:proofErr w:type="spellEnd"/>
      <w:r w:rsidR="0024241E" w:rsidRPr="001452A7">
        <w:t xml:space="preserve"> and Carter </w:t>
      </w:r>
      <w:r w:rsidR="0024241E" w:rsidRPr="001452A7">
        <w:rPr>
          <w:noProof/>
        </w:rPr>
        <w:t>(2013)</w:t>
      </w:r>
      <w:r w:rsidR="0024241E" w:rsidRPr="001452A7">
        <w:t xml:space="preserve"> to illustrate combinations of </w:t>
      </w:r>
      <w:r w:rsidR="00D63EDA">
        <w:t>Representative Concentration Pathways (</w:t>
      </w:r>
      <w:r w:rsidR="0024241E" w:rsidRPr="001452A7">
        <w:t>RCPs</w:t>
      </w:r>
      <w:r w:rsidR="00D63EDA">
        <w:t>)</w:t>
      </w:r>
      <w:r w:rsidR="0024241E" w:rsidRPr="001452A7">
        <w:t xml:space="preserve"> and </w:t>
      </w:r>
      <w:r w:rsidR="00D63EDA">
        <w:t>Shared Socioeconomic Pathways (</w:t>
      </w:r>
      <w:r w:rsidR="0024241E" w:rsidRPr="001452A7">
        <w:t>SSPs</w:t>
      </w:r>
      <w:r w:rsidR="00D63EDA">
        <w:t>)</w:t>
      </w:r>
      <w:r w:rsidR="0024241E" w:rsidRPr="001452A7">
        <w:t xml:space="preserve">. </w:t>
      </w:r>
      <w:r w:rsidR="00D63EDA">
        <w:t xml:space="preserve">We </w:t>
      </w:r>
      <w:r w:rsidR="002C0C78">
        <w:t xml:space="preserve">then </w:t>
      </w:r>
      <w:r w:rsidR="0024241E" w:rsidRPr="001452A7">
        <w:t>describe potential climate chan</w:t>
      </w:r>
      <w:r w:rsidR="001F4B53">
        <w:t xml:space="preserve">ge mitigation and/or adaptation options specific to New Zealand </w:t>
      </w:r>
      <w:r w:rsidR="002C0C78">
        <w:t xml:space="preserve">to weave the RCP and SSPs together using methods similar to </w:t>
      </w:r>
      <w:proofErr w:type="spellStart"/>
      <w:r w:rsidR="002C0C78">
        <w:t>Riahi</w:t>
      </w:r>
      <w:proofErr w:type="spellEnd"/>
      <w:r w:rsidR="002C0C78">
        <w:t xml:space="preserve"> et al</w:t>
      </w:r>
      <w:r w:rsidR="00D91A4D">
        <w:t>.</w:t>
      </w:r>
      <w:r w:rsidR="002C0C78">
        <w:t xml:space="preserve"> (2016)</w:t>
      </w:r>
      <w:r w:rsidR="0024241E" w:rsidRPr="001452A7">
        <w:t xml:space="preserve">. </w:t>
      </w:r>
      <w:r w:rsidR="004309F4">
        <w:t xml:space="preserve">A combination of </w:t>
      </w:r>
      <w:r w:rsidR="00D63EDA">
        <w:t>four</w:t>
      </w:r>
      <w:r w:rsidR="004309F4">
        <w:t xml:space="preserve"> RCPs</w:t>
      </w:r>
      <w:r>
        <w:t xml:space="preserve"> (2.6, 4.5 6.0 and 8.5 W/m</w:t>
      </w:r>
      <w:r w:rsidRPr="00573B8D">
        <w:rPr>
          <w:vertAlign w:val="superscript"/>
        </w:rPr>
        <w:t>2</w:t>
      </w:r>
      <w:r>
        <w:t xml:space="preserve">) </w:t>
      </w:r>
      <w:r w:rsidR="004309F4">
        <w:t xml:space="preserve">and </w:t>
      </w:r>
      <w:r w:rsidR="00D63EDA">
        <w:t>five</w:t>
      </w:r>
      <w:r w:rsidR="004309F4">
        <w:t xml:space="preserve"> SSPs (1-5) were </w:t>
      </w:r>
      <w:r w:rsidR="002C41B2">
        <w:t xml:space="preserve">run </w:t>
      </w:r>
      <w:r w:rsidR="001F4B53">
        <w:t xml:space="preserve">through a dynamic integrated assessment model </w:t>
      </w:r>
      <w:r w:rsidR="002C41B2">
        <w:t xml:space="preserve">using </w:t>
      </w:r>
      <w:r w:rsidR="001F4B53">
        <w:t xml:space="preserve">a mix of </w:t>
      </w:r>
      <w:r w:rsidR="002C41B2">
        <w:t xml:space="preserve">exogenous input assumptions </w:t>
      </w:r>
      <w:r w:rsidR="001F4B53">
        <w:t xml:space="preserve">and endogenous model responses to assess </w:t>
      </w:r>
      <w:r w:rsidR="002C41B2">
        <w:t xml:space="preserve">and </w:t>
      </w:r>
      <w:r w:rsidR="001F4B53">
        <w:t xml:space="preserve">the potential outcome of </w:t>
      </w:r>
      <w:r w:rsidR="004309F4">
        <w:t>20</w:t>
      </w:r>
      <w:r w:rsidR="001F4B53">
        <w:t xml:space="preserve"> distinct</w:t>
      </w:r>
      <w:r w:rsidR="004309F4">
        <w:t xml:space="preserve"> scenarios. </w:t>
      </w:r>
    </w:p>
    <w:p w14:paraId="4D23E53D" w14:textId="6259FFDA" w:rsidR="002C41B2" w:rsidRDefault="001F4B53" w:rsidP="002C41B2">
      <w:r>
        <w:t>The New Zealand c</w:t>
      </w:r>
      <w:r w:rsidR="008870FE">
        <w:t xml:space="preserve">limate </w:t>
      </w:r>
      <w:r>
        <w:t>change projections</w:t>
      </w:r>
      <w:r w:rsidR="002C41B2">
        <w:t xml:space="preserve"> for </w:t>
      </w:r>
      <w:r w:rsidR="008870FE">
        <w:t xml:space="preserve">are based on </w:t>
      </w:r>
      <w:r w:rsidR="00D63EDA">
        <w:t>four</w:t>
      </w:r>
      <w:r w:rsidR="008870FE">
        <w:t xml:space="preserve"> RCPs</w:t>
      </w:r>
      <w:r w:rsidR="008870FE" w:rsidRPr="003F6DFE">
        <w:t xml:space="preserve"> modelled </w:t>
      </w:r>
      <w:r w:rsidR="008870FE">
        <w:t>via</w:t>
      </w:r>
      <w:r w:rsidR="008870FE" w:rsidRPr="003F6DFE">
        <w:t xml:space="preserve"> the Coupled Model Inter-comparison Project (CMIP5) </w:t>
      </w:r>
      <w:r>
        <w:t>of</w:t>
      </w:r>
      <w:r w:rsidR="008870FE" w:rsidRPr="003F6DFE">
        <w:t xml:space="preserve"> </w:t>
      </w:r>
      <w:r w:rsidR="008870FE">
        <w:t>numerous Earth System Models or G</w:t>
      </w:r>
      <w:r w:rsidR="008870FE" w:rsidRPr="003F6DFE">
        <w:t xml:space="preserve">eneral </w:t>
      </w:r>
      <w:r w:rsidR="008870FE">
        <w:t>C</w:t>
      </w:r>
      <w:r w:rsidR="008870FE" w:rsidRPr="003F6DFE">
        <w:t xml:space="preserve">irculation </w:t>
      </w:r>
      <w:r w:rsidR="008870FE">
        <w:t>M</w:t>
      </w:r>
      <w:r w:rsidR="002C41B2">
        <w:t>odels (GCM). We use dynamic downscaled estimates from</w:t>
      </w:r>
      <w:r w:rsidR="002C0C78">
        <w:t xml:space="preserve"> six GCMs</w:t>
      </w:r>
      <w:r>
        <w:t xml:space="preserve"> to</w:t>
      </w:r>
      <w:r w:rsidR="008870FE" w:rsidRPr="003F6DFE">
        <w:t xml:space="preserve"> update and improve regional</w:t>
      </w:r>
      <w:r w:rsidR="008870FE">
        <w:t>-</w:t>
      </w:r>
      <w:r w:rsidR="008870FE" w:rsidRPr="003F6DFE">
        <w:lastRenderedPageBreak/>
        <w:t>scale projections of New Zealand climate trends and variability to 2100</w:t>
      </w:r>
      <w:r w:rsidR="008870FE">
        <w:t xml:space="preserve"> (</w:t>
      </w:r>
      <w:proofErr w:type="spellStart"/>
      <w:r w:rsidR="008870FE">
        <w:t>MfE</w:t>
      </w:r>
      <w:proofErr w:type="spellEnd"/>
      <w:r w:rsidR="008870FE">
        <w:t xml:space="preserve"> 2016</w:t>
      </w:r>
      <w:r w:rsidR="001464AC">
        <w:t>b</w:t>
      </w:r>
      <w:r w:rsidR="008870FE">
        <w:t xml:space="preserve">). </w:t>
      </w:r>
      <w:r w:rsidR="008870FE" w:rsidRPr="003F6DFE">
        <w:t xml:space="preserve">The </w:t>
      </w:r>
      <w:r w:rsidR="002C41B2">
        <w:t xml:space="preserve">key </w:t>
      </w:r>
      <w:r w:rsidR="008870FE" w:rsidRPr="003F6DFE">
        <w:t xml:space="preserve">output variables </w:t>
      </w:r>
      <w:r w:rsidR="002C41B2">
        <w:t>are</w:t>
      </w:r>
      <w:r w:rsidR="008870FE" w:rsidRPr="003F6DFE">
        <w:t xml:space="preserve"> precipitation, maximum and minimum</w:t>
      </w:r>
      <w:r w:rsidR="008870FE" w:rsidRPr="00175178">
        <w:t xml:space="preserve"> </w:t>
      </w:r>
      <w:r w:rsidR="008870FE">
        <w:t xml:space="preserve">air </w:t>
      </w:r>
      <w:r w:rsidR="008870FE" w:rsidRPr="003F6DFE">
        <w:t xml:space="preserve">temperature, relative humidity, </w:t>
      </w:r>
      <w:r w:rsidR="0069751E">
        <w:t>vapo</w:t>
      </w:r>
      <w:r w:rsidR="008870FE">
        <w:t xml:space="preserve">r pressure, </w:t>
      </w:r>
      <w:r w:rsidR="008870FE" w:rsidRPr="003F6DFE">
        <w:t>solar radiation, and wind speed. Each variable w</w:t>
      </w:r>
      <w:r w:rsidR="008870FE">
        <w:t>as</w:t>
      </w:r>
      <w:r w:rsidR="008870FE" w:rsidRPr="003F6DFE">
        <w:t xml:space="preserve"> </w:t>
      </w:r>
      <w:r w:rsidR="002C41B2">
        <w:t>estimated</w:t>
      </w:r>
      <w:r w:rsidR="008870FE" w:rsidRPr="003F6DFE">
        <w:t xml:space="preserve"> </w:t>
      </w:r>
      <w:r w:rsidR="002C41B2">
        <w:t xml:space="preserve">for New Zealand </w:t>
      </w:r>
      <w:r w:rsidR="008870FE" w:rsidRPr="003F6DFE">
        <w:t>on a regular grid (0.05°</w:t>
      </w:r>
      <w:r w:rsidR="008870FE">
        <w:t>, approximately 5km</w:t>
      </w:r>
      <w:r w:rsidR="008870FE" w:rsidRPr="003F6DFE">
        <w:t>) at a daily, monthly and annual temporal resolution for the 1971</w:t>
      </w:r>
      <w:r w:rsidR="008870FE">
        <w:t>–2100 period</w:t>
      </w:r>
      <w:r w:rsidR="002C41B2" w:rsidRPr="002C41B2">
        <w:t xml:space="preserve"> </w:t>
      </w:r>
      <w:r w:rsidR="002C41B2">
        <w:t>and bias-corrected relative to a 1986–2005 climatology</w:t>
      </w:r>
      <w:r w:rsidR="001464AC">
        <w:t xml:space="preserve"> (</w:t>
      </w:r>
      <w:proofErr w:type="spellStart"/>
      <w:r w:rsidR="001464AC">
        <w:t>Tait</w:t>
      </w:r>
      <w:proofErr w:type="spellEnd"/>
      <w:r w:rsidR="001464AC">
        <w:t xml:space="preserve"> and Turner 2005)</w:t>
      </w:r>
      <w:r w:rsidR="008870FE">
        <w:t xml:space="preserve">. </w:t>
      </w:r>
    </w:p>
    <w:p w14:paraId="74AE506F" w14:textId="44E0C9D0" w:rsidR="00C01879" w:rsidRDefault="00573B8D" w:rsidP="008870FE">
      <w:r>
        <w:t>For scenario modelling, w</w:t>
      </w:r>
      <w:r w:rsidR="00C01879">
        <w:t>e used the New Zealand Integrated Assessment Modelling System (NZIAMS) to estimate impacts of climate and socio-economic change through 2100 on the global forest</w:t>
      </w:r>
      <w:r w:rsidR="002C41B2">
        <w:t>s</w:t>
      </w:r>
      <w:r w:rsidR="00C01879">
        <w:t>, with a detailed focus on New Zealand</w:t>
      </w:r>
      <w:r>
        <w:t xml:space="preserve"> land use</w:t>
      </w:r>
      <w:r w:rsidR="00684A02">
        <w:t xml:space="preserve"> (Lennox et al., 2013)</w:t>
      </w:r>
      <w:r w:rsidR="00C01879">
        <w:t>. The integrated approach links (a) the Climate and Trade Dynamic General Equilibrium (</w:t>
      </w:r>
      <w:proofErr w:type="spellStart"/>
      <w:r w:rsidR="00C01879">
        <w:t>CliMAT</w:t>
      </w:r>
      <w:proofErr w:type="spellEnd"/>
      <w:r w:rsidR="00C01879">
        <w:t xml:space="preserve">-DGE) </w:t>
      </w:r>
      <w:r w:rsidR="00684A02">
        <w:t>(Fernandez and Daigneault 2015)</w:t>
      </w:r>
      <w:r w:rsidR="001F4B53">
        <w:t>,</w:t>
      </w:r>
      <w:r w:rsidR="00684A02">
        <w:t xml:space="preserve"> </w:t>
      </w:r>
      <w:r w:rsidR="00C01879">
        <w:t xml:space="preserve">(b) the Global Timber Model (GTM), </w:t>
      </w:r>
      <w:r w:rsidR="00684A02">
        <w:t>(</w:t>
      </w:r>
      <w:proofErr w:type="spellStart"/>
      <w:r w:rsidR="00684A02">
        <w:t>Tian</w:t>
      </w:r>
      <w:proofErr w:type="spellEnd"/>
      <w:r w:rsidR="00684A02">
        <w:t xml:space="preserve"> et al 2016) </w:t>
      </w:r>
      <w:r w:rsidR="00C01879">
        <w:t>and (c) the New Zealand Forest and Agriculture Regional Model (NZFARM)</w:t>
      </w:r>
      <w:r w:rsidR="00684A02">
        <w:t xml:space="preserve"> (Daigneault et al</w:t>
      </w:r>
      <w:r w:rsidR="00D91A4D">
        <w:t>.</w:t>
      </w:r>
      <w:r w:rsidR="00684A02">
        <w:t xml:space="preserve"> 2017)</w:t>
      </w:r>
      <w:r w:rsidR="00C01879">
        <w:t xml:space="preserve"> to form a multi</w:t>
      </w:r>
      <w:r w:rsidR="00684A02">
        <w:t>-</w:t>
      </w:r>
      <w:r w:rsidR="00C01879">
        <w:t>regional, multi-</w:t>
      </w:r>
      <w:proofErr w:type="spellStart"/>
      <w:r w:rsidR="00C01879">
        <w:t>sectoral</w:t>
      </w:r>
      <w:proofErr w:type="spellEnd"/>
      <w:r w:rsidR="00C01879">
        <w:t>, dynamic optimization model. While the CGE component of the model can track all major sectors of the global economy, NZIAMS has been parameterized to focus particularly on the forest and agriculture sectors</w:t>
      </w:r>
      <w:r w:rsidR="001F4B53">
        <w:t>, where the objective is to maximize net farm revenue subject to a range of input and land use change constraints</w:t>
      </w:r>
      <w:r w:rsidR="00C01879">
        <w:t>.</w:t>
      </w:r>
      <w:r>
        <w:t xml:space="preserve"> </w:t>
      </w:r>
    </w:p>
    <w:p w14:paraId="7AA688E9" w14:textId="7683C93C" w:rsidR="001F4B53" w:rsidRDefault="00573B8D" w:rsidP="008870FE">
      <w:r>
        <w:t xml:space="preserve">Climate impacts on the NZ forest sector are modelled at the 5km grid scale level using the process-based </w:t>
      </w:r>
      <w:r w:rsidR="00D91A4D">
        <w:t xml:space="preserve">  </w:t>
      </w:r>
      <w:proofErr w:type="spellStart"/>
      <w:r w:rsidR="00D91A4D">
        <w:t>ecophysiological</w:t>
      </w:r>
      <w:proofErr w:type="spellEnd"/>
      <w:r w:rsidR="00D91A4D">
        <w:t xml:space="preserve"> </w:t>
      </w:r>
      <w:r>
        <w:t>forest productivity mo</w:t>
      </w:r>
      <w:r w:rsidR="001F4B53">
        <w:t>del</w:t>
      </w:r>
      <w:r w:rsidR="00D91A4D">
        <w:t xml:space="preserve">, </w:t>
      </w:r>
      <w:proofErr w:type="spellStart"/>
      <w:r w:rsidR="00D91A4D">
        <w:t>CenW</w:t>
      </w:r>
      <w:proofErr w:type="spellEnd"/>
      <w:r w:rsidR="001F4B53">
        <w:t xml:space="preserve"> (</w:t>
      </w:r>
      <w:proofErr w:type="spellStart"/>
      <w:r w:rsidR="001F4B53">
        <w:t>Kirschbaum</w:t>
      </w:r>
      <w:proofErr w:type="spellEnd"/>
      <w:r w:rsidR="001F4B53">
        <w:t xml:space="preserve"> and Watt 2011)</w:t>
      </w:r>
      <w:r w:rsidR="00D91A4D">
        <w:t>,</w:t>
      </w:r>
      <w:r w:rsidR="001F4B53">
        <w:t xml:space="preserve"> that </w:t>
      </w:r>
      <w:r>
        <w:t xml:space="preserve">was recently updated to account for </w:t>
      </w:r>
      <w:r w:rsidR="00D91A4D">
        <w:t xml:space="preserve">the </w:t>
      </w:r>
      <w:r>
        <w:t xml:space="preserve">downscaled CMIP5 climate projections. In addition to the </w:t>
      </w:r>
      <w:r w:rsidR="001F4B53">
        <w:t xml:space="preserve">effect of </w:t>
      </w:r>
      <w:r>
        <w:t>standard model parameters</w:t>
      </w:r>
      <w:r w:rsidR="001F4B53">
        <w:t xml:space="preserve"> such as temperature and precipitation</w:t>
      </w:r>
      <w:r>
        <w:t>, we estimate the possible impacts of climate change on NZ forests under constant and increasing CO</w:t>
      </w:r>
      <w:r w:rsidRPr="00573B8D">
        <w:rPr>
          <w:vertAlign w:val="subscript"/>
        </w:rPr>
        <w:t>2</w:t>
      </w:r>
      <w:r>
        <w:t xml:space="preserve">. </w:t>
      </w:r>
      <w:r w:rsidR="001F4B53">
        <w:t>Similar approaches were also used to estimate climate change impacts on agricultural crops (</w:t>
      </w:r>
      <w:proofErr w:type="spellStart"/>
      <w:r w:rsidR="00D91A4D" w:rsidRPr="00D91A4D">
        <w:t>Holzworth</w:t>
      </w:r>
      <w:proofErr w:type="spellEnd"/>
      <w:r w:rsidR="00D91A4D" w:rsidRPr="00D91A4D">
        <w:t xml:space="preserve"> et al. 2014</w:t>
      </w:r>
      <w:r w:rsidR="001F4B53">
        <w:t>) and pasture (</w:t>
      </w:r>
      <w:r w:rsidR="00D91A4D" w:rsidRPr="00D91A4D">
        <w:t>Keller et al. 2014</w:t>
      </w:r>
      <w:r w:rsidR="001F4B53">
        <w:t>) yields to ensure that all major land uses are accounted for.</w:t>
      </w:r>
    </w:p>
    <w:p w14:paraId="5E50B513" w14:textId="38CBF630" w:rsidR="00573B8D" w:rsidRDefault="001464AC" w:rsidP="008870FE">
      <w:r>
        <w:rPr>
          <w:noProof/>
        </w:rPr>
        <mc:AlternateContent>
          <mc:Choice Requires="wps">
            <w:drawing>
              <wp:anchor distT="0" distB="0" distL="114300" distR="114300" simplePos="0" relativeHeight="251659264" behindDoc="0" locked="0" layoutInCell="1" allowOverlap="1" wp14:anchorId="78FB8FAD" wp14:editId="747CBCF0">
                <wp:simplePos x="0" y="0"/>
                <wp:positionH relativeFrom="column">
                  <wp:posOffset>0</wp:posOffset>
                </wp:positionH>
                <wp:positionV relativeFrom="paragraph">
                  <wp:posOffset>615315</wp:posOffset>
                </wp:positionV>
                <wp:extent cx="4064000" cy="3398520"/>
                <wp:effectExtent l="0" t="0" r="12700" b="11430"/>
                <wp:wrapTight wrapText="bothSides">
                  <wp:wrapPolygon edited="0">
                    <wp:start x="0" y="0"/>
                    <wp:lineTo x="0" y="21552"/>
                    <wp:lineTo x="21566" y="21552"/>
                    <wp:lineTo x="21566" y="0"/>
                    <wp:lineTo x="0" y="0"/>
                  </wp:wrapPolygon>
                </wp:wrapTight>
                <wp:docPr id="1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33985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FF711B1" w14:textId="37996603" w:rsidR="001464AC" w:rsidRDefault="001464AC" w:rsidP="001464AC">
                            <w:pPr>
                              <w:jc w:val="center"/>
                            </w:pPr>
                            <w:r>
                              <w:rPr>
                                <w:noProof/>
                              </w:rPr>
                              <w:drawing>
                                <wp:inline distT="0" distB="0" distL="0" distR="0" wp14:anchorId="12EB5AEF" wp14:editId="548A4553">
                                  <wp:extent cx="3816350" cy="2906912"/>
                                  <wp:effectExtent l="19050" t="19050" r="1270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3968" cy="2920331"/>
                                          </a:xfrm>
                                          <a:prstGeom prst="rect">
                                            <a:avLst/>
                                          </a:prstGeom>
                                          <a:noFill/>
                                          <a:ln>
                                            <a:solidFill>
                                              <a:schemeClr val="tx1"/>
                                            </a:solidFill>
                                          </a:ln>
                                        </pic:spPr>
                                      </pic:pic>
                                    </a:graphicData>
                                  </a:graphic>
                                </wp:inline>
                              </w:drawing>
                            </w:r>
                          </w:p>
                          <w:p w14:paraId="1D57520C" w14:textId="77777777" w:rsidR="001464AC" w:rsidRPr="001464AC" w:rsidRDefault="001464AC" w:rsidP="001464AC">
                            <w:pPr>
                              <w:rPr>
                                <w:sz w:val="20"/>
                              </w:rPr>
                            </w:pPr>
                            <w:r w:rsidRPr="001464AC">
                              <w:rPr>
                                <w:sz w:val="20"/>
                              </w:rPr>
                              <w:t>Figure 1. New Zealand Integrated Assessment Modelling System (NZIAMS)</w:t>
                            </w:r>
                          </w:p>
                          <w:p w14:paraId="7AADFB6B" w14:textId="77777777" w:rsidR="001464AC" w:rsidRDefault="001464AC" w:rsidP="001464AC">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B8FAD" id="_x0000_t202" coordsize="21600,21600" o:spt="202" path="m,l,21600r21600,l21600,xe">
                <v:stroke joinstyle="miter"/>
                <v:path gradientshapeok="t" o:connecttype="rect"/>
              </v:shapetype>
              <v:shape id="Text Box 252" o:spid="_x0000_s1026" type="#_x0000_t202" style="position:absolute;margin-left:0;margin-top:48.45pt;width:320pt;height:26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YBVQIAAHUEAAAOAAAAZHJzL2Uyb0RvYy54bWysVNtu2zAMfR+wfxD0ntpxnCwx6hRZLsOA&#10;7gK0+wBFkmNhsuhJSuyu2L+PktM02N6G5UEQTeqQPIfM7V3faHKS1ikwJR3fpJRIw0Eocyjpt8fd&#10;aE6J88wIpsHIkj5JR++Wb9/cdm0hM6hBC2kJghhXdG1Ja+/bIkkcr2XD3A200qCzAtswj6Y9JMKy&#10;DtEbnWRpOks6sKK1wKVz+HUzOOky4leV5P5LVTnpiS4p1ubjaeO5D2eyvGXFwbK2VvxcBvuHKhqm&#10;DCa9QG2YZ+Ro1V9QjeIWHFT+hkOTQFUpLmMP2M04/aObh5q1MvaC5Lj2QpP7f7D88+mrJUqgdqiU&#10;YQ1q9Ch7T95DT7JpFgjqWldg3EOLkb5HBwbHZl17D/y7IwbWNTMHubIWuloygQWOw8vk6umA4wLI&#10;vvsEAhOxo4cI1Fe2CewhHwTRUainizihGI4f83SWpym6OPomk8V8mkX5Ela8PG+t8x8kNCRcSmpR&#10;/QjPTvfOh3JY8RISshnYKa3jBGhDupIuptl0aAy0EsEZwpw97NfakhMLMxR/sTf0XIc1yuMka9WU&#10;dH4JYkWgY2tEzOKZ0sMdK9EmgGN3WNv5NkzM8yJdbOfbeT7Ks9l2lKdCjFa7dT6a7cbvppvJZr3e&#10;jH+dS3h5H5kO5A40+37fY8pA/x7EE3JuYZh93FW81GB/UtLh3JfU/TgyKynRHw3qthjneViUa8Ne&#10;G/trgxmOUCX1lAzXtR+W69hadagx0zApBlaodaWiCq9VnScEZzuKc97DsDzXdox6/bdY/gYAAP//&#10;AwBQSwMEFAAGAAgAAAAhAEwzKLbgAAAABwEAAA8AAABkcnMvZG93bnJldi54bWxMj0FLw0AQhe+C&#10;/2EZwYu0m1YJJmZTtGDRIoU2BfG2zY5JcHc2ZLdt/PeOJ73Nmze8902xGJ0VJxxC50nBbJqAQKq9&#10;6ahRsK+eJ/cgQtRktPWECr4xwKK8vCh0bvyZtnjaxUZwCIVcK2hj7HMpQ92i02HqeyT2Pv3gdGQ5&#10;NNIM+szhzsp5kqTS6Y64odU9Llusv3ZHp2CVfdxs1vS6tKtq+/ZSuRE3709KXV+Njw8gIo7x7xh+&#10;8RkdSmY6+COZIKwCfiQqyNIMBLvpXcKLAw+38xnIspD/+csfAAAA//8DAFBLAQItABQABgAIAAAA&#10;IQC2gziS/gAAAOEBAAATAAAAAAAAAAAAAAAAAAAAAABbQ29udGVudF9UeXBlc10ueG1sUEsBAi0A&#10;FAAGAAgAAAAhADj9If/WAAAAlAEAAAsAAAAAAAAAAAAAAAAALwEAAF9yZWxzLy5yZWxzUEsBAi0A&#10;FAAGAAgAAAAhAAIi5gFVAgAAdQQAAA4AAAAAAAAAAAAAAAAALgIAAGRycy9lMm9Eb2MueG1sUEsB&#10;Ai0AFAAGAAgAAAAhAEwzKLbgAAAABwEAAA8AAAAAAAAAAAAAAAAArwQAAGRycy9kb3ducmV2Lnht&#10;bFBLBQYAAAAABAAEAPMAAAC8BQAAAAA=&#10;" filled="f">
                <v:textbox inset=",7.2pt,,7.2pt">
                  <w:txbxContent>
                    <w:p w14:paraId="4FF711B1" w14:textId="37996603" w:rsidR="001464AC" w:rsidRDefault="001464AC" w:rsidP="001464AC">
                      <w:pPr>
                        <w:jc w:val="center"/>
                      </w:pPr>
                      <w:r>
                        <w:rPr>
                          <w:noProof/>
                        </w:rPr>
                        <w:drawing>
                          <wp:inline distT="0" distB="0" distL="0" distR="0" wp14:anchorId="12EB5AEF" wp14:editId="548A4553">
                            <wp:extent cx="3816350" cy="2906912"/>
                            <wp:effectExtent l="19050" t="19050" r="1270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33968" cy="2920331"/>
                                    </a:xfrm>
                                    <a:prstGeom prst="rect">
                                      <a:avLst/>
                                    </a:prstGeom>
                                    <a:noFill/>
                                    <a:ln>
                                      <a:solidFill>
                                        <a:schemeClr val="tx1"/>
                                      </a:solidFill>
                                    </a:ln>
                                  </pic:spPr>
                                </pic:pic>
                              </a:graphicData>
                            </a:graphic>
                          </wp:inline>
                        </w:drawing>
                      </w:r>
                    </w:p>
                    <w:p w14:paraId="1D57520C" w14:textId="77777777" w:rsidR="001464AC" w:rsidRPr="001464AC" w:rsidRDefault="001464AC" w:rsidP="001464AC">
                      <w:pPr>
                        <w:rPr>
                          <w:sz w:val="20"/>
                        </w:rPr>
                      </w:pPr>
                      <w:r w:rsidRPr="001464AC">
                        <w:rPr>
                          <w:sz w:val="20"/>
                        </w:rPr>
                        <w:t>Figure 1. New Zealand Integrated Assessment Modelling System (NZIAMS)</w:t>
                      </w:r>
                    </w:p>
                    <w:p w14:paraId="7AADFB6B" w14:textId="77777777" w:rsidR="001464AC" w:rsidRDefault="001464AC" w:rsidP="001464AC">
                      <w:pPr>
                        <w:jc w:val="center"/>
                      </w:pPr>
                    </w:p>
                  </w:txbxContent>
                </v:textbox>
                <w10:wrap type="tight"/>
              </v:shape>
            </w:pict>
          </mc:Fallback>
        </mc:AlternateContent>
      </w:r>
      <w:r w:rsidR="00573B8D">
        <w:t xml:space="preserve">The productivity estimates from </w:t>
      </w:r>
      <w:r w:rsidR="00EB09E4">
        <w:t>the agriculture and forestry yield models</w:t>
      </w:r>
      <w:r w:rsidR="00573B8D">
        <w:t xml:space="preserve"> </w:t>
      </w:r>
      <w:r w:rsidR="001F4B53">
        <w:t>serve as</w:t>
      </w:r>
      <w:r w:rsidR="00573B8D">
        <w:t xml:space="preserve"> input into </w:t>
      </w:r>
      <w:r w:rsidR="001F4B53">
        <w:t xml:space="preserve">the </w:t>
      </w:r>
      <w:r w:rsidR="00573B8D">
        <w:t xml:space="preserve">NZIAMS </w:t>
      </w:r>
      <w:r w:rsidR="001F4B53">
        <w:t xml:space="preserve">land use models </w:t>
      </w:r>
      <w:r w:rsidR="00573B8D">
        <w:t xml:space="preserve">along with </w:t>
      </w:r>
      <w:r w:rsidR="00EB09E4">
        <w:t>global</w:t>
      </w:r>
      <w:r w:rsidR="00573B8D">
        <w:t xml:space="preserve"> </w:t>
      </w:r>
      <w:r w:rsidR="00EB09E4">
        <w:t>(</w:t>
      </w:r>
      <w:proofErr w:type="spellStart"/>
      <w:r w:rsidR="00EB09E4">
        <w:t>e.g</w:t>
      </w:r>
      <w:proofErr w:type="spellEnd"/>
      <w:r w:rsidR="00EB09E4">
        <w:t xml:space="preserve">, population &amp; </w:t>
      </w:r>
      <w:r w:rsidR="00573B8D">
        <w:t>GDP growth</w:t>
      </w:r>
      <w:r w:rsidR="00EB09E4">
        <w:t xml:space="preserve">) and national (e.g., land management preferences) level SSP assumptions </w:t>
      </w:r>
      <w:r w:rsidR="00573B8D">
        <w:t>to establish the key global and NZ-drivers that can have an effect on commodity prices, GHG prices, and resulting</w:t>
      </w:r>
      <w:r w:rsidR="00EB09E4">
        <w:t xml:space="preserve"> land use and forest management. </w:t>
      </w:r>
      <w:r w:rsidR="008870FE">
        <w:t xml:space="preserve">For these scenarios, we assumed that forest </w:t>
      </w:r>
      <w:r w:rsidR="00465B67">
        <w:t>Figure 1 illustrates the key components of NZIAMS and how they are integrated.</w:t>
      </w:r>
    </w:p>
    <w:p w14:paraId="593F7264" w14:textId="6084F710" w:rsidR="0024241E" w:rsidRDefault="00465B67" w:rsidP="008870FE">
      <w:pPr>
        <w:rPr>
          <w:i/>
        </w:rPr>
      </w:pPr>
      <w:r>
        <w:rPr>
          <w:i/>
        </w:rPr>
        <w:t xml:space="preserve">Preliminary </w:t>
      </w:r>
      <w:r w:rsidR="0024241E">
        <w:rPr>
          <w:i/>
        </w:rPr>
        <w:t>Results</w:t>
      </w:r>
    </w:p>
    <w:p w14:paraId="3426FA0B" w14:textId="081FF688" w:rsidR="0019030C" w:rsidRDefault="00A81A6D" w:rsidP="008870FE">
      <w:r>
        <w:t xml:space="preserve">Forest productivity estimates across the </w:t>
      </w:r>
      <w:r w:rsidR="004309F4">
        <w:t>RCP</w:t>
      </w:r>
      <w:r>
        <w:t>-only</w:t>
      </w:r>
      <w:r w:rsidR="004309F4">
        <w:t xml:space="preserve"> scenarios </w:t>
      </w:r>
      <w:r>
        <w:t>(</w:t>
      </w:r>
      <w:proofErr w:type="gramStart"/>
      <w:r>
        <w:t>i.e</w:t>
      </w:r>
      <w:proofErr w:type="gramEnd"/>
      <w:r>
        <w:t xml:space="preserve">. only climate change impacts) </w:t>
      </w:r>
      <w:r w:rsidR="004309F4">
        <w:t>varied</w:t>
      </w:r>
      <w:r>
        <w:t xml:space="preserve"> most</w:t>
      </w:r>
      <w:r w:rsidR="004309F4">
        <w:t xml:space="preserve"> by assumption about whether plants respond to changes in CO</w:t>
      </w:r>
      <w:r w:rsidR="004309F4" w:rsidRPr="004309F4">
        <w:rPr>
          <w:vertAlign w:val="subscript"/>
        </w:rPr>
        <w:t>2</w:t>
      </w:r>
      <w:r>
        <w:t xml:space="preserve">. As expected, results varied by RCP and GCM, with the greatest impacts occurring </w:t>
      </w:r>
      <w:r>
        <w:lastRenderedPageBreak/>
        <w:t>under the RCP 8.5</w:t>
      </w:r>
      <w:r w:rsidRPr="003A3CDD">
        <w:t xml:space="preserve">. </w:t>
      </w:r>
      <w:r w:rsidR="0024241E">
        <w:t>For s</w:t>
      </w:r>
      <w:r w:rsidR="0024241E" w:rsidRPr="003A3CDD">
        <w:t>imulations with constant CO</w:t>
      </w:r>
      <w:r w:rsidR="0024241E" w:rsidRPr="0024241E">
        <w:rPr>
          <w:vertAlign w:val="subscript"/>
        </w:rPr>
        <w:t>2</w:t>
      </w:r>
      <w:r w:rsidR="0024241E" w:rsidRPr="003A3CDD">
        <w:t xml:space="preserve">, </w:t>
      </w:r>
      <w:r w:rsidR="0019030C">
        <w:t xml:space="preserve">we estimate a </w:t>
      </w:r>
      <w:r w:rsidR="00466FAA">
        <w:t>0-8</w:t>
      </w:r>
      <w:r w:rsidR="0024241E">
        <w:t xml:space="preserve">% </w:t>
      </w:r>
      <w:r w:rsidR="0019030C">
        <w:t xml:space="preserve">decline in NZ forest plantation productivity </w:t>
      </w:r>
      <w:r>
        <w:t xml:space="preserve">relative to today by </w:t>
      </w:r>
      <w:r w:rsidR="0024241E">
        <w:t>2100</w:t>
      </w:r>
      <w:r>
        <w:t xml:space="preserve">. </w:t>
      </w:r>
      <w:r w:rsidR="0024241E" w:rsidRPr="003A3CDD">
        <w:t>For simulations with increasing CO</w:t>
      </w:r>
      <w:r w:rsidR="0024241E" w:rsidRPr="0024241E">
        <w:rPr>
          <w:vertAlign w:val="subscript"/>
        </w:rPr>
        <w:t>2</w:t>
      </w:r>
      <w:r w:rsidR="0024241E" w:rsidRPr="003A3CDD">
        <w:t>, growth increased by about 10</w:t>
      </w:r>
      <w:r w:rsidR="0024241E">
        <w:t>-</w:t>
      </w:r>
      <w:r w:rsidR="00466FAA">
        <w:t>40</w:t>
      </w:r>
      <w:r w:rsidR="0024241E">
        <w:t>%</w:t>
      </w:r>
      <w:r w:rsidR="0024241E" w:rsidRPr="003A3CDD">
        <w:t xml:space="preserve">. </w:t>
      </w:r>
      <w:r>
        <w:t>Scenarios that also accounted for SSP-related assumptions and thus socio-economic impacts in addition to climate change produced a wide range</w:t>
      </w:r>
      <w:r w:rsidR="005F37AB">
        <w:t xml:space="preserve"> of results. In general, scenarios including RCP 8.5 resulted in relatively small change in NZ’s forest area, timber production, and carbon sequestration due to the lack of an environmental drivers such as a carbon price to influence landowners to afforest their land. The RCP 8.5/SSP 3 scenario resulted in the largest decline for the forest sector, which is consistent with recent global analyses (e.g. Popp et al. 2016)</w:t>
      </w:r>
      <w:r w:rsidR="00466FAA">
        <w:t>. On the other extreme, RCP 2.6 estimated that a global GHG prices of $500/tCO2-e or more by 2100 were required to meet the emissions reduction targets, regardless of the SSP assumptions. The effect of placing a price on all sectors of the economy, including crops and livestock, dominated all other drivers, resulting in forest area and related outputs in NZ nearly doubling. In addition, the large increase in forest carbon sequestration coupled with the decline in emissions from other sectors is likely to make the country a net</w:t>
      </w:r>
      <w:r w:rsidR="001464AC">
        <w:t xml:space="preserve"> GHG</w:t>
      </w:r>
      <w:r w:rsidR="00466FAA">
        <w:t xml:space="preserve"> sink </w:t>
      </w:r>
      <w:r w:rsidR="001464AC">
        <w:t xml:space="preserve">by the end of the century. </w:t>
      </w:r>
      <w:r w:rsidR="00466FAA">
        <w:t xml:space="preserve"> </w:t>
      </w:r>
      <w:r w:rsidR="001464AC">
        <w:t>More details and insight on these and other findings will be provided in the full paper and presentation.</w:t>
      </w:r>
    </w:p>
    <w:p w14:paraId="752E4618" w14:textId="50EEB5C5" w:rsidR="008870FE" w:rsidRPr="005F37AB" w:rsidRDefault="00A81A6D">
      <w:pPr>
        <w:rPr>
          <w:b/>
        </w:rPr>
      </w:pPr>
      <w:r w:rsidRPr="005F37AB">
        <w:rPr>
          <w:b/>
        </w:rPr>
        <w:t>References</w:t>
      </w:r>
    </w:p>
    <w:p w14:paraId="5E2BC036" w14:textId="045E2C01" w:rsidR="001464AC" w:rsidRDefault="001464AC" w:rsidP="002769EA">
      <w:pPr>
        <w:spacing w:after="0" w:line="240" w:lineRule="auto"/>
        <w:ind w:left="270" w:hanging="270"/>
      </w:pPr>
      <w:r>
        <w:t xml:space="preserve">Daigneault </w:t>
      </w:r>
      <w:r w:rsidR="002769EA">
        <w:t xml:space="preserve">A </w:t>
      </w:r>
      <w:r>
        <w:t>et al. 2017</w:t>
      </w:r>
      <w:r w:rsidR="002769EA">
        <w:t xml:space="preserve">. </w:t>
      </w:r>
      <w:r w:rsidR="002769EA" w:rsidRPr="002769EA">
        <w:t>Economic impacts of multiple agro-environmental policies on New Zealand land use</w:t>
      </w:r>
      <w:r w:rsidR="002769EA">
        <w:t xml:space="preserve">. </w:t>
      </w:r>
      <w:r w:rsidR="002769EA" w:rsidRPr="002769EA">
        <w:rPr>
          <w:i/>
        </w:rPr>
        <w:t>Environmental and Resource Economi</w:t>
      </w:r>
      <w:r w:rsidR="002769EA">
        <w:t>cs. In press.</w:t>
      </w:r>
    </w:p>
    <w:p w14:paraId="66E241AE" w14:textId="218793E8" w:rsidR="002769EA" w:rsidRDefault="002769EA" w:rsidP="002769EA">
      <w:pPr>
        <w:spacing w:after="0" w:line="240" w:lineRule="auto"/>
        <w:ind w:left="270" w:hanging="270"/>
      </w:pPr>
      <w:proofErr w:type="spellStart"/>
      <w:r w:rsidRPr="002769EA">
        <w:t>Kirschbaum</w:t>
      </w:r>
      <w:proofErr w:type="spellEnd"/>
      <w:r w:rsidRPr="002769EA">
        <w:t xml:space="preserve"> M</w:t>
      </w:r>
      <w:r>
        <w:t xml:space="preserve">UF, </w:t>
      </w:r>
      <w:r w:rsidRPr="002769EA">
        <w:t>Watt</w:t>
      </w:r>
      <w:r>
        <w:t xml:space="preserve"> MS. (</w:t>
      </w:r>
      <w:r w:rsidRPr="002769EA">
        <w:t>2011</w:t>
      </w:r>
      <w:r>
        <w:t>)</w:t>
      </w:r>
      <w:r w:rsidRPr="002769EA">
        <w:t xml:space="preserve">. Use of a process-based model to describe spatial variation in </w:t>
      </w:r>
      <w:proofErr w:type="spellStart"/>
      <w:r w:rsidRPr="002769EA">
        <w:t>Pinus</w:t>
      </w:r>
      <w:proofErr w:type="spellEnd"/>
      <w:r w:rsidRPr="002769EA">
        <w:t xml:space="preserve"> </w:t>
      </w:r>
      <w:proofErr w:type="spellStart"/>
      <w:r w:rsidRPr="002769EA">
        <w:t>radiata</w:t>
      </w:r>
      <w:proofErr w:type="spellEnd"/>
      <w:r w:rsidRPr="002769EA">
        <w:t xml:space="preserve"> productivity in New Zealand. </w:t>
      </w:r>
      <w:r w:rsidRPr="002769EA">
        <w:rPr>
          <w:i/>
        </w:rPr>
        <w:t>Forest Ecology and Management</w:t>
      </w:r>
      <w:r w:rsidRPr="002769EA">
        <w:t xml:space="preserve"> 262: 1008-1019</w:t>
      </w:r>
    </w:p>
    <w:p w14:paraId="0F513E85" w14:textId="77777777" w:rsidR="002769EA" w:rsidRPr="00AC1AE7" w:rsidRDefault="002769EA" w:rsidP="002769EA">
      <w:pPr>
        <w:spacing w:after="0" w:line="240" w:lineRule="auto"/>
        <w:ind w:left="270" w:hanging="270"/>
        <w:rPr>
          <w:rFonts w:ascii="Calibri" w:hAnsi="Calibri"/>
          <w:noProof/>
        </w:rPr>
      </w:pPr>
      <w:r w:rsidRPr="00AC1AE7">
        <w:rPr>
          <w:rFonts w:ascii="Calibri" w:hAnsi="Calibri"/>
          <w:noProof/>
          <w:lang w:val="fr-FR"/>
        </w:rPr>
        <w:t>Holzworth DP, Huth NI, Devoil PG</w:t>
      </w:r>
      <w:r w:rsidRPr="00AC1AE7">
        <w:rPr>
          <w:rFonts w:ascii="Calibri" w:hAnsi="Calibri"/>
          <w:i/>
          <w:noProof/>
          <w:lang w:val="fr-FR"/>
        </w:rPr>
        <w:t xml:space="preserve"> et al.</w:t>
      </w:r>
      <w:r w:rsidRPr="00AC1AE7">
        <w:rPr>
          <w:rFonts w:ascii="Calibri" w:hAnsi="Calibri"/>
          <w:noProof/>
          <w:lang w:val="fr-FR"/>
        </w:rPr>
        <w:t xml:space="preserve"> </w:t>
      </w:r>
      <w:r w:rsidRPr="00AC1AE7">
        <w:rPr>
          <w:rFonts w:ascii="Calibri" w:hAnsi="Calibri"/>
          <w:noProof/>
        </w:rPr>
        <w:t xml:space="preserve">(2014) APSIM – Evolution towards a new generation of agricultural systems simulation. </w:t>
      </w:r>
      <w:r w:rsidRPr="00AC1AE7">
        <w:rPr>
          <w:rFonts w:ascii="Calibri" w:hAnsi="Calibri"/>
          <w:i/>
          <w:noProof/>
        </w:rPr>
        <w:t>Environmental Modelling &amp; Software,</w:t>
      </w:r>
      <w:r w:rsidRPr="00AC1AE7">
        <w:rPr>
          <w:rFonts w:ascii="Calibri" w:hAnsi="Calibri"/>
          <w:noProof/>
        </w:rPr>
        <w:t xml:space="preserve"> </w:t>
      </w:r>
      <w:r w:rsidRPr="00AC1AE7">
        <w:rPr>
          <w:rFonts w:ascii="Calibri" w:hAnsi="Calibri"/>
          <w:b/>
          <w:noProof/>
        </w:rPr>
        <w:t>62</w:t>
      </w:r>
      <w:r w:rsidRPr="00AC1AE7">
        <w:rPr>
          <w:rFonts w:ascii="Calibri" w:hAnsi="Calibri"/>
          <w:noProof/>
        </w:rPr>
        <w:t>, 327-350.</w:t>
      </w:r>
    </w:p>
    <w:p w14:paraId="2A9C2318" w14:textId="77777777" w:rsidR="002769EA" w:rsidRDefault="002769EA" w:rsidP="002769EA">
      <w:pPr>
        <w:spacing w:after="0" w:line="240" w:lineRule="auto"/>
        <w:ind w:left="270" w:hanging="270"/>
      </w:pPr>
      <w:proofErr w:type="spellStart"/>
      <w:r>
        <w:t>Dymond</w:t>
      </w:r>
      <w:proofErr w:type="spellEnd"/>
      <w:r>
        <w:t xml:space="preserve"> JR, Betts HD, </w:t>
      </w:r>
      <w:proofErr w:type="spellStart"/>
      <w:r>
        <w:t>Schierlitz</w:t>
      </w:r>
      <w:proofErr w:type="spellEnd"/>
      <w:r>
        <w:t xml:space="preserve"> C (2010) </w:t>
      </w:r>
      <w:proofErr w:type="gramStart"/>
      <w:r>
        <w:t>An</w:t>
      </w:r>
      <w:proofErr w:type="gramEnd"/>
      <w:r>
        <w:t xml:space="preserve"> erosion model for evaluating land-use scenarios. Environmental modelling and software, 25, 289-298.</w:t>
      </w:r>
    </w:p>
    <w:p w14:paraId="42FB1F38" w14:textId="77777777" w:rsidR="002769EA" w:rsidRDefault="002769EA" w:rsidP="002769EA">
      <w:pPr>
        <w:spacing w:after="0" w:line="240" w:lineRule="auto"/>
        <w:ind w:left="270" w:hanging="270"/>
      </w:pPr>
      <w:proofErr w:type="spellStart"/>
      <w:r>
        <w:t>Ebi</w:t>
      </w:r>
      <w:proofErr w:type="spellEnd"/>
      <w:r>
        <w:t xml:space="preserve"> KL, </w:t>
      </w:r>
      <w:proofErr w:type="spellStart"/>
      <w:r>
        <w:t>Hallegatte</w:t>
      </w:r>
      <w:proofErr w:type="spellEnd"/>
      <w:r>
        <w:t xml:space="preserve"> S, </w:t>
      </w:r>
      <w:proofErr w:type="spellStart"/>
      <w:r>
        <w:t>Kram</w:t>
      </w:r>
      <w:proofErr w:type="spellEnd"/>
      <w:r>
        <w:t xml:space="preserve"> T et al. (2013) </w:t>
      </w:r>
      <w:proofErr w:type="gramStart"/>
      <w:r>
        <w:t>A</w:t>
      </w:r>
      <w:proofErr w:type="gramEnd"/>
      <w:r>
        <w:t xml:space="preserve"> new scenario framework for climate change research: background, process, and future directions. Climatic Change, 122, 363-372.</w:t>
      </w:r>
    </w:p>
    <w:p w14:paraId="36E97678" w14:textId="307AE1A8" w:rsidR="002769EA" w:rsidRDefault="002769EA" w:rsidP="002769EA">
      <w:pPr>
        <w:spacing w:after="0" w:line="240" w:lineRule="auto"/>
        <w:ind w:left="270" w:hanging="270"/>
      </w:pPr>
      <w:r>
        <w:t xml:space="preserve">Fernandez M, Daigneault A (2015) The Climate Mitigation, Adaptation and Trade in Dynamic General Equilibrium (CLIMAT-DGE) model.  </w:t>
      </w:r>
      <w:proofErr w:type="spellStart"/>
      <w:r>
        <w:t>Landcare</w:t>
      </w:r>
      <w:proofErr w:type="spellEnd"/>
      <w:r>
        <w:t xml:space="preserve"> Research LC2156 for the Ministry for the Environment.</w:t>
      </w:r>
    </w:p>
    <w:p w14:paraId="3572AC3E" w14:textId="77777777" w:rsidR="002769EA" w:rsidRDefault="002769EA" w:rsidP="002769EA">
      <w:pPr>
        <w:spacing w:after="0" w:line="240" w:lineRule="auto"/>
        <w:ind w:left="270" w:hanging="270"/>
      </w:pPr>
      <w:r>
        <w:t xml:space="preserve">Keller ED, </w:t>
      </w:r>
      <w:proofErr w:type="spellStart"/>
      <w:r>
        <w:t>Baisden</w:t>
      </w:r>
      <w:proofErr w:type="spellEnd"/>
      <w:r>
        <w:t xml:space="preserve"> WT, </w:t>
      </w:r>
      <w:proofErr w:type="spellStart"/>
      <w:r>
        <w:t>Timar</w:t>
      </w:r>
      <w:proofErr w:type="spellEnd"/>
      <w:r>
        <w:t xml:space="preserve"> L, </w:t>
      </w:r>
      <w:proofErr w:type="spellStart"/>
      <w:r>
        <w:t>Mullan</w:t>
      </w:r>
      <w:proofErr w:type="spellEnd"/>
      <w:r>
        <w:t xml:space="preserve"> B, Clark A (2014) Grassland production under global change scenarios for New Zealand pastoral agriculture. </w:t>
      </w:r>
      <w:proofErr w:type="spellStart"/>
      <w:r>
        <w:t>Geosci</w:t>
      </w:r>
      <w:proofErr w:type="spellEnd"/>
      <w:r>
        <w:t>. Model Dev., 7, 2359-2391.</w:t>
      </w:r>
    </w:p>
    <w:p w14:paraId="59AA53F7" w14:textId="05094908" w:rsidR="002769EA" w:rsidRDefault="002769EA" w:rsidP="002769EA">
      <w:pPr>
        <w:spacing w:after="0" w:line="240" w:lineRule="auto"/>
        <w:ind w:left="270" w:hanging="270"/>
      </w:pPr>
      <w:r>
        <w:t>Lennox J. et al</w:t>
      </w:r>
      <w:r w:rsidR="002404BA">
        <w:t>.</w:t>
      </w:r>
      <w:r>
        <w:t xml:space="preserve"> (2013). </w:t>
      </w:r>
      <w:r w:rsidRPr="002769EA">
        <w:t xml:space="preserve">Integrated Assessment, Trade- Related Impacts of Global Climate Change &amp; Climate Policies. </w:t>
      </w:r>
      <w:proofErr w:type="spellStart"/>
      <w:r w:rsidRPr="002769EA">
        <w:t>Landcare</w:t>
      </w:r>
      <w:proofErr w:type="spellEnd"/>
      <w:r w:rsidRPr="002769EA">
        <w:t xml:space="preserve"> Research Report LC1632 prepared for Ministry of Primary Industries. </w:t>
      </w:r>
    </w:p>
    <w:p w14:paraId="196002D4" w14:textId="48694F3B" w:rsidR="002769EA" w:rsidRDefault="002769EA" w:rsidP="002769EA">
      <w:pPr>
        <w:spacing w:after="0" w:line="240" w:lineRule="auto"/>
        <w:ind w:left="270" w:hanging="270"/>
      </w:pPr>
      <w:r>
        <w:t>Ministry for the Environment (</w:t>
      </w:r>
      <w:proofErr w:type="spellStart"/>
      <w:r>
        <w:t>MfE</w:t>
      </w:r>
      <w:proofErr w:type="spellEnd"/>
      <w:r>
        <w:t xml:space="preserve">). (2016a). </w:t>
      </w:r>
      <w:r w:rsidRPr="002769EA">
        <w:t>New Zealand's Greenhouse Gas Inventory 1990–2014</w:t>
      </w:r>
      <w:r>
        <w:t xml:space="preserve">. Wellington. </w:t>
      </w:r>
      <w:proofErr w:type="spellStart"/>
      <w:r>
        <w:t>MfE</w:t>
      </w:r>
      <w:proofErr w:type="spellEnd"/>
      <w:r>
        <w:t xml:space="preserve"> publication ME 1239.</w:t>
      </w:r>
    </w:p>
    <w:p w14:paraId="45B64572" w14:textId="14DB50F1" w:rsidR="002769EA" w:rsidRDefault="002769EA" w:rsidP="002769EA">
      <w:pPr>
        <w:spacing w:after="0" w:line="240" w:lineRule="auto"/>
        <w:ind w:left="270" w:hanging="270"/>
      </w:pPr>
      <w:proofErr w:type="spellStart"/>
      <w:r>
        <w:t>MfE</w:t>
      </w:r>
      <w:proofErr w:type="spellEnd"/>
      <w:r>
        <w:t xml:space="preserve"> (2016b). Climate Change Projections for New Zealand: Atmosphere Projections Based on Simulations from the IPCC Fifth Assessment. Wellington: Ministry for the Environment.</w:t>
      </w:r>
    </w:p>
    <w:p w14:paraId="7391BFF8" w14:textId="79FA19D3" w:rsidR="002769EA" w:rsidRDefault="002769EA" w:rsidP="002769EA">
      <w:pPr>
        <w:spacing w:after="0" w:line="240" w:lineRule="auto"/>
        <w:ind w:left="270" w:hanging="270"/>
      </w:pPr>
      <w:r>
        <w:t>NZ Forest Owners Association (FOA). (2016). Facts and Figures, 2015/2016.</w:t>
      </w:r>
    </w:p>
    <w:p w14:paraId="1AB3AF69" w14:textId="2096FDFA" w:rsidR="002769EA" w:rsidRDefault="002769EA" w:rsidP="002769EA">
      <w:pPr>
        <w:spacing w:after="0" w:line="240" w:lineRule="auto"/>
        <w:ind w:left="270" w:hanging="270"/>
      </w:pPr>
      <w:r>
        <w:t xml:space="preserve">Popp A. et al. 2016. Land-use futures In the Shared socio-economic pathways, Global </w:t>
      </w:r>
      <w:proofErr w:type="spellStart"/>
      <w:r>
        <w:t>Env</w:t>
      </w:r>
      <w:proofErr w:type="spellEnd"/>
      <w:r>
        <w:t xml:space="preserve"> Change. </w:t>
      </w:r>
    </w:p>
    <w:p w14:paraId="24CE77AE" w14:textId="42EB64E0" w:rsidR="002769EA" w:rsidRDefault="002769EA" w:rsidP="002769EA">
      <w:pPr>
        <w:spacing w:after="0" w:line="240" w:lineRule="auto"/>
        <w:ind w:left="270" w:hanging="270"/>
      </w:pPr>
      <w:proofErr w:type="spellStart"/>
      <w:proofErr w:type="gramStart"/>
      <w:r>
        <w:t>Riahi</w:t>
      </w:r>
      <w:proofErr w:type="spellEnd"/>
      <w:r>
        <w:t xml:space="preserve">  K</w:t>
      </w:r>
      <w:proofErr w:type="gramEnd"/>
      <w:r>
        <w:t xml:space="preserve">. et al. 2016. </w:t>
      </w:r>
      <w:r w:rsidRPr="002769EA">
        <w:t>The shared socioeconomic pathways and their energy, land use, and greenhouse gas emiss</w:t>
      </w:r>
      <w:r>
        <w:t>ions implications: an overview.</w:t>
      </w:r>
      <w:r w:rsidRPr="002769EA">
        <w:t xml:space="preserve"> Gl</w:t>
      </w:r>
      <w:r>
        <w:t>obal Environmental Change</w:t>
      </w:r>
      <w:r w:rsidRPr="002769EA">
        <w:t>.</w:t>
      </w:r>
    </w:p>
    <w:p w14:paraId="29DD5378" w14:textId="77777777" w:rsidR="002769EA" w:rsidRDefault="002769EA" w:rsidP="002769EA">
      <w:pPr>
        <w:spacing w:after="0" w:line="240" w:lineRule="auto"/>
        <w:ind w:left="270" w:hanging="270"/>
      </w:pPr>
      <w:proofErr w:type="spellStart"/>
      <w:r>
        <w:t>Tait</w:t>
      </w:r>
      <w:proofErr w:type="spellEnd"/>
      <w:r>
        <w:t xml:space="preserve"> A, Turner R (2005) Generating multiyear gridded daily rainfall over New Zealand. Journal of Applied Meteorology, 44, 1315-1323</w:t>
      </w:r>
    </w:p>
    <w:p w14:paraId="6B3AB67D" w14:textId="2AD7E595" w:rsidR="001464AC" w:rsidRDefault="002769EA" w:rsidP="002769EA">
      <w:pPr>
        <w:spacing w:after="0" w:line="240" w:lineRule="auto"/>
        <w:ind w:left="270" w:hanging="270"/>
      </w:pPr>
      <w:r>
        <w:t xml:space="preserve">Van </w:t>
      </w:r>
      <w:proofErr w:type="spellStart"/>
      <w:r>
        <w:t>Vuuren</w:t>
      </w:r>
      <w:proofErr w:type="spellEnd"/>
      <w:r>
        <w:t xml:space="preserve"> DP, Carter TR (2013) Climate and socio-economic scenarios for climate change research and assessment: reconciling the new with the old. Climatic Change, 122, 415-429</w:t>
      </w:r>
    </w:p>
    <w:p w14:paraId="6318FEAA" w14:textId="77777777" w:rsidR="00A81A6D" w:rsidRPr="0019030C" w:rsidRDefault="00A81A6D"/>
    <w:sectPr w:rsidR="00A81A6D" w:rsidRPr="00190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3472E9"/>
    <w:multiLevelType w:val="hybridMultilevel"/>
    <w:tmpl w:val="53D0A690"/>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73154C13"/>
    <w:multiLevelType w:val="multilevel"/>
    <w:tmpl w:val="1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771D7817"/>
    <w:multiLevelType w:val="hybridMultilevel"/>
    <w:tmpl w:val="A9E063BE"/>
    <w:lvl w:ilvl="0" w:tplc="4E8E29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1E"/>
    <w:rsid w:val="00067925"/>
    <w:rsid w:val="000A1D45"/>
    <w:rsid w:val="000E2431"/>
    <w:rsid w:val="001464AC"/>
    <w:rsid w:val="0019030C"/>
    <w:rsid w:val="001F4B53"/>
    <w:rsid w:val="002404BA"/>
    <w:rsid w:val="0024241E"/>
    <w:rsid w:val="002769EA"/>
    <w:rsid w:val="002C0C78"/>
    <w:rsid w:val="002C41B2"/>
    <w:rsid w:val="003541CE"/>
    <w:rsid w:val="00395DA2"/>
    <w:rsid w:val="003D4B24"/>
    <w:rsid w:val="004309F4"/>
    <w:rsid w:val="00465B67"/>
    <w:rsid w:val="00466FAA"/>
    <w:rsid w:val="00474C3B"/>
    <w:rsid w:val="00475D10"/>
    <w:rsid w:val="00501772"/>
    <w:rsid w:val="00507F80"/>
    <w:rsid w:val="00573B8D"/>
    <w:rsid w:val="005E08C9"/>
    <w:rsid w:val="005F37AB"/>
    <w:rsid w:val="00684A02"/>
    <w:rsid w:val="0069751E"/>
    <w:rsid w:val="006C35F4"/>
    <w:rsid w:val="00791838"/>
    <w:rsid w:val="0082504F"/>
    <w:rsid w:val="00827BDE"/>
    <w:rsid w:val="008870FE"/>
    <w:rsid w:val="009F1E35"/>
    <w:rsid w:val="00A36392"/>
    <w:rsid w:val="00A60CFB"/>
    <w:rsid w:val="00A81A6D"/>
    <w:rsid w:val="00BC2FF3"/>
    <w:rsid w:val="00BE3E7B"/>
    <w:rsid w:val="00C01879"/>
    <w:rsid w:val="00D63EDA"/>
    <w:rsid w:val="00D91A4D"/>
    <w:rsid w:val="00E6645A"/>
    <w:rsid w:val="00EB09E4"/>
    <w:rsid w:val="00F25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82DC"/>
  <w15:chartTrackingRefBased/>
  <w15:docId w15:val="{E1971CB9-37A8-4AB1-BA95-4C1DDDA3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241E"/>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lang w:val="en-NZ"/>
    </w:rPr>
  </w:style>
  <w:style w:type="paragraph" w:styleId="Heading2">
    <w:name w:val="heading 2"/>
    <w:basedOn w:val="Normal"/>
    <w:next w:val="Normal"/>
    <w:link w:val="Heading2Char"/>
    <w:uiPriority w:val="9"/>
    <w:unhideWhenUsed/>
    <w:qFormat/>
    <w:rsid w:val="0024241E"/>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lang w:val="en-NZ"/>
    </w:rPr>
  </w:style>
  <w:style w:type="paragraph" w:styleId="Heading3">
    <w:name w:val="heading 3"/>
    <w:basedOn w:val="Heading2"/>
    <w:next w:val="Normal"/>
    <w:link w:val="Heading3Char"/>
    <w:uiPriority w:val="9"/>
    <w:unhideWhenUsed/>
    <w:qFormat/>
    <w:rsid w:val="0024241E"/>
    <w:pPr>
      <w:numPr>
        <w:ilvl w:val="2"/>
      </w:numPr>
      <w:spacing w:before="200"/>
      <w:outlineLvl w:val="2"/>
    </w:pPr>
    <w:rPr>
      <w:bCs/>
      <w:color w:val="5B9BD5" w:themeColor="accent1"/>
    </w:rPr>
  </w:style>
  <w:style w:type="paragraph" w:styleId="Heading4">
    <w:name w:val="heading 4"/>
    <w:basedOn w:val="Normal"/>
    <w:next w:val="Normal"/>
    <w:link w:val="Heading4Char"/>
    <w:uiPriority w:val="9"/>
    <w:unhideWhenUsed/>
    <w:qFormat/>
    <w:rsid w:val="0024241E"/>
    <w:pPr>
      <w:keepNext/>
      <w:keepLines/>
      <w:numPr>
        <w:ilvl w:val="3"/>
        <w:numId w:val="2"/>
      </w:numPr>
      <w:spacing w:before="200" w:after="0"/>
      <w:outlineLvl w:val="3"/>
    </w:pPr>
    <w:rPr>
      <w:rFonts w:asciiTheme="majorHAnsi" w:eastAsiaTheme="majorEastAsia" w:hAnsiTheme="majorHAnsi" w:cstheme="majorBidi"/>
      <w:b/>
      <w:bCs/>
      <w:i/>
      <w:iCs/>
      <w:color w:val="5B9BD5" w:themeColor="accent1"/>
      <w:lang w:val="en-NZ"/>
    </w:rPr>
  </w:style>
  <w:style w:type="paragraph" w:styleId="Heading5">
    <w:name w:val="heading 5"/>
    <w:basedOn w:val="Normal"/>
    <w:next w:val="Normal"/>
    <w:link w:val="Heading5Char"/>
    <w:uiPriority w:val="9"/>
    <w:semiHidden/>
    <w:unhideWhenUsed/>
    <w:qFormat/>
    <w:rsid w:val="0024241E"/>
    <w:pPr>
      <w:keepNext/>
      <w:keepLines/>
      <w:numPr>
        <w:ilvl w:val="4"/>
        <w:numId w:val="2"/>
      </w:numPr>
      <w:spacing w:before="200" w:after="0"/>
      <w:outlineLvl w:val="4"/>
    </w:pPr>
    <w:rPr>
      <w:rFonts w:asciiTheme="majorHAnsi" w:eastAsiaTheme="majorEastAsia" w:hAnsiTheme="majorHAnsi" w:cstheme="majorBidi"/>
      <w:color w:val="1F4D78" w:themeColor="accent1" w:themeShade="7F"/>
      <w:lang w:val="en-NZ"/>
    </w:rPr>
  </w:style>
  <w:style w:type="paragraph" w:styleId="Heading6">
    <w:name w:val="heading 6"/>
    <w:basedOn w:val="Normal"/>
    <w:next w:val="Normal"/>
    <w:link w:val="Heading6Char"/>
    <w:uiPriority w:val="9"/>
    <w:semiHidden/>
    <w:unhideWhenUsed/>
    <w:qFormat/>
    <w:rsid w:val="0024241E"/>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lang w:val="en-NZ"/>
    </w:rPr>
  </w:style>
  <w:style w:type="paragraph" w:styleId="Heading7">
    <w:name w:val="heading 7"/>
    <w:basedOn w:val="Normal"/>
    <w:next w:val="Normal"/>
    <w:link w:val="Heading7Char"/>
    <w:uiPriority w:val="9"/>
    <w:semiHidden/>
    <w:unhideWhenUsed/>
    <w:qFormat/>
    <w:rsid w:val="0024241E"/>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NZ"/>
    </w:rPr>
  </w:style>
  <w:style w:type="paragraph" w:styleId="Heading8">
    <w:name w:val="heading 8"/>
    <w:basedOn w:val="Normal"/>
    <w:next w:val="Normal"/>
    <w:link w:val="Heading8Char"/>
    <w:uiPriority w:val="9"/>
    <w:semiHidden/>
    <w:unhideWhenUsed/>
    <w:qFormat/>
    <w:rsid w:val="0024241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NZ"/>
    </w:rPr>
  </w:style>
  <w:style w:type="paragraph" w:styleId="Heading9">
    <w:name w:val="heading 9"/>
    <w:basedOn w:val="Normal"/>
    <w:next w:val="Normal"/>
    <w:link w:val="Heading9Char"/>
    <w:uiPriority w:val="9"/>
    <w:semiHidden/>
    <w:unhideWhenUsed/>
    <w:qFormat/>
    <w:rsid w:val="0024241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41E"/>
    <w:pPr>
      <w:ind w:left="720"/>
      <w:contextualSpacing/>
    </w:pPr>
    <w:rPr>
      <w:lang w:val="en-NZ"/>
    </w:rPr>
  </w:style>
  <w:style w:type="character" w:customStyle="1" w:styleId="Heading1Char">
    <w:name w:val="Heading 1 Char"/>
    <w:basedOn w:val="DefaultParagraphFont"/>
    <w:link w:val="Heading1"/>
    <w:uiPriority w:val="9"/>
    <w:rsid w:val="0024241E"/>
    <w:rPr>
      <w:rFonts w:asciiTheme="majorHAnsi" w:eastAsiaTheme="majorEastAsia" w:hAnsiTheme="majorHAnsi" w:cstheme="majorBidi"/>
      <w:color w:val="2E74B5" w:themeColor="accent1" w:themeShade="BF"/>
      <w:sz w:val="32"/>
      <w:szCs w:val="32"/>
      <w:lang w:val="en-NZ"/>
    </w:rPr>
  </w:style>
  <w:style w:type="character" w:customStyle="1" w:styleId="Heading2Char">
    <w:name w:val="Heading 2 Char"/>
    <w:basedOn w:val="DefaultParagraphFont"/>
    <w:link w:val="Heading2"/>
    <w:uiPriority w:val="9"/>
    <w:rsid w:val="0024241E"/>
    <w:rPr>
      <w:rFonts w:asciiTheme="majorHAnsi" w:eastAsiaTheme="majorEastAsia" w:hAnsiTheme="majorHAnsi" w:cstheme="majorBidi"/>
      <w:color w:val="2E74B5" w:themeColor="accent1" w:themeShade="BF"/>
      <w:sz w:val="26"/>
      <w:szCs w:val="26"/>
      <w:lang w:val="en-NZ"/>
    </w:rPr>
  </w:style>
  <w:style w:type="character" w:customStyle="1" w:styleId="Heading3Char">
    <w:name w:val="Heading 3 Char"/>
    <w:basedOn w:val="DefaultParagraphFont"/>
    <w:link w:val="Heading3"/>
    <w:uiPriority w:val="9"/>
    <w:rsid w:val="0024241E"/>
    <w:rPr>
      <w:rFonts w:asciiTheme="majorHAnsi" w:eastAsiaTheme="majorEastAsia" w:hAnsiTheme="majorHAnsi" w:cstheme="majorBidi"/>
      <w:bCs/>
      <w:color w:val="5B9BD5" w:themeColor="accent1"/>
      <w:sz w:val="26"/>
      <w:szCs w:val="26"/>
      <w:lang w:val="en-NZ"/>
    </w:rPr>
  </w:style>
  <w:style w:type="character" w:customStyle="1" w:styleId="Heading4Char">
    <w:name w:val="Heading 4 Char"/>
    <w:basedOn w:val="DefaultParagraphFont"/>
    <w:link w:val="Heading4"/>
    <w:uiPriority w:val="9"/>
    <w:rsid w:val="0024241E"/>
    <w:rPr>
      <w:rFonts w:asciiTheme="majorHAnsi" w:eastAsiaTheme="majorEastAsia" w:hAnsiTheme="majorHAnsi" w:cstheme="majorBidi"/>
      <w:b/>
      <w:bCs/>
      <w:i/>
      <w:iCs/>
      <w:color w:val="5B9BD5" w:themeColor="accent1"/>
      <w:lang w:val="en-NZ"/>
    </w:rPr>
  </w:style>
  <w:style w:type="character" w:customStyle="1" w:styleId="Heading5Char">
    <w:name w:val="Heading 5 Char"/>
    <w:basedOn w:val="DefaultParagraphFont"/>
    <w:link w:val="Heading5"/>
    <w:uiPriority w:val="9"/>
    <w:semiHidden/>
    <w:rsid w:val="0024241E"/>
    <w:rPr>
      <w:rFonts w:asciiTheme="majorHAnsi" w:eastAsiaTheme="majorEastAsia" w:hAnsiTheme="majorHAnsi" w:cstheme="majorBidi"/>
      <w:color w:val="1F4D78" w:themeColor="accent1" w:themeShade="7F"/>
      <w:lang w:val="en-NZ"/>
    </w:rPr>
  </w:style>
  <w:style w:type="character" w:customStyle="1" w:styleId="Heading6Char">
    <w:name w:val="Heading 6 Char"/>
    <w:basedOn w:val="DefaultParagraphFont"/>
    <w:link w:val="Heading6"/>
    <w:uiPriority w:val="9"/>
    <w:semiHidden/>
    <w:rsid w:val="0024241E"/>
    <w:rPr>
      <w:rFonts w:asciiTheme="majorHAnsi" w:eastAsiaTheme="majorEastAsia" w:hAnsiTheme="majorHAnsi" w:cstheme="majorBidi"/>
      <w:i/>
      <w:iCs/>
      <w:color w:val="1F4D78" w:themeColor="accent1" w:themeShade="7F"/>
      <w:lang w:val="en-NZ"/>
    </w:rPr>
  </w:style>
  <w:style w:type="character" w:customStyle="1" w:styleId="Heading7Char">
    <w:name w:val="Heading 7 Char"/>
    <w:basedOn w:val="DefaultParagraphFont"/>
    <w:link w:val="Heading7"/>
    <w:uiPriority w:val="9"/>
    <w:semiHidden/>
    <w:rsid w:val="0024241E"/>
    <w:rPr>
      <w:rFonts w:asciiTheme="majorHAnsi" w:eastAsiaTheme="majorEastAsia" w:hAnsiTheme="majorHAnsi" w:cstheme="majorBidi"/>
      <w:i/>
      <w:iCs/>
      <w:color w:val="404040" w:themeColor="text1" w:themeTint="BF"/>
      <w:lang w:val="en-NZ"/>
    </w:rPr>
  </w:style>
  <w:style w:type="character" w:customStyle="1" w:styleId="Heading8Char">
    <w:name w:val="Heading 8 Char"/>
    <w:basedOn w:val="DefaultParagraphFont"/>
    <w:link w:val="Heading8"/>
    <w:uiPriority w:val="9"/>
    <w:semiHidden/>
    <w:rsid w:val="0024241E"/>
    <w:rPr>
      <w:rFonts w:asciiTheme="majorHAnsi" w:eastAsiaTheme="majorEastAsia" w:hAnsiTheme="majorHAnsi" w:cstheme="majorBidi"/>
      <w:color w:val="404040" w:themeColor="text1" w:themeTint="BF"/>
      <w:sz w:val="20"/>
      <w:szCs w:val="20"/>
      <w:lang w:val="en-NZ"/>
    </w:rPr>
  </w:style>
  <w:style w:type="character" w:customStyle="1" w:styleId="Heading9Char">
    <w:name w:val="Heading 9 Char"/>
    <w:basedOn w:val="DefaultParagraphFont"/>
    <w:link w:val="Heading9"/>
    <w:uiPriority w:val="9"/>
    <w:semiHidden/>
    <w:rsid w:val="0024241E"/>
    <w:rPr>
      <w:rFonts w:asciiTheme="majorHAnsi" w:eastAsiaTheme="majorEastAsia" w:hAnsiTheme="majorHAnsi" w:cstheme="majorBidi"/>
      <w:i/>
      <w:iCs/>
      <w:color w:val="404040" w:themeColor="text1" w:themeTint="BF"/>
      <w:sz w:val="20"/>
      <w:szCs w:val="20"/>
      <w:lang w:val="en-NZ"/>
    </w:rPr>
  </w:style>
  <w:style w:type="table" w:styleId="TableGrid">
    <w:name w:val="Table Grid"/>
    <w:basedOn w:val="TableNormal"/>
    <w:uiPriority w:val="39"/>
    <w:rsid w:val="00887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D10"/>
    <w:rPr>
      <w:sz w:val="16"/>
      <w:szCs w:val="16"/>
    </w:rPr>
  </w:style>
  <w:style w:type="paragraph" w:styleId="CommentText">
    <w:name w:val="annotation text"/>
    <w:basedOn w:val="Normal"/>
    <w:link w:val="CommentTextChar"/>
    <w:uiPriority w:val="99"/>
    <w:semiHidden/>
    <w:unhideWhenUsed/>
    <w:rsid w:val="00475D10"/>
    <w:pPr>
      <w:spacing w:line="240" w:lineRule="auto"/>
    </w:pPr>
    <w:rPr>
      <w:sz w:val="20"/>
      <w:szCs w:val="20"/>
    </w:rPr>
  </w:style>
  <w:style w:type="character" w:customStyle="1" w:styleId="CommentTextChar">
    <w:name w:val="Comment Text Char"/>
    <w:basedOn w:val="DefaultParagraphFont"/>
    <w:link w:val="CommentText"/>
    <w:uiPriority w:val="99"/>
    <w:semiHidden/>
    <w:rsid w:val="00475D10"/>
    <w:rPr>
      <w:sz w:val="20"/>
      <w:szCs w:val="20"/>
    </w:rPr>
  </w:style>
  <w:style w:type="paragraph" w:styleId="CommentSubject">
    <w:name w:val="annotation subject"/>
    <w:basedOn w:val="CommentText"/>
    <w:next w:val="CommentText"/>
    <w:link w:val="CommentSubjectChar"/>
    <w:uiPriority w:val="99"/>
    <w:semiHidden/>
    <w:unhideWhenUsed/>
    <w:rsid w:val="00475D10"/>
    <w:rPr>
      <w:b/>
      <w:bCs/>
    </w:rPr>
  </w:style>
  <w:style w:type="character" w:customStyle="1" w:styleId="CommentSubjectChar">
    <w:name w:val="Comment Subject Char"/>
    <w:basedOn w:val="CommentTextChar"/>
    <w:link w:val="CommentSubject"/>
    <w:uiPriority w:val="99"/>
    <w:semiHidden/>
    <w:rsid w:val="00475D10"/>
    <w:rPr>
      <w:b/>
      <w:bCs/>
      <w:sz w:val="20"/>
      <w:szCs w:val="20"/>
    </w:rPr>
  </w:style>
  <w:style w:type="paragraph" w:styleId="BalloonText">
    <w:name w:val="Balloon Text"/>
    <w:basedOn w:val="Normal"/>
    <w:link w:val="BalloonTextChar"/>
    <w:uiPriority w:val="99"/>
    <w:semiHidden/>
    <w:unhideWhenUsed/>
    <w:rsid w:val="0047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D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178434">
      <w:bodyDiv w:val="1"/>
      <w:marLeft w:val="0"/>
      <w:marRight w:val="0"/>
      <w:marTop w:val="0"/>
      <w:marBottom w:val="0"/>
      <w:divBdr>
        <w:top w:val="none" w:sz="0" w:space="0" w:color="auto"/>
        <w:left w:val="none" w:sz="0" w:space="0" w:color="auto"/>
        <w:bottom w:val="none" w:sz="0" w:space="0" w:color="auto"/>
        <w:right w:val="none" w:sz="0" w:space="0" w:color="auto"/>
      </w:divBdr>
      <w:divsChild>
        <w:div w:id="337390083">
          <w:marLeft w:val="0"/>
          <w:marRight w:val="0"/>
          <w:marTop w:val="0"/>
          <w:marBottom w:val="0"/>
          <w:divBdr>
            <w:top w:val="none" w:sz="0" w:space="0" w:color="auto"/>
            <w:left w:val="none" w:sz="0" w:space="0" w:color="auto"/>
            <w:bottom w:val="none" w:sz="0" w:space="0" w:color="auto"/>
            <w:right w:val="none" w:sz="0" w:space="0" w:color="auto"/>
          </w:divBdr>
        </w:div>
        <w:div w:id="1310136740">
          <w:marLeft w:val="0"/>
          <w:marRight w:val="0"/>
          <w:marTop w:val="0"/>
          <w:marBottom w:val="0"/>
          <w:divBdr>
            <w:top w:val="none" w:sz="0" w:space="0" w:color="auto"/>
            <w:left w:val="none" w:sz="0" w:space="0" w:color="auto"/>
            <w:bottom w:val="none" w:sz="0" w:space="0" w:color="auto"/>
            <w:right w:val="none" w:sz="0" w:space="0" w:color="auto"/>
          </w:divBdr>
        </w:div>
        <w:div w:id="697239690">
          <w:marLeft w:val="0"/>
          <w:marRight w:val="0"/>
          <w:marTop w:val="0"/>
          <w:marBottom w:val="0"/>
          <w:divBdr>
            <w:top w:val="none" w:sz="0" w:space="0" w:color="auto"/>
            <w:left w:val="none" w:sz="0" w:space="0" w:color="auto"/>
            <w:bottom w:val="none" w:sz="0" w:space="0" w:color="auto"/>
            <w:right w:val="none" w:sz="0" w:space="0" w:color="auto"/>
          </w:divBdr>
        </w:div>
        <w:div w:id="478690259">
          <w:marLeft w:val="0"/>
          <w:marRight w:val="0"/>
          <w:marTop w:val="0"/>
          <w:marBottom w:val="0"/>
          <w:divBdr>
            <w:top w:val="none" w:sz="0" w:space="0" w:color="auto"/>
            <w:left w:val="none" w:sz="0" w:space="0" w:color="auto"/>
            <w:bottom w:val="none" w:sz="0" w:space="0" w:color="auto"/>
            <w:right w:val="none" w:sz="0" w:space="0" w:color="auto"/>
          </w:divBdr>
        </w:div>
        <w:div w:id="411782437">
          <w:marLeft w:val="0"/>
          <w:marRight w:val="0"/>
          <w:marTop w:val="0"/>
          <w:marBottom w:val="0"/>
          <w:divBdr>
            <w:top w:val="none" w:sz="0" w:space="0" w:color="auto"/>
            <w:left w:val="none" w:sz="0" w:space="0" w:color="auto"/>
            <w:bottom w:val="none" w:sz="0" w:space="0" w:color="auto"/>
            <w:right w:val="none" w:sz="0" w:space="0" w:color="auto"/>
          </w:divBdr>
        </w:div>
        <w:div w:id="279918043">
          <w:marLeft w:val="0"/>
          <w:marRight w:val="0"/>
          <w:marTop w:val="0"/>
          <w:marBottom w:val="0"/>
          <w:divBdr>
            <w:top w:val="none" w:sz="0" w:space="0" w:color="auto"/>
            <w:left w:val="none" w:sz="0" w:space="0" w:color="auto"/>
            <w:bottom w:val="none" w:sz="0" w:space="0" w:color="auto"/>
            <w:right w:val="none" w:sz="0" w:space="0" w:color="auto"/>
          </w:divBdr>
        </w:div>
        <w:div w:id="820462785">
          <w:marLeft w:val="0"/>
          <w:marRight w:val="0"/>
          <w:marTop w:val="0"/>
          <w:marBottom w:val="0"/>
          <w:divBdr>
            <w:top w:val="none" w:sz="0" w:space="0" w:color="auto"/>
            <w:left w:val="none" w:sz="0" w:space="0" w:color="auto"/>
            <w:bottom w:val="none" w:sz="0" w:space="0" w:color="auto"/>
            <w:right w:val="none" w:sz="0" w:space="0" w:color="auto"/>
          </w:divBdr>
        </w:div>
        <w:div w:id="1056123522">
          <w:marLeft w:val="0"/>
          <w:marRight w:val="0"/>
          <w:marTop w:val="0"/>
          <w:marBottom w:val="0"/>
          <w:divBdr>
            <w:top w:val="none" w:sz="0" w:space="0" w:color="auto"/>
            <w:left w:val="none" w:sz="0" w:space="0" w:color="auto"/>
            <w:bottom w:val="none" w:sz="0" w:space="0" w:color="auto"/>
            <w:right w:val="none" w:sz="0" w:space="0" w:color="auto"/>
          </w:divBdr>
        </w:div>
        <w:div w:id="1622957940">
          <w:marLeft w:val="0"/>
          <w:marRight w:val="0"/>
          <w:marTop w:val="0"/>
          <w:marBottom w:val="0"/>
          <w:divBdr>
            <w:top w:val="none" w:sz="0" w:space="0" w:color="auto"/>
            <w:left w:val="none" w:sz="0" w:space="0" w:color="auto"/>
            <w:bottom w:val="none" w:sz="0" w:space="0" w:color="auto"/>
            <w:right w:val="none" w:sz="0" w:space="0" w:color="auto"/>
          </w:divBdr>
        </w:div>
        <w:div w:id="362756148">
          <w:marLeft w:val="0"/>
          <w:marRight w:val="0"/>
          <w:marTop w:val="0"/>
          <w:marBottom w:val="0"/>
          <w:divBdr>
            <w:top w:val="none" w:sz="0" w:space="0" w:color="auto"/>
            <w:left w:val="none" w:sz="0" w:space="0" w:color="auto"/>
            <w:bottom w:val="none" w:sz="0" w:space="0" w:color="auto"/>
            <w:right w:val="none" w:sz="0" w:space="0" w:color="auto"/>
          </w:divBdr>
        </w:div>
        <w:div w:id="1029726049">
          <w:marLeft w:val="0"/>
          <w:marRight w:val="0"/>
          <w:marTop w:val="0"/>
          <w:marBottom w:val="0"/>
          <w:divBdr>
            <w:top w:val="none" w:sz="0" w:space="0" w:color="auto"/>
            <w:left w:val="none" w:sz="0" w:space="0" w:color="auto"/>
            <w:bottom w:val="none" w:sz="0" w:space="0" w:color="auto"/>
            <w:right w:val="none" w:sz="0" w:space="0" w:color="auto"/>
          </w:divBdr>
        </w:div>
        <w:div w:id="718552734">
          <w:marLeft w:val="0"/>
          <w:marRight w:val="0"/>
          <w:marTop w:val="0"/>
          <w:marBottom w:val="0"/>
          <w:divBdr>
            <w:top w:val="none" w:sz="0" w:space="0" w:color="auto"/>
            <w:left w:val="none" w:sz="0" w:space="0" w:color="auto"/>
            <w:bottom w:val="none" w:sz="0" w:space="0" w:color="auto"/>
            <w:right w:val="none" w:sz="0" w:space="0" w:color="auto"/>
          </w:divBdr>
        </w:div>
        <w:div w:id="1365404096">
          <w:marLeft w:val="0"/>
          <w:marRight w:val="0"/>
          <w:marTop w:val="0"/>
          <w:marBottom w:val="0"/>
          <w:divBdr>
            <w:top w:val="none" w:sz="0" w:space="0" w:color="auto"/>
            <w:left w:val="none" w:sz="0" w:space="0" w:color="auto"/>
            <w:bottom w:val="none" w:sz="0" w:space="0" w:color="auto"/>
            <w:right w:val="none" w:sz="0" w:space="0" w:color="auto"/>
          </w:divBdr>
        </w:div>
        <w:div w:id="345986695">
          <w:marLeft w:val="0"/>
          <w:marRight w:val="0"/>
          <w:marTop w:val="0"/>
          <w:marBottom w:val="0"/>
          <w:divBdr>
            <w:top w:val="none" w:sz="0" w:space="0" w:color="auto"/>
            <w:left w:val="none" w:sz="0" w:space="0" w:color="auto"/>
            <w:bottom w:val="none" w:sz="0" w:space="0" w:color="auto"/>
            <w:right w:val="none" w:sz="0" w:space="0" w:color="auto"/>
          </w:divBdr>
        </w:div>
        <w:div w:id="710224809">
          <w:marLeft w:val="0"/>
          <w:marRight w:val="0"/>
          <w:marTop w:val="0"/>
          <w:marBottom w:val="0"/>
          <w:divBdr>
            <w:top w:val="none" w:sz="0" w:space="0" w:color="auto"/>
            <w:left w:val="none" w:sz="0" w:space="0" w:color="auto"/>
            <w:bottom w:val="none" w:sz="0" w:space="0" w:color="auto"/>
            <w:right w:val="none" w:sz="0" w:space="0" w:color="auto"/>
          </w:divBdr>
        </w:div>
        <w:div w:id="2034381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Daigneault</dc:creator>
  <cp:keywords/>
  <dc:description/>
  <cp:lastModifiedBy>Adam Daigneault</cp:lastModifiedBy>
  <cp:revision>2</cp:revision>
  <dcterms:created xsi:type="dcterms:W3CDTF">2017-04-13T14:43:00Z</dcterms:created>
  <dcterms:modified xsi:type="dcterms:W3CDTF">2017-04-13T14:43:00Z</dcterms:modified>
</cp:coreProperties>
</file>