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E46A8" w14:textId="77777777" w:rsidR="00B37ACD" w:rsidRDefault="00B37ACD" w:rsidP="00B37ACD">
      <w:pPr>
        <w:pStyle w:val="NoSpacing"/>
      </w:pPr>
    </w:p>
    <w:p w14:paraId="70096595" w14:textId="2DCB6A09" w:rsidR="00FD5F08" w:rsidRDefault="00B20A65" w:rsidP="00BF609F">
      <w:pPr>
        <w:pStyle w:val="NoSpacing"/>
        <w:jc w:val="center"/>
        <w:rPr>
          <w:rFonts w:ascii="Times New Roman" w:hAnsi="Times New Roman" w:cs="Times New Roman"/>
          <w:sz w:val="24"/>
          <w:szCs w:val="24"/>
        </w:rPr>
      </w:pPr>
      <w:r w:rsidRPr="00445435">
        <w:rPr>
          <w:rFonts w:ascii="Times New Roman" w:hAnsi="Times New Roman" w:cs="Times New Roman"/>
          <w:sz w:val="24"/>
          <w:szCs w:val="24"/>
        </w:rPr>
        <w:t>Taxes and Incentives</w:t>
      </w:r>
      <w:r w:rsidR="00E419CE" w:rsidRPr="00445435">
        <w:rPr>
          <w:rFonts w:ascii="Times New Roman" w:hAnsi="Times New Roman" w:cs="Times New Roman"/>
          <w:sz w:val="24"/>
          <w:szCs w:val="24"/>
        </w:rPr>
        <w:t xml:space="preserve"> in the Destination-Based Cash-Flow Tax (DBCFT) Proposal</w:t>
      </w:r>
    </w:p>
    <w:p w14:paraId="6FAF9496" w14:textId="3DE43CF9" w:rsidR="00757092" w:rsidRDefault="00757092" w:rsidP="00BF609F">
      <w:pPr>
        <w:pStyle w:val="NoSpacing"/>
        <w:jc w:val="center"/>
        <w:rPr>
          <w:rFonts w:ascii="Times New Roman" w:hAnsi="Times New Roman" w:cs="Times New Roman"/>
          <w:sz w:val="24"/>
          <w:szCs w:val="24"/>
        </w:rPr>
      </w:pPr>
    </w:p>
    <w:p w14:paraId="7803E74F" w14:textId="4FD1DA3B" w:rsidR="00757092" w:rsidRDefault="00757092" w:rsidP="00BF609F">
      <w:pPr>
        <w:pStyle w:val="NoSpacing"/>
        <w:jc w:val="center"/>
        <w:rPr>
          <w:rFonts w:ascii="Times New Roman" w:hAnsi="Times New Roman" w:cs="Times New Roman"/>
          <w:sz w:val="24"/>
          <w:szCs w:val="24"/>
        </w:rPr>
      </w:pPr>
      <w:r>
        <w:rPr>
          <w:rFonts w:ascii="Times New Roman" w:hAnsi="Times New Roman" w:cs="Times New Roman"/>
          <w:sz w:val="24"/>
          <w:szCs w:val="24"/>
        </w:rPr>
        <w:t>Sherman Robinson (</w:t>
      </w:r>
      <w:r w:rsidR="007C39CA">
        <w:rPr>
          <w:rFonts w:ascii="Times New Roman" w:hAnsi="Times New Roman" w:cs="Times New Roman"/>
          <w:sz w:val="24"/>
          <w:szCs w:val="24"/>
        </w:rPr>
        <w:t>Peterson Institute for International Economics) and</w:t>
      </w:r>
    </w:p>
    <w:p w14:paraId="40ADF5EF" w14:textId="1E8BB612" w:rsidR="007C39CA" w:rsidRDefault="007C39CA" w:rsidP="00BF609F">
      <w:pPr>
        <w:pStyle w:val="NoSpacing"/>
        <w:jc w:val="center"/>
        <w:rPr>
          <w:rFonts w:ascii="Times New Roman" w:hAnsi="Times New Roman" w:cs="Times New Roman"/>
          <w:sz w:val="24"/>
          <w:szCs w:val="24"/>
        </w:rPr>
      </w:pPr>
      <w:r>
        <w:rPr>
          <w:rFonts w:ascii="Times New Roman" w:hAnsi="Times New Roman" w:cs="Times New Roman"/>
          <w:sz w:val="24"/>
          <w:szCs w:val="24"/>
        </w:rPr>
        <w:t>Karen Thierfelder (U.S. Naval Academy)</w:t>
      </w:r>
    </w:p>
    <w:p w14:paraId="70D496E5" w14:textId="26ADBE89" w:rsidR="007C39CA" w:rsidRDefault="007C39CA" w:rsidP="00BF609F">
      <w:pPr>
        <w:pStyle w:val="NoSpacing"/>
        <w:jc w:val="center"/>
        <w:rPr>
          <w:rFonts w:ascii="Times New Roman" w:hAnsi="Times New Roman" w:cs="Times New Roman"/>
          <w:sz w:val="24"/>
          <w:szCs w:val="24"/>
        </w:rPr>
      </w:pPr>
    </w:p>
    <w:p w14:paraId="7273649C" w14:textId="2751CB26" w:rsidR="007C39CA" w:rsidRPr="00445435" w:rsidRDefault="007C39CA" w:rsidP="00BF609F">
      <w:pPr>
        <w:pStyle w:val="NoSpacing"/>
        <w:jc w:val="center"/>
        <w:rPr>
          <w:rFonts w:ascii="Times New Roman" w:hAnsi="Times New Roman" w:cs="Times New Roman"/>
          <w:sz w:val="24"/>
          <w:szCs w:val="24"/>
        </w:rPr>
      </w:pPr>
      <w:r>
        <w:rPr>
          <w:rFonts w:ascii="Times New Roman" w:hAnsi="Times New Roman" w:cs="Times New Roman"/>
          <w:sz w:val="24"/>
          <w:szCs w:val="24"/>
        </w:rPr>
        <w:t>Draft, February 2017</w:t>
      </w:r>
    </w:p>
    <w:p w14:paraId="338AFB11" w14:textId="77777777" w:rsidR="00BF609F" w:rsidRPr="00445435" w:rsidRDefault="00BF609F" w:rsidP="00BF609F">
      <w:pPr>
        <w:pStyle w:val="NoSpacing"/>
        <w:rPr>
          <w:rFonts w:ascii="Times New Roman" w:hAnsi="Times New Roman" w:cs="Times New Roman"/>
          <w:sz w:val="24"/>
          <w:szCs w:val="24"/>
        </w:rPr>
      </w:pPr>
    </w:p>
    <w:p w14:paraId="75CE916A" w14:textId="39622EF9" w:rsidR="00BF609F" w:rsidRPr="00757092" w:rsidRDefault="00BF609F" w:rsidP="00BF609F">
      <w:pPr>
        <w:pStyle w:val="NoSpacing"/>
        <w:jc w:val="center"/>
        <w:rPr>
          <w:rFonts w:ascii="Times New Roman" w:hAnsi="Times New Roman" w:cs="Times New Roman"/>
          <w:b/>
          <w:sz w:val="24"/>
          <w:szCs w:val="24"/>
        </w:rPr>
      </w:pPr>
      <w:r w:rsidRPr="00757092">
        <w:rPr>
          <w:rFonts w:ascii="Times New Roman" w:hAnsi="Times New Roman" w:cs="Times New Roman"/>
          <w:b/>
          <w:sz w:val="24"/>
          <w:szCs w:val="24"/>
        </w:rPr>
        <w:t>Abstract</w:t>
      </w:r>
    </w:p>
    <w:p w14:paraId="06B0EA91" w14:textId="77777777" w:rsidR="00775557" w:rsidRPr="00445435" w:rsidRDefault="00775557" w:rsidP="00BF609F">
      <w:pPr>
        <w:pStyle w:val="NoSpacing"/>
        <w:jc w:val="center"/>
        <w:rPr>
          <w:rFonts w:ascii="Times New Roman" w:hAnsi="Times New Roman" w:cs="Times New Roman"/>
          <w:sz w:val="24"/>
          <w:szCs w:val="24"/>
        </w:rPr>
      </w:pPr>
    </w:p>
    <w:p w14:paraId="472C95DB" w14:textId="6D264448" w:rsidR="003E6473" w:rsidRDefault="00FD5F08" w:rsidP="00FD5F08">
      <w:pPr>
        <w:pStyle w:val="NoSpacing"/>
        <w:rPr>
          <w:rFonts w:ascii="Times New Roman" w:hAnsi="Times New Roman" w:cs="Times New Roman"/>
          <w:sz w:val="24"/>
          <w:szCs w:val="24"/>
        </w:rPr>
      </w:pPr>
      <w:r w:rsidRPr="00445435">
        <w:rPr>
          <w:rFonts w:ascii="Times New Roman" w:hAnsi="Times New Roman" w:cs="Times New Roman"/>
          <w:sz w:val="24"/>
          <w:szCs w:val="24"/>
        </w:rPr>
        <w:t xml:space="preserve">U.S. policy makers are </w:t>
      </w:r>
      <w:r w:rsidR="00B81261">
        <w:rPr>
          <w:rFonts w:ascii="Times New Roman" w:hAnsi="Times New Roman" w:cs="Times New Roman"/>
          <w:sz w:val="24"/>
          <w:szCs w:val="24"/>
        </w:rPr>
        <w:t>contemplating</w:t>
      </w:r>
      <w:r w:rsidRPr="00445435">
        <w:rPr>
          <w:rFonts w:ascii="Times New Roman" w:hAnsi="Times New Roman" w:cs="Times New Roman"/>
          <w:sz w:val="24"/>
          <w:szCs w:val="24"/>
        </w:rPr>
        <w:t xml:space="preserve"> a dramatic overhau</w:t>
      </w:r>
      <w:r w:rsidR="00B37ACD" w:rsidRPr="00445435">
        <w:rPr>
          <w:rFonts w:ascii="Times New Roman" w:hAnsi="Times New Roman" w:cs="Times New Roman"/>
          <w:sz w:val="24"/>
          <w:szCs w:val="24"/>
        </w:rPr>
        <w:t>l of corporate taxes. Currently, the U.S. has one of the highest corporate tax rates in the world, and a very low tax base. Congress is considering a different approach to corporate taxes – the destination-based cash-flow tax (DBCFT)</w:t>
      </w:r>
      <w:r w:rsidR="007D0B64" w:rsidRPr="00445435">
        <w:rPr>
          <w:rFonts w:ascii="Times New Roman" w:hAnsi="Times New Roman" w:cs="Times New Roman"/>
          <w:sz w:val="24"/>
          <w:szCs w:val="24"/>
        </w:rPr>
        <w:t xml:space="preserve">. </w:t>
      </w:r>
      <w:r w:rsidR="00B81261">
        <w:rPr>
          <w:rFonts w:ascii="Times New Roman" w:hAnsi="Times New Roman" w:cs="Times New Roman"/>
          <w:sz w:val="24"/>
          <w:szCs w:val="24"/>
        </w:rPr>
        <w:t xml:space="preserve">Corporations will be taxed on their cash flow </w:t>
      </w:r>
      <w:r w:rsidR="00E91C13">
        <w:rPr>
          <w:rFonts w:ascii="Times New Roman" w:hAnsi="Times New Roman" w:cs="Times New Roman"/>
          <w:sz w:val="24"/>
          <w:szCs w:val="24"/>
        </w:rPr>
        <w:t>–</w:t>
      </w:r>
      <w:r w:rsidR="00B81261">
        <w:rPr>
          <w:rFonts w:ascii="Times New Roman" w:hAnsi="Times New Roman" w:cs="Times New Roman"/>
          <w:sz w:val="24"/>
          <w:szCs w:val="24"/>
        </w:rPr>
        <w:t xml:space="preserve"> </w:t>
      </w:r>
      <w:r w:rsidR="00E91C13">
        <w:rPr>
          <w:rFonts w:ascii="Times New Roman" w:hAnsi="Times New Roman" w:cs="Times New Roman"/>
          <w:sz w:val="24"/>
          <w:szCs w:val="24"/>
        </w:rPr>
        <w:t>revenue from domestic sales minus</w:t>
      </w:r>
      <w:r w:rsidR="00104311">
        <w:rPr>
          <w:rFonts w:ascii="Times New Roman" w:hAnsi="Times New Roman" w:cs="Times New Roman"/>
          <w:sz w:val="24"/>
          <w:szCs w:val="24"/>
        </w:rPr>
        <w:t xml:space="preserve"> </w:t>
      </w:r>
      <w:r w:rsidR="000F02D2">
        <w:rPr>
          <w:rFonts w:ascii="Times New Roman" w:hAnsi="Times New Roman" w:cs="Times New Roman"/>
          <w:sz w:val="24"/>
          <w:szCs w:val="24"/>
        </w:rPr>
        <w:t xml:space="preserve">labor </w:t>
      </w:r>
      <w:r w:rsidR="00104311">
        <w:rPr>
          <w:rFonts w:ascii="Times New Roman" w:hAnsi="Times New Roman" w:cs="Times New Roman"/>
          <w:sz w:val="24"/>
          <w:szCs w:val="24"/>
        </w:rPr>
        <w:t xml:space="preserve">costs </w:t>
      </w:r>
      <w:r w:rsidR="000F02D2">
        <w:rPr>
          <w:rFonts w:ascii="Times New Roman" w:hAnsi="Times New Roman" w:cs="Times New Roman"/>
          <w:sz w:val="24"/>
          <w:szCs w:val="24"/>
        </w:rPr>
        <w:t xml:space="preserve">and </w:t>
      </w:r>
      <w:r w:rsidR="00104311">
        <w:rPr>
          <w:rFonts w:ascii="Times New Roman" w:hAnsi="Times New Roman" w:cs="Times New Roman"/>
          <w:sz w:val="24"/>
          <w:szCs w:val="24"/>
        </w:rPr>
        <w:t xml:space="preserve">domestically produced </w:t>
      </w:r>
      <w:r w:rsidR="000F02D2">
        <w:rPr>
          <w:rFonts w:ascii="Times New Roman" w:hAnsi="Times New Roman" w:cs="Times New Roman"/>
          <w:sz w:val="24"/>
          <w:szCs w:val="24"/>
        </w:rPr>
        <w:t>intermediate input costs.</w:t>
      </w:r>
      <w:r w:rsidR="005344C0">
        <w:rPr>
          <w:rFonts w:ascii="Times New Roman" w:hAnsi="Times New Roman" w:cs="Times New Roman"/>
          <w:sz w:val="24"/>
          <w:szCs w:val="24"/>
        </w:rPr>
        <w:t xml:space="preserve"> (Auerbach 2010, </w:t>
      </w:r>
      <w:r w:rsidR="00D02162">
        <w:rPr>
          <w:rFonts w:ascii="Times New Roman" w:hAnsi="Times New Roman" w:cs="Times New Roman"/>
          <w:sz w:val="24"/>
          <w:szCs w:val="24"/>
        </w:rPr>
        <w:t xml:space="preserve">Auerbach et al. </w:t>
      </w:r>
      <w:r w:rsidR="005344C0">
        <w:rPr>
          <w:rFonts w:ascii="Times New Roman" w:hAnsi="Times New Roman" w:cs="Times New Roman"/>
          <w:sz w:val="24"/>
          <w:szCs w:val="24"/>
        </w:rPr>
        <w:t xml:space="preserve">2017 and Martin 2017). </w:t>
      </w:r>
      <w:r w:rsidR="000F02D2">
        <w:rPr>
          <w:rFonts w:ascii="Times New Roman" w:hAnsi="Times New Roman" w:cs="Times New Roman"/>
          <w:sz w:val="24"/>
          <w:szCs w:val="24"/>
        </w:rPr>
        <w:t xml:space="preserve"> The tax will be destination-based so only goods sold in the U.S. (domestically produced g</w:t>
      </w:r>
      <w:r w:rsidR="00104311">
        <w:rPr>
          <w:rFonts w:ascii="Times New Roman" w:hAnsi="Times New Roman" w:cs="Times New Roman"/>
          <w:sz w:val="24"/>
          <w:szCs w:val="24"/>
        </w:rPr>
        <w:t>oods and imports) will be taxed;</w:t>
      </w:r>
      <w:r w:rsidR="000F02D2">
        <w:rPr>
          <w:rFonts w:ascii="Times New Roman" w:hAnsi="Times New Roman" w:cs="Times New Roman"/>
          <w:sz w:val="24"/>
          <w:szCs w:val="24"/>
        </w:rPr>
        <w:t xml:space="preserve"> exports will be exempt. To implement the destination-based component of the tax, there will be a</w:t>
      </w:r>
      <w:r w:rsidR="00104311">
        <w:rPr>
          <w:rFonts w:ascii="Times New Roman" w:hAnsi="Times New Roman" w:cs="Times New Roman"/>
          <w:sz w:val="24"/>
          <w:szCs w:val="24"/>
        </w:rPr>
        <w:t>n implicit</w:t>
      </w:r>
      <w:r w:rsidR="000F02D2">
        <w:rPr>
          <w:rFonts w:ascii="Times New Roman" w:hAnsi="Times New Roman" w:cs="Times New Roman"/>
          <w:sz w:val="24"/>
          <w:szCs w:val="24"/>
        </w:rPr>
        <w:t xml:space="preserve"> </w:t>
      </w:r>
      <w:r w:rsidR="00C119BF">
        <w:rPr>
          <w:rFonts w:ascii="Times New Roman" w:hAnsi="Times New Roman" w:cs="Times New Roman"/>
          <w:sz w:val="24"/>
          <w:szCs w:val="24"/>
        </w:rPr>
        <w:t>Border Adjustment Tax (BAT)</w:t>
      </w:r>
      <w:r w:rsidR="00104311">
        <w:rPr>
          <w:rFonts w:ascii="Times New Roman" w:hAnsi="Times New Roman" w:cs="Times New Roman"/>
          <w:sz w:val="24"/>
          <w:szCs w:val="24"/>
        </w:rPr>
        <w:t>, since firms will view imports as being effectively taxed since they are not deductible from the tax base of sales</w:t>
      </w:r>
      <w:r w:rsidR="00C119BF">
        <w:rPr>
          <w:rFonts w:ascii="Times New Roman" w:hAnsi="Times New Roman" w:cs="Times New Roman"/>
          <w:sz w:val="24"/>
          <w:szCs w:val="24"/>
        </w:rPr>
        <w:t xml:space="preserve">. </w:t>
      </w:r>
      <w:r w:rsidR="00C119BF" w:rsidRPr="00445435">
        <w:rPr>
          <w:rFonts w:ascii="Times New Roman" w:hAnsi="Times New Roman" w:cs="Times New Roman"/>
          <w:sz w:val="24"/>
          <w:szCs w:val="24"/>
        </w:rPr>
        <w:t xml:space="preserve">Since the </w:t>
      </w:r>
      <w:r w:rsidR="00C119BF">
        <w:rPr>
          <w:rFonts w:ascii="Times New Roman" w:hAnsi="Times New Roman" w:cs="Times New Roman"/>
          <w:sz w:val="24"/>
          <w:szCs w:val="24"/>
        </w:rPr>
        <w:t xml:space="preserve">BAT will affect all imported goods </w:t>
      </w:r>
      <w:r w:rsidR="00104311">
        <w:rPr>
          <w:rFonts w:ascii="Times New Roman" w:hAnsi="Times New Roman" w:cs="Times New Roman"/>
          <w:sz w:val="24"/>
          <w:szCs w:val="24"/>
        </w:rPr>
        <w:t>at the same rate as</w:t>
      </w:r>
      <w:r w:rsidR="00C119BF">
        <w:rPr>
          <w:rFonts w:ascii="Times New Roman" w:hAnsi="Times New Roman" w:cs="Times New Roman"/>
          <w:sz w:val="24"/>
          <w:szCs w:val="24"/>
        </w:rPr>
        <w:t xml:space="preserve"> the tax rate applied</w:t>
      </w:r>
      <w:r w:rsidR="00104311">
        <w:rPr>
          <w:rFonts w:ascii="Times New Roman" w:hAnsi="Times New Roman" w:cs="Times New Roman"/>
          <w:sz w:val="24"/>
          <w:szCs w:val="24"/>
        </w:rPr>
        <w:t xml:space="preserve"> to domestic </w:t>
      </w:r>
      <w:r w:rsidR="004620E4">
        <w:rPr>
          <w:rFonts w:ascii="Times New Roman" w:hAnsi="Times New Roman" w:cs="Times New Roman"/>
          <w:sz w:val="24"/>
          <w:szCs w:val="24"/>
        </w:rPr>
        <w:t>commodities</w:t>
      </w:r>
      <w:r w:rsidR="00104311">
        <w:rPr>
          <w:rFonts w:ascii="Times New Roman" w:hAnsi="Times New Roman" w:cs="Times New Roman"/>
          <w:sz w:val="24"/>
          <w:szCs w:val="24"/>
        </w:rPr>
        <w:t xml:space="preserve">, it </w:t>
      </w:r>
      <w:r w:rsidR="004620E4">
        <w:rPr>
          <w:rFonts w:ascii="Times New Roman" w:hAnsi="Times New Roman" w:cs="Times New Roman"/>
          <w:sz w:val="24"/>
          <w:szCs w:val="24"/>
        </w:rPr>
        <w:t>will not protect domestic industries against imports—it operates like a sales tax</w:t>
      </w:r>
      <w:r w:rsidR="00C119BF">
        <w:rPr>
          <w:rFonts w:ascii="Times New Roman" w:hAnsi="Times New Roman" w:cs="Times New Roman"/>
          <w:sz w:val="24"/>
          <w:szCs w:val="24"/>
        </w:rPr>
        <w:t xml:space="preserve"> (</w:t>
      </w:r>
      <w:proofErr w:type="spellStart"/>
      <w:r w:rsidR="00243845">
        <w:rPr>
          <w:rFonts w:ascii="Times New Roman" w:hAnsi="Times New Roman" w:cs="Times New Roman"/>
          <w:sz w:val="24"/>
          <w:szCs w:val="24"/>
        </w:rPr>
        <w:t>Auerbach</w:t>
      </w:r>
      <w:proofErr w:type="spellEnd"/>
      <w:r w:rsidR="00243845">
        <w:rPr>
          <w:rFonts w:ascii="Times New Roman" w:hAnsi="Times New Roman" w:cs="Times New Roman"/>
          <w:sz w:val="24"/>
          <w:szCs w:val="24"/>
        </w:rPr>
        <w:t xml:space="preserve"> and Holtz-</w:t>
      </w:r>
      <w:proofErr w:type="gramStart"/>
      <w:r w:rsidR="00243845">
        <w:rPr>
          <w:rFonts w:ascii="Times New Roman" w:hAnsi="Times New Roman" w:cs="Times New Roman"/>
          <w:sz w:val="24"/>
          <w:szCs w:val="24"/>
        </w:rPr>
        <w:t>Eakin  2016</w:t>
      </w:r>
      <w:proofErr w:type="gramEnd"/>
      <w:r w:rsidR="00243845">
        <w:rPr>
          <w:rFonts w:ascii="Times New Roman" w:hAnsi="Times New Roman" w:cs="Times New Roman"/>
          <w:sz w:val="24"/>
          <w:szCs w:val="24"/>
        </w:rPr>
        <w:t xml:space="preserve"> and </w:t>
      </w:r>
      <w:r w:rsidR="00C119BF">
        <w:rPr>
          <w:rFonts w:ascii="Times New Roman" w:hAnsi="Times New Roman" w:cs="Times New Roman"/>
          <w:sz w:val="24"/>
          <w:szCs w:val="24"/>
        </w:rPr>
        <w:t>Freund, 2017</w:t>
      </w:r>
      <w:r w:rsidR="00243845">
        <w:rPr>
          <w:rFonts w:ascii="Times New Roman" w:hAnsi="Times New Roman" w:cs="Times New Roman"/>
          <w:sz w:val="24"/>
          <w:szCs w:val="24"/>
        </w:rPr>
        <w:t>)</w:t>
      </w:r>
      <w:r w:rsidR="00C119BF">
        <w:rPr>
          <w:rFonts w:ascii="Times New Roman" w:hAnsi="Times New Roman" w:cs="Times New Roman"/>
          <w:sz w:val="24"/>
          <w:szCs w:val="24"/>
        </w:rPr>
        <w:t>. Furt</w:t>
      </w:r>
      <w:r w:rsidR="00D02162">
        <w:rPr>
          <w:rFonts w:ascii="Times New Roman" w:hAnsi="Times New Roman" w:cs="Times New Roman"/>
          <w:sz w:val="24"/>
          <w:szCs w:val="24"/>
        </w:rPr>
        <w:t>h</w:t>
      </w:r>
      <w:r w:rsidR="00C119BF">
        <w:rPr>
          <w:rFonts w:ascii="Times New Roman" w:hAnsi="Times New Roman" w:cs="Times New Roman"/>
          <w:sz w:val="24"/>
          <w:szCs w:val="24"/>
        </w:rPr>
        <w:t xml:space="preserve">ermore, </w:t>
      </w:r>
      <w:r w:rsidR="004620E4">
        <w:rPr>
          <w:rFonts w:ascii="Times New Roman" w:hAnsi="Times New Roman" w:cs="Times New Roman"/>
          <w:sz w:val="24"/>
          <w:szCs w:val="24"/>
        </w:rPr>
        <w:t>from the perspective of the firm, since exports are not taxed, they will appear to have a subsidy compared to domestic sales. The result will be</w:t>
      </w:r>
      <w:r w:rsidR="00C119BF" w:rsidRPr="00445435">
        <w:rPr>
          <w:rFonts w:ascii="Times New Roman" w:hAnsi="Times New Roman" w:cs="Times New Roman"/>
          <w:sz w:val="24"/>
          <w:szCs w:val="24"/>
        </w:rPr>
        <w:t xml:space="preserve"> that the </w:t>
      </w:r>
      <w:r w:rsidR="00C119BF">
        <w:rPr>
          <w:rFonts w:ascii="Times New Roman" w:hAnsi="Times New Roman" w:cs="Times New Roman"/>
          <w:sz w:val="24"/>
          <w:szCs w:val="24"/>
        </w:rPr>
        <w:t>nominal</w:t>
      </w:r>
      <w:r w:rsidR="00C119BF" w:rsidRPr="00445435">
        <w:rPr>
          <w:rFonts w:ascii="Times New Roman" w:hAnsi="Times New Roman" w:cs="Times New Roman"/>
          <w:sz w:val="24"/>
          <w:szCs w:val="24"/>
        </w:rPr>
        <w:t xml:space="preserve"> exchange rate </w:t>
      </w:r>
      <w:r w:rsidR="00104311">
        <w:rPr>
          <w:rFonts w:ascii="Times New Roman" w:hAnsi="Times New Roman" w:cs="Times New Roman"/>
          <w:sz w:val="24"/>
          <w:szCs w:val="24"/>
        </w:rPr>
        <w:t>appreciate</w:t>
      </w:r>
      <w:r w:rsidR="004620E4">
        <w:rPr>
          <w:rFonts w:ascii="Times New Roman" w:hAnsi="Times New Roman" w:cs="Times New Roman"/>
          <w:sz w:val="24"/>
          <w:szCs w:val="24"/>
        </w:rPr>
        <w:t>s</w:t>
      </w:r>
      <w:r w:rsidR="00C119BF" w:rsidRPr="00445435">
        <w:rPr>
          <w:rFonts w:ascii="Times New Roman" w:hAnsi="Times New Roman" w:cs="Times New Roman"/>
          <w:sz w:val="24"/>
          <w:szCs w:val="24"/>
        </w:rPr>
        <w:t>, offsetting the effect of the BAT on incentives to import and export.</w:t>
      </w:r>
      <w:r w:rsidR="0053348E">
        <w:rPr>
          <w:rFonts w:ascii="Times New Roman" w:hAnsi="Times New Roman" w:cs="Times New Roman"/>
          <w:sz w:val="24"/>
          <w:szCs w:val="24"/>
        </w:rPr>
        <w:t xml:space="preserve"> </w:t>
      </w:r>
      <w:r w:rsidR="00B81261">
        <w:rPr>
          <w:rFonts w:ascii="Times New Roman" w:hAnsi="Times New Roman" w:cs="Times New Roman"/>
          <w:sz w:val="24"/>
          <w:szCs w:val="24"/>
        </w:rPr>
        <w:t>As Auerbach et al</w:t>
      </w:r>
      <w:r w:rsidR="00D02162">
        <w:rPr>
          <w:rFonts w:ascii="Times New Roman" w:hAnsi="Times New Roman" w:cs="Times New Roman"/>
          <w:sz w:val="24"/>
          <w:szCs w:val="24"/>
        </w:rPr>
        <w:t>.</w:t>
      </w:r>
      <w:r w:rsidR="00B81261">
        <w:rPr>
          <w:rFonts w:ascii="Times New Roman" w:hAnsi="Times New Roman" w:cs="Times New Roman"/>
          <w:sz w:val="24"/>
          <w:szCs w:val="24"/>
        </w:rPr>
        <w:t xml:space="preserve"> (2017</w:t>
      </w:r>
      <w:r w:rsidR="0053348E">
        <w:rPr>
          <w:rFonts w:ascii="Times New Roman" w:hAnsi="Times New Roman" w:cs="Times New Roman"/>
          <w:sz w:val="24"/>
          <w:szCs w:val="24"/>
        </w:rPr>
        <w:t>, p.4</w:t>
      </w:r>
      <w:r w:rsidR="00B81261">
        <w:rPr>
          <w:rFonts w:ascii="Times New Roman" w:hAnsi="Times New Roman" w:cs="Times New Roman"/>
          <w:sz w:val="24"/>
          <w:szCs w:val="24"/>
        </w:rPr>
        <w:t xml:space="preserve">) notes, The DBCFT, “is equivalent in its economic impact to introducing a broad-based, uniform rate Value Added Tax (VAT) – or achieving the same effect through an existing VAT – and making a corresponding adjustment in taxes on wages and salaries.” </w:t>
      </w:r>
      <w:r w:rsidR="004620E4">
        <w:rPr>
          <w:rFonts w:ascii="Times New Roman" w:hAnsi="Times New Roman" w:cs="Times New Roman"/>
          <w:sz w:val="24"/>
          <w:szCs w:val="24"/>
        </w:rPr>
        <w:t>It is essentially a VAT system plus a wage subsidy.</w:t>
      </w:r>
    </w:p>
    <w:p w14:paraId="1476BB3C" w14:textId="29F9970F" w:rsidR="00E91C13" w:rsidRDefault="00E91C13" w:rsidP="00FD5F08">
      <w:pPr>
        <w:pStyle w:val="NoSpacing"/>
        <w:rPr>
          <w:rFonts w:ascii="Times New Roman" w:hAnsi="Times New Roman" w:cs="Times New Roman"/>
          <w:sz w:val="24"/>
          <w:szCs w:val="24"/>
        </w:rPr>
      </w:pPr>
    </w:p>
    <w:p w14:paraId="1F40A278" w14:textId="0657AF44" w:rsidR="00D02162" w:rsidRDefault="00D02162" w:rsidP="00FD5F08">
      <w:pPr>
        <w:pStyle w:val="NoSpacing"/>
        <w:rPr>
          <w:rFonts w:ascii="Times New Roman" w:hAnsi="Times New Roman" w:cs="Times New Roman"/>
          <w:sz w:val="24"/>
          <w:szCs w:val="24"/>
        </w:rPr>
      </w:pPr>
      <w:r>
        <w:rPr>
          <w:rFonts w:ascii="Times New Roman" w:hAnsi="Times New Roman" w:cs="Times New Roman"/>
          <w:sz w:val="24"/>
          <w:szCs w:val="24"/>
        </w:rPr>
        <w:t>In the proposal, t</w:t>
      </w:r>
      <w:r w:rsidR="00E91C13">
        <w:rPr>
          <w:rFonts w:ascii="Times New Roman" w:hAnsi="Times New Roman" w:cs="Times New Roman"/>
          <w:sz w:val="24"/>
          <w:szCs w:val="24"/>
        </w:rPr>
        <w:t xml:space="preserve">ax instruments </w:t>
      </w:r>
      <w:r w:rsidR="004620E4">
        <w:rPr>
          <w:rFonts w:ascii="Times New Roman" w:hAnsi="Times New Roman" w:cs="Times New Roman"/>
          <w:sz w:val="24"/>
          <w:szCs w:val="24"/>
        </w:rPr>
        <w:t>are</w:t>
      </w:r>
      <w:r w:rsidR="00E91C13">
        <w:rPr>
          <w:rFonts w:ascii="Times New Roman" w:hAnsi="Times New Roman" w:cs="Times New Roman"/>
          <w:sz w:val="24"/>
          <w:szCs w:val="24"/>
        </w:rPr>
        <w:t xml:space="preserve"> </w:t>
      </w:r>
      <w:r w:rsidR="00E91C13" w:rsidRPr="00D02162">
        <w:rPr>
          <w:rFonts w:ascii="Times New Roman" w:hAnsi="Times New Roman" w:cs="Times New Roman"/>
          <w:i/>
          <w:sz w:val="24"/>
          <w:szCs w:val="24"/>
        </w:rPr>
        <w:t>implicit</w:t>
      </w:r>
      <w:r w:rsidR="00E91C13">
        <w:rPr>
          <w:rFonts w:ascii="Times New Roman" w:hAnsi="Times New Roman" w:cs="Times New Roman"/>
          <w:sz w:val="24"/>
          <w:szCs w:val="24"/>
        </w:rPr>
        <w:t>, no taxes are collected by the government at the border</w:t>
      </w:r>
      <w:r>
        <w:rPr>
          <w:rFonts w:ascii="Times New Roman" w:hAnsi="Times New Roman" w:cs="Times New Roman"/>
          <w:sz w:val="24"/>
          <w:szCs w:val="24"/>
        </w:rPr>
        <w:t xml:space="preserve">, the government does not collect a tax on domestic sales </w:t>
      </w:r>
      <w:r w:rsidR="004620E4">
        <w:rPr>
          <w:rFonts w:ascii="Times New Roman" w:hAnsi="Times New Roman" w:cs="Times New Roman"/>
          <w:sz w:val="24"/>
          <w:szCs w:val="24"/>
        </w:rPr>
        <w:t xml:space="preserve">in commodity markets, </w:t>
      </w:r>
      <w:r>
        <w:rPr>
          <w:rFonts w:ascii="Times New Roman" w:hAnsi="Times New Roman" w:cs="Times New Roman"/>
          <w:sz w:val="24"/>
          <w:szCs w:val="24"/>
        </w:rPr>
        <w:t>and</w:t>
      </w:r>
      <w:r w:rsidR="00104311">
        <w:rPr>
          <w:rFonts w:ascii="Times New Roman" w:hAnsi="Times New Roman" w:cs="Times New Roman"/>
          <w:sz w:val="24"/>
          <w:szCs w:val="24"/>
        </w:rPr>
        <w:t xml:space="preserve"> also</w:t>
      </w:r>
      <w:r>
        <w:rPr>
          <w:rFonts w:ascii="Times New Roman" w:hAnsi="Times New Roman" w:cs="Times New Roman"/>
          <w:sz w:val="24"/>
          <w:szCs w:val="24"/>
        </w:rPr>
        <w:t xml:space="preserve"> does not provide an explicit wage subsidy. Instead, the corporation operates as if it faces these tax wedges because it knows that the taxes affect its tax base. (</w:t>
      </w:r>
      <w:proofErr w:type="spellStart"/>
      <w:r w:rsidRPr="00445435">
        <w:rPr>
          <w:rFonts w:ascii="Times New Roman" w:hAnsi="Times New Roman" w:cs="Times New Roman"/>
          <w:sz w:val="24"/>
          <w:szCs w:val="24"/>
        </w:rPr>
        <w:t>Auerbach</w:t>
      </w:r>
      <w:proofErr w:type="spellEnd"/>
      <w:r w:rsidRPr="00445435">
        <w:rPr>
          <w:rFonts w:ascii="Times New Roman" w:hAnsi="Times New Roman" w:cs="Times New Roman"/>
          <w:sz w:val="24"/>
          <w:szCs w:val="24"/>
        </w:rPr>
        <w:t xml:space="preserve"> and Holtz-Eakin 2016</w:t>
      </w:r>
      <w:r>
        <w:rPr>
          <w:rFonts w:ascii="Times New Roman" w:hAnsi="Times New Roman" w:cs="Times New Roman"/>
          <w:sz w:val="24"/>
          <w:szCs w:val="24"/>
        </w:rPr>
        <w:t xml:space="preserve">). The </w:t>
      </w:r>
      <w:r w:rsidR="004620E4">
        <w:rPr>
          <w:rFonts w:ascii="Times New Roman" w:hAnsi="Times New Roman" w:cs="Times New Roman"/>
          <w:sz w:val="24"/>
          <w:szCs w:val="24"/>
        </w:rPr>
        <w:t xml:space="preserve">implicit </w:t>
      </w:r>
      <w:r>
        <w:rPr>
          <w:rFonts w:ascii="Times New Roman" w:hAnsi="Times New Roman" w:cs="Times New Roman"/>
          <w:sz w:val="24"/>
          <w:szCs w:val="24"/>
        </w:rPr>
        <w:t>tax instruments</w:t>
      </w:r>
      <w:r w:rsidR="004620E4">
        <w:rPr>
          <w:rFonts w:ascii="Times New Roman" w:hAnsi="Times New Roman" w:cs="Times New Roman"/>
          <w:sz w:val="24"/>
          <w:szCs w:val="24"/>
        </w:rPr>
        <w:t>,</w:t>
      </w:r>
      <w:r>
        <w:rPr>
          <w:rFonts w:ascii="Times New Roman" w:hAnsi="Times New Roman" w:cs="Times New Roman"/>
          <w:sz w:val="24"/>
          <w:szCs w:val="24"/>
        </w:rPr>
        <w:t xml:space="preserve"> the</w:t>
      </w:r>
      <w:r w:rsidR="0043127A">
        <w:rPr>
          <w:rFonts w:ascii="Times New Roman" w:hAnsi="Times New Roman" w:cs="Times New Roman"/>
          <w:sz w:val="24"/>
          <w:szCs w:val="24"/>
        </w:rPr>
        <w:t>refore</w:t>
      </w:r>
      <w:r w:rsidR="004620E4">
        <w:rPr>
          <w:rFonts w:ascii="Times New Roman" w:hAnsi="Times New Roman" w:cs="Times New Roman"/>
          <w:sz w:val="24"/>
          <w:szCs w:val="24"/>
        </w:rPr>
        <w:t>,</w:t>
      </w:r>
      <w:r>
        <w:rPr>
          <w:rFonts w:ascii="Times New Roman" w:hAnsi="Times New Roman" w:cs="Times New Roman"/>
          <w:sz w:val="24"/>
          <w:szCs w:val="24"/>
        </w:rPr>
        <w:t xml:space="preserve"> </w:t>
      </w:r>
      <w:r w:rsidR="004620E4">
        <w:rPr>
          <w:rFonts w:ascii="Times New Roman" w:hAnsi="Times New Roman" w:cs="Times New Roman"/>
          <w:sz w:val="24"/>
          <w:szCs w:val="24"/>
        </w:rPr>
        <w:t xml:space="preserve">should </w:t>
      </w:r>
      <w:r>
        <w:rPr>
          <w:rFonts w:ascii="Times New Roman" w:hAnsi="Times New Roman" w:cs="Times New Roman"/>
          <w:sz w:val="24"/>
          <w:szCs w:val="24"/>
        </w:rPr>
        <w:t xml:space="preserve">affect behavior at the margin, </w:t>
      </w:r>
      <w:r w:rsidR="004620E4">
        <w:rPr>
          <w:rFonts w:ascii="Times New Roman" w:hAnsi="Times New Roman" w:cs="Times New Roman"/>
          <w:sz w:val="24"/>
          <w:szCs w:val="24"/>
        </w:rPr>
        <w:t xml:space="preserve">affecting profit-maximizing behavior by firms and demand in commodity markets. </w:t>
      </w:r>
    </w:p>
    <w:p w14:paraId="265F5CFC" w14:textId="77777777" w:rsidR="00D02162" w:rsidRDefault="00D02162" w:rsidP="00FD5F08">
      <w:pPr>
        <w:pStyle w:val="NoSpacing"/>
        <w:rPr>
          <w:rFonts w:ascii="Times New Roman" w:hAnsi="Times New Roman" w:cs="Times New Roman"/>
          <w:sz w:val="24"/>
          <w:szCs w:val="24"/>
        </w:rPr>
      </w:pPr>
    </w:p>
    <w:p w14:paraId="6724DF02" w14:textId="5EF8E8A6" w:rsidR="00E91C13" w:rsidRDefault="00D02162" w:rsidP="00FD5F08">
      <w:pPr>
        <w:pStyle w:val="NoSpacing"/>
        <w:rPr>
          <w:rFonts w:ascii="Times New Roman" w:hAnsi="Times New Roman" w:cs="Times New Roman"/>
          <w:sz w:val="24"/>
          <w:szCs w:val="24"/>
        </w:rPr>
      </w:pPr>
      <w:r>
        <w:rPr>
          <w:rFonts w:ascii="Times New Roman" w:hAnsi="Times New Roman" w:cs="Times New Roman"/>
          <w:sz w:val="24"/>
          <w:szCs w:val="24"/>
        </w:rPr>
        <w:t>Alternatively,</w:t>
      </w:r>
      <w:r w:rsidR="004620E4">
        <w:rPr>
          <w:rFonts w:ascii="Times New Roman" w:hAnsi="Times New Roman" w:cs="Times New Roman"/>
          <w:sz w:val="24"/>
          <w:szCs w:val="24"/>
        </w:rPr>
        <w:t xml:space="preserve"> one might view</w:t>
      </w:r>
      <w:r>
        <w:rPr>
          <w:rFonts w:ascii="Times New Roman" w:hAnsi="Times New Roman" w:cs="Times New Roman"/>
          <w:sz w:val="24"/>
          <w:szCs w:val="24"/>
        </w:rPr>
        <w:t xml:space="preserve"> the corporation </w:t>
      </w:r>
      <w:r w:rsidR="004620E4">
        <w:rPr>
          <w:rFonts w:ascii="Times New Roman" w:hAnsi="Times New Roman" w:cs="Times New Roman"/>
          <w:sz w:val="24"/>
          <w:szCs w:val="24"/>
        </w:rPr>
        <w:t>as</w:t>
      </w:r>
      <w:r>
        <w:rPr>
          <w:rFonts w:ascii="Times New Roman" w:hAnsi="Times New Roman" w:cs="Times New Roman"/>
          <w:sz w:val="24"/>
          <w:szCs w:val="24"/>
        </w:rPr>
        <w:t xml:space="preserve"> treat</w:t>
      </w:r>
      <w:r w:rsidR="004620E4">
        <w:rPr>
          <w:rFonts w:ascii="Times New Roman" w:hAnsi="Times New Roman" w:cs="Times New Roman"/>
          <w:sz w:val="24"/>
          <w:szCs w:val="24"/>
        </w:rPr>
        <w:t>ing the tax “like” the corporate income tax, but on an odd base</w:t>
      </w:r>
      <w:r w:rsidR="0008533B">
        <w:rPr>
          <w:rFonts w:ascii="Times New Roman" w:hAnsi="Times New Roman" w:cs="Times New Roman"/>
          <w:sz w:val="24"/>
          <w:szCs w:val="24"/>
        </w:rPr>
        <w:t>:</w:t>
      </w:r>
      <w:r>
        <w:rPr>
          <w:rFonts w:ascii="Times New Roman" w:hAnsi="Times New Roman" w:cs="Times New Roman"/>
          <w:sz w:val="24"/>
          <w:szCs w:val="24"/>
        </w:rPr>
        <w:t xml:space="preserve"> corporate </w:t>
      </w:r>
      <w:r w:rsidR="0008533B">
        <w:rPr>
          <w:rFonts w:ascii="Times New Roman" w:hAnsi="Times New Roman" w:cs="Times New Roman"/>
          <w:sz w:val="24"/>
          <w:szCs w:val="24"/>
        </w:rPr>
        <w:t xml:space="preserve">domestic </w:t>
      </w:r>
      <w:r>
        <w:rPr>
          <w:rFonts w:ascii="Times New Roman" w:hAnsi="Times New Roman" w:cs="Times New Roman"/>
          <w:sz w:val="24"/>
          <w:szCs w:val="24"/>
        </w:rPr>
        <w:t xml:space="preserve">income (domestic sales minus </w:t>
      </w:r>
      <w:r w:rsidRPr="00445435">
        <w:rPr>
          <w:rFonts w:ascii="Times New Roman" w:hAnsi="Times New Roman" w:cs="Times New Roman"/>
          <w:sz w:val="24"/>
          <w:szCs w:val="24"/>
        </w:rPr>
        <w:t>labor expenses and dom</w:t>
      </w:r>
      <w:r>
        <w:rPr>
          <w:rFonts w:ascii="Times New Roman" w:hAnsi="Times New Roman" w:cs="Times New Roman"/>
          <w:sz w:val="24"/>
          <w:szCs w:val="24"/>
        </w:rPr>
        <w:t>estic intermedia</w:t>
      </w:r>
      <w:r w:rsidR="0008533B">
        <w:rPr>
          <w:rFonts w:ascii="Times New Roman" w:hAnsi="Times New Roman" w:cs="Times New Roman"/>
          <w:sz w:val="24"/>
          <w:szCs w:val="24"/>
        </w:rPr>
        <w:t xml:space="preserve">te input costs). After all, it is calculated and collected in a lump sum at the end of the tax year. With no visible </w:t>
      </w:r>
      <w:r>
        <w:rPr>
          <w:rFonts w:ascii="Times New Roman" w:hAnsi="Times New Roman" w:cs="Times New Roman"/>
          <w:sz w:val="24"/>
          <w:szCs w:val="24"/>
        </w:rPr>
        <w:t>price wedges affecting the cost of imports, domestic goods and labor costs</w:t>
      </w:r>
      <w:r w:rsidR="0008533B">
        <w:rPr>
          <w:rFonts w:ascii="Times New Roman" w:hAnsi="Times New Roman" w:cs="Times New Roman"/>
          <w:sz w:val="24"/>
          <w:szCs w:val="24"/>
        </w:rPr>
        <w:t xml:space="preserve">, the firm may ignore the implicit wedges (e.g., not passing the commodity </w:t>
      </w:r>
      <w:r w:rsidR="006C6B0D">
        <w:rPr>
          <w:rFonts w:ascii="Times New Roman" w:hAnsi="Times New Roman" w:cs="Times New Roman"/>
          <w:sz w:val="24"/>
          <w:szCs w:val="24"/>
        </w:rPr>
        <w:t>and implicit tariff</w:t>
      </w:r>
      <w:r w:rsidR="0008533B">
        <w:rPr>
          <w:rFonts w:ascii="Times New Roman" w:hAnsi="Times New Roman" w:cs="Times New Roman"/>
          <w:sz w:val="24"/>
          <w:szCs w:val="24"/>
        </w:rPr>
        <w:t xml:space="preserve"> forward to commodity markets)</w:t>
      </w:r>
      <w:r w:rsidR="006C6B0D">
        <w:rPr>
          <w:rFonts w:ascii="Times New Roman" w:hAnsi="Times New Roman" w:cs="Times New Roman"/>
          <w:sz w:val="24"/>
          <w:szCs w:val="24"/>
        </w:rPr>
        <w:t>,</w:t>
      </w:r>
      <w:r w:rsidR="0008533B">
        <w:rPr>
          <w:rFonts w:ascii="Times New Roman" w:hAnsi="Times New Roman" w:cs="Times New Roman"/>
          <w:sz w:val="24"/>
          <w:szCs w:val="24"/>
        </w:rPr>
        <w:t xml:space="preserve"> and there would be no</w:t>
      </w:r>
      <w:r>
        <w:rPr>
          <w:rFonts w:ascii="Times New Roman" w:hAnsi="Times New Roman" w:cs="Times New Roman"/>
          <w:sz w:val="24"/>
          <w:szCs w:val="24"/>
        </w:rPr>
        <w:t xml:space="preserve"> signal for consumers to adjust spending patterns and for firms to adjust input decisions. </w:t>
      </w:r>
      <w:r w:rsidR="0008533B">
        <w:rPr>
          <w:rFonts w:ascii="Times New Roman" w:hAnsi="Times New Roman" w:cs="Times New Roman"/>
          <w:sz w:val="24"/>
          <w:szCs w:val="24"/>
        </w:rPr>
        <w:t xml:space="preserve">To economists, this view is unlikely to be correct—we tend to assume that firms correctly evaluate the incentive effects of all taxes they face, implicit or visible. A problem, however, is that implicit taxes are not visible </w:t>
      </w:r>
      <w:r w:rsidR="0008533B">
        <w:rPr>
          <w:rFonts w:ascii="Times New Roman" w:hAnsi="Times New Roman" w:cs="Times New Roman"/>
          <w:sz w:val="24"/>
          <w:szCs w:val="24"/>
        </w:rPr>
        <w:lastRenderedPageBreak/>
        <w:t xml:space="preserve">and will not show up in any market data collected by a government. It will be difficult, if not impossible, to measure how the system of implicit taxes/subsidies is actually operating. </w:t>
      </w:r>
      <w:r w:rsidR="006C6B0D">
        <w:rPr>
          <w:rFonts w:ascii="Times New Roman" w:hAnsi="Times New Roman" w:cs="Times New Roman"/>
          <w:sz w:val="24"/>
          <w:szCs w:val="24"/>
        </w:rPr>
        <w:t xml:space="preserve">The lack of visibility of these instruments in commodity markets is a major reason that they are not assumed to be neutral by WTO rules. </w:t>
      </w:r>
    </w:p>
    <w:p w14:paraId="3AA3E4E1" w14:textId="77777777" w:rsidR="003E6473" w:rsidRDefault="003E6473" w:rsidP="00FD5F08">
      <w:pPr>
        <w:pStyle w:val="NoSpacing"/>
        <w:rPr>
          <w:rFonts w:ascii="Times New Roman" w:hAnsi="Times New Roman" w:cs="Times New Roman"/>
          <w:sz w:val="24"/>
          <w:szCs w:val="24"/>
        </w:rPr>
      </w:pPr>
    </w:p>
    <w:p w14:paraId="5EFCB7B5" w14:textId="2D13E590" w:rsidR="00BF609F" w:rsidRPr="00445435" w:rsidRDefault="00BF609F" w:rsidP="00FD5F08">
      <w:pPr>
        <w:pStyle w:val="NoSpacing"/>
        <w:rPr>
          <w:rFonts w:ascii="Times New Roman" w:hAnsi="Times New Roman" w:cs="Times New Roman"/>
          <w:sz w:val="24"/>
          <w:szCs w:val="24"/>
        </w:rPr>
      </w:pPr>
      <w:r w:rsidRPr="00445435">
        <w:rPr>
          <w:rFonts w:ascii="Times New Roman" w:hAnsi="Times New Roman" w:cs="Times New Roman"/>
          <w:sz w:val="24"/>
          <w:szCs w:val="24"/>
        </w:rPr>
        <w:t xml:space="preserve">We analyze the economy-wide implications of </w:t>
      </w:r>
      <w:r w:rsidR="006C6B0D">
        <w:rPr>
          <w:rFonts w:ascii="Times New Roman" w:hAnsi="Times New Roman" w:cs="Times New Roman"/>
          <w:sz w:val="24"/>
          <w:szCs w:val="24"/>
        </w:rPr>
        <w:t xml:space="preserve">the proposed </w:t>
      </w:r>
      <w:r w:rsidRPr="00445435">
        <w:rPr>
          <w:rFonts w:ascii="Times New Roman" w:hAnsi="Times New Roman" w:cs="Times New Roman"/>
          <w:sz w:val="24"/>
          <w:szCs w:val="24"/>
        </w:rPr>
        <w:t>tax reform</w:t>
      </w:r>
      <w:r w:rsidR="006C6B0D">
        <w:rPr>
          <w:rFonts w:ascii="Times New Roman" w:hAnsi="Times New Roman" w:cs="Times New Roman"/>
          <w:sz w:val="24"/>
          <w:szCs w:val="24"/>
        </w:rPr>
        <w:t>, assuming that the implicit instruments affect market behavior and prices,</w:t>
      </w:r>
      <w:r w:rsidRPr="00445435">
        <w:rPr>
          <w:rFonts w:ascii="Times New Roman" w:hAnsi="Times New Roman" w:cs="Times New Roman"/>
          <w:sz w:val="24"/>
          <w:szCs w:val="24"/>
        </w:rPr>
        <w:t xml:space="preserve"> using a </w:t>
      </w:r>
      <w:r w:rsidR="0043127A">
        <w:rPr>
          <w:rFonts w:ascii="Times New Roman" w:hAnsi="Times New Roman" w:cs="Times New Roman"/>
          <w:sz w:val="24"/>
          <w:szCs w:val="24"/>
        </w:rPr>
        <w:t xml:space="preserve">stylized </w:t>
      </w:r>
      <w:r w:rsidRPr="00445435">
        <w:rPr>
          <w:rFonts w:ascii="Times New Roman" w:hAnsi="Times New Roman" w:cs="Times New Roman"/>
          <w:sz w:val="24"/>
          <w:szCs w:val="24"/>
        </w:rPr>
        <w:t>computable general equ</w:t>
      </w:r>
      <w:r w:rsidR="006C6B0D">
        <w:rPr>
          <w:rFonts w:ascii="Times New Roman" w:hAnsi="Times New Roman" w:cs="Times New Roman"/>
          <w:sz w:val="24"/>
          <w:szCs w:val="24"/>
        </w:rPr>
        <w:t>ilibrium (CGE) model of the U.S.</w:t>
      </w:r>
      <w:r w:rsidRPr="00445435">
        <w:rPr>
          <w:rFonts w:ascii="Times New Roman" w:hAnsi="Times New Roman" w:cs="Times New Roman"/>
          <w:sz w:val="24"/>
          <w:szCs w:val="24"/>
        </w:rPr>
        <w:t xml:space="preserve"> economy. First we consider the effect of changing the tax base to reflect the DBCFT; we compute the corporate tax rate necessary to maintain the base level amount of corporate taxes collected. Next, we consider the effect of a DBCFT with implicit taxes on imports and domestic sales. The corporate tax rate is reduced to account for the revenue collected. We consider different assumptions about the exchange rate (fixed vs. flexible)</w:t>
      </w:r>
      <w:r w:rsidR="006C6B0D">
        <w:rPr>
          <w:rFonts w:ascii="Times New Roman" w:hAnsi="Times New Roman" w:cs="Times New Roman"/>
          <w:sz w:val="24"/>
          <w:szCs w:val="24"/>
        </w:rPr>
        <w:t xml:space="preserve">, adjustment of the trade balance, </w:t>
      </w:r>
      <w:r w:rsidRPr="00445435">
        <w:rPr>
          <w:rFonts w:ascii="Times New Roman" w:hAnsi="Times New Roman" w:cs="Times New Roman"/>
          <w:sz w:val="24"/>
          <w:szCs w:val="24"/>
        </w:rPr>
        <w:t>and the role of different numeraires</w:t>
      </w:r>
      <w:r w:rsidR="006C6B0D">
        <w:rPr>
          <w:rFonts w:ascii="Times New Roman" w:hAnsi="Times New Roman" w:cs="Times New Roman"/>
          <w:sz w:val="24"/>
          <w:szCs w:val="24"/>
        </w:rPr>
        <w:t xml:space="preserve"> (which can be seen as different “anchor” price indices)</w:t>
      </w:r>
      <w:r w:rsidRPr="00445435">
        <w:rPr>
          <w:rFonts w:ascii="Times New Roman" w:hAnsi="Times New Roman" w:cs="Times New Roman"/>
          <w:sz w:val="24"/>
          <w:szCs w:val="24"/>
        </w:rPr>
        <w:t xml:space="preserve">. </w:t>
      </w:r>
    </w:p>
    <w:p w14:paraId="58E08DA9" w14:textId="678DEC02" w:rsidR="00AE7594" w:rsidRPr="00445435" w:rsidRDefault="00AE7594" w:rsidP="00FD5F08">
      <w:pPr>
        <w:pStyle w:val="NoSpacing"/>
        <w:rPr>
          <w:rFonts w:ascii="Times New Roman" w:hAnsi="Times New Roman" w:cs="Times New Roman"/>
          <w:sz w:val="24"/>
          <w:szCs w:val="24"/>
        </w:rPr>
      </w:pPr>
    </w:p>
    <w:p w14:paraId="4AA3F539" w14:textId="0000103D" w:rsidR="00AE7594" w:rsidRPr="00445435" w:rsidRDefault="00AE7594" w:rsidP="00FD5F08">
      <w:pPr>
        <w:pStyle w:val="NoSpacing"/>
        <w:rPr>
          <w:rFonts w:ascii="Times New Roman" w:hAnsi="Times New Roman" w:cs="Times New Roman"/>
          <w:sz w:val="24"/>
          <w:szCs w:val="24"/>
        </w:rPr>
      </w:pPr>
      <w:r w:rsidRPr="00445435">
        <w:rPr>
          <w:rFonts w:ascii="Times New Roman" w:hAnsi="Times New Roman" w:cs="Times New Roman"/>
          <w:sz w:val="24"/>
          <w:szCs w:val="24"/>
        </w:rPr>
        <w:t>We find that adjustment of the real exchange rate depends on pri</w:t>
      </w:r>
      <w:r w:rsidR="00CC735E" w:rsidRPr="00445435">
        <w:rPr>
          <w:rFonts w:ascii="Times New Roman" w:hAnsi="Times New Roman" w:cs="Times New Roman"/>
          <w:sz w:val="24"/>
          <w:szCs w:val="24"/>
        </w:rPr>
        <w:t xml:space="preserve">ce signals – firms must behave as if there are implicit taxes in the system. Furthermore, if </w:t>
      </w:r>
      <w:r w:rsidR="006C6B0D">
        <w:rPr>
          <w:rFonts w:ascii="Times New Roman" w:hAnsi="Times New Roman" w:cs="Times New Roman"/>
          <w:sz w:val="24"/>
          <w:szCs w:val="24"/>
        </w:rPr>
        <w:t xml:space="preserve">the nominal </w:t>
      </w:r>
      <w:r w:rsidR="00CC735E" w:rsidRPr="00445435">
        <w:rPr>
          <w:rFonts w:ascii="Times New Roman" w:hAnsi="Times New Roman" w:cs="Times New Roman"/>
          <w:sz w:val="24"/>
          <w:szCs w:val="24"/>
        </w:rPr>
        <w:t>exchange ra</w:t>
      </w:r>
      <w:r w:rsidR="006C6B0D">
        <w:rPr>
          <w:rFonts w:ascii="Times New Roman" w:hAnsi="Times New Roman" w:cs="Times New Roman"/>
          <w:sz w:val="24"/>
          <w:szCs w:val="24"/>
        </w:rPr>
        <w:t>te does not adjust, there are potentially large</w:t>
      </w:r>
      <w:r w:rsidR="00CC735E" w:rsidRPr="00445435">
        <w:rPr>
          <w:rFonts w:ascii="Times New Roman" w:hAnsi="Times New Roman" w:cs="Times New Roman"/>
          <w:sz w:val="24"/>
          <w:szCs w:val="24"/>
        </w:rPr>
        <w:t xml:space="preserve"> changes </w:t>
      </w:r>
      <w:r w:rsidR="006C6B0D">
        <w:rPr>
          <w:rFonts w:ascii="Times New Roman" w:hAnsi="Times New Roman" w:cs="Times New Roman"/>
          <w:sz w:val="24"/>
          <w:szCs w:val="24"/>
        </w:rPr>
        <w:t>in domestic prices and wages to establish the equilibrium, trade neutral, real exchange rate</w:t>
      </w:r>
      <w:r w:rsidR="00CC735E" w:rsidRPr="00445435">
        <w:rPr>
          <w:rFonts w:ascii="Times New Roman" w:hAnsi="Times New Roman" w:cs="Times New Roman"/>
          <w:sz w:val="24"/>
          <w:szCs w:val="24"/>
        </w:rPr>
        <w:t xml:space="preserve">. </w:t>
      </w:r>
      <w:r w:rsidR="00C67995">
        <w:rPr>
          <w:rFonts w:ascii="Times New Roman" w:hAnsi="Times New Roman" w:cs="Times New Roman"/>
          <w:sz w:val="24"/>
          <w:szCs w:val="24"/>
        </w:rPr>
        <w:t xml:space="preserve">When the </w:t>
      </w:r>
      <w:r w:rsidR="00372EAD">
        <w:rPr>
          <w:rFonts w:ascii="Times New Roman" w:hAnsi="Times New Roman" w:cs="Times New Roman"/>
          <w:sz w:val="24"/>
          <w:szCs w:val="24"/>
        </w:rPr>
        <w:t>BAT</w:t>
      </w:r>
      <w:r w:rsidR="00C67995">
        <w:rPr>
          <w:rFonts w:ascii="Times New Roman" w:hAnsi="Times New Roman" w:cs="Times New Roman"/>
          <w:sz w:val="24"/>
          <w:szCs w:val="24"/>
        </w:rPr>
        <w:t xml:space="preserve"> fails to </w:t>
      </w:r>
      <w:r w:rsidR="00372EAD">
        <w:rPr>
          <w:rFonts w:ascii="Times New Roman" w:hAnsi="Times New Roman" w:cs="Times New Roman"/>
          <w:sz w:val="24"/>
          <w:szCs w:val="24"/>
        </w:rPr>
        <w:t>work</w:t>
      </w:r>
      <w:r w:rsidR="00C67995">
        <w:rPr>
          <w:rFonts w:ascii="Times New Roman" w:hAnsi="Times New Roman" w:cs="Times New Roman"/>
          <w:sz w:val="24"/>
          <w:szCs w:val="24"/>
        </w:rPr>
        <w:t xml:space="preserve"> </w:t>
      </w:r>
      <w:r w:rsidR="006C6B0D">
        <w:rPr>
          <w:rFonts w:ascii="Times New Roman" w:hAnsi="Times New Roman" w:cs="Times New Roman"/>
          <w:sz w:val="24"/>
          <w:szCs w:val="24"/>
        </w:rPr>
        <w:t>properly</w:t>
      </w:r>
      <w:r w:rsidR="00372EAD">
        <w:rPr>
          <w:rFonts w:ascii="Times New Roman" w:hAnsi="Times New Roman" w:cs="Times New Roman"/>
          <w:sz w:val="24"/>
          <w:szCs w:val="24"/>
        </w:rPr>
        <w:t xml:space="preserve"> (e.g., rigidities cause the</w:t>
      </w:r>
      <w:r w:rsidR="006C6B0D">
        <w:rPr>
          <w:rFonts w:ascii="Times New Roman" w:hAnsi="Times New Roman" w:cs="Times New Roman"/>
          <w:sz w:val="24"/>
          <w:szCs w:val="24"/>
        </w:rPr>
        <w:t xml:space="preserve"> BAT </w:t>
      </w:r>
      <w:r w:rsidR="00372EAD">
        <w:rPr>
          <w:rFonts w:ascii="Times New Roman" w:hAnsi="Times New Roman" w:cs="Times New Roman"/>
          <w:sz w:val="24"/>
          <w:szCs w:val="24"/>
        </w:rPr>
        <w:t xml:space="preserve">not to operate to </w:t>
      </w:r>
      <w:r w:rsidR="006C6B0D">
        <w:rPr>
          <w:rFonts w:ascii="Times New Roman" w:hAnsi="Times New Roman" w:cs="Times New Roman"/>
          <w:sz w:val="24"/>
          <w:szCs w:val="24"/>
        </w:rPr>
        <w:t>achieve trade neutrality)</w:t>
      </w:r>
      <w:r w:rsidR="00372EAD">
        <w:rPr>
          <w:rFonts w:ascii="Times New Roman" w:hAnsi="Times New Roman" w:cs="Times New Roman"/>
          <w:sz w:val="24"/>
          <w:szCs w:val="24"/>
        </w:rPr>
        <w:t xml:space="preserve">, then the final equilibrium is trade distorting and protectionist—both imports and exports fall. If, in addition, the trade balance changes in reaction to price changes with a relatively fixed nominal exchange rate, </w:t>
      </w:r>
      <w:r w:rsidR="00C67995">
        <w:rPr>
          <w:rFonts w:ascii="Times New Roman" w:hAnsi="Times New Roman" w:cs="Times New Roman"/>
          <w:sz w:val="24"/>
          <w:szCs w:val="24"/>
        </w:rPr>
        <w:t xml:space="preserve">we observe </w:t>
      </w:r>
      <w:r w:rsidR="00372EAD">
        <w:rPr>
          <w:rFonts w:ascii="Times New Roman" w:hAnsi="Times New Roman" w:cs="Times New Roman"/>
          <w:sz w:val="24"/>
          <w:szCs w:val="24"/>
        </w:rPr>
        <w:t>a mercantilist result:</w:t>
      </w:r>
      <w:r w:rsidR="00C67995">
        <w:rPr>
          <w:rFonts w:ascii="Times New Roman" w:hAnsi="Times New Roman" w:cs="Times New Roman"/>
          <w:sz w:val="24"/>
          <w:szCs w:val="24"/>
        </w:rPr>
        <w:t xml:space="preserve"> export</w:t>
      </w:r>
      <w:r w:rsidR="00372EAD">
        <w:rPr>
          <w:rFonts w:ascii="Times New Roman" w:hAnsi="Times New Roman" w:cs="Times New Roman"/>
          <w:sz w:val="24"/>
          <w:szCs w:val="24"/>
        </w:rPr>
        <w:t>s</w:t>
      </w:r>
      <w:r w:rsidR="00C67995">
        <w:rPr>
          <w:rFonts w:ascii="Times New Roman" w:hAnsi="Times New Roman" w:cs="Times New Roman"/>
          <w:sz w:val="24"/>
          <w:szCs w:val="24"/>
        </w:rPr>
        <w:t xml:space="preserve"> increase and imports decline. The result is lower aggregate real consumption</w:t>
      </w:r>
      <w:r w:rsidR="00372EAD">
        <w:rPr>
          <w:rFonts w:ascii="Times New Roman" w:hAnsi="Times New Roman" w:cs="Times New Roman"/>
          <w:sz w:val="24"/>
          <w:szCs w:val="24"/>
        </w:rPr>
        <w:t xml:space="preserve"> and welfare loss. In both cases, there is a</w:t>
      </w:r>
      <w:r w:rsidR="00C67995">
        <w:rPr>
          <w:rFonts w:ascii="Times New Roman" w:hAnsi="Times New Roman" w:cs="Times New Roman"/>
          <w:sz w:val="24"/>
          <w:szCs w:val="24"/>
        </w:rPr>
        <w:t xml:space="preserve"> </w:t>
      </w:r>
      <w:r w:rsidR="00372EAD">
        <w:rPr>
          <w:rFonts w:ascii="Times New Roman" w:hAnsi="Times New Roman" w:cs="Times New Roman"/>
          <w:sz w:val="24"/>
          <w:szCs w:val="24"/>
        </w:rPr>
        <w:t xml:space="preserve">major </w:t>
      </w:r>
      <w:r w:rsidR="00C67995">
        <w:rPr>
          <w:rFonts w:ascii="Times New Roman" w:hAnsi="Times New Roman" w:cs="Times New Roman"/>
          <w:sz w:val="24"/>
          <w:szCs w:val="24"/>
        </w:rPr>
        <w:t xml:space="preserve">violation of WTO trade rules. </w:t>
      </w:r>
    </w:p>
    <w:p w14:paraId="7B66800E" w14:textId="264B886E" w:rsidR="00CC735E" w:rsidRPr="00445435" w:rsidRDefault="00CC735E" w:rsidP="00FD5F08">
      <w:pPr>
        <w:pStyle w:val="NoSpacing"/>
        <w:rPr>
          <w:rFonts w:ascii="Times New Roman" w:hAnsi="Times New Roman" w:cs="Times New Roman"/>
          <w:sz w:val="24"/>
          <w:szCs w:val="24"/>
        </w:rPr>
      </w:pPr>
    </w:p>
    <w:p w14:paraId="3ABDBACE" w14:textId="2F16425E" w:rsidR="00CC735E" w:rsidRPr="00445435" w:rsidRDefault="00CC735E" w:rsidP="00FD5F08">
      <w:pPr>
        <w:pStyle w:val="NoSpacing"/>
        <w:rPr>
          <w:rFonts w:ascii="Times New Roman" w:hAnsi="Times New Roman" w:cs="Times New Roman"/>
          <w:sz w:val="24"/>
          <w:szCs w:val="24"/>
        </w:rPr>
      </w:pPr>
      <w:r w:rsidRPr="00445435">
        <w:rPr>
          <w:rFonts w:ascii="Times New Roman" w:hAnsi="Times New Roman" w:cs="Times New Roman"/>
          <w:sz w:val="24"/>
          <w:szCs w:val="24"/>
        </w:rPr>
        <w:t xml:space="preserve">We use a stylized model to illustrate the price linkages with implicit taxes. Then we use a </w:t>
      </w:r>
      <w:r w:rsidR="00372EAD">
        <w:rPr>
          <w:rFonts w:ascii="Times New Roman" w:hAnsi="Times New Roman" w:cs="Times New Roman"/>
          <w:sz w:val="24"/>
          <w:szCs w:val="24"/>
        </w:rPr>
        <w:t xml:space="preserve">more </w:t>
      </w:r>
      <w:r w:rsidRPr="00445435">
        <w:rPr>
          <w:rFonts w:ascii="Times New Roman" w:hAnsi="Times New Roman" w:cs="Times New Roman"/>
          <w:sz w:val="24"/>
          <w:szCs w:val="24"/>
        </w:rPr>
        <w:t xml:space="preserve">detailed model of the US economy to describe the </w:t>
      </w:r>
      <w:r w:rsidR="00372EAD">
        <w:rPr>
          <w:rFonts w:ascii="Times New Roman" w:hAnsi="Times New Roman" w:cs="Times New Roman"/>
          <w:sz w:val="24"/>
          <w:szCs w:val="24"/>
        </w:rPr>
        <w:t>impact</w:t>
      </w:r>
      <w:r w:rsidRPr="00445435">
        <w:rPr>
          <w:rFonts w:ascii="Times New Roman" w:hAnsi="Times New Roman" w:cs="Times New Roman"/>
          <w:sz w:val="24"/>
          <w:szCs w:val="24"/>
        </w:rPr>
        <w:t xml:space="preserve"> of </w:t>
      </w:r>
      <w:r w:rsidR="00372EAD">
        <w:rPr>
          <w:rFonts w:ascii="Times New Roman" w:hAnsi="Times New Roman" w:cs="Times New Roman"/>
          <w:sz w:val="24"/>
          <w:szCs w:val="24"/>
        </w:rPr>
        <w:t>the new system on the sectoral incidence of</w:t>
      </w:r>
      <w:bookmarkStart w:id="0" w:name="_GoBack"/>
      <w:bookmarkEnd w:id="0"/>
      <w:r w:rsidR="00372EAD">
        <w:rPr>
          <w:rFonts w:ascii="Times New Roman" w:hAnsi="Times New Roman" w:cs="Times New Roman"/>
          <w:sz w:val="24"/>
          <w:szCs w:val="24"/>
        </w:rPr>
        <w:t xml:space="preserve"> corporate/enterprise taxes</w:t>
      </w:r>
      <w:r w:rsidRPr="00445435">
        <w:rPr>
          <w:rFonts w:ascii="Times New Roman" w:hAnsi="Times New Roman" w:cs="Times New Roman"/>
          <w:sz w:val="24"/>
          <w:szCs w:val="24"/>
        </w:rPr>
        <w:t>.</w:t>
      </w:r>
      <w:r w:rsidR="00372EAD">
        <w:rPr>
          <w:rFonts w:ascii="Times New Roman" w:hAnsi="Times New Roman" w:cs="Times New Roman"/>
          <w:sz w:val="24"/>
          <w:szCs w:val="24"/>
        </w:rPr>
        <w:t xml:space="preserve"> </w:t>
      </w:r>
    </w:p>
    <w:p w14:paraId="28D61885" w14:textId="198DAE1F" w:rsidR="009A0601" w:rsidRDefault="009A0601" w:rsidP="00D0216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6B5D89F1" w14:textId="7E81C29B" w:rsidR="00706B28" w:rsidRDefault="00706B28" w:rsidP="00D02162">
      <w:pPr>
        <w:pStyle w:val="NoSpacing"/>
        <w:rPr>
          <w:rFonts w:ascii="Times New Roman" w:hAnsi="Times New Roman" w:cs="Times New Roman"/>
          <w:sz w:val="24"/>
          <w:szCs w:val="24"/>
        </w:rPr>
      </w:pPr>
    </w:p>
    <w:p w14:paraId="5313AF6A" w14:textId="30F91F3A" w:rsidR="00706B28" w:rsidRPr="00757092" w:rsidRDefault="00706B28" w:rsidP="00706B28">
      <w:pPr>
        <w:pStyle w:val="NoSpacing"/>
        <w:jc w:val="center"/>
        <w:rPr>
          <w:rFonts w:ascii="Times New Roman" w:hAnsi="Times New Roman" w:cs="Times New Roman"/>
          <w:b/>
          <w:sz w:val="24"/>
          <w:szCs w:val="24"/>
        </w:rPr>
      </w:pPr>
      <w:r w:rsidRPr="00757092">
        <w:rPr>
          <w:rFonts w:ascii="Times New Roman" w:hAnsi="Times New Roman" w:cs="Times New Roman"/>
          <w:b/>
          <w:sz w:val="24"/>
          <w:szCs w:val="24"/>
        </w:rPr>
        <w:t>References:</w:t>
      </w:r>
    </w:p>
    <w:p w14:paraId="602FB4E2" w14:textId="213B2083" w:rsidR="00016881" w:rsidRDefault="00016881" w:rsidP="00706B28">
      <w:pPr>
        <w:pStyle w:val="NoSpacing"/>
        <w:jc w:val="center"/>
        <w:rPr>
          <w:rFonts w:ascii="Times New Roman" w:hAnsi="Times New Roman" w:cs="Times New Roman"/>
          <w:sz w:val="24"/>
          <w:szCs w:val="24"/>
        </w:rPr>
      </w:pPr>
    </w:p>
    <w:p w14:paraId="745B1655" w14:textId="01DC34EE" w:rsidR="00016881" w:rsidRDefault="00016881" w:rsidP="00016881">
      <w:pPr>
        <w:pStyle w:val="NoSpacing"/>
        <w:rPr>
          <w:rFonts w:ascii="Times New Roman" w:hAnsi="Times New Roman" w:cs="Times New Roman"/>
          <w:sz w:val="24"/>
          <w:szCs w:val="24"/>
        </w:rPr>
      </w:pPr>
      <w:r w:rsidRPr="00016881">
        <w:rPr>
          <w:rFonts w:ascii="Times New Roman" w:hAnsi="Times New Roman" w:cs="Times New Roman"/>
          <w:sz w:val="24"/>
          <w:szCs w:val="24"/>
        </w:rPr>
        <w:t>Auerbach, Alan J.</w:t>
      </w:r>
      <w:r>
        <w:rPr>
          <w:rFonts w:ascii="Times New Roman" w:hAnsi="Times New Roman" w:cs="Times New Roman"/>
          <w:sz w:val="24"/>
          <w:szCs w:val="24"/>
        </w:rPr>
        <w:t xml:space="preserve"> (2010). </w:t>
      </w:r>
      <w:r w:rsidRPr="00016881">
        <w:rPr>
          <w:rFonts w:ascii="Times New Roman" w:hAnsi="Times New Roman" w:cs="Times New Roman"/>
          <w:sz w:val="24"/>
          <w:szCs w:val="24"/>
        </w:rPr>
        <w:t>“A Modern Corporate Tax.” Center for American Progre</w:t>
      </w:r>
      <w:r>
        <w:rPr>
          <w:rFonts w:ascii="Times New Roman" w:hAnsi="Times New Roman" w:cs="Times New Roman"/>
          <w:sz w:val="24"/>
          <w:szCs w:val="24"/>
        </w:rPr>
        <w:t xml:space="preserve">ss/The Hamilton Project. </w:t>
      </w:r>
      <w:r w:rsidRPr="00016881">
        <w:rPr>
          <w:rFonts w:ascii="Times New Roman" w:hAnsi="Times New Roman" w:cs="Times New Roman"/>
          <w:sz w:val="24"/>
          <w:szCs w:val="24"/>
        </w:rPr>
        <w:t>https://cdn.americanprogress.org/wpcontent/uploads/issues/2010/12/pdf/auerbachpaper.pdf</w:t>
      </w:r>
    </w:p>
    <w:p w14:paraId="032A958D" w14:textId="6574A56D" w:rsidR="00706B28" w:rsidRDefault="00706B28" w:rsidP="00D02162">
      <w:pPr>
        <w:pStyle w:val="NoSpacing"/>
        <w:rPr>
          <w:rFonts w:ascii="Times New Roman" w:hAnsi="Times New Roman" w:cs="Times New Roman"/>
          <w:sz w:val="24"/>
          <w:szCs w:val="24"/>
        </w:rPr>
      </w:pPr>
      <w:r>
        <w:rPr>
          <w:rFonts w:ascii="Times New Roman" w:hAnsi="Times New Roman" w:cs="Times New Roman"/>
          <w:sz w:val="24"/>
          <w:szCs w:val="24"/>
        </w:rPr>
        <w:t xml:space="preserve">Auerbach, Alan, </w:t>
      </w:r>
      <w:r w:rsidRPr="00706B28">
        <w:rPr>
          <w:rFonts w:ascii="Times New Roman" w:hAnsi="Times New Roman" w:cs="Times New Roman"/>
          <w:sz w:val="24"/>
          <w:szCs w:val="24"/>
        </w:rPr>
        <w:t>Michael P. Devereux</w:t>
      </w:r>
      <w:r>
        <w:rPr>
          <w:rFonts w:ascii="Times New Roman" w:hAnsi="Times New Roman" w:cs="Times New Roman"/>
          <w:sz w:val="24"/>
          <w:szCs w:val="24"/>
        </w:rPr>
        <w:t xml:space="preserve">, </w:t>
      </w:r>
      <w:r w:rsidRPr="00706B28">
        <w:rPr>
          <w:rFonts w:ascii="Times New Roman" w:hAnsi="Times New Roman" w:cs="Times New Roman"/>
          <w:sz w:val="24"/>
          <w:szCs w:val="24"/>
        </w:rPr>
        <w:t>Michael Keen</w:t>
      </w:r>
      <w:r>
        <w:rPr>
          <w:rFonts w:ascii="Times New Roman" w:hAnsi="Times New Roman" w:cs="Times New Roman"/>
          <w:sz w:val="24"/>
          <w:szCs w:val="24"/>
        </w:rPr>
        <w:t xml:space="preserve">, and </w:t>
      </w:r>
      <w:r w:rsidRPr="00706B28">
        <w:rPr>
          <w:rFonts w:ascii="Times New Roman" w:hAnsi="Times New Roman" w:cs="Times New Roman"/>
          <w:sz w:val="24"/>
          <w:szCs w:val="24"/>
        </w:rPr>
        <w:t>John Vella</w:t>
      </w:r>
      <w:r>
        <w:rPr>
          <w:rFonts w:ascii="Times New Roman" w:hAnsi="Times New Roman" w:cs="Times New Roman"/>
          <w:sz w:val="24"/>
          <w:szCs w:val="24"/>
        </w:rPr>
        <w:t xml:space="preserve"> (2017). “</w:t>
      </w:r>
      <w:r w:rsidRPr="00706B28">
        <w:rPr>
          <w:rFonts w:ascii="Times New Roman" w:hAnsi="Times New Roman" w:cs="Times New Roman"/>
          <w:sz w:val="24"/>
          <w:szCs w:val="24"/>
        </w:rPr>
        <w:t>Destination-Based Cash Flow Taxation</w:t>
      </w:r>
      <w:r>
        <w:rPr>
          <w:rFonts w:ascii="Times New Roman" w:hAnsi="Times New Roman" w:cs="Times New Roman"/>
          <w:sz w:val="24"/>
          <w:szCs w:val="24"/>
        </w:rPr>
        <w:t xml:space="preserve">,” Oxford University Center for Taxation, WP </w:t>
      </w:r>
      <w:r w:rsidR="00DF6DD5">
        <w:rPr>
          <w:rFonts w:ascii="Times New Roman" w:hAnsi="Times New Roman" w:cs="Times New Roman"/>
          <w:sz w:val="24"/>
          <w:szCs w:val="24"/>
        </w:rPr>
        <w:t xml:space="preserve">17/01. </w:t>
      </w:r>
    </w:p>
    <w:p w14:paraId="46FB2BD3" w14:textId="2CCD26B4" w:rsidR="00016881" w:rsidRDefault="00016881" w:rsidP="00D02162">
      <w:pPr>
        <w:pStyle w:val="NoSpacing"/>
        <w:rPr>
          <w:rFonts w:ascii="Times New Roman" w:hAnsi="Times New Roman" w:cs="Times New Roman"/>
          <w:sz w:val="24"/>
          <w:szCs w:val="24"/>
        </w:rPr>
      </w:pPr>
    </w:p>
    <w:p w14:paraId="4373FC01" w14:textId="6AB75C1E" w:rsidR="00016881" w:rsidRDefault="00016881" w:rsidP="00D02162">
      <w:pPr>
        <w:pStyle w:val="NoSpacing"/>
        <w:rPr>
          <w:rFonts w:ascii="Times New Roman" w:hAnsi="Times New Roman" w:cs="Times New Roman"/>
          <w:sz w:val="24"/>
          <w:szCs w:val="24"/>
        </w:rPr>
      </w:pPr>
      <w:r>
        <w:rPr>
          <w:rFonts w:ascii="Times New Roman" w:hAnsi="Times New Roman" w:cs="Times New Roman"/>
          <w:sz w:val="24"/>
          <w:szCs w:val="24"/>
        </w:rPr>
        <w:t>Auerbach, Alan J. and Douglas Holtz-Eakin (2016). “</w:t>
      </w:r>
      <w:r w:rsidRPr="00016881">
        <w:rPr>
          <w:rFonts w:ascii="Times New Roman" w:hAnsi="Times New Roman" w:cs="Times New Roman"/>
          <w:sz w:val="24"/>
          <w:szCs w:val="24"/>
        </w:rPr>
        <w:t>The Role of Border Adjustments in International Taxation</w:t>
      </w:r>
      <w:r>
        <w:rPr>
          <w:rFonts w:ascii="Times New Roman" w:hAnsi="Times New Roman" w:cs="Times New Roman"/>
          <w:sz w:val="24"/>
          <w:szCs w:val="24"/>
        </w:rPr>
        <w:t>,” American Action Forum.</w:t>
      </w:r>
    </w:p>
    <w:p w14:paraId="1755D6DF" w14:textId="5320F909" w:rsidR="00243845" w:rsidRDefault="00243845" w:rsidP="00D02162">
      <w:pPr>
        <w:pStyle w:val="NoSpacing"/>
        <w:rPr>
          <w:rFonts w:ascii="Times New Roman" w:hAnsi="Times New Roman" w:cs="Times New Roman"/>
          <w:sz w:val="24"/>
          <w:szCs w:val="24"/>
        </w:rPr>
      </w:pPr>
    </w:p>
    <w:p w14:paraId="32FEA7CF" w14:textId="683B2884" w:rsidR="00243845" w:rsidRDefault="00243845" w:rsidP="00D02162">
      <w:pPr>
        <w:pStyle w:val="NoSpacing"/>
        <w:rPr>
          <w:rFonts w:ascii="Times New Roman" w:hAnsi="Times New Roman" w:cs="Times New Roman"/>
          <w:sz w:val="24"/>
          <w:szCs w:val="24"/>
        </w:rPr>
      </w:pPr>
      <w:r>
        <w:rPr>
          <w:rFonts w:ascii="Times New Roman" w:hAnsi="Times New Roman" w:cs="Times New Roman"/>
          <w:sz w:val="24"/>
          <w:szCs w:val="24"/>
        </w:rPr>
        <w:t xml:space="preserve">Freund, Caroline (2017). </w:t>
      </w:r>
      <w:r w:rsidR="000E71E0">
        <w:rPr>
          <w:rFonts w:ascii="Times New Roman" w:hAnsi="Times New Roman" w:cs="Times New Roman"/>
          <w:sz w:val="24"/>
          <w:szCs w:val="24"/>
        </w:rPr>
        <w:t>“</w:t>
      </w:r>
      <w:r w:rsidR="000E71E0" w:rsidRPr="000E71E0">
        <w:rPr>
          <w:rFonts w:ascii="Times New Roman" w:hAnsi="Times New Roman" w:cs="Times New Roman"/>
          <w:sz w:val="24"/>
          <w:szCs w:val="24"/>
        </w:rPr>
        <w:t>The BAT and the VAT: Similarities and Differences</w:t>
      </w:r>
      <w:r w:rsidR="000E71E0">
        <w:rPr>
          <w:rFonts w:ascii="Times New Roman" w:hAnsi="Times New Roman" w:cs="Times New Roman"/>
          <w:sz w:val="24"/>
          <w:szCs w:val="24"/>
        </w:rPr>
        <w:t xml:space="preserve">.” Presented at the Peterson Institute for International Economics, February 1, 2017. </w:t>
      </w:r>
    </w:p>
    <w:p w14:paraId="1585718B" w14:textId="3B618D2E" w:rsidR="00016881" w:rsidRDefault="00016881" w:rsidP="00D02162">
      <w:pPr>
        <w:pStyle w:val="NoSpacing"/>
        <w:rPr>
          <w:rFonts w:ascii="Times New Roman" w:hAnsi="Times New Roman" w:cs="Times New Roman"/>
          <w:sz w:val="24"/>
          <w:szCs w:val="24"/>
        </w:rPr>
      </w:pPr>
    </w:p>
    <w:p w14:paraId="2871F395" w14:textId="408E4A76" w:rsidR="00016881" w:rsidRPr="00445435" w:rsidRDefault="00016881" w:rsidP="00D02162">
      <w:pPr>
        <w:pStyle w:val="NoSpacing"/>
        <w:rPr>
          <w:rFonts w:ascii="Times New Roman" w:hAnsi="Times New Roman" w:cs="Times New Roman"/>
          <w:sz w:val="24"/>
          <w:szCs w:val="24"/>
        </w:rPr>
      </w:pPr>
      <w:r>
        <w:rPr>
          <w:rFonts w:ascii="Times New Roman" w:hAnsi="Times New Roman" w:cs="Times New Roman"/>
          <w:sz w:val="24"/>
          <w:szCs w:val="24"/>
        </w:rPr>
        <w:t>Martin, Will. (2017). “</w:t>
      </w:r>
      <w:r w:rsidRPr="00016881">
        <w:rPr>
          <w:rFonts w:ascii="Times New Roman" w:hAnsi="Times New Roman" w:cs="Times New Roman"/>
          <w:sz w:val="24"/>
          <w:szCs w:val="24"/>
        </w:rPr>
        <w:t>Trade and Economic Impacts of Destination-Based Corporate Taxes</w:t>
      </w:r>
      <w:r>
        <w:rPr>
          <w:rFonts w:ascii="Times New Roman" w:hAnsi="Times New Roman" w:cs="Times New Roman"/>
          <w:sz w:val="24"/>
          <w:szCs w:val="24"/>
        </w:rPr>
        <w:t>,” International Food Policy Rese</w:t>
      </w:r>
      <w:r w:rsidR="00757092">
        <w:rPr>
          <w:rFonts w:ascii="Times New Roman" w:hAnsi="Times New Roman" w:cs="Times New Roman"/>
          <w:sz w:val="24"/>
          <w:szCs w:val="24"/>
        </w:rPr>
        <w:t>a</w:t>
      </w:r>
      <w:r>
        <w:rPr>
          <w:rFonts w:ascii="Times New Roman" w:hAnsi="Times New Roman" w:cs="Times New Roman"/>
          <w:sz w:val="24"/>
          <w:szCs w:val="24"/>
        </w:rPr>
        <w:t>rch Institute (</w:t>
      </w:r>
      <w:r w:rsidRPr="00016881">
        <w:rPr>
          <w:rFonts w:ascii="Times New Roman" w:hAnsi="Times New Roman" w:cs="Times New Roman"/>
          <w:sz w:val="24"/>
          <w:szCs w:val="24"/>
        </w:rPr>
        <w:t>IFPRI</w:t>
      </w:r>
      <w:r>
        <w:rPr>
          <w:rFonts w:ascii="Times New Roman" w:hAnsi="Times New Roman" w:cs="Times New Roman"/>
          <w:sz w:val="24"/>
          <w:szCs w:val="24"/>
        </w:rPr>
        <w:t>)</w:t>
      </w:r>
      <w:r w:rsidRPr="00016881">
        <w:rPr>
          <w:rFonts w:ascii="Times New Roman" w:hAnsi="Times New Roman" w:cs="Times New Roman"/>
          <w:sz w:val="24"/>
          <w:szCs w:val="24"/>
        </w:rPr>
        <w:t xml:space="preserve"> Discussion Paper 01606</w:t>
      </w:r>
      <w:r>
        <w:rPr>
          <w:rFonts w:ascii="Times New Roman" w:hAnsi="Times New Roman" w:cs="Times New Roman"/>
          <w:sz w:val="24"/>
          <w:szCs w:val="24"/>
        </w:rPr>
        <w:t>.</w:t>
      </w:r>
    </w:p>
    <w:sectPr w:rsidR="00016881" w:rsidRPr="00445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74BD0"/>
    <w:multiLevelType w:val="hybridMultilevel"/>
    <w:tmpl w:val="12468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542"/>
    <w:rsid w:val="00016881"/>
    <w:rsid w:val="000632AC"/>
    <w:rsid w:val="0008533B"/>
    <w:rsid w:val="000E71E0"/>
    <w:rsid w:val="000F02D2"/>
    <w:rsid w:val="00104311"/>
    <w:rsid w:val="001C3B3F"/>
    <w:rsid w:val="001F0FAA"/>
    <w:rsid w:val="00231037"/>
    <w:rsid w:val="00243845"/>
    <w:rsid w:val="00372EAD"/>
    <w:rsid w:val="003E6473"/>
    <w:rsid w:val="00400930"/>
    <w:rsid w:val="0043127A"/>
    <w:rsid w:val="00433018"/>
    <w:rsid w:val="00445435"/>
    <w:rsid w:val="004620E4"/>
    <w:rsid w:val="0053348E"/>
    <w:rsid w:val="005344C0"/>
    <w:rsid w:val="006C6B0D"/>
    <w:rsid w:val="006D2542"/>
    <w:rsid w:val="00706B28"/>
    <w:rsid w:val="00757092"/>
    <w:rsid w:val="00775557"/>
    <w:rsid w:val="007C39CA"/>
    <w:rsid w:val="007D0B64"/>
    <w:rsid w:val="007E5B0B"/>
    <w:rsid w:val="007F6CC6"/>
    <w:rsid w:val="00956F0B"/>
    <w:rsid w:val="009A0601"/>
    <w:rsid w:val="00A018E0"/>
    <w:rsid w:val="00AB352D"/>
    <w:rsid w:val="00AE7594"/>
    <w:rsid w:val="00B20A65"/>
    <w:rsid w:val="00B342F4"/>
    <w:rsid w:val="00B37ACD"/>
    <w:rsid w:val="00B6128B"/>
    <w:rsid w:val="00B81261"/>
    <w:rsid w:val="00BF609F"/>
    <w:rsid w:val="00C119BF"/>
    <w:rsid w:val="00C55DFB"/>
    <w:rsid w:val="00C67995"/>
    <w:rsid w:val="00CC735E"/>
    <w:rsid w:val="00D02162"/>
    <w:rsid w:val="00DC254B"/>
    <w:rsid w:val="00DF6DD5"/>
    <w:rsid w:val="00E419CE"/>
    <w:rsid w:val="00E91C13"/>
    <w:rsid w:val="00F546DB"/>
    <w:rsid w:val="00FD5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AC94F"/>
  <w15:chartTrackingRefBased/>
  <w15:docId w15:val="{FF634D79-77C0-4FEA-BEA0-1B3DB694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5F08"/>
    <w:pPr>
      <w:spacing w:after="0" w:line="240" w:lineRule="auto"/>
    </w:pPr>
  </w:style>
  <w:style w:type="character" w:styleId="CommentReference">
    <w:name w:val="annotation reference"/>
    <w:basedOn w:val="DefaultParagraphFont"/>
    <w:uiPriority w:val="99"/>
    <w:semiHidden/>
    <w:unhideWhenUsed/>
    <w:rsid w:val="00BF609F"/>
    <w:rPr>
      <w:sz w:val="16"/>
      <w:szCs w:val="16"/>
    </w:rPr>
  </w:style>
  <w:style w:type="paragraph" w:styleId="CommentText">
    <w:name w:val="annotation text"/>
    <w:basedOn w:val="Normal"/>
    <w:link w:val="CommentTextChar"/>
    <w:uiPriority w:val="99"/>
    <w:semiHidden/>
    <w:unhideWhenUsed/>
    <w:rsid w:val="00BF609F"/>
    <w:pPr>
      <w:spacing w:line="240" w:lineRule="auto"/>
    </w:pPr>
    <w:rPr>
      <w:sz w:val="20"/>
      <w:szCs w:val="20"/>
    </w:rPr>
  </w:style>
  <w:style w:type="character" w:customStyle="1" w:styleId="CommentTextChar">
    <w:name w:val="Comment Text Char"/>
    <w:basedOn w:val="DefaultParagraphFont"/>
    <w:link w:val="CommentText"/>
    <w:uiPriority w:val="99"/>
    <w:semiHidden/>
    <w:rsid w:val="00BF609F"/>
    <w:rPr>
      <w:sz w:val="20"/>
      <w:szCs w:val="20"/>
    </w:rPr>
  </w:style>
  <w:style w:type="paragraph" w:styleId="CommentSubject">
    <w:name w:val="annotation subject"/>
    <w:basedOn w:val="CommentText"/>
    <w:next w:val="CommentText"/>
    <w:link w:val="CommentSubjectChar"/>
    <w:uiPriority w:val="99"/>
    <w:semiHidden/>
    <w:unhideWhenUsed/>
    <w:rsid w:val="00BF609F"/>
    <w:rPr>
      <w:b/>
      <w:bCs/>
    </w:rPr>
  </w:style>
  <w:style w:type="character" w:customStyle="1" w:styleId="CommentSubjectChar">
    <w:name w:val="Comment Subject Char"/>
    <w:basedOn w:val="CommentTextChar"/>
    <w:link w:val="CommentSubject"/>
    <w:uiPriority w:val="99"/>
    <w:semiHidden/>
    <w:rsid w:val="00BF609F"/>
    <w:rPr>
      <w:b/>
      <w:bCs/>
      <w:sz w:val="20"/>
      <w:szCs w:val="20"/>
    </w:rPr>
  </w:style>
  <w:style w:type="paragraph" w:styleId="BalloonText">
    <w:name w:val="Balloon Text"/>
    <w:basedOn w:val="Normal"/>
    <w:link w:val="BalloonTextChar"/>
    <w:uiPriority w:val="99"/>
    <w:semiHidden/>
    <w:unhideWhenUsed/>
    <w:rsid w:val="00BF60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0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FA15C-71B3-4D1D-AF7F-BF2B7F30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Thierfelder</dc:creator>
  <cp:keywords/>
  <dc:description/>
  <cp:lastModifiedBy>Robinson, Sherman (IFPRI)</cp:lastModifiedBy>
  <cp:revision>2</cp:revision>
  <dcterms:created xsi:type="dcterms:W3CDTF">2017-02-18T15:27:00Z</dcterms:created>
  <dcterms:modified xsi:type="dcterms:W3CDTF">2017-02-18T15:27:00Z</dcterms:modified>
</cp:coreProperties>
</file>