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9C6" w:rsidRDefault="000B19C6" w:rsidP="000B19C6">
      <w:pPr>
        <w:spacing w:line="360" w:lineRule="auto"/>
        <w:jc w:val="both"/>
        <w:rPr>
          <w:rFonts w:asciiTheme="majorHAnsi" w:hAnsiTheme="majorHAnsi"/>
          <w:sz w:val="24"/>
          <w:szCs w:val="24"/>
        </w:rPr>
      </w:pPr>
    </w:p>
    <w:p w:rsidR="000B19C6" w:rsidRPr="003B5549" w:rsidRDefault="000B19C6" w:rsidP="000B19C6">
      <w:pPr>
        <w:spacing w:line="360" w:lineRule="auto"/>
        <w:jc w:val="center"/>
        <w:rPr>
          <w:b/>
          <w:sz w:val="40"/>
          <w:szCs w:val="40"/>
        </w:rPr>
      </w:pPr>
      <w:proofErr w:type="spellStart"/>
      <w:r w:rsidRPr="003B5549">
        <w:rPr>
          <w:b/>
          <w:sz w:val="40"/>
          <w:szCs w:val="40"/>
        </w:rPr>
        <w:t>Untapping</w:t>
      </w:r>
      <w:proofErr w:type="spellEnd"/>
      <w:r w:rsidRPr="003B5549">
        <w:rPr>
          <w:b/>
          <w:sz w:val="40"/>
          <w:szCs w:val="40"/>
        </w:rPr>
        <w:t xml:space="preserve"> the full development potential of trade along global supply chains:</w:t>
      </w:r>
    </w:p>
    <w:p w:rsidR="000B19C6" w:rsidRPr="003B5549" w:rsidRDefault="006B3D9C" w:rsidP="000B19C6">
      <w:pPr>
        <w:spacing w:line="360" w:lineRule="auto"/>
        <w:jc w:val="center"/>
        <w:rPr>
          <w:b/>
          <w:sz w:val="40"/>
          <w:szCs w:val="40"/>
        </w:rPr>
      </w:pPr>
      <w:proofErr w:type="gramStart"/>
      <w:r>
        <w:rPr>
          <w:b/>
          <w:sz w:val="40"/>
          <w:szCs w:val="40"/>
        </w:rPr>
        <w:t>a</w:t>
      </w:r>
      <w:proofErr w:type="gramEnd"/>
      <w:r w:rsidR="000B19C6" w:rsidRPr="003B5549">
        <w:rPr>
          <w:b/>
          <w:sz w:val="40"/>
          <w:szCs w:val="40"/>
        </w:rPr>
        <w:t xml:space="preserve"> GSP++ proposal</w:t>
      </w:r>
    </w:p>
    <w:p w:rsidR="000B19C6" w:rsidRDefault="000B19C6" w:rsidP="000B19C6">
      <w:pPr>
        <w:spacing w:line="360" w:lineRule="auto"/>
        <w:jc w:val="both"/>
        <w:rPr>
          <w:rFonts w:asciiTheme="majorHAnsi" w:hAnsiTheme="majorHAnsi"/>
          <w:sz w:val="24"/>
          <w:szCs w:val="24"/>
        </w:rPr>
      </w:pPr>
    </w:p>
    <w:p w:rsidR="000B19C6" w:rsidRPr="000B19C6" w:rsidRDefault="000B19C6" w:rsidP="000B19C6">
      <w:pPr>
        <w:spacing w:line="360" w:lineRule="auto"/>
        <w:jc w:val="center"/>
        <w:rPr>
          <w:rFonts w:asciiTheme="majorHAnsi" w:hAnsiTheme="majorHAnsi"/>
          <w:sz w:val="24"/>
          <w:szCs w:val="24"/>
        </w:rPr>
      </w:pPr>
      <w:r w:rsidRPr="000B19C6">
        <w:rPr>
          <w:rFonts w:asciiTheme="majorHAnsi" w:hAnsiTheme="majorHAnsi"/>
          <w:sz w:val="24"/>
          <w:szCs w:val="24"/>
        </w:rPr>
        <w:t>2</w:t>
      </w:r>
      <w:r>
        <w:rPr>
          <w:rFonts w:asciiTheme="majorHAnsi" w:hAnsiTheme="majorHAnsi"/>
          <w:sz w:val="24"/>
          <w:szCs w:val="24"/>
        </w:rPr>
        <w:t>1</w:t>
      </w:r>
      <w:r w:rsidRPr="000B19C6">
        <w:rPr>
          <w:rFonts w:asciiTheme="majorHAnsi" w:hAnsiTheme="majorHAnsi"/>
          <w:sz w:val="24"/>
          <w:szCs w:val="24"/>
        </w:rPr>
        <w:t>th Annual Conference on Global Economic Analysis</w:t>
      </w:r>
    </w:p>
    <w:p w:rsidR="000B19C6" w:rsidRPr="003B5549" w:rsidRDefault="000B19C6" w:rsidP="000B19C6">
      <w:pPr>
        <w:spacing w:line="360" w:lineRule="auto"/>
        <w:jc w:val="center"/>
        <w:rPr>
          <w:rFonts w:asciiTheme="majorHAnsi" w:hAnsiTheme="majorHAnsi"/>
          <w:i/>
          <w:sz w:val="24"/>
          <w:szCs w:val="24"/>
        </w:rPr>
      </w:pPr>
      <w:r w:rsidRPr="003B5549">
        <w:rPr>
          <w:rFonts w:asciiTheme="majorHAnsi" w:hAnsiTheme="majorHAnsi"/>
          <w:i/>
          <w:sz w:val="24"/>
          <w:szCs w:val="24"/>
        </w:rPr>
        <w:t>"Framing the future through the Sustainable Development Goals"</w:t>
      </w:r>
    </w:p>
    <w:p w:rsidR="000B19C6" w:rsidRDefault="000B19C6" w:rsidP="000B19C6">
      <w:pPr>
        <w:spacing w:line="360" w:lineRule="auto"/>
        <w:jc w:val="center"/>
        <w:rPr>
          <w:rFonts w:asciiTheme="majorHAnsi" w:hAnsiTheme="majorHAnsi"/>
          <w:sz w:val="24"/>
          <w:szCs w:val="24"/>
        </w:rPr>
      </w:pPr>
      <w:r w:rsidRPr="000B19C6">
        <w:rPr>
          <w:rFonts w:asciiTheme="majorHAnsi" w:hAnsiTheme="majorHAnsi"/>
          <w:sz w:val="24"/>
          <w:szCs w:val="24"/>
        </w:rPr>
        <w:t xml:space="preserve">Cartagena de </w:t>
      </w:r>
      <w:proofErr w:type="spellStart"/>
      <w:r w:rsidRPr="000B19C6">
        <w:rPr>
          <w:rFonts w:asciiTheme="majorHAnsi" w:hAnsiTheme="majorHAnsi"/>
          <w:sz w:val="24"/>
          <w:szCs w:val="24"/>
        </w:rPr>
        <w:t>Indias</w:t>
      </w:r>
      <w:proofErr w:type="spellEnd"/>
      <w:r w:rsidRPr="000B19C6">
        <w:rPr>
          <w:rFonts w:asciiTheme="majorHAnsi" w:hAnsiTheme="majorHAnsi"/>
          <w:sz w:val="24"/>
          <w:szCs w:val="24"/>
        </w:rPr>
        <w:t xml:space="preserve"> Convention </w:t>
      </w:r>
      <w:proofErr w:type="spellStart"/>
      <w:r w:rsidRPr="000B19C6">
        <w:rPr>
          <w:rFonts w:asciiTheme="majorHAnsi" w:hAnsiTheme="majorHAnsi"/>
          <w:sz w:val="24"/>
          <w:szCs w:val="24"/>
        </w:rPr>
        <w:t>Center</w:t>
      </w:r>
      <w:proofErr w:type="spellEnd"/>
      <w:r>
        <w:rPr>
          <w:rFonts w:asciiTheme="majorHAnsi" w:hAnsiTheme="majorHAnsi"/>
          <w:sz w:val="24"/>
          <w:szCs w:val="24"/>
        </w:rPr>
        <w:t>, Cartagena, Colombia</w:t>
      </w:r>
    </w:p>
    <w:p w:rsidR="000B19C6" w:rsidRPr="000B19C6" w:rsidRDefault="000B19C6" w:rsidP="000B19C6">
      <w:pPr>
        <w:spacing w:line="360" w:lineRule="auto"/>
        <w:jc w:val="center"/>
        <w:rPr>
          <w:rFonts w:asciiTheme="majorHAnsi" w:hAnsiTheme="majorHAnsi"/>
          <w:sz w:val="24"/>
          <w:szCs w:val="24"/>
        </w:rPr>
      </w:pPr>
      <w:r w:rsidRPr="000B19C6">
        <w:rPr>
          <w:rFonts w:asciiTheme="majorHAnsi" w:hAnsiTheme="majorHAnsi"/>
          <w:sz w:val="24"/>
          <w:szCs w:val="24"/>
        </w:rPr>
        <w:t>June 13-15, 2018</w:t>
      </w:r>
    </w:p>
    <w:p w:rsidR="000B19C6" w:rsidRDefault="000B19C6" w:rsidP="000B19C6">
      <w:pPr>
        <w:spacing w:line="360" w:lineRule="auto"/>
        <w:jc w:val="center"/>
        <w:rPr>
          <w:rFonts w:asciiTheme="majorHAnsi" w:hAnsiTheme="majorHAnsi"/>
          <w:sz w:val="24"/>
          <w:szCs w:val="24"/>
        </w:rPr>
      </w:pPr>
      <w:r w:rsidRPr="000B19C6">
        <w:rPr>
          <w:rFonts w:asciiTheme="majorHAnsi" w:hAnsiTheme="majorHAnsi"/>
          <w:sz w:val="24"/>
          <w:szCs w:val="24"/>
        </w:rPr>
        <w:t>Alessandro Antimiani and Lucian Cernat</w:t>
      </w:r>
      <w:r>
        <w:rPr>
          <w:rStyle w:val="FootnoteReference"/>
          <w:rFonts w:asciiTheme="majorHAnsi" w:hAnsiTheme="majorHAnsi"/>
          <w:sz w:val="24"/>
          <w:szCs w:val="24"/>
        </w:rPr>
        <w:footnoteReference w:id="1"/>
      </w:r>
    </w:p>
    <w:p w:rsidR="003B5549" w:rsidRDefault="003B5549" w:rsidP="000B19C6">
      <w:pPr>
        <w:spacing w:line="360" w:lineRule="auto"/>
        <w:jc w:val="center"/>
        <w:rPr>
          <w:rFonts w:asciiTheme="majorHAnsi" w:hAnsiTheme="majorHAnsi"/>
          <w:sz w:val="24"/>
          <w:szCs w:val="24"/>
        </w:rPr>
      </w:pPr>
    </w:p>
    <w:p w:rsidR="000B19C6" w:rsidRPr="003B5549" w:rsidRDefault="003B5549" w:rsidP="003B5549">
      <w:pPr>
        <w:spacing w:line="360" w:lineRule="auto"/>
        <w:jc w:val="center"/>
        <w:rPr>
          <w:rFonts w:asciiTheme="majorHAnsi" w:hAnsiTheme="majorHAnsi"/>
          <w:b/>
          <w:sz w:val="24"/>
          <w:szCs w:val="24"/>
        </w:rPr>
      </w:pPr>
      <w:r w:rsidRPr="003B5549">
        <w:rPr>
          <w:rFonts w:asciiTheme="majorHAnsi" w:hAnsiTheme="majorHAnsi"/>
          <w:b/>
          <w:sz w:val="24"/>
          <w:szCs w:val="24"/>
        </w:rPr>
        <w:t>Abstract</w:t>
      </w:r>
    </w:p>
    <w:p w:rsidR="000B19C6" w:rsidRDefault="000B19C6" w:rsidP="00077CDF">
      <w:pPr>
        <w:spacing w:line="360" w:lineRule="auto"/>
        <w:jc w:val="both"/>
        <w:rPr>
          <w:rFonts w:asciiTheme="majorHAnsi" w:hAnsiTheme="majorHAnsi"/>
          <w:sz w:val="24"/>
          <w:szCs w:val="24"/>
        </w:rPr>
      </w:pPr>
    </w:p>
    <w:p w:rsidR="00782B5C" w:rsidRPr="00077CDF" w:rsidRDefault="00782B5C" w:rsidP="00077CDF">
      <w:pPr>
        <w:spacing w:line="360" w:lineRule="auto"/>
        <w:jc w:val="both"/>
        <w:rPr>
          <w:rFonts w:asciiTheme="majorHAnsi" w:hAnsiTheme="majorHAnsi"/>
          <w:sz w:val="24"/>
          <w:szCs w:val="24"/>
        </w:rPr>
      </w:pPr>
      <w:r w:rsidRPr="00077CDF">
        <w:rPr>
          <w:rFonts w:asciiTheme="majorHAnsi" w:hAnsiTheme="majorHAnsi"/>
          <w:sz w:val="24"/>
          <w:szCs w:val="24"/>
        </w:rPr>
        <w:t>There is clear evidence that preferential schemes contribute significantly to boosting LDC export (</w:t>
      </w:r>
      <w:proofErr w:type="spellStart"/>
      <w:r w:rsidRPr="00077CDF">
        <w:rPr>
          <w:rFonts w:asciiTheme="majorHAnsi" w:hAnsiTheme="majorHAnsi"/>
          <w:sz w:val="24"/>
          <w:szCs w:val="24"/>
        </w:rPr>
        <w:t>Klasen</w:t>
      </w:r>
      <w:proofErr w:type="spellEnd"/>
      <w:r w:rsidRPr="00077CDF">
        <w:rPr>
          <w:rFonts w:asciiTheme="majorHAnsi" w:hAnsiTheme="majorHAnsi"/>
          <w:sz w:val="24"/>
          <w:szCs w:val="24"/>
        </w:rPr>
        <w:t xml:space="preserve"> et al., 2016), therefore having already obtained fairly generous market access in their key markets under such schemes, many seem to believe there is little the multilateral trading system could further offer to LDCs. If anything, a new round of multilateral liberalization might actually lead to preference erosion for LDCs. In parallel, the preference margin between MFN tariffs and </w:t>
      </w:r>
      <w:r w:rsidR="001402C7">
        <w:rPr>
          <w:rFonts w:asciiTheme="majorHAnsi" w:hAnsiTheme="majorHAnsi"/>
          <w:sz w:val="24"/>
          <w:szCs w:val="24"/>
        </w:rPr>
        <w:t>LDC preferential scheme</w:t>
      </w:r>
      <w:r w:rsidRPr="00077CDF">
        <w:rPr>
          <w:rFonts w:asciiTheme="majorHAnsi" w:hAnsiTheme="majorHAnsi"/>
          <w:sz w:val="24"/>
          <w:szCs w:val="24"/>
        </w:rPr>
        <w:t xml:space="preserve"> is continuously being eroded by the growing number of FTAs being concluded around the world.</w:t>
      </w:r>
    </w:p>
    <w:p w:rsidR="00B50B32" w:rsidRPr="00077CDF" w:rsidRDefault="00B50B32" w:rsidP="00077CDF">
      <w:pPr>
        <w:spacing w:line="360" w:lineRule="auto"/>
        <w:jc w:val="both"/>
        <w:rPr>
          <w:rFonts w:asciiTheme="majorHAnsi" w:hAnsiTheme="majorHAnsi"/>
          <w:sz w:val="24"/>
          <w:szCs w:val="24"/>
        </w:rPr>
      </w:pPr>
      <w:r w:rsidRPr="00077CDF">
        <w:rPr>
          <w:rFonts w:asciiTheme="majorHAnsi" w:hAnsiTheme="majorHAnsi"/>
          <w:sz w:val="24"/>
          <w:szCs w:val="24"/>
        </w:rPr>
        <w:t xml:space="preserve">Despite the LDC's reluctance to positively engage in the current WTO discussions, there is room for the global trading system and new multilateral initiatives to offer new </w:t>
      </w:r>
      <w:r w:rsidRPr="00077CDF">
        <w:rPr>
          <w:rFonts w:asciiTheme="majorHAnsi" w:hAnsiTheme="majorHAnsi"/>
          <w:sz w:val="24"/>
          <w:szCs w:val="24"/>
        </w:rPr>
        <w:lastRenderedPageBreak/>
        <w:t>impetus for the participation of LDCs in global trade. The Trade Facilitation Agreement is a perfect example of a successful agreement, which offers great promises for an increased participation of LDC exporters (including SMEs) in global trade (WTO, 2015).</w:t>
      </w:r>
      <w:r w:rsidR="001402C7">
        <w:rPr>
          <w:rFonts w:asciiTheme="majorHAnsi" w:hAnsiTheme="majorHAnsi"/>
          <w:sz w:val="24"/>
          <w:szCs w:val="24"/>
        </w:rPr>
        <w:t xml:space="preserve"> </w:t>
      </w:r>
      <w:r w:rsidRPr="00077CDF">
        <w:rPr>
          <w:rFonts w:asciiTheme="majorHAnsi" w:hAnsiTheme="majorHAnsi"/>
          <w:sz w:val="24"/>
          <w:szCs w:val="24"/>
        </w:rPr>
        <w:t xml:space="preserve">Since 2011, the WTO Secretariat has been championing a set of initiatives under the "Made in the World" catchphrase. Apart from a greater realisation of the importance of global value chains and the creation of an impressive database and related trade policy analyses, very few concrete, tangible initiatives have been put on the negotiating table following the "Made in the World" logic. </w:t>
      </w:r>
      <w:r w:rsidR="001402C7" w:rsidRPr="00077CDF">
        <w:rPr>
          <w:rFonts w:asciiTheme="majorHAnsi" w:hAnsiTheme="majorHAnsi"/>
          <w:sz w:val="24"/>
          <w:szCs w:val="24"/>
        </w:rPr>
        <w:t>A new GVC-based globa</w:t>
      </w:r>
      <w:r w:rsidR="001402C7">
        <w:rPr>
          <w:rFonts w:asciiTheme="majorHAnsi" w:hAnsiTheme="majorHAnsi"/>
          <w:sz w:val="24"/>
          <w:szCs w:val="24"/>
        </w:rPr>
        <w:t>l system of preferences (GSP++)</w:t>
      </w:r>
      <w:r w:rsidRPr="00077CDF">
        <w:rPr>
          <w:rFonts w:asciiTheme="majorHAnsi" w:hAnsiTheme="majorHAnsi"/>
          <w:sz w:val="24"/>
          <w:szCs w:val="24"/>
        </w:rPr>
        <w:t xml:space="preserve"> </w:t>
      </w:r>
      <w:proofErr w:type="gramStart"/>
      <w:r w:rsidRPr="00077CDF">
        <w:rPr>
          <w:rFonts w:asciiTheme="majorHAnsi" w:hAnsiTheme="majorHAnsi"/>
          <w:sz w:val="24"/>
          <w:szCs w:val="24"/>
        </w:rPr>
        <w:t>initiative,</w:t>
      </w:r>
      <w:proofErr w:type="gramEnd"/>
      <w:r w:rsidRPr="00077CDF">
        <w:rPr>
          <w:rFonts w:asciiTheme="majorHAnsi" w:hAnsiTheme="majorHAnsi"/>
          <w:sz w:val="24"/>
          <w:szCs w:val="24"/>
        </w:rPr>
        <w:t xml:space="preserve"> </w:t>
      </w:r>
      <w:r w:rsidR="001402C7">
        <w:rPr>
          <w:rFonts w:asciiTheme="majorHAnsi" w:hAnsiTheme="majorHAnsi"/>
          <w:sz w:val="24"/>
          <w:szCs w:val="24"/>
        </w:rPr>
        <w:t>would</w:t>
      </w:r>
      <w:r w:rsidRPr="00077CDF">
        <w:rPr>
          <w:rFonts w:asciiTheme="majorHAnsi" w:hAnsiTheme="majorHAnsi"/>
          <w:sz w:val="24"/>
          <w:szCs w:val="24"/>
        </w:rPr>
        <w:t xml:space="preserve"> ensure that the LDC value-added remains duty-free across the entire supply chain would fit the "</w:t>
      </w:r>
      <w:r w:rsidR="001402C7">
        <w:rPr>
          <w:rFonts w:asciiTheme="majorHAnsi" w:hAnsiTheme="majorHAnsi"/>
          <w:sz w:val="24"/>
          <w:szCs w:val="24"/>
        </w:rPr>
        <w:t>made in the world" description.</w:t>
      </w:r>
    </w:p>
    <w:p w:rsidR="00B50B32" w:rsidRPr="00077CDF" w:rsidRDefault="00B50B32" w:rsidP="00077CDF">
      <w:pPr>
        <w:spacing w:line="360" w:lineRule="auto"/>
        <w:jc w:val="both"/>
        <w:rPr>
          <w:rFonts w:asciiTheme="majorHAnsi" w:hAnsiTheme="majorHAnsi"/>
          <w:sz w:val="24"/>
          <w:szCs w:val="24"/>
        </w:rPr>
      </w:pPr>
      <w:r w:rsidRPr="00077CDF">
        <w:rPr>
          <w:rFonts w:asciiTheme="majorHAnsi" w:hAnsiTheme="majorHAnsi"/>
          <w:sz w:val="24"/>
          <w:szCs w:val="24"/>
        </w:rPr>
        <w:t>This potential stems from the fact that LDCs remain dependent on exports of upstream products that are further processed along the global supply chains and (re)exported as part processed products manufactured in non-LDC countries. Consider just some basic facts: roughly 25% of LDC exported value-added is in fact further processed and embodied in third country exports. To illustrate the idea, think of tropical fruits originating from LDCs that are re-exported by third countries as part of their processed food exports. This is not just an isolated phenomenon: many sectoral exports by third countries contain non-negligible LDC value-added.</w:t>
      </w:r>
      <w:r w:rsidR="00782B5C" w:rsidRPr="00077CDF">
        <w:rPr>
          <w:rFonts w:asciiTheme="majorHAnsi" w:hAnsiTheme="majorHAnsi"/>
          <w:sz w:val="24"/>
          <w:szCs w:val="24"/>
        </w:rPr>
        <w:t xml:space="preserve"> </w:t>
      </w:r>
      <w:r w:rsidRPr="00077CDF">
        <w:rPr>
          <w:rFonts w:asciiTheme="majorHAnsi" w:hAnsiTheme="majorHAnsi"/>
          <w:sz w:val="24"/>
          <w:szCs w:val="24"/>
        </w:rPr>
        <w:t>Despite good progress made in successive multilateral rounds, many products that contain non-negligible shares of LDC value-added are still subject to tariffs, particularly agricultural, textile and footwear.</w:t>
      </w:r>
    </w:p>
    <w:p w:rsidR="00B50B32" w:rsidRPr="00077CDF" w:rsidRDefault="00B50B32" w:rsidP="00077CDF">
      <w:pPr>
        <w:spacing w:line="360" w:lineRule="auto"/>
        <w:jc w:val="both"/>
        <w:rPr>
          <w:rFonts w:asciiTheme="majorHAnsi" w:hAnsiTheme="majorHAnsi"/>
          <w:sz w:val="24"/>
          <w:szCs w:val="24"/>
        </w:rPr>
      </w:pPr>
      <w:r w:rsidRPr="00077CDF">
        <w:rPr>
          <w:rFonts w:asciiTheme="majorHAnsi" w:hAnsiTheme="majorHAnsi"/>
          <w:sz w:val="24"/>
          <w:szCs w:val="24"/>
        </w:rPr>
        <w:t>Given that the LDC exported value-added "travels" further down the global supply chain as part of third country exports still facing tariffs, one could envisage a global preferential scheme based on "value-added", i.e. products originating in any WTO members should receive an "LDC preferential treatment" proportionate to the value of LDC content embodied in their exports. If LDC preferential market access would move from a simple "LDC direct export" approach to a "GVC approach", LDC exports would receive a considerable boost and market premium under such a "GSP++" scheme.</w:t>
      </w:r>
    </w:p>
    <w:p w:rsidR="001402C7" w:rsidRDefault="00B50B32" w:rsidP="00077CDF">
      <w:pPr>
        <w:spacing w:line="360" w:lineRule="auto"/>
        <w:jc w:val="both"/>
        <w:rPr>
          <w:rFonts w:asciiTheme="majorHAnsi" w:hAnsiTheme="majorHAnsi"/>
          <w:sz w:val="24"/>
          <w:szCs w:val="24"/>
        </w:rPr>
      </w:pPr>
      <w:r w:rsidRPr="00077CDF">
        <w:rPr>
          <w:rFonts w:asciiTheme="majorHAnsi" w:hAnsiTheme="majorHAnsi"/>
          <w:sz w:val="24"/>
          <w:szCs w:val="24"/>
        </w:rPr>
        <w:t xml:space="preserve">Such a GSP++ scheme will be based on </w:t>
      </w:r>
      <w:r w:rsidR="008B1F6E" w:rsidRPr="00077CDF">
        <w:rPr>
          <w:rFonts w:asciiTheme="majorHAnsi" w:hAnsiTheme="majorHAnsi"/>
          <w:sz w:val="24"/>
          <w:szCs w:val="24"/>
        </w:rPr>
        <w:t>a</w:t>
      </w:r>
      <w:r w:rsidRPr="00077CDF">
        <w:rPr>
          <w:rFonts w:asciiTheme="majorHAnsi" w:hAnsiTheme="majorHAnsi"/>
          <w:sz w:val="24"/>
          <w:szCs w:val="24"/>
        </w:rPr>
        <w:t xml:space="preserve"> uniform set of value-added rules of origin, without a minimum content requirement, since the tariff reduction will be proportionate </w:t>
      </w:r>
      <w:r w:rsidR="001402C7">
        <w:rPr>
          <w:rFonts w:asciiTheme="majorHAnsi" w:hAnsiTheme="majorHAnsi"/>
          <w:sz w:val="24"/>
          <w:szCs w:val="24"/>
        </w:rPr>
        <w:t>to the LDC value-added content. It doesn't m</w:t>
      </w:r>
      <w:bookmarkStart w:id="0" w:name="_GoBack"/>
      <w:bookmarkEnd w:id="0"/>
      <w:r w:rsidR="001402C7">
        <w:rPr>
          <w:rFonts w:asciiTheme="majorHAnsi" w:hAnsiTheme="majorHAnsi"/>
          <w:sz w:val="24"/>
          <w:szCs w:val="24"/>
        </w:rPr>
        <w:t>atter who is the "gross exporter", what matters is the LDC's valued added embodied in exports flows which gave the preference rights.</w:t>
      </w:r>
    </w:p>
    <w:p w:rsidR="001402C7" w:rsidRPr="00077CDF" w:rsidRDefault="00B50B32" w:rsidP="001402C7">
      <w:pPr>
        <w:spacing w:line="360" w:lineRule="auto"/>
        <w:jc w:val="both"/>
        <w:rPr>
          <w:rFonts w:asciiTheme="majorHAnsi" w:hAnsiTheme="majorHAnsi"/>
          <w:sz w:val="24"/>
          <w:szCs w:val="24"/>
        </w:rPr>
      </w:pPr>
      <w:r w:rsidRPr="00077CDF">
        <w:rPr>
          <w:rFonts w:asciiTheme="majorHAnsi" w:hAnsiTheme="majorHAnsi"/>
          <w:sz w:val="24"/>
          <w:szCs w:val="24"/>
        </w:rPr>
        <w:lastRenderedPageBreak/>
        <w:t>The benefits from the GSP++ do not come just from the direct preference margin faced by the downstream third-country exports. A bigger source of gains from the GSP+</w:t>
      </w:r>
      <w:proofErr w:type="gramStart"/>
      <w:r w:rsidRPr="00077CDF">
        <w:rPr>
          <w:rFonts w:asciiTheme="majorHAnsi" w:hAnsiTheme="majorHAnsi"/>
          <w:sz w:val="24"/>
          <w:szCs w:val="24"/>
        </w:rPr>
        <w:t>+  sche</w:t>
      </w:r>
      <w:r w:rsidR="001402C7">
        <w:rPr>
          <w:rFonts w:asciiTheme="majorHAnsi" w:hAnsiTheme="majorHAnsi"/>
          <w:sz w:val="24"/>
          <w:szCs w:val="24"/>
        </w:rPr>
        <w:t>me</w:t>
      </w:r>
      <w:proofErr w:type="gramEnd"/>
      <w:r w:rsidR="001402C7">
        <w:rPr>
          <w:rFonts w:asciiTheme="majorHAnsi" w:hAnsiTheme="majorHAnsi"/>
          <w:sz w:val="24"/>
          <w:szCs w:val="24"/>
        </w:rPr>
        <w:t xml:space="preserve"> comes from the fact that the</w:t>
      </w:r>
      <w:r w:rsidRPr="00077CDF">
        <w:rPr>
          <w:rFonts w:asciiTheme="majorHAnsi" w:hAnsiTheme="majorHAnsi"/>
          <w:sz w:val="24"/>
          <w:szCs w:val="24"/>
        </w:rPr>
        <w:t xml:space="preserve"> LDC will face a big increase in the global demand for such "made in LDC" inputs that confer a preferential tariff margin to third-country downstream products. Essentially, a large share of exporting firms from all over the world have an incentive to use a higher share of LDC inputs, since that the tariffs reduction on downstream products is directly proportionally to the share of LDC value-added in such products. </w:t>
      </w:r>
      <w:r w:rsidR="00CC4BC3" w:rsidRPr="00077CDF">
        <w:rPr>
          <w:rFonts w:asciiTheme="majorHAnsi" w:hAnsiTheme="majorHAnsi"/>
          <w:sz w:val="24"/>
          <w:szCs w:val="24"/>
        </w:rPr>
        <w:t>This translates</w:t>
      </w:r>
      <w:r w:rsidR="001402C7">
        <w:rPr>
          <w:rFonts w:asciiTheme="majorHAnsi" w:hAnsiTheme="majorHAnsi"/>
          <w:sz w:val="24"/>
          <w:szCs w:val="24"/>
        </w:rPr>
        <w:t xml:space="preserve"> in an </w:t>
      </w:r>
      <w:r w:rsidRPr="00077CDF">
        <w:rPr>
          <w:rFonts w:asciiTheme="majorHAnsi" w:hAnsiTheme="majorHAnsi"/>
          <w:sz w:val="24"/>
          <w:szCs w:val="24"/>
        </w:rPr>
        <w:t xml:space="preserve">effective preferential margin for the LDC exporters. </w:t>
      </w:r>
      <w:r w:rsidR="001402C7">
        <w:rPr>
          <w:rFonts w:asciiTheme="majorHAnsi" w:hAnsiTheme="majorHAnsi"/>
          <w:sz w:val="24"/>
          <w:szCs w:val="24"/>
        </w:rPr>
        <w:t>Further, i</w:t>
      </w:r>
      <w:r w:rsidR="001402C7" w:rsidRPr="00077CDF">
        <w:rPr>
          <w:rFonts w:asciiTheme="majorHAnsi" w:hAnsiTheme="majorHAnsi"/>
          <w:sz w:val="24"/>
          <w:szCs w:val="24"/>
        </w:rPr>
        <w:t>n principle, certain LDCs are well placed to also attract investments and position themselves as viable location for business services, an important ingredient both for firms active along global supply chains, and also for a successful development strategy.</w:t>
      </w:r>
    </w:p>
    <w:p w:rsidR="00B50B32" w:rsidRPr="00077CDF" w:rsidRDefault="00B50B32" w:rsidP="00077CDF">
      <w:pPr>
        <w:spacing w:line="360" w:lineRule="auto"/>
        <w:jc w:val="both"/>
        <w:rPr>
          <w:rFonts w:asciiTheme="majorHAnsi" w:hAnsiTheme="majorHAnsi"/>
          <w:sz w:val="24"/>
          <w:szCs w:val="24"/>
        </w:rPr>
      </w:pPr>
      <w:r w:rsidRPr="00077CDF">
        <w:rPr>
          <w:rFonts w:asciiTheme="majorHAnsi" w:hAnsiTheme="majorHAnsi"/>
          <w:sz w:val="24"/>
          <w:szCs w:val="24"/>
        </w:rPr>
        <w:t xml:space="preserve">To evaluate the possible impact of a multilateral agreement </w:t>
      </w:r>
      <w:r w:rsidR="00782B5C" w:rsidRPr="00077CDF">
        <w:rPr>
          <w:rFonts w:asciiTheme="majorHAnsi" w:hAnsiTheme="majorHAnsi"/>
          <w:sz w:val="24"/>
          <w:szCs w:val="24"/>
        </w:rPr>
        <w:t>for the "made in LDC" initiative</w:t>
      </w:r>
      <w:r w:rsidRPr="00077CDF">
        <w:rPr>
          <w:rFonts w:asciiTheme="majorHAnsi" w:hAnsiTheme="majorHAnsi"/>
          <w:sz w:val="24"/>
          <w:szCs w:val="24"/>
        </w:rPr>
        <w:t xml:space="preserve">, we </w:t>
      </w:r>
      <w:r w:rsidR="001402C7">
        <w:rPr>
          <w:rFonts w:asciiTheme="majorHAnsi" w:hAnsiTheme="majorHAnsi"/>
          <w:sz w:val="24"/>
          <w:szCs w:val="24"/>
        </w:rPr>
        <w:t>use</w:t>
      </w:r>
      <w:r w:rsidRPr="00077CDF">
        <w:rPr>
          <w:rFonts w:asciiTheme="majorHAnsi" w:hAnsiTheme="majorHAnsi"/>
          <w:sz w:val="24"/>
          <w:szCs w:val="24"/>
        </w:rPr>
        <w:t xml:space="preserve"> a Computable General Equilibrium (CGE) </w:t>
      </w:r>
      <w:r w:rsidR="00782B5C" w:rsidRPr="00077CDF">
        <w:rPr>
          <w:rFonts w:asciiTheme="majorHAnsi" w:hAnsiTheme="majorHAnsi"/>
          <w:sz w:val="24"/>
          <w:szCs w:val="24"/>
        </w:rPr>
        <w:t xml:space="preserve">approach, specifically the </w:t>
      </w:r>
      <w:r w:rsidRPr="00077CDF">
        <w:rPr>
          <w:rFonts w:asciiTheme="majorHAnsi" w:hAnsiTheme="majorHAnsi"/>
          <w:sz w:val="24"/>
          <w:szCs w:val="24"/>
        </w:rPr>
        <w:t>GTAP</w:t>
      </w:r>
      <w:r w:rsidR="00782B5C" w:rsidRPr="00077CDF">
        <w:rPr>
          <w:rFonts w:asciiTheme="majorHAnsi" w:hAnsiTheme="majorHAnsi"/>
          <w:sz w:val="24"/>
          <w:szCs w:val="24"/>
        </w:rPr>
        <w:t xml:space="preserve"> model, which</w:t>
      </w:r>
      <w:r w:rsidRPr="00077CDF">
        <w:rPr>
          <w:rFonts w:asciiTheme="majorHAnsi" w:hAnsiTheme="majorHAnsi"/>
          <w:sz w:val="24"/>
          <w:szCs w:val="24"/>
        </w:rPr>
        <w:t xml:space="preserve"> a perfectly competitive comparative static CGE framework (Hertel, 1997).</w:t>
      </w:r>
    </w:p>
    <w:p w:rsidR="00B50B32" w:rsidRDefault="001402C7" w:rsidP="001402C7">
      <w:pPr>
        <w:spacing w:line="360" w:lineRule="auto"/>
        <w:jc w:val="both"/>
        <w:rPr>
          <w:rFonts w:asciiTheme="majorHAnsi" w:hAnsiTheme="majorHAnsi"/>
          <w:sz w:val="24"/>
          <w:szCs w:val="24"/>
          <w:lang w:val="en-US"/>
        </w:rPr>
      </w:pPr>
      <w:r>
        <w:rPr>
          <w:rFonts w:ascii="Book Antiqua" w:hAnsi="Book Antiqua"/>
          <w:lang w:val="en-US"/>
        </w:rPr>
        <w:t>T</w:t>
      </w:r>
      <w:r w:rsidRPr="00116BEC">
        <w:rPr>
          <w:rFonts w:ascii="Book Antiqua" w:hAnsi="Book Antiqua"/>
          <w:lang w:val="en-US"/>
        </w:rPr>
        <w:t xml:space="preserve">raditional trade statistics do not account for indirect trade which occurs indirectly via a </w:t>
      </w:r>
      <w:r w:rsidRPr="00405A93">
        <w:rPr>
          <w:rFonts w:ascii="Book Antiqua" w:hAnsi="Book Antiqua"/>
          <w:i/>
          <w:lang w:val="en-US"/>
        </w:rPr>
        <w:t>third</w:t>
      </w:r>
      <w:r w:rsidRPr="00116BEC">
        <w:rPr>
          <w:rFonts w:ascii="Book Antiqua" w:hAnsi="Book Antiqua"/>
          <w:lang w:val="en-US"/>
        </w:rPr>
        <w:t xml:space="preserve"> country.</w:t>
      </w:r>
      <w:r>
        <w:rPr>
          <w:rFonts w:ascii="Book Antiqua" w:hAnsi="Book Antiqua"/>
          <w:lang w:val="en-US"/>
        </w:rPr>
        <w:t xml:space="preserve"> </w:t>
      </w:r>
      <w:r w:rsidRPr="00116BEC">
        <w:rPr>
          <w:rFonts w:ascii="Book Antiqua" w:hAnsi="Book Antiqua"/>
          <w:bCs/>
          <w:iCs/>
          <w:lang w:val="en-US"/>
        </w:rPr>
        <w:t xml:space="preserve">In order to reckon with the structure in values which are embedded in gross flows, we use the insights of the IO economics and obtain the </w:t>
      </w:r>
      <w:r>
        <w:rPr>
          <w:rFonts w:ascii="Book Antiqua" w:hAnsi="Book Antiqua"/>
          <w:bCs/>
          <w:iCs/>
          <w:lang w:val="en-US"/>
        </w:rPr>
        <w:t>value-added</w:t>
      </w:r>
      <w:r w:rsidRPr="00116BEC">
        <w:rPr>
          <w:rFonts w:ascii="Book Antiqua" w:hAnsi="Book Antiqua"/>
          <w:bCs/>
          <w:iCs/>
          <w:lang w:val="en-US"/>
        </w:rPr>
        <w:t xml:space="preserve"> multipliers to be used in the decomposition.</w:t>
      </w:r>
      <w:r>
        <w:rPr>
          <w:rFonts w:ascii="Book Antiqua" w:hAnsi="Book Antiqua"/>
          <w:bCs/>
          <w:iCs/>
          <w:lang w:val="en-US"/>
        </w:rPr>
        <w:t xml:space="preserve"> I</w:t>
      </w:r>
      <w:r w:rsidR="00077CDF" w:rsidRPr="00077CDF">
        <w:rPr>
          <w:rFonts w:asciiTheme="majorHAnsi" w:hAnsiTheme="majorHAnsi" w:cs="Times New Roman"/>
          <w:bCs/>
          <w:sz w:val="24"/>
          <w:szCs w:val="24"/>
        </w:rPr>
        <w:t xml:space="preserve">n this work, we </w:t>
      </w:r>
      <w:r>
        <w:rPr>
          <w:rFonts w:asciiTheme="majorHAnsi" w:hAnsiTheme="majorHAnsi" w:cs="Times New Roman"/>
          <w:bCs/>
          <w:sz w:val="24"/>
          <w:szCs w:val="24"/>
        </w:rPr>
        <w:t>use</w:t>
      </w:r>
      <w:r w:rsidR="00077CDF" w:rsidRPr="00077CDF">
        <w:rPr>
          <w:rFonts w:asciiTheme="majorHAnsi" w:hAnsiTheme="majorHAnsi" w:cs="Times New Roman"/>
          <w:bCs/>
          <w:sz w:val="24"/>
          <w:szCs w:val="24"/>
        </w:rPr>
        <w:t xml:space="preserve"> an extension to the standard GTAP Model which allows </w:t>
      </w:r>
      <w:proofErr w:type="gramStart"/>
      <w:r w:rsidR="00077CDF" w:rsidRPr="00077CDF">
        <w:rPr>
          <w:rFonts w:asciiTheme="majorHAnsi" w:hAnsiTheme="majorHAnsi" w:cs="Times New Roman"/>
          <w:bCs/>
          <w:sz w:val="24"/>
          <w:szCs w:val="24"/>
        </w:rPr>
        <w:t>to result</w:t>
      </w:r>
      <w:proofErr w:type="gramEnd"/>
      <w:r w:rsidR="00077CDF" w:rsidRPr="00077CDF">
        <w:rPr>
          <w:rFonts w:asciiTheme="majorHAnsi" w:hAnsiTheme="majorHAnsi" w:cs="Times New Roman"/>
          <w:bCs/>
          <w:sz w:val="24"/>
          <w:szCs w:val="24"/>
        </w:rPr>
        <w:t xml:space="preserve"> the value-added content of gross flows from a source-based perspective, according to the country/sector of its origin. Specifically, the original variable for bilateral flows is split in three sub-components: </w:t>
      </w:r>
      <w:proofErr w:type="spellStart"/>
      <w:r w:rsidR="00077CDF" w:rsidRPr="00077CDF">
        <w:rPr>
          <w:rFonts w:asciiTheme="majorHAnsi" w:hAnsiTheme="majorHAnsi" w:cs="Times New Roman"/>
          <w:bCs/>
          <w:sz w:val="24"/>
          <w:szCs w:val="24"/>
        </w:rPr>
        <w:t>i</w:t>
      </w:r>
      <w:proofErr w:type="spellEnd"/>
      <w:r w:rsidR="00077CDF" w:rsidRPr="00077CDF">
        <w:rPr>
          <w:rFonts w:asciiTheme="majorHAnsi" w:hAnsiTheme="majorHAnsi" w:cs="Times New Roman"/>
          <w:bCs/>
          <w:sz w:val="24"/>
          <w:szCs w:val="24"/>
        </w:rPr>
        <w:t xml:space="preserve">) the (direct) foreign value-added originated in the exporting country, ii) the domestic value-added which is first exported and successively imported back after being processed abroad, and iii) the (indirect) foreign value-added of each third country which is indirectly imported. To obtain this decomposition, we introduce in the model the value-added multipliers, which combine the sectoral value-added shares in each country with the direct and indirect intermediate usage in the productive process. It allows us to </w:t>
      </w:r>
      <w:r w:rsidRPr="00077CDF">
        <w:rPr>
          <w:rFonts w:asciiTheme="majorHAnsi" w:hAnsiTheme="majorHAnsi"/>
          <w:sz w:val="24"/>
          <w:szCs w:val="24"/>
          <w:lang w:val="en-US"/>
        </w:rPr>
        <w:t>introduce</w:t>
      </w:r>
      <w:r w:rsidR="00077CDF" w:rsidRPr="00077CDF">
        <w:rPr>
          <w:rFonts w:asciiTheme="majorHAnsi" w:hAnsiTheme="majorHAnsi"/>
          <w:sz w:val="24"/>
          <w:szCs w:val="24"/>
          <w:lang w:val="en-US"/>
        </w:rPr>
        <w:t xml:space="preserve"> the value-added decomposition of gross bilateral flows.</w:t>
      </w:r>
    </w:p>
    <w:p w:rsidR="00B50B32" w:rsidRPr="00077CDF" w:rsidRDefault="00B50B32" w:rsidP="00077CDF">
      <w:pPr>
        <w:spacing w:line="360" w:lineRule="auto"/>
        <w:jc w:val="both"/>
        <w:rPr>
          <w:rFonts w:asciiTheme="majorHAnsi" w:hAnsiTheme="majorHAnsi" w:cs="Times New Roman"/>
          <w:bCs/>
          <w:sz w:val="24"/>
          <w:szCs w:val="24"/>
        </w:rPr>
      </w:pPr>
      <w:r w:rsidRPr="00077CDF">
        <w:rPr>
          <w:rFonts w:asciiTheme="majorHAnsi" w:hAnsiTheme="majorHAnsi" w:cs="Times New Roman"/>
          <w:bCs/>
          <w:sz w:val="24"/>
          <w:szCs w:val="24"/>
        </w:rPr>
        <w:t xml:space="preserve">To simulate the possible impact of a </w:t>
      </w:r>
      <w:r w:rsidR="00782B5C" w:rsidRPr="00077CDF">
        <w:rPr>
          <w:rFonts w:asciiTheme="majorHAnsi" w:hAnsiTheme="majorHAnsi"/>
          <w:sz w:val="24"/>
          <w:szCs w:val="24"/>
        </w:rPr>
        <w:t>"made in LDC" initiative</w:t>
      </w:r>
      <w:r w:rsidR="00782B5C" w:rsidRPr="00077CDF">
        <w:rPr>
          <w:rFonts w:asciiTheme="majorHAnsi" w:hAnsiTheme="majorHAnsi" w:cs="Times New Roman"/>
          <w:bCs/>
          <w:sz w:val="24"/>
          <w:szCs w:val="24"/>
        </w:rPr>
        <w:t xml:space="preserve"> </w:t>
      </w:r>
      <w:r w:rsidRPr="00077CDF">
        <w:rPr>
          <w:rFonts w:asciiTheme="majorHAnsi" w:hAnsiTheme="majorHAnsi" w:cs="Times New Roman"/>
          <w:bCs/>
          <w:sz w:val="24"/>
          <w:szCs w:val="24"/>
        </w:rPr>
        <w:t xml:space="preserve">we </w:t>
      </w:r>
      <w:r w:rsidR="00782B5C" w:rsidRPr="00077CDF">
        <w:rPr>
          <w:rFonts w:asciiTheme="majorHAnsi" w:hAnsiTheme="majorHAnsi" w:cs="Times New Roman"/>
          <w:bCs/>
          <w:sz w:val="24"/>
          <w:szCs w:val="24"/>
        </w:rPr>
        <w:t xml:space="preserve">applied a multilateral scenario, where a tariff cut is introduced </w:t>
      </w:r>
      <w:r w:rsidRPr="00077CDF">
        <w:rPr>
          <w:rFonts w:asciiTheme="majorHAnsi" w:hAnsiTheme="majorHAnsi" w:cs="Times New Roman"/>
          <w:bCs/>
          <w:sz w:val="24"/>
          <w:szCs w:val="24"/>
        </w:rPr>
        <w:t xml:space="preserve">according to the level of </w:t>
      </w:r>
      <w:r w:rsidR="00782B5C" w:rsidRPr="00077CDF">
        <w:rPr>
          <w:rFonts w:asciiTheme="majorHAnsi" w:hAnsiTheme="majorHAnsi" w:cs="Times New Roman"/>
          <w:bCs/>
          <w:sz w:val="24"/>
          <w:szCs w:val="24"/>
        </w:rPr>
        <w:t xml:space="preserve">LDC valued added </w:t>
      </w:r>
      <w:r w:rsidR="00782B5C" w:rsidRPr="00077CDF">
        <w:rPr>
          <w:rFonts w:asciiTheme="majorHAnsi" w:hAnsiTheme="majorHAnsi" w:cs="Times New Roman"/>
          <w:bCs/>
          <w:sz w:val="24"/>
          <w:szCs w:val="24"/>
        </w:rPr>
        <w:lastRenderedPageBreak/>
        <w:t>content in exports, i.e. e</w:t>
      </w:r>
      <w:r w:rsidRPr="00077CDF">
        <w:rPr>
          <w:rFonts w:asciiTheme="majorHAnsi" w:hAnsiTheme="majorHAnsi" w:cs="Times New Roman"/>
          <w:bCs/>
          <w:sz w:val="24"/>
          <w:szCs w:val="24"/>
        </w:rPr>
        <w:t xml:space="preserve">ach country receives a cut in tariffs, on a multilateral basis, on its exports according to the </w:t>
      </w:r>
      <w:r w:rsidR="00782B5C" w:rsidRPr="00077CDF">
        <w:rPr>
          <w:rFonts w:asciiTheme="majorHAnsi" w:hAnsiTheme="majorHAnsi" w:cs="Times New Roman"/>
          <w:bCs/>
          <w:sz w:val="24"/>
          <w:szCs w:val="24"/>
        </w:rPr>
        <w:t xml:space="preserve">LDC valued added </w:t>
      </w:r>
      <w:r w:rsidRPr="00077CDF">
        <w:rPr>
          <w:rFonts w:asciiTheme="majorHAnsi" w:hAnsiTheme="majorHAnsi" w:cs="Times New Roman"/>
          <w:bCs/>
          <w:sz w:val="24"/>
          <w:szCs w:val="24"/>
        </w:rPr>
        <w:t xml:space="preserve">embodied in the goods </w:t>
      </w:r>
      <w:r w:rsidR="00782B5C" w:rsidRPr="00077CDF">
        <w:rPr>
          <w:rFonts w:asciiTheme="majorHAnsi" w:hAnsiTheme="majorHAnsi" w:cs="Times New Roman"/>
          <w:bCs/>
          <w:sz w:val="24"/>
          <w:szCs w:val="24"/>
        </w:rPr>
        <w:t>exported</w:t>
      </w:r>
      <w:r w:rsidRPr="00077CDF">
        <w:rPr>
          <w:rFonts w:asciiTheme="majorHAnsi" w:hAnsiTheme="majorHAnsi" w:cs="Times New Roman"/>
          <w:bCs/>
          <w:sz w:val="24"/>
          <w:szCs w:val="24"/>
        </w:rPr>
        <w:t xml:space="preserve">. We refer to the </w:t>
      </w:r>
      <w:r w:rsidR="00077CDF" w:rsidRPr="00077CDF">
        <w:rPr>
          <w:rFonts w:asciiTheme="majorHAnsi" w:hAnsiTheme="majorHAnsi" w:cs="Times New Roman"/>
          <w:bCs/>
          <w:sz w:val="24"/>
          <w:szCs w:val="24"/>
        </w:rPr>
        <w:t>valued added</w:t>
      </w:r>
      <w:r w:rsidRPr="00077CDF">
        <w:rPr>
          <w:rFonts w:asciiTheme="majorHAnsi" w:hAnsiTheme="majorHAnsi" w:cs="Times New Roman"/>
          <w:bCs/>
          <w:sz w:val="24"/>
          <w:szCs w:val="24"/>
        </w:rPr>
        <w:t xml:space="preserve"> content as the </w:t>
      </w:r>
      <w:r w:rsidR="00077CDF" w:rsidRPr="00077CDF">
        <w:rPr>
          <w:rFonts w:asciiTheme="majorHAnsi" w:hAnsiTheme="majorHAnsi" w:cs="Times New Roman"/>
          <w:bCs/>
          <w:sz w:val="24"/>
          <w:szCs w:val="24"/>
        </w:rPr>
        <w:t xml:space="preserve">LDC </w:t>
      </w:r>
      <w:r w:rsidRPr="00077CDF">
        <w:rPr>
          <w:rFonts w:asciiTheme="majorHAnsi" w:hAnsiTheme="majorHAnsi" w:cs="Times New Roman"/>
          <w:bCs/>
          <w:sz w:val="24"/>
          <w:szCs w:val="24"/>
        </w:rPr>
        <w:t xml:space="preserve">value </w:t>
      </w:r>
      <w:r w:rsidR="00077CDF" w:rsidRPr="00077CDF">
        <w:rPr>
          <w:rFonts w:asciiTheme="majorHAnsi" w:hAnsiTheme="majorHAnsi" w:cs="Times New Roman"/>
          <w:bCs/>
          <w:sz w:val="24"/>
          <w:szCs w:val="24"/>
        </w:rPr>
        <w:t>added</w:t>
      </w:r>
      <w:r w:rsidRPr="00077CDF">
        <w:rPr>
          <w:rFonts w:asciiTheme="majorHAnsi" w:hAnsiTheme="majorHAnsi" w:cs="Times New Roman"/>
          <w:bCs/>
          <w:sz w:val="24"/>
          <w:szCs w:val="24"/>
        </w:rPr>
        <w:t xml:space="preserve"> embodied in a physical good which could be exempted from paying tariffs. In other words, if a good is taxed at the border by "</w:t>
      </w:r>
      <w:r w:rsidRPr="00077CDF">
        <w:rPr>
          <w:rFonts w:asciiTheme="majorHAnsi" w:hAnsiTheme="majorHAnsi" w:cs="Times New Roman"/>
          <w:bCs/>
          <w:i/>
          <w:sz w:val="24"/>
          <w:szCs w:val="24"/>
        </w:rPr>
        <w:t>% ad valorem tariffs</w:t>
      </w:r>
      <w:r w:rsidRPr="00077CDF">
        <w:rPr>
          <w:rFonts w:asciiTheme="majorHAnsi" w:hAnsiTheme="majorHAnsi" w:cs="Times New Roman"/>
          <w:bCs/>
          <w:sz w:val="24"/>
          <w:szCs w:val="24"/>
        </w:rPr>
        <w:t>", a cut by "</w:t>
      </w:r>
      <w:r w:rsidRPr="00077CDF">
        <w:rPr>
          <w:rFonts w:asciiTheme="majorHAnsi" w:hAnsiTheme="majorHAnsi" w:cs="Times New Roman"/>
          <w:bCs/>
          <w:i/>
          <w:sz w:val="24"/>
          <w:szCs w:val="24"/>
        </w:rPr>
        <w:t>% share</w:t>
      </w:r>
      <w:r w:rsidRPr="00077CDF">
        <w:rPr>
          <w:rFonts w:asciiTheme="majorHAnsi" w:hAnsiTheme="majorHAnsi" w:cs="Times New Roman"/>
          <w:bCs/>
          <w:sz w:val="24"/>
          <w:szCs w:val="24"/>
        </w:rPr>
        <w:t xml:space="preserve">" of </w:t>
      </w:r>
      <w:r w:rsidR="00077CDF" w:rsidRPr="00077CDF">
        <w:rPr>
          <w:rFonts w:asciiTheme="majorHAnsi" w:hAnsiTheme="majorHAnsi" w:cs="Times New Roman"/>
          <w:bCs/>
          <w:sz w:val="24"/>
          <w:szCs w:val="24"/>
        </w:rPr>
        <w:t xml:space="preserve">LDC value added </w:t>
      </w:r>
      <w:r w:rsidRPr="00077CDF">
        <w:rPr>
          <w:rFonts w:asciiTheme="majorHAnsi" w:hAnsiTheme="majorHAnsi" w:cs="Times New Roman"/>
          <w:bCs/>
          <w:sz w:val="24"/>
          <w:szCs w:val="24"/>
        </w:rPr>
        <w:t>content is applied.</w:t>
      </w:r>
    </w:p>
    <w:sectPr w:rsidR="00B50B32" w:rsidRPr="00077C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B32" w:rsidRDefault="00B50B32" w:rsidP="00B50B32">
      <w:pPr>
        <w:spacing w:after="0" w:line="240" w:lineRule="auto"/>
      </w:pPr>
      <w:r>
        <w:separator/>
      </w:r>
    </w:p>
  </w:endnote>
  <w:endnote w:type="continuationSeparator" w:id="0">
    <w:p w:rsidR="00B50B32" w:rsidRDefault="00B50B32" w:rsidP="00B50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B32" w:rsidRDefault="00B50B32" w:rsidP="00B50B32">
      <w:pPr>
        <w:spacing w:after="0" w:line="240" w:lineRule="auto"/>
      </w:pPr>
      <w:r>
        <w:separator/>
      </w:r>
    </w:p>
  </w:footnote>
  <w:footnote w:type="continuationSeparator" w:id="0">
    <w:p w:rsidR="00B50B32" w:rsidRDefault="00B50B32" w:rsidP="00B50B32">
      <w:pPr>
        <w:spacing w:after="0" w:line="240" w:lineRule="auto"/>
      </w:pPr>
      <w:r>
        <w:continuationSeparator/>
      </w:r>
    </w:p>
  </w:footnote>
  <w:footnote w:id="1">
    <w:p w:rsidR="000B19C6" w:rsidRDefault="000B19C6">
      <w:pPr>
        <w:pStyle w:val="FootnoteText"/>
      </w:pPr>
      <w:r>
        <w:rPr>
          <w:rStyle w:val="FootnoteReference"/>
        </w:rPr>
        <w:footnoteRef/>
      </w:r>
      <w:r>
        <w:t xml:space="preserve"> </w:t>
      </w:r>
      <w:r w:rsidRPr="000B19C6">
        <w:t>DG TRADE, European Commission. The views expressed herein are those of the authors and do not necessarily reflect an official position of the European Commission.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B32"/>
    <w:rsid w:val="00077CDF"/>
    <w:rsid w:val="000A15A3"/>
    <w:rsid w:val="000B19C6"/>
    <w:rsid w:val="001402C7"/>
    <w:rsid w:val="003B5549"/>
    <w:rsid w:val="006B3D9C"/>
    <w:rsid w:val="00782B5C"/>
    <w:rsid w:val="008B1F6E"/>
    <w:rsid w:val="00B50B32"/>
    <w:rsid w:val="00CC4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50B32"/>
    <w:rPr>
      <w:u w:val="single"/>
    </w:rPr>
  </w:style>
  <w:style w:type="paragraph" w:styleId="FootnoteText">
    <w:name w:val="footnote text"/>
    <w:aliases w:val="Fußnote,Char Char Car,Fußnotentextf,Note de bas de page Car Car Car Car Car Car Car Car Car Car,Note de bas de page Car Car Car Car,Note de bas de page Car Car Car Car Car Car Car Car Car,ft,fn,Schriftart: 9 pt,Schriftart: 10 pt,o"/>
    <w:link w:val="FootnoteTextChar"/>
    <w:uiPriority w:val="99"/>
    <w:qFormat/>
    <w:rsid w:val="00B50B32"/>
    <w:pPr>
      <w:pBdr>
        <w:top w:val="nil"/>
        <w:left w:val="nil"/>
        <w:bottom w:val="nil"/>
        <w:right w:val="nil"/>
        <w:between w:val="nil"/>
        <w:bar w:val="nil"/>
      </w:pBdr>
      <w:spacing w:after="120" w:line="240" w:lineRule="auto"/>
      <w:jc w:val="both"/>
    </w:pPr>
    <w:rPr>
      <w:rFonts w:ascii="Calibri" w:eastAsia="Times New Roman" w:hAnsi="Calibri" w:cs="Calibri"/>
      <w:color w:val="000000"/>
      <w:sz w:val="20"/>
      <w:szCs w:val="20"/>
      <w:u w:color="000000"/>
      <w:bdr w:val="nil"/>
      <w:lang w:eastAsia="en-GB"/>
    </w:rPr>
  </w:style>
  <w:style w:type="character" w:customStyle="1" w:styleId="FootnoteTextChar">
    <w:name w:val="Footnote Text Char"/>
    <w:aliases w:val="Fußnote Char,Char Char Car Char,Fußnotentextf Char,Note de bas de page Car Car Car Car Car Car Car Car Car Car Char,Note de bas de page Car Car Car Car Char,Note de bas de page Car Car Car Car Car Car Car Car Car Char,ft Char,fn Char"/>
    <w:basedOn w:val="DefaultParagraphFont"/>
    <w:link w:val="FootnoteText"/>
    <w:uiPriority w:val="99"/>
    <w:rsid w:val="00B50B32"/>
    <w:rPr>
      <w:rFonts w:ascii="Calibri" w:eastAsia="Times New Roman" w:hAnsi="Calibri" w:cs="Calibri"/>
      <w:color w:val="000000"/>
      <w:sz w:val="20"/>
      <w:szCs w:val="20"/>
      <w:u w:color="000000"/>
      <w:bdr w:val="nil"/>
      <w:lang w:eastAsia="en-GB"/>
    </w:rPr>
  </w:style>
  <w:style w:type="character" w:styleId="FootnoteReference">
    <w:name w:val="footnote reference"/>
    <w:aliases w:val="Footnote Reference Superscript,EN Footnote Reference,number,SUPERS,Odwołanie przypisu,Footnote symbol,Footnote reference number,Times 10 Point,Exposant 3 Point,note TESI,BVI fnr,Voetnootverwijzing,Footnote Reference/,ftref,FR, BVI fnr"/>
    <w:uiPriority w:val="99"/>
    <w:unhideWhenUsed/>
    <w:qFormat/>
    <w:rsid w:val="00B50B3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50B32"/>
    <w:rPr>
      <w:u w:val="single"/>
    </w:rPr>
  </w:style>
  <w:style w:type="paragraph" w:styleId="FootnoteText">
    <w:name w:val="footnote text"/>
    <w:aliases w:val="Fußnote,Char Char Car,Fußnotentextf,Note de bas de page Car Car Car Car Car Car Car Car Car Car,Note de bas de page Car Car Car Car,Note de bas de page Car Car Car Car Car Car Car Car Car,ft,fn,Schriftart: 9 pt,Schriftart: 10 pt,o"/>
    <w:link w:val="FootnoteTextChar"/>
    <w:uiPriority w:val="99"/>
    <w:qFormat/>
    <w:rsid w:val="00B50B32"/>
    <w:pPr>
      <w:pBdr>
        <w:top w:val="nil"/>
        <w:left w:val="nil"/>
        <w:bottom w:val="nil"/>
        <w:right w:val="nil"/>
        <w:between w:val="nil"/>
        <w:bar w:val="nil"/>
      </w:pBdr>
      <w:spacing w:after="120" w:line="240" w:lineRule="auto"/>
      <w:jc w:val="both"/>
    </w:pPr>
    <w:rPr>
      <w:rFonts w:ascii="Calibri" w:eastAsia="Times New Roman" w:hAnsi="Calibri" w:cs="Calibri"/>
      <w:color w:val="000000"/>
      <w:sz w:val="20"/>
      <w:szCs w:val="20"/>
      <w:u w:color="000000"/>
      <w:bdr w:val="nil"/>
      <w:lang w:eastAsia="en-GB"/>
    </w:rPr>
  </w:style>
  <w:style w:type="character" w:customStyle="1" w:styleId="FootnoteTextChar">
    <w:name w:val="Footnote Text Char"/>
    <w:aliases w:val="Fußnote Char,Char Char Car Char,Fußnotentextf Char,Note de bas de page Car Car Car Car Car Car Car Car Car Car Char,Note de bas de page Car Car Car Car Char,Note de bas de page Car Car Car Car Car Car Car Car Car Char,ft Char,fn Char"/>
    <w:basedOn w:val="DefaultParagraphFont"/>
    <w:link w:val="FootnoteText"/>
    <w:uiPriority w:val="99"/>
    <w:rsid w:val="00B50B32"/>
    <w:rPr>
      <w:rFonts w:ascii="Calibri" w:eastAsia="Times New Roman" w:hAnsi="Calibri" w:cs="Calibri"/>
      <w:color w:val="000000"/>
      <w:sz w:val="20"/>
      <w:szCs w:val="20"/>
      <w:u w:color="000000"/>
      <w:bdr w:val="nil"/>
      <w:lang w:eastAsia="en-GB"/>
    </w:rPr>
  </w:style>
  <w:style w:type="character" w:styleId="FootnoteReference">
    <w:name w:val="footnote reference"/>
    <w:aliases w:val="Footnote Reference Superscript,EN Footnote Reference,number,SUPERS,Odwołanie przypisu,Footnote symbol,Footnote reference number,Times 10 Point,Exposant 3 Point,note TESI,BVI fnr,Voetnootverwijzing,Footnote Reference/,ftref,FR, BVI fnr"/>
    <w:uiPriority w:val="99"/>
    <w:unhideWhenUsed/>
    <w:qFormat/>
    <w:rsid w:val="00B50B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E427A-AC5E-4599-80C5-FA2707300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4</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ANTIMIANI Alessandro (TRADE)</dc:creator>
  <cp:lastModifiedBy>ANTIMIANI Alessandro (TRADE)</cp:lastModifiedBy>
  <cp:revision>9</cp:revision>
  <dcterms:created xsi:type="dcterms:W3CDTF">2018-01-09T08:18:00Z</dcterms:created>
  <dcterms:modified xsi:type="dcterms:W3CDTF">2018-01-11T08:59:00Z</dcterms:modified>
</cp:coreProperties>
</file>