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6A7" w:rsidRPr="00EB27BA" w:rsidRDefault="001856A7" w:rsidP="00EB27BA">
      <w:pPr>
        <w:spacing w:after="0" w:line="240" w:lineRule="auto"/>
        <w:jc w:val="center"/>
        <w:rPr>
          <w:rFonts w:ascii="Times New Roman" w:hAnsi="Times New Roman" w:cs="Times New Roman"/>
          <w:b/>
          <w:sz w:val="24"/>
          <w:szCs w:val="24"/>
        </w:rPr>
      </w:pPr>
      <w:r w:rsidRPr="00EB27BA">
        <w:rPr>
          <w:rFonts w:ascii="Times New Roman" w:hAnsi="Times New Roman" w:cs="Times New Roman"/>
          <w:b/>
          <w:sz w:val="24"/>
          <w:szCs w:val="24"/>
        </w:rPr>
        <w:t>Converting an Armington model into a Melitz model: giving Melitz sectors to GTAP</w:t>
      </w:r>
    </w:p>
    <w:p w:rsidR="00EB27BA" w:rsidRPr="00EB27BA" w:rsidRDefault="00EB27BA" w:rsidP="00EB27BA">
      <w:pPr>
        <w:spacing w:after="0" w:line="240" w:lineRule="auto"/>
        <w:jc w:val="center"/>
        <w:rPr>
          <w:rFonts w:ascii="Times New Roman" w:hAnsi="Times New Roman" w:cs="Times New Roman"/>
          <w:b/>
          <w:sz w:val="24"/>
          <w:szCs w:val="24"/>
        </w:rPr>
      </w:pPr>
    </w:p>
    <w:p w:rsidR="00EB27BA" w:rsidRPr="00EB27BA" w:rsidRDefault="00EB27BA" w:rsidP="00EB27BA">
      <w:pPr>
        <w:spacing w:after="0" w:line="240" w:lineRule="auto"/>
        <w:jc w:val="center"/>
        <w:rPr>
          <w:rFonts w:ascii="Times New Roman" w:hAnsi="Times New Roman" w:cs="Times New Roman"/>
          <w:b/>
          <w:sz w:val="24"/>
          <w:szCs w:val="24"/>
        </w:rPr>
      </w:pPr>
      <w:r w:rsidRPr="00EB27BA">
        <w:rPr>
          <w:rFonts w:ascii="Times New Roman" w:hAnsi="Times New Roman" w:cs="Times New Roman"/>
          <w:b/>
          <w:sz w:val="24"/>
          <w:szCs w:val="24"/>
        </w:rPr>
        <w:t>By Peter B. Dixon, Michael Jerie and Maureen T. Rimmer</w:t>
      </w:r>
    </w:p>
    <w:p w:rsidR="00EB27BA" w:rsidRPr="00EB27BA" w:rsidRDefault="00EB27BA" w:rsidP="00EB27BA">
      <w:pPr>
        <w:spacing w:after="0" w:line="240" w:lineRule="auto"/>
        <w:jc w:val="center"/>
        <w:rPr>
          <w:rFonts w:ascii="Times New Roman" w:hAnsi="Times New Roman" w:cs="Times New Roman"/>
          <w:b/>
          <w:sz w:val="24"/>
          <w:szCs w:val="24"/>
        </w:rPr>
      </w:pPr>
      <w:r w:rsidRPr="00EB27BA">
        <w:rPr>
          <w:rFonts w:ascii="Times New Roman" w:hAnsi="Times New Roman" w:cs="Times New Roman"/>
          <w:b/>
          <w:sz w:val="24"/>
          <w:szCs w:val="24"/>
        </w:rPr>
        <w:t>Centre of Policy Studies, Victoria University</w:t>
      </w:r>
    </w:p>
    <w:p w:rsidR="00EB27BA" w:rsidRPr="00EB27BA" w:rsidRDefault="00EB27BA" w:rsidP="00EB27BA">
      <w:pPr>
        <w:spacing w:after="0" w:line="240" w:lineRule="auto"/>
        <w:jc w:val="center"/>
        <w:rPr>
          <w:rFonts w:ascii="Times New Roman" w:hAnsi="Times New Roman" w:cs="Times New Roman"/>
          <w:b/>
          <w:sz w:val="24"/>
          <w:szCs w:val="24"/>
        </w:rPr>
      </w:pPr>
    </w:p>
    <w:p w:rsidR="00EB27BA" w:rsidRPr="00EB27BA" w:rsidRDefault="00EB27BA" w:rsidP="00EB27BA">
      <w:pPr>
        <w:spacing w:after="0" w:line="240" w:lineRule="auto"/>
        <w:jc w:val="center"/>
        <w:rPr>
          <w:rFonts w:ascii="Times New Roman" w:hAnsi="Times New Roman" w:cs="Times New Roman"/>
          <w:b/>
          <w:sz w:val="24"/>
          <w:szCs w:val="24"/>
        </w:rPr>
      </w:pPr>
      <w:r w:rsidRPr="00EB27BA">
        <w:rPr>
          <w:rFonts w:ascii="Times New Roman" w:hAnsi="Times New Roman" w:cs="Times New Roman"/>
          <w:b/>
          <w:sz w:val="24"/>
          <w:szCs w:val="24"/>
        </w:rPr>
        <w:t>April 13, 2018</w:t>
      </w:r>
    </w:p>
    <w:p w:rsidR="007F1570" w:rsidRPr="00EB27BA" w:rsidRDefault="00EB27BA" w:rsidP="00890108">
      <w:pPr>
        <w:spacing w:before="120" w:after="0" w:line="240" w:lineRule="auto"/>
        <w:rPr>
          <w:rFonts w:ascii="Times New Roman" w:hAnsi="Times New Roman" w:cs="Times New Roman"/>
          <w:bCs/>
          <w:sz w:val="24"/>
          <w:szCs w:val="24"/>
        </w:rPr>
      </w:pPr>
      <w:r w:rsidRPr="00EB27BA">
        <w:rPr>
          <w:rFonts w:ascii="Times New Roman" w:hAnsi="Times New Roman" w:cs="Times New Roman"/>
          <w:bCs/>
          <w:sz w:val="24"/>
          <w:szCs w:val="24"/>
        </w:rPr>
        <w:t xml:space="preserve">This paper consists of  excerpts from Chapter 7 in our book titled </w:t>
      </w:r>
      <w:r w:rsidRPr="00EB27BA">
        <w:rPr>
          <w:rFonts w:ascii="Times New Roman" w:hAnsi="Times New Roman" w:cs="Times New Roman"/>
          <w:bCs/>
          <w:i/>
          <w:sz w:val="24"/>
          <w:szCs w:val="24"/>
        </w:rPr>
        <w:t>Trade Theory in Computable General Equilibrium Models: Armington, Krugman and Melitz</w:t>
      </w:r>
      <w:r w:rsidRPr="00EB27BA">
        <w:rPr>
          <w:rFonts w:ascii="Times New Roman" w:hAnsi="Times New Roman" w:cs="Times New Roman"/>
          <w:bCs/>
          <w:sz w:val="24"/>
          <w:szCs w:val="24"/>
        </w:rPr>
        <w:t xml:space="preserve">, published by Springer in April 2018.  Readers who want the whole story and the GEMPACK code for our models should go to the book.  </w:t>
      </w:r>
    </w:p>
    <w:p w:rsidR="007F1570" w:rsidRPr="00890108" w:rsidRDefault="007F1570" w:rsidP="00890108">
      <w:pPr>
        <w:spacing w:before="120" w:after="0" w:line="240" w:lineRule="auto"/>
        <w:rPr>
          <w:rFonts w:ascii="Times New Roman" w:hAnsi="Times New Roman" w:cs="Times New Roman"/>
          <w:b/>
          <w:bCs/>
          <w:sz w:val="32"/>
          <w:szCs w:val="32"/>
        </w:rPr>
      </w:pPr>
    </w:p>
    <w:p w:rsidR="00DB23EC" w:rsidRPr="000371B4" w:rsidRDefault="00890108" w:rsidP="00134739">
      <w:pPr>
        <w:spacing w:after="0"/>
        <w:jc w:val="both"/>
        <w:rPr>
          <w:rFonts w:ascii="Times New Roman" w:hAnsi="Times New Roman" w:cs="Times New Roman"/>
          <w:sz w:val="28"/>
          <w:szCs w:val="28"/>
        </w:rPr>
      </w:pPr>
      <w:r w:rsidRPr="00890108">
        <w:rPr>
          <w:rFonts w:ascii="Times New Roman" w:hAnsi="Times New Roman" w:cs="Times New Roman"/>
          <w:b/>
          <w:bCs/>
          <w:sz w:val="24"/>
          <w:szCs w:val="24"/>
        </w:rPr>
        <w:t xml:space="preserve">Abstract  </w:t>
      </w:r>
      <w:r w:rsidR="000371B4">
        <w:rPr>
          <w:rFonts w:ascii="Times New Roman" w:hAnsi="Times New Roman" w:cs="Times New Roman"/>
          <w:bCs/>
          <w:sz w:val="24"/>
          <w:szCs w:val="24"/>
        </w:rPr>
        <w:t>This chapter describes how to convert an existing Armington CGE model into a Melitz CGE model with minimal changes to the original Armington model.  The main task is to add equations to the bottom of the Armington model to form what we call an Armington-to-Melitz or A2M system.  With an A2M system, industries can be switched between Armington and Melitz treatments by closure swaps.  We use BasicArmington (a simple Armington model) to explain how to create an A2M system.  Then we apply the method to a 10-region, 57</w:t>
      </w:r>
      <w:r w:rsidR="0010658C">
        <w:rPr>
          <w:rFonts w:ascii="Times New Roman" w:hAnsi="Times New Roman" w:cs="Times New Roman"/>
          <w:bCs/>
          <w:sz w:val="24"/>
          <w:szCs w:val="24"/>
        </w:rPr>
        <w:t>-</w:t>
      </w:r>
      <w:r w:rsidR="000371B4">
        <w:rPr>
          <w:rFonts w:ascii="Times New Roman" w:hAnsi="Times New Roman" w:cs="Times New Roman"/>
          <w:bCs/>
          <w:sz w:val="24"/>
          <w:szCs w:val="24"/>
        </w:rPr>
        <w:t xml:space="preserve">commodity version of the frequently applied policy-oriented GTAP model to create a GTAP-A2M system. </w:t>
      </w:r>
      <w:r w:rsidR="00E14225">
        <w:rPr>
          <w:rFonts w:ascii="Times New Roman" w:hAnsi="Times New Roman" w:cs="Times New Roman"/>
          <w:bCs/>
          <w:sz w:val="24"/>
          <w:szCs w:val="24"/>
        </w:rPr>
        <w:t xml:space="preserve"> </w:t>
      </w:r>
      <w:r w:rsidR="00575E14">
        <w:rPr>
          <w:rFonts w:ascii="Times New Roman" w:hAnsi="Times New Roman" w:cs="Times New Roman"/>
          <w:bCs/>
          <w:sz w:val="24"/>
          <w:szCs w:val="24"/>
        </w:rPr>
        <w:t>Using this system, we compare the effects under Armington and Melitz assumptions of a tariff imposed by N</w:t>
      </w:r>
      <w:r w:rsidR="0010658C">
        <w:rPr>
          <w:rFonts w:ascii="Times New Roman" w:hAnsi="Times New Roman" w:cs="Times New Roman"/>
          <w:bCs/>
          <w:sz w:val="24"/>
          <w:szCs w:val="24"/>
        </w:rPr>
        <w:t xml:space="preserve">orth </w:t>
      </w:r>
      <w:r w:rsidR="00575E14">
        <w:rPr>
          <w:rFonts w:ascii="Times New Roman" w:hAnsi="Times New Roman" w:cs="Times New Roman"/>
          <w:bCs/>
          <w:sz w:val="24"/>
          <w:szCs w:val="24"/>
        </w:rPr>
        <w:t xml:space="preserve">America on imports of wearing apparel (Wap).  To facilitate </w:t>
      </w:r>
      <w:r w:rsidR="0010658C">
        <w:rPr>
          <w:rFonts w:ascii="Times New Roman" w:hAnsi="Times New Roman" w:cs="Times New Roman"/>
          <w:bCs/>
          <w:sz w:val="24"/>
          <w:szCs w:val="24"/>
        </w:rPr>
        <w:t xml:space="preserve">the </w:t>
      </w:r>
      <w:r w:rsidR="00575E14">
        <w:rPr>
          <w:rFonts w:ascii="Times New Roman" w:hAnsi="Times New Roman" w:cs="Times New Roman"/>
          <w:bCs/>
          <w:sz w:val="24"/>
          <w:szCs w:val="24"/>
        </w:rPr>
        <w:t>comparison, we decompose the welfare effects for each region into parts attributable to changes in employment, terms of trade and scale</w:t>
      </w:r>
      <w:r w:rsidR="0065186F">
        <w:rPr>
          <w:rFonts w:ascii="Times New Roman" w:hAnsi="Times New Roman" w:cs="Times New Roman"/>
          <w:bCs/>
          <w:sz w:val="24"/>
          <w:szCs w:val="24"/>
        </w:rPr>
        <w:t>-</w:t>
      </w:r>
      <w:r w:rsidR="00575E14">
        <w:rPr>
          <w:rFonts w:ascii="Times New Roman" w:hAnsi="Times New Roman" w:cs="Times New Roman"/>
          <w:bCs/>
          <w:sz w:val="24"/>
          <w:szCs w:val="24"/>
        </w:rPr>
        <w:t xml:space="preserve">related efficiency.  </w:t>
      </w:r>
      <w:r w:rsidR="00E14225">
        <w:rPr>
          <w:rFonts w:ascii="Times New Roman" w:hAnsi="Times New Roman" w:cs="Times New Roman"/>
          <w:bCs/>
          <w:sz w:val="24"/>
          <w:szCs w:val="24"/>
        </w:rPr>
        <w:t xml:space="preserve">This helps us to understand how each of these factors operates under Armington and Melitz, but it does not give us an intuitive explanation of their net outcome.  To explain net outcomes for welfare effects by region we set out an intuitive overarching theory.  We check its validity by back-of-the-envelope (BOTE) calculations using GTAP data items and selected simulation results.  </w:t>
      </w:r>
      <w:r w:rsidR="00E14225">
        <w:rPr>
          <w:rFonts w:ascii="Times New Roman" w:hAnsi="Times New Roman" w:cs="Times New Roman"/>
          <w:sz w:val="24"/>
          <w:szCs w:val="24"/>
        </w:rPr>
        <w:t>BOTE calculations enable us to cut through the maze of complications in CGE models to locate</w:t>
      </w:r>
      <w:r w:rsidR="0065186F">
        <w:rPr>
          <w:rFonts w:ascii="Times New Roman" w:hAnsi="Times New Roman" w:cs="Times New Roman"/>
          <w:sz w:val="24"/>
          <w:szCs w:val="24"/>
        </w:rPr>
        <w:t>,</w:t>
      </w:r>
      <w:r w:rsidR="00E14225">
        <w:rPr>
          <w:rFonts w:ascii="Times New Roman" w:hAnsi="Times New Roman" w:cs="Times New Roman"/>
          <w:sz w:val="24"/>
          <w:szCs w:val="24"/>
        </w:rPr>
        <w:t xml:space="preserve"> for any specific result</w:t>
      </w:r>
      <w:r w:rsidR="0065186F">
        <w:rPr>
          <w:rFonts w:ascii="Times New Roman" w:hAnsi="Times New Roman" w:cs="Times New Roman"/>
          <w:sz w:val="24"/>
          <w:szCs w:val="24"/>
        </w:rPr>
        <w:t>,</w:t>
      </w:r>
      <w:r w:rsidR="00E14225">
        <w:rPr>
          <w:rFonts w:ascii="Times New Roman" w:hAnsi="Times New Roman" w:cs="Times New Roman"/>
          <w:sz w:val="24"/>
          <w:szCs w:val="24"/>
        </w:rPr>
        <w:t xml:space="preserve"> the essential underlying ingredients. </w:t>
      </w:r>
      <w:r w:rsidR="000371B4">
        <w:rPr>
          <w:rFonts w:ascii="Times New Roman" w:hAnsi="Times New Roman" w:cs="Times New Roman"/>
          <w:bCs/>
          <w:sz w:val="24"/>
          <w:szCs w:val="24"/>
        </w:rPr>
        <w:t xml:space="preserve"> </w:t>
      </w:r>
    </w:p>
    <w:p w:rsidR="001856A7" w:rsidRPr="001856A7" w:rsidRDefault="001856A7" w:rsidP="001856A7">
      <w:pPr>
        <w:spacing w:after="0"/>
        <w:rPr>
          <w:rFonts w:ascii="Times New Roman" w:hAnsi="Times New Roman" w:cs="Times New Roman"/>
          <w:bCs/>
          <w:sz w:val="24"/>
          <w:szCs w:val="24"/>
          <w:lang w:val="en-AU"/>
        </w:rPr>
      </w:pPr>
    </w:p>
    <w:p w:rsidR="001856A7" w:rsidRDefault="001856A7" w:rsidP="003C42F5">
      <w:pPr>
        <w:spacing w:after="0"/>
        <w:ind w:left="1134" w:hanging="1134"/>
        <w:rPr>
          <w:rFonts w:ascii="Times New Roman" w:hAnsi="Times New Roman" w:cs="Times New Roman"/>
          <w:bCs/>
          <w:sz w:val="24"/>
          <w:szCs w:val="24"/>
          <w:lang w:val="en-AU"/>
        </w:rPr>
      </w:pPr>
      <w:r w:rsidRPr="001856A7">
        <w:rPr>
          <w:rFonts w:ascii="Times New Roman" w:hAnsi="Times New Roman" w:cs="Times New Roman"/>
          <w:b/>
          <w:bCs/>
          <w:sz w:val="24"/>
          <w:szCs w:val="24"/>
          <w:lang w:val="en-AU"/>
        </w:rPr>
        <w:t xml:space="preserve">Keywords  </w:t>
      </w:r>
      <w:r w:rsidR="003C42F5">
        <w:rPr>
          <w:rFonts w:ascii="Times New Roman" w:eastAsia="SimSun" w:hAnsi="Times New Roman" w:cs="Arial"/>
          <w:bCs/>
          <w:color w:val="000000" w:themeColor="text1"/>
          <w:kern w:val="20"/>
          <w:sz w:val="24"/>
          <w:szCs w:val="24"/>
          <w:lang w:val="en-AU" w:eastAsia="zh-CN"/>
        </w:rPr>
        <w:t>Converting Armington to Melitz</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sidRPr="003C42F5">
        <w:rPr>
          <w:rFonts w:ascii="Times New Roman" w:eastAsia="SimSun" w:hAnsi="Times New Roman" w:cs="Times New Roman"/>
          <w:b/>
          <w:bCs/>
          <w:color w:val="000000" w:themeColor="text1"/>
          <w:kern w:val="20"/>
          <w:sz w:val="28"/>
          <w:szCs w:val="28"/>
          <w:lang w:val="en-AU" w:eastAsia="zh-CN"/>
        </w:rPr>
        <w:t>·</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Pr>
          <w:rFonts w:ascii="Times New Roman" w:eastAsia="SimSun" w:hAnsi="Times New Roman" w:cs="Arial"/>
          <w:bCs/>
          <w:color w:val="000000" w:themeColor="text1"/>
          <w:kern w:val="20"/>
          <w:sz w:val="24"/>
          <w:szCs w:val="24"/>
          <w:lang w:val="en-AU" w:eastAsia="zh-CN"/>
        </w:rPr>
        <w:t>BasicArmington-A2M system</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sidRPr="003C42F5">
        <w:rPr>
          <w:rFonts w:ascii="Times New Roman" w:eastAsia="SimSun" w:hAnsi="Times New Roman" w:cs="Times New Roman"/>
          <w:b/>
          <w:bCs/>
          <w:color w:val="000000" w:themeColor="text1"/>
          <w:kern w:val="20"/>
          <w:sz w:val="28"/>
          <w:szCs w:val="28"/>
          <w:lang w:val="en-AU" w:eastAsia="zh-CN"/>
        </w:rPr>
        <w:t>·</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Pr>
          <w:rFonts w:ascii="Times New Roman" w:eastAsia="SimSun" w:hAnsi="Times New Roman" w:cs="Arial"/>
          <w:bCs/>
          <w:color w:val="000000" w:themeColor="text1"/>
          <w:kern w:val="20"/>
          <w:sz w:val="24"/>
          <w:szCs w:val="24"/>
          <w:lang w:val="en-AU" w:eastAsia="zh-CN"/>
        </w:rPr>
        <w:t>GTAP-A2M system</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sidRPr="003C42F5">
        <w:rPr>
          <w:rFonts w:ascii="Times New Roman" w:eastAsia="SimSun" w:hAnsi="Times New Roman" w:cs="Times New Roman"/>
          <w:b/>
          <w:bCs/>
          <w:color w:val="000000" w:themeColor="text1"/>
          <w:kern w:val="20"/>
          <w:sz w:val="28"/>
          <w:szCs w:val="28"/>
          <w:lang w:val="en-AU" w:eastAsia="zh-CN"/>
        </w:rPr>
        <w:t>·</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Pr>
          <w:rFonts w:ascii="Times New Roman" w:eastAsia="SimSun" w:hAnsi="Times New Roman" w:cs="Arial"/>
          <w:bCs/>
          <w:color w:val="000000" w:themeColor="text1"/>
          <w:kern w:val="20"/>
          <w:sz w:val="24"/>
          <w:szCs w:val="24"/>
          <w:lang w:val="en-AU" w:eastAsia="zh-CN"/>
        </w:rPr>
        <w:t>BOTE calculations</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sidRPr="003C42F5">
        <w:rPr>
          <w:rFonts w:ascii="Times New Roman" w:eastAsia="SimSun" w:hAnsi="Times New Roman" w:cs="Times New Roman"/>
          <w:b/>
          <w:bCs/>
          <w:color w:val="000000" w:themeColor="text1"/>
          <w:kern w:val="20"/>
          <w:sz w:val="28"/>
          <w:szCs w:val="28"/>
          <w:lang w:val="en-AU" w:eastAsia="zh-CN"/>
        </w:rPr>
        <w:t>·</w:t>
      </w:r>
      <w:r w:rsidR="003C42F5" w:rsidRPr="003C42F5">
        <w:rPr>
          <w:rFonts w:ascii="Times New Roman" w:eastAsia="SimSun" w:hAnsi="Times New Roman" w:cs="Arial"/>
          <w:bCs/>
          <w:color w:val="000000" w:themeColor="text1"/>
          <w:kern w:val="20"/>
          <w:sz w:val="24"/>
          <w:szCs w:val="24"/>
          <w:lang w:val="en-AU" w:eastAsia="zh-CN"/>
        </w:rPr>
        <w:t xml:space="preserve"> </w:t>
      </w:r>
      <w:r w:rsidR="003C42F5">
        <w:rPr>
          <w:rFonts w:ascii="Times New Roman" w:eastAsia="SimSun" w:hAnsi="Times New Roman" w:cs="Arial"/>
          <w:bCs/>
          <w:color w:val="000000" w:themeColor="text1"/>
          <w:kern w:val="20"/>
          <w:sz w:val="24"/>
          <w:szCs w:val="24"/>
          <w:lang w:val="en-AU" w:eastAsia="zh-CN"/>
        </w:rPr>
        <w:t xml:space="preserve">Welfare decomposition </w:t>
      </w:r>
      <w:r w:rsidR="003C42F5">
        <w:rPr>
          <w:rFonts w:ascii="Times New Roman" w:hAnsi="Times New Roman" w:cs="Times New Roman"/>
          <w:bCs/>
          <w:sz w:val="24"/>
          <w:szCs w:val="24"/>
          <w:lang w:val="en-AU"/>
        </w:rPr>
        <w:t xml:space="preserve">  </w:t>
      </w:r>
    </w:p>
    <w:p w:rsidR="003C42F5" w:rsidRPr="001856A7" w:rsidRDefault="003C42F5" w:rsidP="003C42F5">
      <w:pPr>
        <w:spacing w:after="0"/>
        <w:ind w:left="1134" w:hanging="1134"/>
        <w:rPr>
          <w:rFonts w:ascii="Times New Roman" w:hAnsi="Times New Roman" w:cs="Times New Roman"/>
          <w:bCs/>
          <w:sz w:val="24"/>
          <w:szCs w:val="24"/>
          <w:lang w:val="en-AU"/>
        </w:rPr>
      </w:pPr>
    </w:p>
    <w:p w:rsidR="00C72349" w:rsidRDefault="0045121C" w:rsidP="003C42F5">
      <w:pPr>
        <w:spacing w:after="0"/>
        <w:jc w:val="both"/>
        <w:rPr>
          <w:rFonts w:ascii="Times New Roman" w:hAnsi="Times New Roman" w:cs="Times New Roman"/>
          <w:sz w:val="24"/>
          <w:szCs w:val="24"/>
        </w:rPr>
      </w:pPr>
      <w:r w:rsidRPr="00D23AD8">
        <w:rPr>
          <w:rFonts w:ascii="Times New Roman" w:hAnsi="Times New Roman" w:cs="Times New Roman"/>
          <w:sz w:val="24"/>
          <w:szCs w:val="24"/>
        </w:rPr>
        <w:t xml:space="preserve">In </w:t>
      </w:r>
      <w:r w:rsidR="0056677B">
        <w:rPr>
          <w:rFonts w:ascii="Times New Roman" w:hAnsi="Times New Roman" w:cs="Times New Roman"/>
          <w:sz w:val="24"/>
          <w:szCs w:val="24"/>
        </w:rPr>
        <w:t>C</w:t>
      </w:r>
      <w:r w:rsidRPr="00D23AD8">
        <w:rPr>
          <w:rFonts w:ascii="Times New Roman" w:hAnsi="Times New Roman" w:cs="Times New Roman"/>
          <w:sz w:val="24"/>
          <w:szCs w:val="24"/>
        </w:rPr>
        <w:t>hapter</w:t>
      </w:r>
      <w:r w:rsidR="0056677B">
        <w:rPr>
          <w:rFonts w:ascii="Times New Roman" w:hAnsi="Times New Roman" w:cs="Times New Roman"/>
          <w:sz w:val="24"/>
          <w:szCs w:val="24"/>
        </w:rPr>
        <w:t>s 5 and</w:t>
      </w:r>
      <w:r w:rsidRPr="00D23AD8">
        <w:rPr>
          <w:rFonts w:ascii="Times New Roman" w:hAnsi="Times New Roman" w:cs="Times New Roman"/>
          <w:sz w:val="24"/>
          <w:szCs w:val="24"/>
        </w:rPr>
        <w:t xml:space="preserve"> </w:t>
      </w:r>
      <w:r w:rsidR="0056677B">
        <w:rPr>
          <w:rFonts w:ascii="Times New Roman" w:hAnsi="Times New Roman" w:cs="Times New Roman"/>
          <w:sz w:val="24"/>
          <w:szCs w:val="24"/>
        </w:rPr>
        <w:t>6</w:t>
      </w:r>
      <w:r w:rsidRPr="00D23AD8">
        <w:rPr>
          <w:rFonts w:ascii="Times New Roman" w:hAnsi="Times New Roman" w:cs="Times New Roman"/>
          <w:sz w:val="24"/>
          <w:szCs w:val="24"/>
        </w:rPr>
        <w:t xml:space="preserve"> we moved </w:t>
      </w:r>
      <w:r w:rsidR="00C72349" w:rsidRPr="00D23AD8">
        <w:rPr>
          <w:rFonts w:ascii="Times New Roman" w:hAnsi="Times New Roman" w:cs="Times New Roman"/>
          <w:sz w:val="24"/>
          <w:szCs w:val="24"/>
        </w:rPr>
        <w:t xml:space="preserve">from a Melitz </w:t>
      </w:r>
      <w:r w:rsidR="00DB54AC" w:rsidRPr="00D23AD8">
        <w:rPr>
          <w:rFonts w:ascii="Times New Roman" w:hAnsi="Times New Roman" w:cs="Times New Roman"/>
          <w:sz w:val="24"/>
          <w:szCs w:val="24"/>
        </w:rPr>
        <w:t xml:space="preserve">CGE </w:t>
      </w:r>
      <w:r w:rsidR="00C72349" w:rsidRPr="00D23AD8">
        <w:rPr>
          <w:rFonts w:ascii="Times New Roman" w:hAnsi="Times New Roman" w:cs="Times New Roman"/>
          <w:sz w:val="24"/>
          <w:szCs w:val="24"/>
        </w:rPr>
        <w:t xml:space="preserve">model to an Armington </w:t>
      </w:r>
      <w:r w:rsidR="00DB54AC" w:rsidRPr="00D23AD8">
        <w:rPr>
          <w:rFonts w:ascii="Times New Roman" w:hAnsi="Times New Roman" w:cs="Times New Roman"/>
          <w:sz w:val="24"/>
          <w:szCs w:val="24"/>
        </w:rPr>
        <w:t xml:space="preserve">CGE </w:t>
      </w:r>
      <w:r w:rsidR="00C72349" w:rsidRPr="00D23AD8">
        <w:rPr>
          <w:rFonts w:ascii="Times New Roman" w:hAnsi="Times New Roman" w:cs="Times New Roman"/>
          <w:sz w:val="24"/>
          <w:szCs w:val="24"/>
        </w:rPr>
        <w:t xml:space="preserve">model.  This </w:t>
      </w:r>
      <w:r w:rsidR="004B6728" w:rsidRPr="00D23AD8">
        <w:rPr>
          <w:rFonts w:ascii="Times New Roman" w:hAnsi="Times New Roman" w:cs="Times New Roman"/>
          <w:sz w:val="24"/>
          <w:szCs w:val="24"/>
        </w:rPr>
        <w:t xml:space="preserve">chapter is about how </w:t>
      </w:r>
      <w:r w:rsidR="00C72349" w:rsidRPr="00D23AD8">
        <w:rPr>
          <w:rFonts w:ascii="Times New Roman" w:hAnsi="Times New Roman" w:cs="Times New Roman"/>
          <w:sz w:val="24"/>
          <w:szCs w:val="24"/>
        </w:rPr>
        <w:t>to adapt an existing Armington model</w:t>
      </w:r>
      <w:r w:rsidR="000C4587">
        <w:rPr>
          <w:rFonts w:ascii="Times New Roman" w:hAnsi="Times New Roman" w:cs="Times New Roman"/>
          <w:sz w:val="24"/>
          <w:szCs w:val="24"/>
        </w:rPr>
        <w:t xml:space="preserve"> </w:t>
      </w:r>
      <w:r w:rsidR="00C72349" w:rsidRPr="00D23AD8">
        <w:rPr>
          <w:rFonts w:ascii="Times New Roman" w:hAnsi="Times New Roman" w:cs="Times New Roman"/>
          <w:sz w:val="24"/>
          <w:szCs w:val="24"/>
        </w:rPr>
        <w:t xml:space="preserve">so that it becomes a Melitz model.  That is, we are concerned with moving </w:t>
      </w:r>
      <w:r w:rsidR="00DB54AC" w:rsidRPr="00D23AD8">
        <w:rPr>
          <w:rFonts w:ascii="Times New Roman" w:hAnsi="Times New Roman" w:cs="Times New Roman"/>
          <w:sz w:val="24"/>
          <w:szCs w:val="24"/>
        </w:rPr>
        <w:t xml:space="preserve">in the other direction: </w:t>
      </w:r>
      <w:r w:rsidR="00C72349" w:rsidRPr="00D23AD8">
        <w:rPr>
          <w:rFonts w:ascii="Times New Roman" w:hAnsi="Times New Roman" w:cs="Times New Roman"/>
          <w:sz w:val="24"/>
          <w:szCs w:val="24"/>
        </w:rPr>
        <w:t>from Armington to Melitz.</w:t>
      </w:r>
      <w:r w:rsidR="00C72349">
        <w:rPr>
          <w:rFonts w:ascii="Times New Roman" w:hAnsi="Times New Roman" w:cs="Times New Roman"/>
          <w:sz w:val="24"/>
          <w:szCs w:val="24"/>
        </w:rPr>
        <w:t xml:space="preserve">  </w:t>
      </w:r>
    </w:p>
    <w:p w:rsidR="00EB27BA" w:rsidRDefault="004B6728" w:rsidP="0056677B">
      <w:pPr>
        <w:spacing w:after="0"/>
        <w:ind w:firstLine="284"/>
        <w:jc w:val="both"/>
        <w:rPr>
          <w:rFonts w:ascii="Times New Roman" w:hAnsi="Times New Roman" w:cs="Times New Roman"/>
          <w:sz w:val="24"/>
          <w:szCs w:val="24"/>
        </w:rPr>
      </w:pPr>
      <w:r>
        <w:rPr>
          <w:rFonts w:ascii="Times New Roman" w:hAnsi="Times New Roman" w:cs="Times New Roman"/>
          <w:sz w:val="24"/>
          <w:szCs w:val="24"/>
        </w:rPr>
        <w:t>Our</w:t>
      </w:r>
      <w:r w:rsidR="00C72349">
        <w:rPr>
          <w:rFonts w:ascii="Times New Roman" w:hAnsi="Times New Roman" w:cs="Times New Roman"/>
          <w:sz w:val="24"/>
          <w:szCs w:val="24"/>
        </w:rPr>
        <w:t xml:space="preserve"> approach </w:t>
      </w:r>
      <w:r>
        <w:rPr>
          <w:rFonts w:ascii="Times New Roman" w:hAnsi="Times New Roman" w:cs="Times New Roman"/>
          <w:sz w:val="24"/>
          <w:szCs w:val="24"/>
        </w:rPr>
        <w:t xml:space="preserve">in </w:t>
      </w:r>
      <w:r w:rsidR="0056677B">
        <w:rPr>
          <w:rFonts w:ascii="Times New Roman" w:hAnsi="Times New Roman" w:cs="Times New Roman"/>
          <w:sz w:val="24"/>
          <w:szCs w:val="24"/>
        </w:rPr>
        <w:t>C</w:t>
      </w:r>
      <w:r>
        <w:rPr>
          <w:rFonts w:ascii="Times New Roman" w:hAnsi="Times New Roman" w:cs="Times New Roman"/>
          <w:sz w:val="24"/>
          <w:szCs w:val="24"/>
        </w:rPr>
        <w:t>hapter</w:t>
      </w:r>
      <w:r w:rsidR="0056677B">
        <w:rPr>
          <w:rFonts w:ascii="Times New Roman" w:hAnsi="Times New Roman" w:cs="Times New Roman"/>
          <w:sz w:val="24"/>
          <w:szCs w:val="24"/>
        </w:rPr>
        <w:t>s</w:t>
      </w:r>
      <w:r>
        <w:rPr>
          <w:rFonts w:ascii="Times New Roman" w:hAnsi="Times New Roman" w:cs="Times New Roman"/>
          <w:sz w:val="24"/>
          <w:szCs w:val="24"/>
        </w:rPr>
        <w:t xml:space="preserve"> </w:t>
      </w:r>
      <w:r w:rsidR="0056677B">
        <w:rPr>
          <w:rFonts w:ascii="Times New Roman" w:hAnsi="Times New Roman" w:cs="Times New Roman"/>
          <w:sz w:val="24"/>
          <w:szCs w:val="24"/>
        </w:rPr>
        <w:t>5 and 6</w:t>
      </w:r>
      <w:r>
        <w:rPr>
          <w:rFonts w:ascii="Times New Roman" w:hAnsi="Times New Roman" w:cs="Times New Roman"/>
          <w:sz w:val="24"/>
          <w:szCs w:val="24"/>
        </w:rPr>
        <w:t xml:space="preserve"> </w:t>
      </w:r>
      <w:r w:rsidR="0056677B">
        <w:rPr>
          <w:rFonts w:ascii="Times New Roman" w:hAnsi="Times New Roman" w:cs="Times New Roman"/>
          <w:sz w:val="24"/>
          <w:szCs w:val="24"/>
        </w:rPr>
        <w:t xml:space="preserve">was motivated by </w:t>
      </w:r>
      <w:r w:rsidR="00C72349">
        <w:rPr>
          <w:rFonts w:ascii="Times New Roman" w:hAnsi="Times New Roman" w:cs="Times New Roman"/>
          <w:sz w:val="24"/>
          <w:szCs w:val="24"/>
        </w:rPr>
        <w:t xml:space="preserve">Balistreri and Rutherford (2013), hereafter BR.  Starting from a Melitz model, BR developed an auxiliary Armington model as a computational device for solving the Melitz model by an iterative method, using GAMS.  Using GEMPACK, </w:t>
      </w:r>
      <w:r>
        <w:rPr>
          <w:rFonts w:ascii="Times New Roman" w:hAnsi="Times New Roman" w:cs="Times New Roman"/>
          <w:sz w:val="24"/>
          <w:szCs w:val="24"/>
        </w:rPr>
        <w:t xml:space="preserve">we </w:t>
      </w:r>
      <w:r w:rsidR="0056677B">
        <w:rPr>
          <w:rFonts w:ascii="Times New Roman" w:hAnsi="Times New Roman" w:cs="Times New Roman"/>
          <w:sz w:val="24"/>
          <w:szCs w:val="24"/>
        </w:rPr>
        <w:t xml:space="preserve">can solve </w:t>
      </w:r>
      <w:r w:rsidR="00C72349">
        <w:rPr>
          <w:rFonts w:ascii="Times New Roman" w:hAnsi="Times New Roman" w:cs="Times New Roman"/>
          <w:sz w:val="24"/>
          <w:szCs w:val="24"/>
        </w:rPr>
        <w:t>Melitz model</w:t>
      </w:r>
      <w:r w:rsidR="0056677B">
        <w:rPr>
          <w:rFonts w:ascii="Times New Roman" w:hAnsi="Times New Roman" w:cs="Times New Roman"/>
          <w:sz w:val="24"/>
          <w:szCs w:val="24"/>
        </w:rPr>
        <w:t>s</w:t>
      </w:r>
      <w:r w:rsidR="00C72349">
        <w:rPr>
          <w:rFonts w:ascii="Times New Roman" w:hAnsi="Times New Roman" w:cs="Times New Roman"/>
          <w:sz w:val="24"/>
          <w:szCs w:val="24"/>
        </w:rPr>
        <w:t xml:space="preserve"> directly.  </w:t>
      </w:r>
      <w:r w:rsidR="00DA51F1">
        <w:rPr>
          <w:rFonts w:ascii="Times New Roman" w:hAnsi="Times New Roman" w:cs="Times New Roman"/>
          <w:sz w:val="24"/>
          <w:szCs w:val="24"/>
        </w:rPr>
        <w:t>However,</w:t>
      </w:r>
      <w:r w:rsidR="00C72349">
        <w:rPr>
          <w:rFonts w:ascii="Times New Roman" w:hAnsi="Times New Roman" w:cs="Times New Roman"/>
          <w:sz w:val="24"/>
          <w:szCs w:val="24"/>
        </w:rPr>
        <w:t xml:space="preserve"> </w:t>
      </w:r>
      <w:r>
        <w:rPr>
          <w:rFonts w:ascii="Times New Roman" w:hAnsi="Times New Roman" w:cs="Times New Roman"/>
          <w:sz w:val="24"/>
          <w:szCs w:val="24"/>
        </w:rPr>
        <w:t>we found</w:t>
      </w:r>
      <w:r w:rsidR="00C72349">
        <w:rPr>
          <w:rFonts w:ascii="Times New Roman" w:hAnsi="Times New Roman" w:cs="Times New Roman"/>
          <w:sz w:val="24"/>
          <w:szCs w:val="24"/>
        </w:rPr>
        <w:t xml:space="preserve"> BR’s Armington auxiliary model </w:t>
      </w:r>
      <w:r>
        <w:rPr>
          <w:rFonts w:ascii="Times New Roman" w:hAnsi="Times New Roman" w:cs="Times New Roman"/>
          <w:sz w:val="24"/>
          <w:szCs w:val="24"/>
        </w:rPr>
        <w:t xml:space="preserve">to be </w:t>
      </w:r>
      <w:r w:rsidR="00C72349">
        <w:rPr>
          <w:rFonts w:ascii="Times New Roman" w:hAnsi="Times New Roman" w:cs="Times New Roman"/>
          <w:sz w:val="24"/>
          <w:szCs w:val="24"/>
        </w:rPr>
        <w:t xml:space="preserve">a valuable interpretive device, enabling </w:t>
      </w:r>
      <w:r>
        <w:rPr>
          <w:rFonts w:ascii="Times New Roman" w:hAnsi="Times New Roman" w:cs="Times New Roman"/>
          <w:sz w:val="24"/>
          <w:szCs w:val="24"/>
        </w:rPr>
        <w:t>us</w:t>
      </w:r>
      <w:r w:rsidR="00C72349">
        <w:rPr>
          <w:rFonts w:ascii="Times New Roman" w:hAnsi="Times New Roman" w:cs="Times New Roman"/>
          <w:sz w:val="24"/>
          <w:szCs w:val="24"/>
        </w:rPr>
        <w:t xml:space="preserve"> </w:t>
      </w:r>
      <w:r>
        <w:rPr>
          <w:rFonts w:ascii="Times New Roman" w:hAnsi="Times New Roman" w:cs="Times New Roman"/>
          <w:sz w:val="24"/>
          <w:szCs w:val="24"/>
        </w:rPr>
        <w:t xml:space="preserve">to </w:t>
      </w:r>
      <w:r w:rsidR="00C72349">
        <w:rPr>
          <w:rFonts w:ascii="Times New Roman" w:hAnsi="Times New Roman" w:cs="Times New Roman"/>
          <w:sz w:val="24"/>
          <w:szCs w:val="24"/>
        </w:rPr>
        <w:t xml:space="preserve">describe a Melitz model as an Armington model with extra equations to endogenize productivity variables on the supply side and preference variables on the </w:t>
      </w:r>
      <w:r w:rsidR="00647845">
        <w:rPr>
          <w:rFonts w:ascii="Times New Roman" w:hAnsi="Times New Roman" w:cs="Times New Roman"/>
          <w:sz w:val="24"/>
          <w:szCs w:val="24"/>
        </w:rPr>
        <w:t>demand</w:t>
      </w:r>
      <w:r w:rsidR="00C72349">
        <w:rPr>
          <w:rFonts w:ascii="Times New Roman" w:hAnsi="Times New Roman" w:cs="Times New Roman"/>
          <w:sz w:val="24"/>
          <w:szCs w:val="24"/>
        </w:rPr>
        <w:t xml:space="preserve"> side.  </w:t>
      </w:r>
    </w:p>
    <w:p w:rsidR="00C72349" w:rsidRDefault="003B52C5" w:rsidP="0056677B">
      <w:pPr>
        <w:spacing w:after="0"/>
        <w:ind w:firstLine="284"/>
        <w:jc w:val="both"/>
        <w:rPr>
          <w:rFonts w:ascii="Times New Roman" w:hAnsi="Times New Roman" w:cs="Times New Roman"/>
          <w:sz w:val="24"/>
          <w:szCs w:val="24"/>
        </w:rPr>
      </w:pPr>
      <w:r>
        <w:rPr>
          <w:rFonts w:ascii="Times New Roman" w:hAnsi="Times New Roman" w:cs="Times New Roman"/>
          <w:sz w:val="24"/>
          <w:szCs w:val="24"/>
        </w:rPr>
        <w:t>I</w:t>
      </w:r>
      <w:r w:rsidR="00C72349">
        <w:rPr>
          <w:rFonts w:ascii="Times New Roman" w:hAnsi="Times New Roman" w:cs="Times New Roman"/>
          <w:sz w:val="24"/>
          <w:szCs w:val="24"/>
        </w:rPr>
        <w:t xml:space="preserve">t </w:t>
      </w:r>
      <w:r w:rsidR="004B6728">
        <w:rPr>
          <w:rFonts w:ascii="Times New Roman" w:hAnsi="Times New Roman" w:cs="Times New Roman"/>
          <w:sz w:val="24"/>
          <w:szCs w:val="24"/>
        </w:rPr>
        <w:t xml:space="preserve">would be possible to reverse the </w:t>
      </w:r>
      <w:r w:rsidR="00C72349">
        <w:rPr>
          <w:rFonts w:ascii="Times New Roman" w:hAnsi="Times New Roman" w:cs="Times New Roman"/>
          <w:sz w:val="24"/>
          <w:szCs w:val="24"/>
        </w:rPr>
        <w:t xml:space="preserve">Melitz-to-Armington method </w:t>
      </w:r>
      <w:r w:rsidR="004B6728">
        <w:rPr>
          <w:rFonts w:ascii="Times New Roman" w:hAnsi="Times New Roman" w:cs="Times New Roman"/>
          <w:sz w:val="24"/>
          <w:szCs w:val="24"/>
        </w:rPr>
        <w:t xml:space="preserve">described in </w:t>
      </w:r>
      <w:r w:rsidR="00DA51F1">
        <w:rPr>
          <w:rFonts w:ascii="Times New Roman" w:hAnsi="Times New Roman" w:cs="Times New Roman"/>
          <w:sz w:val="24"/>
          <w:szCs w:val="24"/>
        </w:rPr>
        <w:t>C</w:t>
      </w:r>
      <w:r w:rsidR="004B6728">
        <w:rPr>
          <w:rFonts w:ascii="Times New Roman" w:hAnsi="Times New Roman" w:cs="Times New Roman"/>
          <w:sz w:val="24"/>
          <w:szCs w:val="24"/>
        </w:rPr>
        <w:t>hapter</w:t>
      </w:r>
      <w:r w:rsidR="00DA51F1">
        <w:rPr>
          <w:rFonts w:ascii="Times New Roman" w:hAnsi="Times New Roman" w:cs="Times New Roman"/>
          <w:sz w:val="24"/>
          <w:szCs w:val="24"/>
        </w:rPr>
        <w:t>s</w:t>
      </w:r>
      <w:r w:rsidR="004B6728">
        <w:rPr>
          <w:rFonts w:ascii="Times New Roman" w:hAnsi="Times New Roman" w:cs="Times New Roman"/>
          <w:sz w:val="24"/>
          <w:szCs w:val="24"/>
        </w:rPr>
        <w:t xml:space="preserve"> </w:t>
      </w:r>
      <w:r w:rsidR="00DA51F1">
        <w:rPr>
          <w:rFonts w:ascii="Times New Roman" w:hAnsi="Times New Roman" w:cs="Times New Roman"/>
          <w:sz w:val="24"/>
          <w:szCs w:val="24"/>
        </w:rPr>
        <w:t xml:space="preserve">5 and 6 </w:t>
      </w:r>
      <w:r w:rsidR="00C72349">
        <w:rPr>
          <w:rFonts w:ascii="Times New Roman" w:hAnsi="Times New Roman" w:cs="Times New Roman"/>
          <w:sz w:val="24"/>
          <w:szCs w:val="24"/>
        </w:rPr>
        <w:t>to develop an approach for converting an Armington model into a Melitz model</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Nevertheless, </w:t>
      </w:r>
      <w:r w:rsidR="00C72349">
        <w:rPr>
          <w:rFonts w:ascii="Times New Roman" w:hAnsi="Times New Roman" w:cs="Times New Roman"/>
          <w:sz w:val="24"/>
          <w:szCs w:val="24"/>
        </w:rPr>
        <w:t xml:space="preserve">that is not the route we have chosen.  </w:t>
      </w:r>
      <w:r w:rsidR="004B6728">
        <w:rPr>
          <w:rFonts w:ascii="Times New Roman" w:hAnsi="Times New Roman" w:cs="Times New Roman"/>
          <w:sz w:val="24"/>
          <w:szCs w:val="24"/>
        </w:rPr>
        <w:t xml:space="preserve">The </w:t>
      </w:r>
      <w:r w:rsidR="00C72349">
        <w:rPr>
          <w:rFonts w:ascii="Times New Roman" w:hAnsi="Times New Roman" w:cs="Times New Roman"/>
          <w:sz w:val="24"/>
          <w:szCs w:val="24"/>
        </w:rPr>
        <w:t xml:space="preserve">method </w:t>
      </w:r>
      <w:r w:rsidR="004B6728">
        <w:rPr>
          <w:rFonts w:ascii="Times New Roman" w:hAnsi="Times New Roman" w:cs="Times New Roman"/>
          <w:sz w:val="24"/>
          <w:szCs w:val="24"/>
        </w:rPr>
        <w:t xml:space="preserve">in </w:t>
      </w:r>
      <w:r w:rsidR="00DA51F1">
        <w:rPr>
          <w:rFonts w:ascii="Times New Roman" w:hAnsi="Times New Roman" w:cs="Times New Roman"/>
          <w:sz w:val="24"/>
          <w:szCs w:val="24"/>
        </w:rPr>
        <w:t>C</w:t>
      </w:r>
      <w:r w:rsidR="004B6728">
        <w:rPr>
          <w:rFonts w:ascii="Times New Roman" w:hAnsi="Times New Roman" w:cs="Times New Roman"/>
          <w:sz w:val="24"/>
          <w:szCs w:val="24"/>
        </w:rPr>
        <w:t>hapter</w:t>
      </w:r>
      <w:r w:rsidR="00DA51F1">
        <w:rPr>
          <w:rFonts w:ascii="Times New Roman" w:hAnsi="Times New Roman" w:cs="Times New Roman"/>
          <w:sz w:val="24"/>
          <w:szCs w:val="24"/>
        </w:rPr>
        <w:t>s</w:t>
      </w:r>
      <w:r w:rsidR="004B6728">
        <w:rPr>
          <w:rFonts w:ascii="Times New Roman" w:hAnsi="Times New Roman" w:cs="Times New Roman"/>
          <w:sz w:val="24"/>
          <w:szCs w:val="24"/>
        </w:rPr>
        <w:t xml:space="preserve"> </w:t>
      </w:r>
      <w:r w:rsidR="00DA51F1">
        <w:rPr>
          <w:rFonts w:ascii="Times New Roman" w:hAnsi="Times New Roman" w:cs="Times New Roman"/>
          <w:sz w:val="24"/>
          <w:szCs w:val="24"/>
        </w:rPr>
        <w:t>5 and 6</w:t>
      </w:r>
      <w:r w:rsidR="004B6728">
        <w:rPr>
          <w:rFonts w:ascii="Times New Roman" w:hAnsi="Times New Roman" w:cs="Times New Roman"/>
          <w:sz w:val="24"/>
          <w:szCs w:val="24"/>
        </w:rPr>
        <w:t xml:space="preserve"> </w:t>
      </w:r>
      <w:r w:rsidR="00C72349">
        <w:rPr>
          <w:rFonts w:ascii="Times New Roman" w:hAnsi="Times New Roman" w:cs="Times New Roman"/>
          <w:sz w:val="24"/>
          <w:szCs w:val="24"/>
        </w:rPr>
        <w:t>depend</w:t>
      </w:r>
      <w:r w:rsidR="004B6728">
        <w:rPr>
          <w:rFonts w:ascii="Times New Roman" w:hAnsi="Times New Roman" w:cs="Times New Roman"/>
          <w:sz w:val="24"/>
          <w:szCs w:val="24"/>
        </w:rPr>
        <w:t>s</w:t>
      </w:r>
      <w:r w:rsidR="00C72349">
        <w:rPr>
          <w:rFonts w:ascii="Times New Roman" w:hAnsi="Times New Roman" w:cs="Times New Roman"/>
          <w:sz w:val="24"/>
          <w:szCs w:val="24"/>
        </w:rPr>
        <w:t xml:space="preserve"> on specifying in the Armington model movements in CES distribution “parameters” </w:t>
      </w:r>
      <w:r w:rsidR="00DA51F1">
        <w:rPr>
          <w:rFonts w:ascii="Times New Roman" w:hAnsi="Times New Roman" w:cs="Times New Roman"/>
          <w:sz w:val="24"/>
          <w:szCs w:val="24"/>
        </w:rPr>
        <w:t>[</w:t>
      </w:r>
      <w:r w:rsidR="00C72349">
        <w:rPr>
          <w:rFonts w:ascii="Times New Roman" w:hAnsi="Times New Roman" w:cs="Times New Roman"/>
          <w:sz w:val="24"/>
          <w:szCs w:val="24"/>
        </w:rPr>
        <w:sym w:font="Symbol" w:char="F064"/>
      </w:r>
      <w:r>
        <w:rPr>
          <w:rFonts w:ascii="Times New Roman" w:hAnsi="Times New Roman" w:cs="Times New Roman"/>
          <w:sz w:val="24"/>
          <w:szCs w:val="24"/>
        </w:rPr>
        <w:t xml:space="preserve">’s, see equation </w:t>
      </w:r>
      <w:r w:rsidR="00DA51F1">
        <w:rPr>
          <w:rFonts w:ascii="Times New Roman" w:hAnsi="Times New Roman" w:cs="Times New Roman"/>
          <w:sz w:val="24"/>
          <w:szCs w:val="24"/>
        </w:rPr>
        <w:t>(5</w:t>
      </w:r>
      <w:r>
        <w:rPr>
          <w:rFonts w:ascii="Times New Roman" w:hAnsi="Times New Roman" w:cs="Times New Roman"/>
          <w:sz w:val="24"/>
          <w:szCs w:val="24"/>
        </w:rPr>
        <w:t>.7)</w:t>
      </w:r>
      <w:r w:rsidR="00DA51F1">
        <w:rPr>
          <w:rFonts w:ascii="Times New Roman" w:hAnsi="Times New Roman" w:cs="Times New Roman"/>
          <w:sz w:val="24"/>
          <w:szCs w:val="24"/>
        </w:rPr>
        <w:t>]</w:t>
      </w:r>
      <w:r w:rsidR="00C72349">
        <w:rPr>
          <w:rFonts w:ascii="Times New Roman" w:hAnsi="Times New Roman" w:cs="Times New Roman"/>
          <w:sz w:val="24"/>
          <w:szCs w:val="24"/>
        </w:rPr>
        <w:t>.  These are not conveniently available in Armington models such as GTAP specified in percentage</w:t>
      </w:r>
      <w:r w:rsidR="00E2526D">
        <w:rPr>
          <w:rFonts w:ascii="Times New Roman" w:hAnsi="Times New Roman" w:cs="Times New Roman"/>
          <w:sz w:val="24"/>
          <w:szCs w:val="24"/>
        </w:rPr>
        <w:t>-</w:t>
      </w:r>
      <w:r w:rsidR="00C72349">
        <w:rPr>
          <w:rFonts w:ascii="Times New Roman" w:hAnsi="Times New Roman" w:cs="Times New Roman"/>
          <w:sz w:val="24"/>
          <w:szCs w:val="24"/>
        </w:rPr>
        <w:t xml:space="preserve">change form suitable for solution by GEMPACK.  Instead, these models include input-saving technical change variables associated with every commodity flow.  Consequently, faced with the task of converting the Armington-based GTAP model into a Melitz model, we have adopted a method in which input-saving technical changes are endogenized, rather than CES distribution parameters.  </w:t>
      </w:r>
    </w:p>
    <w:p w:rsidR="009577D1" w:rsidRDefault="009577D1" w:rsidP="00DA51F1">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A </w:t>
      </w:r>
      <w:r w:rsidR="00C071B7">
        <w:rPr>
          <w:rFonts w:ascii="Times New Roman" w:hAnsi="Times New Roman" w:cs="Times New Roman"/>
          <w:sz w:val="24"/>
          <w:szCs w:val="24"/>
        </w:rPr>
        <w:t>key</w:t>
      </w:r>
      <w:r>
        <w:rPr>
          <w:rFonts w:ascii="Times New Roman" w:hAnsi="Times New Roman" w:cs="Times New Roman"/>
          <w:sz w:val="24"/>
          <w:szCs w:val="24"/>
        </w:rPr>
        <w:t xml:space="preserve"> property of </w:t>
      </w:r>
      <w:r w:rsidR="00E1273D">
        <w:rPr>
          <w:rFonts w:ascii="Times New Roman" w:hAnsi="Times New Roman" w:cs="Times New Roman"/>
          <w:sz w:val="24"/>
          <w:szCs w:val="24"/>
        </w:rPr>
        <w:t>our</w:t>
      </w:r>
      <w:r>
        <w:rPr>
          <w:rFonts w:ascii="Times New Roman" w:hAnsi="Times New Roman" w:cs="Times New Roman"/>
          <w:sz w:val="24"/>
          <w:szCs w:val="24"/>
        </w:rPr>
        <w:t xml:space="preserve"> Armington-to-Melitz conversion method is that it requires minimal alteration to the Armington model.  Given an Armington model, the conversion can be made by adding equations to the bottom of the existing code</w:t>
      </w:r>
      <w:r w:rsidR="009320C2">
        <w:rPr>
          <w:rFonts w:ascii="Times New Roman" w:hAnsi="Times New Roman" w:cs="Times New Roman"/>
          <w:sz w:val="24"/>
          <w:szCs w:val="24"/>
        </w:rPr>
        <w:t xml:space="preserve"> to form what we refer to as an A2M system.  </w:t>
      </w:r>
      <w:r w:rsidR="00C071B7">
        <w:rPr>
          <w:rFonts w:ascii="Times New Roman" w:hAnsi="Times New Roman" w:cs="Times New Roman"/>
          <w:sz w:val="24"/>
          <w:szCs w:val="24"/>
        </w:rPr>
        <w:t xml:space="preserve">With closure switches the </w:t>
      </w:r>
      <w:r w:rsidR="009320C2">
        <w:rPr>
          <w:rFonts w:ascii="Times New Roman" w:hAnsi="Times New Roman" w:cs="Times New Roman"/>
          <w:sz w:val="24"/>
          <w:szCs w:val="24"/>
        </w:rPr>
        <w:t>A2M system</w:t>
      </w:r>
      <w:r w:rsidR="00C071B7">
        <w:rPr>
          <w:rFonts w:ascii="Times New Roman" w:hAnsi="Times New Roman" w:cs="Times New Roman"/>
          <w:sz w:val="24"/>
          <w:szCs w:val="24"/>
        </w:rPr>
        <w:t xml:space="preserve"> can be run as pure Armington, pure Melitz or mixed Armington-Melitz.   </w:t>
      </w:r>
    </w:p>
    <w:p w:rsidR="00BF3404" w:rsidRPr="009101F2" w:rsidRDefault="00BF3404" w:rsidP="002E1F92">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The principal aim of this chapter is to demonstrate the practicality of our </w:t>
      </w:r>
      <w:r w:rsidR="005329F6">
        <w:rPr>
          <w:rFonts w:ascii="Times New Roman" w:hAnsi="Times New Roman" w:cs="Times New Roman"/>
          <w:sz w:val="24"/>
          <w:szCs w:val="24"/>
        </w:rPr>
        <w:t>A2M</w:t>
      </w:r>
      <w:r w:rsidR="00E1273D">
        <w:rPr>
          <w:rFonts w:ascii="Times New Roman" w:hAnsi="Times New Roman" w:cs="Times New Roman"/>
          <w:sz w:val="24"/>
          <w:szCs w:val="24"/>
        </w:rPr>
        <w:t xml:space="preserve"> </w:t>
      </w:r>
      <w:r>
        <w:rPr>
          <w:rFonts w:ascii="Times New Roman" w:hAnsi="Times New Roman" w:cs="Times New Roman"/>
          <w:sz w:val="24"/>
          <w:szCs w:val="24"/>
        </w:rPr>
        <w:t>conversion method by applying it to GTAP</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Pr>
          <w:rFonts w:ascii="Times New Roman" w:hAnsi="Times New Roman" w:cs="Times New Roman"/>
          <w:lang w:val="en-AU"/>
        </w:rPr>
        <w:t>This</w:t>
      </w:r>
      <w:r w:rsidRPr="000C4587">
        <w:rPr>
          <w:rFonts w:ascii="Times New Roman" w:hAnsi="Times New Roman" w:cs="Times New Roman"/>
          <w:lang w:val="en-AU"/>
        </w:rPr>
        <w:t xml:space="preserve"> </w:t>
      </w:r>
      <w:r w:rsidRPr="00BF3404">
        <w:rPr>
          <w:rFonts w:ascii="Times New Roman" w:hAnsi="Times New Roman" w:cs="Times New Roman"/>
          <w:sz w:val="24"/>
          <w:szCs w:val="24"/>
          <w:lang w:val="en-AU"/>
        </w:rPr>
        <w:t xml:space="preserve">is the world’s most widely used global CGE model, see Hertel (1997).  The standard version relies on Armington assumptions and is solved in percentage-change form using GEMPACK. </w:t>
      </w:r>
      <w:r w:rsidR="002E1F92">
        <w:rPr>
          <w:rFonts w:ascii="Times New Roman" w:hAnsi="Times New Roman" w:cs="Times New Roman"/>
          <w:sz w:val="24"/>
          <w:szCs w:val="24"/>
        </w:rPr>
        <w:t>Because GTAP</w:t>
      </w:r>
      <w:r>
        <w:rPr>
          <w:rFonts w:ascii="Times New Roman" w:hAnsi="Times New Roman" w:cs="Times New Roman"/>
          <w:sz w:val="24"/>
          <w:szCs w:val="24"/>
        </w:rPr>
        <w:t xml:space="preserve"> is </w:t>
      </w:r>
      <w:r w:rsidRPr="00BF3404">
        <w:rPr>
          <w:rStyle w:val="FootnoteReference"/>
          <w:rFonts w:ascii="Times New Roman" w:hAnsi="Times New Roman" w:cs="Times New Roman"/>
          <w:sz w:val="24"/>
          <w:szCs w:val="24"/>
        </w:rPr>
        <w:t xml:space="preserve"> </w:t>
      </w:r>
      <w:r>
        <w:rPr>
          <w:rFonts w:ascii="Times New Roman" w:hAnsi="Times New Roman" w:cs="Times New Roman"/>
          <w:sz w:val="24"/>
          <w:szCs w:val="24"/>
        </w:rPr>
        <w:t>designed to facilitate practical policy analysis</w:t>
      </w:r>
      <w:r w:rsidR="002E1F92">
        <w:rPr>
          <w:rFonts w:ascii="Times New Roman" w:hAnsi="Times New Roman" w:cs="Times New Roman"/>
          <w:sz w:val="24"/>
          <w:szCs w:val="24"/>
        </w:rPr>
        <w:t xml:space="preserve"> it contains details that </w:t>
      </w:r>
      <w:r>
        <w:rPr>
          <w:rFonts w:ascii="Times New Roman" w:hAnsi="Times New Roman" w:cs="Times New Roman"/>
          <w:sz w:val="24"/>
          <w:szCs w:val="24"/>
        </w:rPr>
        <w:t xml:space="preserve">can inhibit understanding of what is involved in converting Armington to Melitz.  Consequently we will explain our conversion method in the context of a simple Armington model.  After that, it will </w:t>
      </w:r>
      <w:r w:rsidR="00662A65">
        <w:rPr>
          <w:rFonts w:ascii="Times New Roman" w:hAnsi="Times New Roman" w:cs="Times New Roman"/>
          <w:sz w:val="24"/>
          <w:szCs w:val="24"/>
        </w:rPr>
        <w:t xml:space="preserve">be </w:t>
      </w:r>
      <w:r w:rsidR="002E1F92">
        <w:rPr>
          <w:rFonts w:ascii="Times New Roman" w:hAnsi="Times New Roman" w:cs="Times New Roman"/>
          <w:sz w:val="24"/>
          <w:szCs w:val="24"/>
        </w:rPr>
        <w:t xml:space="preserve">straightforward to describe the Armington-to-Melitz conversion for </w:t>
      </w:r>
      <w:r>
        <w:rPr>
          <w:rFonts w:ascii="Times New Roman" w:hAnsi="Times New Roman" w:cs="Times New Roman"/>
          <w:sz w:val="24"/>
          <w:szCs w:val="24"/>
        </w:rPr>
        <w:t>GTAP</w:t>
      </w:r>
      <w:r w:rsidR="002E1F92">
        <w:rPr>
          <w:rFonts w:ascii="Times New Roman" w:hAnsi="Times New Roman" w:cs="Times New Roman"/>
          <w:sz w:val="24"/>
          <w:szCs w:val="24"/>
        </w:rPr>
        <w:t xml:space="preserve">.    </w:t>
      </w:r>
    </w:p>
    <w:p w:rsidR="00D72914" w:rsidRDefault="00E2526D" w:rsidP="00134739">
      <w:pPr>
        <w:spacing w:after="0"/>
        <w:ind w:firstLine="284"/>
        <w:jc w:val="both"/>
        <w:rPr>
          <w:rFonts w:ascii="Times New Roman" w:hAnsi="Times New Roman" w:cs="Times New Roman"/>
          <w:sz w:val="24"/>
          <w:szCs w:val="24"/>
        </w:rPr>
      </w:pPr>
      <w:r w:rsidRPr="004159F3">
        <w:rPr>
          <w:rFonts w:ascii="Times New Roman" w:hAnsi="Times New Roman" w:cs="Times New Roman"/>
          <w:sz w:val="24"/>
          <w:szCs w:val="24"/>
        </w:rPr>
        <w:t xml:space="preserve">The rest of this </w:t>
      </w:r>
      <w:r w:rsidR="003B1B23" w:rsidRPr="004159F3">
        <w:rPr>
          <w:rFonts w:ascii="Times New Roman" w:hAnsi="Times New Roman" w:cs="Times New Roman"/>
          <w:sz w:val="24"/>
          <w:szCs w:val="24"/>
        </w:rPr>
        <w:t>chapter</w:t>
      </w:r>
      <w:r w:rsidRPr="004159F3">
        <w:rPr>
          <w:rFonts w:ascii="Times New Roman" w:hAnsi="Times New Roman" w:cs="Times New Roman"/>
          <w:sz w:val="24"/>
          <w:szCs w:val="24"/>
        </w:rPr>
        <w:t xml:space="preserve"> is organized as follows.  Section </w:t>
      </w:r>
      <w:r w:rsidR="00D23AD8" w:rsidRPr="004159F3">
        <w:rPr>
          <w:rFonts w:ascii="Times New Roman" w:hAnsi="Times New Roman" w:cs="Times New Roman"/>
          <w:sz w:val="24"/>
          <w:szCs w:val="24"/>
        </w:rPr>
        <w:t>7</w:t>
      </w:r>
      <w:r w:rsidR="00E8312A" w:rsidRPr="004159F3">
        <w:rPr>
          <w:rFonts w:ascii="Times New Roman" w:hAnsi="Times New Roman" w:cs="Times New Roman"/>
          <w:sz w:val="24"/>
          <w:szCs w:val="24"/>
        </w:rPr>
        <w:t>.1</w:t>
      </w:r>
      <w:r w:rsidR="009D6E29">
        <w:rPr>
          <w:rFonts w:ascii="Times New Roman" w:hAnsi="Times New Roman" w:cs="Times New Roman"/>
          <w:sz w:val="24"/>
          <w:szCs w:val="24"/>
        </w:rPr>
        <w:t xml:space="preserve"> sets out what we call the Basic</w:t>
      </w:r>
      <w:r w:rsidRPr="004159F3">
        <w:rPr>
          <w:rFonts w:ascii="Times New Roman" w:hAnsi="Times New Roman" w:cs="Times New Roman"/>
          <w:sz w:val="24"/>
          <w:szCs w:val="24"/>
        </w:rPr>
        <w:t>Armington model</w:t>
      </w:r>
      <w:r w:rsidR="00785163" w:rsidRPr="004159F3">
        <w:rPr>
          <w:rFonts w:ascii="Times New Roman" w:hAnsi="Times New Roman" w:cs="Times New Roman"/>
          <w:sz w:val="24"/>
          <w:szCs w:val="24"/>
        </w:rPr>
        <w:t xml:space="preserve">. </w:t>
      </w:r>
      <w:r w:rsidR="004159F3">
        <w:rPr>
          <w:rFonts w:ascii="Times New Roman" w:hAnsi="Times New Roman" w:cs="Times New Roman"/>
          <w:sz w:val="24"/>
          <w:szCs w:val="24"/>
        </w:rPr>
        <w:t xml:space="preserve"> </w:t>
      </w:r>
      <w:r w:rsidR="00785163" w:rsidRPr="004159F3">
        <w:rPr>
          <w:rFonts w:ascii="Times New Roman" w:hAnsi="Times New Roman" w:cs="Times New Roman"/>
          <w:sz w:val="24"/>
          <w:szCs w:val="24"/>
        </w:rPr>
        <w:t>This is</w:t>
      </w:r>
      <w:r w:rsidRPr="004159F3">
        <w:rPr>
          <w:rFonts w:ascii="Times New Roman" w:hAnsi="Times New Roman" w:cs="Times New Roman"/>
          <w:sz w:val="24"/>
          <w:szCs w:val="24"/>
        </w:rPr>
        <w:t xml:space="preserve"> the vehicle through which we explain our </w:t>
      </w:r>
      <w:r w:rsidR="005329F6">
        <w:rPr>
          <w:rFonts w:ascii="Times New Roman" w:hAnsi="Times New Roman" w:cs="Times New Roman"/>
          <w:sz w:val="24"/>
          <w:szCs w:val="24"/>
        </w:rPr>
        <w:t>A2M</w:t>
      </w:r>
      <w:r w:rsidRPr="004159F3">
        <w:rPr>
          <w:rFonts w:ascii="Times New Roman" w:hAnsi="Times New Roman" w:cs="Times New Roman"/>
          <w:sz w:val="24"/>
          <w:szCs w:val="24"/>
        </w:rPr>
        <w:t xml:space="preserve"> method.  Section </w:t>
      </w:r>
      <w:r w:rsidR="00D23AD8" w:rsidRPr="004159F3">
        <w:rPr>
          <w:rFonts w:ascii="Times New Roman" w:hAnsi="Times New Roman" w:cs="Times New Roman"/>
          <w:sz w:val="24"/>
          <w:szCs w:val="24"/>
        </w:rPr>
        <w:t>7.</w:t>
      </w:r>
      <w:r w:rsidR="00E8312A" w:rsidRPr="004159F3">
        <w:rPr>
          <w:rFonts w:ascii="Times New Roman" w:hAnsi="Times New Roman" w:cs="Times New Roman"/>
          <w:sz w:val="24"/>
          <w:szCs w:val="24"/>
        </w:rPr>
        <w:t>2</w:t>
      </w:r>
      <w:r w:rsidRPr="004159F3">
        <w:rPr>
          <w:rFonts w:ascii="Times New Roman" w:hAnsi="Times New Roman" w:cs="Times New Roman"/>
          <w:sz w:val="24"/>
          <w:szCs w:val="24"/>
        </w:rPr>
        <w:t xml:space="preserve"> explains the additions that are made to </w:t>
      </w:r>
      <w:r w:rsidR="009D6E29">
        <w:rPr>
          <w:rFonts w:ascii="Times New Roman" w:hAnsi="Times New Roman" w:cs="Times New Roman"/>
          <w:sz w:val="24"/>
          <w:szCs w:val="24"/>
        </w:rPr>
        <w:t>Basic</w:t>
      </w:r>
      <w:r w:rsidRPr="004159F3">
        <w:rPr>
          <w:rFonts w:ascii="Times New Roman" w:hAnsi="Times New Roman" w:cs="Times New Roman"/>
          <w:sz w:val="24"/>
          <w:szCs w:val="24"/>
        </w:rPr>
        <w:t xml:space="preserve">Armington to </w:t>
      </w:r>
      <w:r w:rsidR="009320C2">
        <w:rPr>
          <w:rFonts w:ascii="Times New Roman" w:hAnsi="Times New Roman" w:cs="Times New Roman"/>
          <w:sz w:val="24"/>
          <w:szCs w:val="24"/>
        </w:rPr>
        <w:t xml:space="preserve">form the </w:t>
      </w:r>
      <w:r w:rsidR="00D72914">
        <w:rPr>
          <w:rFonts w:ascii="Times New Roman" w:hAnsi="Times New Roman" w:cs="Times New Roman"/>
          <w:sz w:val="24"/>
          <w:szCs w:val="24"/>
        </w:rPr>
        <w:t xml:space="preserve">related </w:t>
      </w:r>
      <w:r w:rsidR="009320C2">
        <w:rPr>
          <w:rFonts w:ascii="Times New Roman" w:hAnsi="Times New Roman" w:cs="Times New Roman"/>
          <w:sz w:val="24"/>
          <w:szCs w:val="24"/>
        </w:rPr>
        <w:t>A2M system</w:t>
      </w:r>
      <w:r w:rsidR="009D6E29">
        <w:rPr>
          <w:rFonts w:ascii="Times New Roman" w:hAnsi="Times New Roman" w:cs="Times New Roman"/>
          <w:sz w:val="24"/>
          <w:szCs w:val="24"/>
        </w:rPr>
        <w:t>, that is the BasicArmington-A2M system</w:t>
      </w:r>
      <w:r w:rsidRPr="004159F3">
        <w:rPr>
          <w:rFonts w:ascii="Times New Roman" w:hAnsi="Times New Roman" w:cs="Times New Roman"/>
          <w:sz w:val="24"/>
          <w:szCs w:val="24"/>
        </w:rPr>
        <w:t xml:space="preserve">.  Section </w:t>
      </w:r>
      <w:r w:rsidR="00D23AD8" w:rsidRPr="004159F3">
        <w:rPr>
          <w:rFonts w:ascii="Times New Roman" w:hAnsi="Times New Roman" w:cs="Times New Roman"/>
          <w:sz w:val="24"/>
          <w:szCs w:val="24"/>
        </w:rPr>
        <w:t>7.</w:t>
      </w:r>
      <w:r w:rsidR="00E8312A" w:rsidRPr="004159F3">
        <w:rPr>
          <w:rFonts w:ascii="Times New Roman" w:hAnsi="Times New Roman" w:cs="Times New Roman"/>
          <w:sz w:val="24"/>
          <w:szCs w:val="24"/>
        </w:rPr>
        <w:t>3</w:t>
      </w:r>
      <w:r w:rsidRPr="004159F3">
        <w:rPr>
          <w:rFonts w:ascii="Times New Roman" w:hAnsi="Times New Roman" w:cs="Times New Roman"/>
          <w:sz w:val="24"/>
          <w:szCs w:val="24"/>
        </w:rPr>
        <w:t xml:space="preserve"> </w:t>
      </w:r>
      <w:r w:rsidR="009320C2">
        <w:rPr>
          <w:rFonts w:ascii="Times New Roman" w:hAnsi="Times New Roman" w:cs="Times New Roman"/>
          <w:sz w:val="24"/>
          <w:szCs w:val="24"/>
        </w:rPr>
        <w:t xml:space="preserve">explains the database for the </w:t>
      </w:r>
      <w:r w:rsidR="009D6E29">
        <w:rPr>
          <w:rFonts w:ascii="Times New Roman" w:hAnsi="Times New Roman" w:cs="Times New Roman"/>
          <w:sz w:val="24"/>
          <w:szCs w:val="24"/>
        </w:rPr>
        <w:t>Basic</w:t>
      </w:r>
      <w:r w:rsidRPr="004159F3">
        <w:rPr>
          <w:rFonts w:ascii="Times New Roman" w:hAnsi="Times New Roman" w:cs="Times New Roman"/>
          <w:sz w:val="24"/>
          <w:szCs w:val="24"/>
        </w:rPr>
        <w:t xml:space="preserve">Armington model </w:t>
      </w:r>
      <w:r w:rsidR="008E57FB" w:rsidRPr="004159F3">
        <w:rPr>
          <w:rFonts w:ascii="Times New Roman" w:hAnsi="Times New Roman" w:cs="Times New Roman"/>
          <w:sz w:val="24"/>
          <w:szCs w:val="24"/>
        </w:rPr>
        <w:t xml:space="preserve">and </w:t>
      </w:r>
      <w:r w:rsidR="00D72914">
        <w:rPr>
          <w:rFonts w:ascii="Times New Roman" w:hAnsi="Times New Roman" w:cs="Times New Roman"/>
          <w:sz w:val="24"/>
          <w:szCs w:val="24"/>
        </w:rPr>
        <w:t xml:space="preserve">the </w:t>
      </w:r>
      <w:r w:rsidR="002D4A1B">
        <w:rPr>
          <w:rFonts w:ascii="Times New Roman" w:hAnsi="Times New Roman" w:cs="Times New Roman"/>
          <w:sz w:val="24"/>
          <w:szCs w:val="24"/>
        </w:rPr>
        <w:t>Basic</w:t>
      </w:r>
      <w:r w:rsidR="002D4A1B" w:rsidRPr="004159F3">
        <w:rPr>
          <w:rFonts w:ascii="Times New Roman" w:hAnsi="Times New Roman" w:cs="Times New Roman"/>
          <w:sz w:val="24"/>
          <w:szCs w:val="24"/>
        </w:rPr>
        <w:t>Armington</w:t>
      </w:r>
      <w:r w:rsidR="002D4A1B">
        <w:rPr>
          <w:rFonts w:ascii="Times New Roman" w:hAnsi="Times New Roman" w:cs="Times New Roman"/>
          <w:sz w:val="24"/>
          <w:szCs w:val="24"/>
        </w:rPr>
        <w:t>-</w:t>
      </w:r>
      <w:r w:rsidR="009320C2">
        <w:rPr>
          <w:rFonts w:ascii="Times New Roman" w:hAnsi="Times New Roman" w:cs="Times New Roman"/>
          <w:sz w:val="24"/>
          <w:szCs w:val="24"/>
        </w:rPr>
        <w:t xml:space="preserve">A2M system.  </w:t>
      </w:r>
      <w:r w:rsidR="008E57FB" w:rsidRPr="004159F3">
        <w:rPr>
          <w:rFonts w:ascii="Times New Roman" w:hAnsi="Times New Roman" w:cs="Times New Roman"/>
          <w:sz w:val="24"/>
          <w:szCs w:val="24"/>
        </w:rPr>
        <w:t xml:space="preserve">Section </w:t>
      </w:r>
      <w:r w:rsidR="00D23AD8" w:rsidRPr="004159F3">
        <w:rPr>
          <w:rFonts w:ascii="Times New Roman" w:hAnsi="Times New Roman" w:cs="Times New Roman"/>
          <w:sz w:val="24"/>
          <w:szCs w:val="24"/>
        </w:rPr>
        <w:t>7.</w:t>
      </w:r>
      <w:r w:rsidR="00E8312A" w:rsidRPr="004159F3">
        <w:rPr>
          <w:rFonts w:ascii="Times New Roman" w:hAnsi="Times New Roman" w:cs="Times New Roman"/>
          <w:sz w:val="24"/>
          <w:szCs w:val="24"/>
        </w:rPr>
        <w:t>4</w:t>
      </w:r>
      <w:r w:rsidR="008E57FB" w:rsidRPr="004159F3">
        <w:rPr>
          <w:rFonts w:ascii="Times New Roman" w:hAnsi="Times New Roman" w:cs="Times New Roman"/>
          <w:sz w:val="24"/>
          <w:szCs w:val="24"/>
        </w:rPr>
        <w:t xml:space="preserve"> </w:t>
      </w:r>
      <w:r w:rsidR="00662A65">
        <w:rPr>
          <w:rFonts w:ascii="Times New Roman" w:hAnsi="Times New Roman" w:cs="Times New Roman"/>
          <w:sz w:val="24"/>
          <w:szCs w:val="24"/>
        </w:rPr>
        <w:t xml:space="preserve">presents illustrative </w:t>
      </w:r>
      <w:r w:rsidR="002D4A1B">
        <w:rPr>
          <w:rFonts w:ascii="Times New Roman" w:hAnsi="Times New Roman" w:cs="Times New Roman"/>
          <w:sz w:val="24"/>
          <w:szCs w:val="24"/>
        </w:rPr>
        <w:t xml:space="preserve">Armington and Melitz </w:t>
      </w:r>
      <w:r w:rsidR="00662A65">
        <w:rPr>
          <w:rFonts w:ascii="Times New Roman" w:hAnsi="Times New Roman" w:cs="Times New Roman"/>
          <w:sz w:val="24"/>
          <w:szCs w:val="24"/>
        </w:rPr>
        <w:t xml:space="preserve">results from the </w:t>
      </w:r>
      <w:r w:rsidR="009D6E29">
        <w:rPr>
          <w:rFonts w:ascii="Times New Roman" w:hAnsi="Times New Roman" w:cs="Times New Roman"/>
          <w:sz w:val="24"/>
          <w:szCs w:val="24"/>
        </w:rPr>
        <w:t>Basic</w:t>
      </w:r>
      <w:r w:rsidR="00662A65">
        <w:rPr>
          <w:rFonts w:ascii="Times New Roman" w:hAnsi="Times New Roman" w:cs="Times New Roman"/>
          <w:sz w:val="24"/>
          <w:szCs w:val="24"/>
        </w:rPr>
        <w:t>Armington</w:t>
      </w:r>
      <w:r w:rsidR="002D4A1B">
        <w:rPr>
          <w:rFonts w:ascii="Times New Roman" w:hAnsi="Times New Roman" w:cs="Times New Roman"/>
          <w:sz w:val="24"/>
          <w:szCs w:val="24"/>
        </w:rPr>
        <w:t>-A</w:t>
      </w:r>
      <w:r w:rsidR="00662A65">
        <w:rPr>
          <w:rFonts w:ascii="Times New Roman" w:hAnsi="Times New Roman" w:cs="Times New Roman"/>
          <w:sz w:val="24"/>
          <w:szCs w:val="24"/>
        </w:rPr>
        <w:t xml:space="preserve">2M system.  </w:t>
      </w:r>
      <w:r w:rsidR="00785163" w:rsidRPr="004159F3">
        <w:rPr>
          <w:rFonts w:ascii="Times New Roman" w:hAnsi="Times New Roman" w:cs="Times New Roman"/>
          <w:sz w:val="24"/>
          <w:szCs w:val="24"/>
        </w:rPr>
        <w:t>Sectio</w:t>
      </w:r>
      <w:r w:rsidR="002D4A1B">
        <w:rPr>
          <w:rFonts w:ascii="Times New Roman" w:hAnsi="Times New Roman" w:cs="Times New Roman"/>
          <w:sz w:val="24"/>
          <w:szCs w:val="24"/>
        </w:rPr>
        <w:t>n</w:t>
      </w:r>
      <w:r w:rsidR="00785163" w:rsidRPr="004159F3">
        <w:rPr>
          <w:rFonts w:ascii="Times New Roman" w:hAnsi="Times New Roman" w:cs="Times New Roman"/>
          <w:sz w:val="24"/>
          <w:szCs w:val="24"/>
        </w:rPr>
        <w:t xml:space="preserve"> </w:t>
      </w:r>
      <w:r w:rsidR="00D23AD8" w:rsidRPr="004159F3">
        <w:rPr>
          <w:rFonts w:ascii="Times New Roman" w:hAnsi="Times New Roman" w:cs="Times New Roman"/>
          <w:sz w:val="24"/>
          <w:szCs w:val="24"/>
        </w:rPr>
        <w:t>7.</w:t>
      </w:r>
      <w:r w:rsidR="00E8312A" w:rsidRPr="004159F3">
        <w:rPr>
          <w:rFonts w:ascii="Times New Roman" w:hAnsi="Times New Roman" w:cs="Times New Roman"/>
          <w:sz w:val="24"/>
          <w:szCs w:val="24"/>
        </w:rPr>
        <w:t>5</w:t>
      </w:r>
      <w:r w:rsidR="00785163" w:rsidRPr="004159F3">
        <w:rPr>
          <w:rFonts w:ascii="Times New Roman" w:hAnsi="Times New Roman" w:cs="Times New Roman"/>
          <w:sz w:val="24"/>
          <w:szCs w:val="24"/>
        </w:rPr>
        <w:t xml:space="preserve"> describes </w:t>
      </w:r>
      <w:r w:rsidR="00662A65">
        <w:rPr>
          <w:rFonts w:ascii="Times New Roman" w:hAnsi="Times New Roman" w:cs="Times New Roman"/>
          <w:sz w:val="24"/>
          <w:szCs w:val="24"/>
        </w:rPr>
        <w:t>the additions and alterations to the Armington-based GTAP model required to produce a GTAP</w:t>
      </w:r>
      <w:r w:rsidR="00E1273D">
        <w:rPr>
          <w:rFonts w:ascii="Times New Roman" w:hAnsi="Times New Roman" w:cs="Times New Roman"/>
          <w:sz w:val="24"/>
          <w:szCs w:val="24"/>
        </w:rPr>
        <w:t>-</w:t>
      </w:r>
      <w:r w:rsidR="00662A65">
        <w:rPr>
          <w:rFonts w:ascii="Times New Roman" w:hAnsi="Times New Roman" w:cs="Times New Roman"/>
          <w:sz w:val="24"/>
          <w:szCs w:val="24"/>
        </w:rPr>
        <w:t>A2M system.  Ill</w:t>
      </w:r>
      <w:r w:rsidR="00785163" w:rsidRPr="004159F3">
        <w:rPr>
          <w:rFonts w:ascii="Times New Roman" w:hAnsi="Times New Roman" w:cs="Times New Roman"/>
          <w:sz w:val="24"/>
          <w:szCs w:val="24"/>
        </w:rPr>
        <w:t xml:space="preserve">ustrative </w:t>
      </w:r>
      <w:r w:rsidR="00662A65">
        <w:rPr>
          <w:rFonts w:ascii="Times New Roman" w:hAnsi="Times New Roman" w:cs="Times New Roman"/>
          <w:sz w:val="24"/>
          <w:szCs w:val="24"/>
        </w:rPr>
        <w:t xml:space="preserve">Armington and Melitz </w:t>
      </w:r>
      <w:r w:rsidR="00785163" w:rsidRPr="004159F3">
        <w:rPr>
          <w:rFonts w:ascii="Times New Roman" w:hAnsi="Times New Roman" w:cs="Times New Roman"/>
          <w:sz w:val="24"/>
          <w:szCs w:val="24"/>
        </w:rPr>
        <w:t>results from the GTAP</w:t>
      </w:r>
      <w:r w:rsidR="00E1273D">
        <w:rPr>
          <w:rFonts w:ascii="Times New Roman" w:hAnsi="Times New Roman" w:cs="Times New Roman"/>
          <w:sz w:val="24"/>
          <w:szCs w:val="24"/>
        </w:rPr>
        <w:t>-</w:t>
      </w:r>
      <w:r w:rsidR="00662A65">
        <w:rPr>
          <w:rFonts w:ascii="Times New Roman" w:hAnsi="Times New Roman" w:cs="Times New Roman"/>
          <w:sz w:val="24"/>
          <w:szCs w:val="24"/>
        </w:rPr>
        <w:t xml:space="preserve">A2M system are presented in section 7.6.  </w:t>
      </w:r>
      <w:r w:rsidR="008E57FB" w:rsidRPr="004159F3">
        <w:rPr>
          <w:rFonts w:ascii="Times New Roman" w:hAnsi="Times New Roman" w:cs="Times New Roman"/>
          <w:sz w:val="24"/>
          <w:szCs w:val="24"/>
        </w:rPr>
        <w:t xml:space="preserve">Concluding remarks are in section </w:t>
      </w:r>
      <w:r w:rsidR="00D23AD8" w:rsidRPr="004159F3">
        <w:rPr>
          <w:rFonts w:ascii="Times New Roman" w:hAnsi="Times New Roman" w:cs="Times New Roman"/>
          <w:sz w:val="24"/>
          <w:szCs w:val="24"/>
        </w:rPr>
        <w:t>7.</w:t>
      </w:r>
      <w:r w:rsidR="00662A65">
        <w:rPr>
          <w:rFonts w:ascii="Times New Roman" w:hAnsi="Times New Roman" w:cs="Times New Roman"/>
          <w:sz w:val="24"/>
          <w:szCs w:val="24"/>
        </w:rPr>
        <w:t>7</w:t>
      </w:r>
      <w:r w:rsidR="008E57FB" w:rsidRPr="004159F3">
        <w:rPr>
          <w:rFonts w:ascii="Times New Roman" w:hAnsi="Times New Roman" w:cs="Times New Roman"/>
          <w:sz w:val="24"/>
          <w:szCs w:val="24"/>
        </w:rPr>
        <w:t xml:space="preserve">.  </w:t>
      </w:r>
      <w:r w:rsidR="00785163" w:rsidRPr="004159F3">
        <w:rPr>
          <w:rFonts w:ascii="Times New Roman" w:hAnsi="Times New Roman" w:cs="Times New Roman"/>
          <w:sz w:val="24"/>
          <w:szCs w:val="24"/>
        </w:rPr>
        <w:t xml:space="preserve">Annotated GEMPACK </w:t>
      </w:r>
      <w:r w:rsidR="00D23AD8" w:rsidRPr="004159F3">
        <w:rPr>
          <w:rFonts w:ascii="Times New Roman" w:hAnsi="Times New Roman" w:cs="Times New Roman"/>
          <w:sz w:val="24"/>
          <w:szCs w:val="24"/>
        </w:rPr>
        <w:t xml:space="preserve">code for the </w:t>
      </w:r>
      <w:r w:rsidR="00410BBC">
        <w:rPr>
          <w:rFonts w:ascii="Times New Roman" w:hAnsi="Times New Roman" w:cs="Times New Roman"/>
          <w:sz w:val="24"/>
          <w:szCs w:val="24"/>
        </w:rPr>
        <w:t>Basic</w:t>
      </w:r>
      <w:r w:rsidR="00D72914">
        <w:rPr>
          <w:rFonts w:ascii="Times New Roman" w:hAnsi="Times New Roman" w:cs="Times New Roman"/>
          <w:sz w:val="24"/>
          <w:szCs w:val="24"/>
        </w:rPr>
        <w:t>Armington</w:t>
      </w:r>
      <w:r w:rsidR="00410BBC">
        <w:rPr>
          <w:rFonts w:ascii="Times New Roman" w:hAnsi="Times New Roman" w:cs="Times New Roman"/>
          <w:sz w:val="24"/>
          <w:szCs w:val="24"/>
        </w:rPr>
        <w:t>-A2M system</w:t>
      </w:r>
      <w:r w:rsidR="00D72914">
        <w:rPr>
          <w:rFonts w:ascii="Times New Roman" w:hAnsi="Times New Roman" w:cs="Times New Roman"/>
          <w:sz w:val="24"/>
          <w:szCs w:val="24"/>
        </w:rPr>
        <w:t xml:space="preserve"> </w:t>
      </w:r>
      <w:r w:rsidR="00D23AD8" w:rsidRPr="004159F3">
        <w:rPr>
          <w:rFonts w:ascii="Times New Roman" w:hAnsi="Times New Roman" w:cs="Times New Roman"/>
          <w:sz w:val="24"/>
          <w:szCs w:val="24"/>
        </w:rPr>
        <w:t>is</w:t>
      </w:r>
      <w:r w:rsidR="00785163" w:rsidRPr="004159F3">
        <w:rPr>
          <w:rFonts w:ascii="Times New Roman" w:hAnsi="Times New Roman" w:cs="Times New Roman"/>
          <w:sz w:val="24"/>
          <w:szCs w:val="24"/>
        </w:rPr>
        <w:t xml:space="preserve"> in Appendi</w:t>
      </w:r>
      <w:r w:rsidR="00D23AD8" w:rsidRPr="004159F3">
        <w:rPr>
          <w:rFonts w:ascii="Times New Roman" w:hAnsi="Times New Roman" w:cs="Times New Roman"/>
          <w:sz w:val="24"/>
          <w:szCs w:val="24"/>
        </w:rPr>
        <w:t>x</w:t>
      </w:r>
      <w:r w:rsidR="00785163" w:rsidRPr="004159F3">
        <w:rPr>
          <w:rFonts w:ascii="Times New Roman" w:hAnsi="Times New Roman" w:cs="Times New Roman"/>
          <w:sz w:val="24"/>
          <w:szCs w:val="24"/>
        </w:rPr>
        <w:t xml:space="preserve"> </w:t>
      </w:r>
      <w:r w:rsidR="00D23AD8" w:rsidRPr="004159F3">
        <w:rPr>
          <w:rFonts w:ascii="Times New Roman" w:hAnsi="Times New Roman" w:cs="Times New Roman"/>
          <w:sz w:val="24"/>
          <w:szCs w:val="24"/>
        </w:rPr>
        <w:t>7.</w:t>
      </w:r>
      <w:r w:rsidR="00785163" w:rsidRPr="004159F3">
        <w:rPr>
          <w:rFonts w:ascii="Times New Roman" w:hAnsi="Times New Roman" w:cs="Times New Roman"/>
          <w:sz w:val="24"/>
          <w:szCs w:val="24"/>
        </w:rPr>
        <w:t>1</w:t>
      </w:r>
      <w:r w:rsidR="00BC3EB7">
        <w:rPr>
          <w:rFonts w:ascii="Times New Roman" w:hAnsi="Times New Roman" w:cs="Times New Roman"/>
          <w:sz w:val="24"/>
          <w:szCs w:val="24"/>
        </w:rPr>
        <w:t>, together with closures and download instructions.</w:t>
      </w:r>
      <w:r w:rsidR="00E1273D" w:rsidRPr="004159F3">
        <w:rPr>
          <w:rFonts w:ascii="Times New Roman" w:hAnsi="Times New Roman" w:cs="Times New Roman"/>
          <w:sz w:val="24"/>
          <w:szCs w:val="24"/>
        </w:rPr>
        <w:t xml:space="preserve">  </w:t>
      </w:r>
      <w:r w:rsidR="00BC3EB7" w:rsidRPr="00457E53">
        <w:rPr>
          <w:rFonts w:ascii="Times New Roman" w:hAnsi="Times New Roman" w:cs="Times New Roman"/>
          <w:sz w:val="24"/>
          <w:szCs w:val="24"/>
        </w:rPr>
        <w:t xml:space="preserve">Appendix 7.2 </w:t>
      </w:r>
      <w:r w:rsidR="00457E53">
        <w:rPr>
          <w:rFonts w:ascii="Times New Roman" w:hAnsi="Times New Roman" w:cs="Times New Roman"/>
          <w:sz w:val="24"/>
          <w:szCs w:val="24"/>
        </w:rPr>
        <w:t xml:space="preserve">derives a decomposition equation for explaining welfare results from the </w:t>
      </w:r>
      <w:r w:rsidR="00410BBC">
        <w:rPr>
          <w:rFonts w:ascii="Times New Roman" w:hAnsi="Times New Roman" w:cs="Times New Roman"/>
          <w:sz w:val="24"/>
          <w:szCs w:val="24"/>
        </w:rPr>
        <w:t>BasicArmington-</w:t>
      </w:r>
      <w:r w:rsidR="00457E53">
        <w:rPr>
          <w:rFonts w:ascii="Times New Roman" w:hAnsi="Times New Roman" w:cs="Times New Roman"/>
          <w:sz w:val="24"/>
          <w:szCs w:val="24"/>
        </w:rPr>
        <w:t xml:space="preserve">A2M system.  </w:t>
      </w:r>
      <w:r w:rsidR="00E1273D">
        <w:rPr>
          <w:rFonts w:ascii="Times New Roman" w:hAnsi="Times New Roman" w:cs="Times New Roman"/>
          <w:sz w:val="24"/>
          <w:szCs w:val="24"/>
        </w:rPr>
        <w:t>In Appendix 7.</w:t>
      </w:r>
      <w:r w:rsidR="00B1634E">
        <w:rPr>
          <w:rFonts w:ascii="Times New Roman" w:hAnsi="Times New Roman" w:cs="Times New Roman"/>
          <w:sz w:val="24"/>
          <w:szCs w:val="24"/>
        </w:rPr>
        <w:t>3</w:t>
      </w:r>
      <w:r w:rsidR="00E1273D">
        <w:rPr>
          <w:rFonts w:ascii="Times New Roman" w:hAnsi="Times New Roman" w:cs="Times New Roman"/>
          <w:sz w:val="24"/>
          <w:szCs w:val="24"/>
        </w:rPr>
        <w:t xml:space="preserve"> we </w:t>
      </w:r>
      <w:r w:rsidR="00457E53">
        <w:rPr>
          <w:rFonts w:ascii="Times New Roman" w:hAnsi="Times New Roman" w:cs="Times New Roman"/>
          <w:sz w:val="24"/>
          <w:szCs w:val="24"/>
        </w:rPr>
        <w:t xml:space="preserve">show that the A2M method proposed by </w:t>
      </w:r>
      <w:r w:rsidR="00E1273D">
        <w:rPr>
          <w:rFonts w:ascii="Times New Roman" w:hAnsi="Times New Roman" w:cs="Times New Roman"/>
          <w:sz w:val="24"/>
          <w:szCs w:val="24"/>
        </w:rPr>
        <w:t xml:space="preserve">Akgul </w:t>
      </w:r>
      <w:r w:rsidR="00E1273D">
        <w:rPr>
          <w:rFonts w:ascii="Times New Roman" w:hAnsi="Times New Roman" w:cs="Times New Roman"/>
          <w:i/>
          <w:sz w:val="24"/>
          <w:szCs w:val="24"/>
        </w:rPr>
        <w:t xml:space="preserve">et al. </w:t>
      </w:r>
      <w:r w:rsidR="00E1273D">
        <w:rPr>
          <w:rFonts w:ascii="Times New Roman" w:hAnsi="Times New Roman" w:cs="Times New Roman"/>
          <w:sz w:val="24"/>
          <w:szCs w:val="24"/>
        </w:rPr>
        <w:t>(2016)</w:t>
      </w:r>
      <w:r w:rsidR="00457E53">
        <w:rPr>
          <w:rFonts w:ascii="Times New Roman" w:hAnsi="Times New Roman" w:cs="Times New Roman"/>
          <w:sz w:val="24"/>
          <w:szCs w:val="24"/>
        </w:rPr>
        <w:t xml:space="preserve"> </w:t>
      </w:r>
      <w:r w:rsidR="00410BBC">
        <w:rPr>
          <w:rFonts w:ascii="Times New Roman" w:hAnsi="Times New Roman" w:cs="Times New Roman"/>
          <w:sz w:val="24"/>
          <w:szCs w:val="24"/>
        </w:rPr>
        <w:t xml:space="preserve">for the GTAP model </w:t>
      </w:r>
      <w:r w:rsidR="00457E53">
        <w:rPr>
          <w:rFonts w:ascii="Times New Roman" w:hAnsi="Times New Roman" w:cs="Times New Roman"/>
          <w:sz w:val="24"/>
          <w:szCs w:val="24"/>
        </w:rPr>
        <w:t>falls short of achieving a valid</w:t>
      </w:r>
      <w:r w:rsidR="00E1273D">
        <w:rPr>
          <w:rFonts w:ascii="Times New Roman" w:hAnsi="Times New Roman" w:cs="Times New Roman"/>
          <w:sz w:val="24"/>
          <w:szCs w:val="24"/>
        </w:rPr>
        <w:t xml:space="preserve"> Armington-to-Melitz conversion.  </w:t>
      </w:r>
    </w:p>
    <w:p w:rsidR="009101F2" w:rsidRDefault="00E8312A" w:rsidP="00E8312A">
      <w:pPr>
        <w:spacing w:before="360" w:after="360" w:line="240" w:lineRule="auto"/>
        <w:rPr>
          <w:rFonts w:ascii="Times New Roman" w:hAnsi="Times New Roman" w:cs="Times New Roman"/>
          <w:b/>
          <w:sz w:val="24"/>
          <w:szCs w:val="24"/>
        </w:rPr>
      </w:pPr>
      <w:r>
        <w:rPr>
          <w:rFonts w:ascii="Times New Roman" w:hAnsi="Times New Roman" w:cs="Times New Roman"/>
          <w:b/>
          <w:bCs/>
          <w:iCs/>
          <w:sz w:val="28"/>
          <w:szCs w:val="28"/>
          <w:lang w:val="en-AU"/>
        </w:rPr>
        <w:t>7</w:t>
      </w:r>
      <w:r w:rsidRPr="001856A7">
        <w:rPr>
          <w:rFonts w:ascii="Times New Roman" w:hAnsi="Times New Roman" w:cs="Times New Roman"/>
          <w:b/>
          <w:bCs/>
          <w:iCs/>
          <w:sz w:val="28"/>
          <w:szCs w:val="28"/>
          <w:lang w:val="en-AU"/>
        </w:rPr>
        <w:t xml:space="preserve">.1.  </w:t>
      </w:r>
      <w:r w:rsidR="00D72914">
        <w:rPr>
          <w:rFonts w:ascii="Times New Roman" w:hAnsi="Times New Roman" w:cs="Times New Roman"/>
          <w:b/>
          <w:sz w:val="28"/>
          <w:szCs w:val="28"/>
        </w:rPr>
        <w:t xml:space="preserve">Equations for the </w:t>
      </w:r>
      <w:r w:rsidR="00E50792">
        <w:rPr>
          <w:rFonts w:ascii="Times New Roman" w:hAnsi="Times New Roman" w:cs="Times New Roman"/>
          <w:b/>
          <w:sz w:val="28"/>
          <w:szCs w:val="28"/>
        </w:rPr>
        <w:t>Basic</w:t>
      </w:r>
      <w:r w:rsidR="00D72914">
        <w:rPr>
          <w:rFonts w:ascii="Times New Roman" w:hAnsi="Times New Roman" w:cs="Times New Roman"/>
          <w:b/>
          <w:sz w:val="28"/>
          <w:szCs w:val="28"/>
        </w:rPr>
        <w:t>Armington model</w:t>
      </w:r>
    </w:p>
    <w:p w:rsidR="0060401F" w:rsidRDefault="00824660" w:rsidP="00AF7DB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The </w:t>
      </w:r>
      <w:r w:rsidR="00E50792">
        <w:rPr>
          <w:rFonts w:ascii="Times New Roman" w:hAnsi="Times New Roman" w:cs="Times New Roman"/>
          <w:sz w:val="24"/>
          <w:szCs w:val="24"/>
        </w:rPr>
        <w:t>Basic</w:t>
      </w:r>
      <w:r>
        <w:rPr>
          <w:rFonts w:ascii="Times New Roman" w:hAnsi="Times New Roman" w:cs="Times New Roman"/>
          <w:sz w:val="24"/>
          <w:szCs w:val="24"/>
        </w:rPr>
        <w:t xml:space="preserve">Armington model on which we will focus </w:t>
      </w:r>
      <w:r w:rsidR="00AF7DB6">
        <w:rPr>
          <w:rFonts w:ascii="Times New Roman" w:hAnsi="Times New Roman" w:cs="Times New Roman"/>
          <w:sz w:val="24"/>
          <w:szCs w:val="24"/>
        </w:rPr>
        <w:t xml:space="preserve">is </w:t>
      </w:r>
      <w:r w:rsidR="00046019">
        <w:rPr>
          <w:rFonts w:ascii="Times New Roman" w:hAnsi="Times New Roman" w:cs="Times New Roman"/>
          <w:sz w:val="24"/>
          <w:szCs w:val="24"/>
        </w:rPr>
        <w:t xml:space="preserve">the same as </w:t>
      </w:r>
      <w:r w:rsidR="00AF7DB6">
        <w:rPr>
          <w:rFonts w:ascii="Times New Roman" w:hAnsi="Times New Roman" w:cs="Times New Roman"/>
          <w:sz w:val="24"/>
          <w:szCs w:val="24"/>
        </w:rPr>
        <w:t xml:space="preserve">the Armington auxiliary model </w:t>
      </w:r>
      <w:r w:rsidR="00046019">
        <w:rPr>
          <w:rFonts w:ascii="Times New Roman" w:hAnsi="Times New Roman" w:cs="Times New Roman"/>
          <w:sz w:val="24"/>
          <w:szCs w:val="24"/>
        </w:rPr>
        <w:t>(Table 5.1) except for the inclusion of s</w:t>
      </w:r>
      <w:r w:rsidR="00AF7DB6">
        <w:rPr>
          <w:rFonts w:ascii="Times New Roman" w:hAnsi="Times New Roman" w:cs="Times New Roman"/>
          <w:sz w:val="24"/>
          <w:szCs w:val="24"/>
        </w:rPr>
        <w:t>ome additional tax</w:t>
      </w:r>
      <w:r w:rsidR="007B7383">
        <w:rPr>
          <w:rFonts w:ascii="Times New Roman" w:hAnsi="Times New Roman" w:cs="Times New Roman"/>
          <w:sz w:val="24"/>
          <w:szCs w:val="24"/>
        </w:rPr>
        <w:t>,</w:t>
      </w:r>
      <w:r w:rsidR="00AF7DB6">
        <w:rPr>
          <w:rFonts w:ascii="Times New Roman" w:hAnsi="Times New Roman" w:cs="Times New Roman"/>
          <w:sz w:val="24"/>
          <w:szCs w:val="24"/>
        </w:rPr>
        <w:t xml:space="preserve"> technology </w:t>
      </w:r>
      <w:r w:rsidR="007B7383">
        <w:rPr>
          <w:rFonts w:ascii="Times New Roman" w:hAnsi="Times New Roman" w:cs="Times New Roman"/>
          <w:sz w:val="24"/>
          <w:szCs w:val="24"/>
        </w:rPr>
        <w:t xml:space="preserve">and price </w:t>
      </w:r>
      <w:r w:rsidR="00AF7DB6">
        <w:rPr>
          <w:rFonts w:ascii="Times New Roman" w:hAnsi="Times New Roman" w:cs="Times New Roman"/>
          <w:sz w:val="24"/>
          <w:szCs w:val="24"/>
        </w:rPr>
        <w:t>variables</w:t>
      </w:r>
      <w:r w:rsidR="00D72914">
        <w:rPr>
          <w:rFonts w:ascii="Times New Roman" w:hAnsi="Times New Roman" w:cs="Times New Roman"/>
          <w:sz w:val="24"/>
          <w:szCs w:val="24"/>
        </w:rPr>
        <w:t>.</w:t>
      </w:r>
      <w:r w:rsidR="00AF7DB6">
        <w:rPr>
          <w:rFonts w:ascii="Times New Roman" w:hAnsi="Times New Roman" w:cs="Times New Roman"/>
          <w:sz w:val="24"/>
          <w:szCs w:val="24"/>
        </w:rPr>
        <w:t xml:space="preserve">  </w:t>
      </w:r>
      <w:r w:rsidR="00E50792">
        <w:rPr>
          <w:rFonts w:ascii="Times New Roman" w:hAnsi="Times New Roman" w:cs="Times New Roman"/>
          <w:sz w:val="24"/>
          <w:szCs w:val="24"/>
        </w:rPr>
        <w:t xml:space="preserve">BasicArmington </w:t>
      </w:r>
      <w:r w:rsidR="00046019">
        <w:rPr>
          <w:rFonts w:ascii="Times New Roman" w:hAnsi="Times New Roman" w:cs="Times New Roman"/>
          <w:sz w:val="24"/>
          <w:szCs w:val="24"/>
        </w:rPr>
        <w:t xml:space="preserve">has </w:t>
      </w:r>
      <w:r>
        <w:rPr>
          <w:rFonts w:ascii="Times New Roman" w:hAnsi="Times New Roman" w:cs="Times New Roman"/>
          <w:sz w:val="24"/>
          <w:szCs w:val="24"/>
        </w:rPr>
        <w:t xml:space="preserve">two identical countries </w:t>
      </w:r>
      <w:r w:rsidR="008E57FB">
        <w:rPr>
          <w:rFonts w:ascii="Times New Roman" w:hAnsi="Times New Roman" w:cs="Times New Roman"/>
          <w:sz w:val="24"/>
          <w:szCs w:val="24"/>
        </w:rPr>
        <w:t>each</w:t>
      </w:r>
      <w:r>
        <w:rPr>
          <w:rFonts w:ascii="Times New Roman" w:hAnsi="Times New Roman" w:cs="Times New Roman"/>
          <w:sz w:val="24"/>
          <w:szCs w:val="24"/>
        </w:rPr>
        <w:t xml:space="preserve"> produc</w:t>
      </w:r>
      <w:r w:rsidR="008E57FB">
        <w:rPr>
          <w:rFonts w:ascii="Times New Roman" w:hAnsi="Times New Roman" w:cs="Times New Roman"/>
          <w:sz w:val="24"/>
          <w:szCs w:val="24"/>
        </w:rPr>
        <w:t>ing</w:t>
      </w:r>
      <w:r>
        <w:rPr>
          <w:rFonts w:ascii="Times New Roman" w:hAnsi="Times New Roman" w:cs="Times New Roman"/>
          <w:sz w:val="24"/>
          <w:szCs w:val="24"/>
        </w:rPr>
        <w:t xml:space="preserve"> </w:t>
      </w:r>
      <w:r w:rsidR="0060401F">
        <w:rPr>
          <w:rFonts w:ascii="Times New Roman" w:hAnsi="Times New Roman" w:cs="Times New Roman"/>
          <w:sz w:val="24"/>
          <w:szCs w:val="24"/>
        </w:rPr>
        <w:t>two commodities</w:t>
      </w:r>
      <w:r>
        <w:rPr>
          <w:rFonts w:ascii="Times New Roman" w:hAnsi="Times New Roman" w:cs="Times New Roman"/>
          <w:sz w:val="24"/>
          <w:szCs w:val="24"/>
        </w:rPr>
        <w:t xml:space="preserve"> using labor </w:t>
      </w:r>
      <w:r w:rsidR="008E57FB">
        <w:rPr>
          <w:rFonts w:ascii="Times New Roman" w:hAnsi="Times New Roman" w:cs="Times New Roman"/>
          <w:sz w:val="24"/>
          <w:szCs w:val="24"/>
        </w:rPr>
        <w:t>and</w:t>
      </w:r>
      <w:r>
        <w:rPr>
          <w:rFonts w:ascii="Times New Roman" w:hAnsi="Times New Roman" w:cs="Times New Roman"/>
          <w:sz w:val="24"/>
          <w:szCs w:val="24"/>
        </w:rPr>
        <w:t xml:space="preserve"> no intermediate inputs</w:t>
      </w:r>
      <w:r w:rsidR="008E57FB">
        <w:rPr>
          <w:rFonts w:ascii="Times New Roman" w:hAnsi="Times New Roman" w:cs="Times New Roman"/>
          <w:sz w:val="24"/>
          <w:szCs w:val="24"/>
        </w:rPr>
        <w:t>.  E</w:t>
      </w:r>
      <w:r>
        <w:rPr>
          <w:rFonts w:ascii="Times New Roman" w:hAnsi="Times New Roman" w:cs="Times New Roman"/>
          <w:sz w:val="24"/>
          <w:szCs w:val="24"/>
        </w:rPr>
        <w:t xml:space="preserve">ach </w:t>
      </w:r>
      <w:r w:rsidR="008E57FB">
        <w:rPr>
          <w:rFonts w:ascii="Times New Roman" w:hAnsi="Times New Roman" w:cs="Times New Roman"/>
          <w:sz w:val="24"/>
          <w:szCs w:val="24"/>
        </w:rPr>
        <w:t>country</w:t>
      </w:r>
      <w:r>
        <w:rPr>
          <w:rFonts w:ascii="Times New Roman" w:hAnsi="Times New Roman" w:cs="Times New Roman"/>
          <w:sz w:val="24"/>
          <w:szCs w:val="24"/>
        </w:rPr>
        <w:t xml:space="preserve"> has one </w:t>
      </w:r>
      <w:r w:rsidR="0060401F">
        <w:rPr>
          <w:rFonts w:ascii="Times New Roman" w:hAnsi="Times New Roman" w:cs="Times New Roman"/>
          <w:sz w:val="24"/>
          <w:szCs w:val="24"/>
        </w:rPr>
        <w:t>final user (households) with a Cobb-</w:t>
      </w:r>
      <w:r w:rsidR="0060401F">
        <w:rPr>
          <w:rFonts w:ascii="Times New Roman" w:hAnsi="Times New Roman" w:cs="Times New Roman"/>
          <w:sz w:val="24"/>
          <w:szCs w:val="24"/>
        </w:rPr>
        <w:lastRenderedPageBreak/>
        <w:t>Douglas utility function</w:t>
      </w:r>
      <w:r>
        <w:rPr>
          <w:rFonts w:ascii="Times New Roman" w:hAnsi="Times New Roman" w:cs="Times New Roman"/>
          <w:sz w:val="24"/>
          <w:szCs w:val="24"/>
        </w:rPr>
        <w:t>.  Both commodities are traded and, in the Armington style, the countries treat imported commodities as imperfect substitutes for domestic commodities</w:t>
      </w:r>
      <w:r w:rsidR="0060401F">
        <w:rPr>
          <w:rFonts w:ascii="Times New Roman" w:hAnsi="Times New Roman" w:cs="Times New Roman"/>
          <w:sz w:val="24"/>
          <w:szCs w:val="24"/>
        </w:rPr>
        <w:t xml:space="preserve">. </w:t>
      </w:r>
    </w:p>
    <w:p w:rsidR="003F2A3D" w:rsidRPr="009B32BB" w:rsidRDefault="00D72914" w:rsidP="003F2A3D">
      <w:pPr>
        <w:spacing w:after="0"/>
        <w:ind w:firstLine="284"/>
        <w:jc w:val="both"/>
        <w:rPr>
          <w:rFonts w:ascii="Times New Roman" w:hAnsi="Times New Roman" w:cs="Times New Roman"/>
          <w:color w:val="000000" w:themeColor="text1"/>
          <w:sz w:val="24"/>
          <w:szCs w:val="24"/>
        </w:rPr>
      </w:pPr>
      <w:r w:rsidRPr="009B32BB">
        <w:rPr>
          <w:rFonts w:ascii="Times New Roman" w:hAnsi="Times New Roman" w:cs="Times New Roman"/>
          <w:color w:val="000000" w:themeColor="text1"/>
          <w:sz w:val="24"/>
          <w:szCs w:val="24"/>
        </w:rPr>
        <w:t xml:space="preserve">The first part of </w:t>
      </w:r>
      <w:r w:rsidR="003F2A3D" w:rsidRPr="009B32BB">
        <w:rPr>
          <w:rFonts w:ascii="Times New Roman" w:hAnsi="Times New Roman" w:cs="Times New Roman"/>
          <w:color w:val="000000" w:themeColor="text1"/>
          <w:sz w:val="24"/>
          <w:szCs w:val="24"/>
        </w:rPr>
        <w:t>Table 7.1 lists percentage-change equations</w:t>
      </w:r>
      <w:r w:rsidRPr="009B32BB">
        <w:rPr>
          <w:rFonts w:ascii="Times New Roman" w:hAnsi="Times New Roman" w:cs="Times New Roman"/>
          <w:color w:val="000000" w:themeColor="text1"/>
          <w:sz w:val="24"/>
          <w:szCs w:val="24"/>
        </w:rPr>
        <w:t xml:space="preserve"> for the </w:t>
      </w:r>
      <w:r w:rsidR="00E50792">
        <w:rPr>
          <w:rFonts w:ascii="Times New Roman" w:hAnsi="Times New Roman" w:cs="Times New Roman"/>
          <w:color w:val="000000" w:themeColor="text1"/>
          <w:sz w:val="24"/>
          <w:szCs w:val="24"/>
        </w:rPr>
        <w:t>Basic</w:t>
      </w:r>
      <w:r w:rsidRPr="009B32BB">
        <w:rPr>
          <w:rFonts w:ascii="Times New Roman" w:hAnsi="Times New Roman" w:cs="Times New Roman"/>
          <w:color w:val="000000" w:themeColor="text1"/>
          <w:sz w:val="24"/>
          <w:szCs w:val="24"/>
        </w:rPr>
        <w:t>Armington model</w:t>
      </w:r>
      <w:r w:rsidR="003F2A3D" w:rsidRPr="009B32BB">
        <w:rPr>
          <w:rFonts w:ascii="Times New Roman" w:hAnsi="Times New Roman" w:cs="Times New Roman"/>
          <w:color w:val="000000" w:themeColor="text1"/>
          <w:sz w:val="24"/>
          <w:szCs w:val="24"/>
        </w:rPr>
        <w:t xml:space="preserve">.  </w:t>
      </w:r>
      <w:r w:rsidR="00105E3C" w:rsidRPr="009B32BB">
        <w:rPr>
          <w:rFonts w:ascii="Times New Roman" w:hAnsi="Times New Roman" w:cs="Times New Roman"/>
          <w:color w:val="000000" w:themeColor="text1"/>
          <w:sz w:val="24"/>
          <w:szCs w:val="24"/>
        </w:rPr>
        <w:t xml:space="preserve">The second part lists the </w:t>
      </w:r>
      <w:r w:rsidR="001543DA" w:rsidRPr="009B32BB">
        <w:rPr>
          <w:rFonts w:ascii="Times New Roman" w:hAnsi="Times New Roman" w:cs="Times New Roman"/>
          <w:color w:val="000000" w:themeColor="text1"/>
          <w:sz w:val="24"/>
          <w:szCs w:val="24"/>
        </w:rPr>
        <w:t xml:space="preserve">extra equations necessary for transforming Armington to Melitz.  </w:t>
      </w:r>
      <w:r w:rsidR="003F2A3D" w:rsidRPr="009B32BB">
        <w:rPr>
          <w:rFonts w:ascii="Times New Roman" w:hAnsi="Times New Roman" w:cs="Times New Roman"/>
          <w:color w:val="000000" w:themeColor="text1"/>
          <w:sz w:val="24"/>
          <w:szCs w:val="24"/>
        </w:rPr>
        <w:t xml:space="preserve">Notation </w:t>
      </w:r>
      <w:r w:rsidR="00A62E7C" w:rsidRPr="009B32BB">
        <w:rPr>
          <w:rFonts w:ascii="Times New Roman" w:hAnsi="Times New Roman" w:cs="Times New Roman"/>
          <w:color w:val="000000" w:themeColor="text1"/>
          <w:sz w:val="24"/>
          <w:szCs w:val="24"/>
        </w:rPr>
        <w:t>is</w:t>
      </w:r>
      <w:r w:rsidR="003F2A3D" w:rsidRPr="009B32BB">
        <w:rPr>
          <w:rFonts w:ascii="Times New Roman" w:hAnsi="Times New Roman" w:cs="Times New Roman"/>
          <w:color w:val="000000" w:themeColor="text1"/>
          <w:sz w:val="24"/>
          <w:szCs w:val="24"/>
        </w:rPr>
        <w:t xml:space="preserve"> given in Table 7.2, also see the foot of Table 7.1. </w:t>
      </w:r>
    </w:p>
    <w:p w:rsidR="00C72349" w:rsidRDefault="00784E95" w:rsidP="00046019">
      <w:pPr>
        <w:spacing w:before="120" w:after="120" w:line="240" w:lineRule="auto"/>
        <w:rPr>
          <w:rFonts w:ascii="Times New Roman" w:hAnsi="Times New Roman" w:cs="Times New Roman"/>
          <w:b/>
          <w:i/>
          <w:sz w:val="24"/>
          <w:szCs w:val="24"/>
        </w:rPr>
      </w:pPr>
      <w:r>
        <w:rPr>
          <w:rFonts w:ascii="Times New Roman" w:hAnsi="Times New Roman" w:cs="Times New Roman"/>
          <w:b/>
          <w:i/>
          <w:sz w:val="24"/>
          <w:szCs w:val="24"/>
        </w:rPr>
        <w:t xml:space="preserve">Equations for the </w:t>
      </w:r>
      <w:r w:rsidR="00E50792">
        <w:rPr>
          <w:rFonts w:ascii="Times New Roman" w:hAnsi="Times New Roman" w:cs="Times New Roman"/>
          <w:b/>
          <w:i/>
          <w:sz w:val="24"/>
          <w:szCs w:val="24"/>
        </w:rPr>
        <w:t>Basic</w:t>
      </w:r>
      <w:r w:rsidR="00C72349" w:rsidRPr="006D447C">
        <w:rPr>
          <w:rFonts w:ascii="Times New Roman" w:hAnsi="Times New Roman" w:cs="Times New Roman"/>
          <w:b/>
          <w:i/>
          <w:sz w:val="24"/>
          <w:szCs w:val="24"/>
        </w:rPr>
        <w:t>Armington model</w:t>
      </w:r>
      <w:r w:rsidR="003F2A3D">
        <w:rPr>
          <w:rFonts w:ascii="Times New Roman" w:hAnsi="Times New Roman" w:cs="Times New Roman"/>
          <w:b/>
          <w:i/>
          <w:sz w:val="24"/>
          <w:szCs w:val="24"/>
        </w:rPr>
        <w:t>: (T7.1) - (T7.16)</w:t>
      </w:r>
      <w:r w:rsidR="00B1136B">
        <w:rPr>
          <w:rFonts w:ascii="Times New Roman" w:hAnsi="Times New Roman" w:cs="Times New Roman"/>
          <w:b/>
          <w:i/>
          <w:sz w:val="24"/>
          <w:szCs w:val="24"/>
        </w:rPr>
        <w:t xml:space="preserve"> in Table 7.1</w:t>
      </w:r>
    </w:p>
    <w:p w:rsidR="00E91D45" w:rsidRDefault="00E91D45" w:rsidP="002877AE">
      <w:pPr>
        <w:spacing w:after="0"/>
        <w:jc w:val="both"/>
        <w:rPr>
          <w:rFonts w:ascii="Times New Roman" w:hAnsi="Times New Roman" w:cs="Times New Roman"/>
          <w:sz w:val="24"/>
          <w:szCs w:val="24"/>
        </w:rPr>
      </w:pPr>
      <w:r>
        <w:rPr>
          <w:rFonts w:ascii="Times New Roman" w:hAnsi="Times New Roman" w:cs="Times New Roman"/>
          <w:sz w:val="24"/>
          <w:szCs w:val="24"/>
        </w:rPr>
        <w:t>Equation</w:t>
      </w:r>
      <w:r w:rsidR="007B7383">
        <w:rPr>
          <w:rFonts w:ascii="Times New Roman" w:hAnsi="Times New Roman" w:cs="Times New Roman"/>
          <w:sz w:val="24"/>
          <w:szCs w:val="24"/>
        </w:rPr>
        <w:t xml:space="preserve"> (T7.</w:t>
      </w:r>
      <w:r w:rsidR="00D16DDC">
        <w:rPr>
          <w:rFonts w:ascii="Times New Roman" w:hAnsi="Times New Roman" w:cs="Times New Roman"/>
          <w:sz w:val="24"/>
          <w:szCs w:val="24"/>
        </w:rPr>
        <w:t>1</w:t>
      </w:r>
      <w:r w:rsidR="007B7383">
        <w:rPr>
          <w:rFonts w:ascii="Times New Roman" w:hAnsi="Times New Roman" w:cs="Times New Roman"/>
          <w:sz w:val="24"/>
          <w:szCs w:val="24"/>
        </w:rPr>
        <w:t xml:space="preserve">) </w:t>
      </w:r>
      <w:r w:rsidR="00B1136B">
        <w:rPr>
          <w:rFonts w:ascii="Times New Roman" w:hAnsi="Times New Roman" w:cs="Times New Roman"/>
          <w:sz w:val="24"/>
          <w:szCs w:val="24"/>
        </w:rPr>
        <w:t xml:space="preserve">defines movements in </w:t>
      </w:r>
      <w:r w:rsidR="00784E95">
        <w:rPr>
          <w:rFonts w:ascii="Times New Roman" w:hAnsi="Times New Roman" w:cs="Times New Roman"/>
          <w:sz w:val="24"/>
          <w:szCs w:val="24"/>
        </w:rPr>
        <w:t>factory</w:t>
      </w:r>
      <w:r w:rsidR="00D16DDC">
        <w:rPr>
          <w:rFonts w:ascii="Times New Roman" w:hAnsi="Times New Roman" w:cs="Times New Roman"/>
          <w:sz w:val="24"/>
          <w:szCs w:val="24"/>
        </w:rPr>
        <w:t xml:space="preserve"> prices</w:t>
      </w:r>
      <w:r w:rsidR="00A5389C">
        <w:rPr>
          <w:rFonts w:ascii="Times New Roman" w:hAnsi="Times New Roman" w:cs="Times New Roman"/>
          <w:sz w:val="24"/>
          <w:szCs w:val="24"/>
        </w:rPr>
        <w:t xml:space="preserve">.  </w:t>
      </w:r>
      <w:r w:rsidR="00784E95">
        <w:rPr>
          <w:rFonts w:ascii="Times New Roman" w:hAnsi="Times New Roman" w:cs="Times New Roman"/>
          <w:sz w:val="24"/>
          <w:szCs w:val="24"/>
        </w:rPr>
        <w:t>The</w:t>
      </w:r>
      <w:r w:rsidR="00A5389C">
        <w:rPr>
          <w:rFonts w:ascii="Times New Roman" w:hAnsi="Times New Roman" w:cs="Times New Roman"/>
          <w:sz w:val="24"/>
          <w:szCs w:val="24"/>
        </w:rPr>
        <w:t xml:space="preserve"> </w:t>
      </w:r>
      <w:r w:rsidR="00784E95">
        <w:rPr>
          <w:rFonts w:ascii="Times New Roman" w:hAnsi="Times New Roman" w:cs="Times New Roman"/>
          <w:sz w:val="24"/>
          <w:szCs w:val="24"/>
        </w:rPr>
        <w:t xml:space="preserve">factory </w:t>
      </w:r>
      <w:r w:rsidR="00A5389C">
        <w:rPr>
          <w:rFonts w:ascii="Times New Roman" w:hAnsi="Times New Roman" w:cs="Times New Roman"/>
          <w:sz w:val="24"/>
          <w:szCs w:val="24"/>
        </w:rPr>
        <w:t xml:space="preserve">price of a widget </w:t>
      </w:r>
      <w:r w:rsidR="00784E95">
        <w:rPr>
          <w:rFonts w:ascii="Times New Roman" w:hAnsi="Times New Roman" w:cs="Times New Roman"/>
          <w:sz w:val="24"/>
          <w:szCs w:val="24"/>
        </w:rPr>
        <w:t xml:space="preserve">(commodity c) </w:t>
      </w:r>
      <w:r w:rsidR="00A5389C">
        <w:rPr>
          <w:rFonts w:ascii="Times New Roman" w:hAnsi="Times New Roman" w:cs="Times New Roman"/>
          <w:sz w:val="24"/>
          <w:szCs w:val="24"/>
        </w:rPr>
        <w:t xml:space="preserve">from country s </w:t>
      </w:r>
      <w:r w:rsidR="00D16DDC">
        <w:rPr>
          <w:rFonts w:ascii="Times New Roman" w:hAnsi="Times New Roman" w:cs="Times New Roman"/>
          <w:sz w:val="24"/>
          <w:szCs w:val="24"/>
        </w:rPr>
        <w:t xml:space="preserve">is the </w:t>
      </w:r>
      <w:r w:rsidR="00784E95">
        <w:rPr>
          <w:rFonts w:ascii="Times New Roman" w:hAnsi="Times New Roman" w:cs="Times New Roman"/>
          <w:sz w:val="24"/>
          <w:szCs w:val="24"/>
        </w:rPr>
        <w:t xml:space="preserve">price at the </w:t>
      </w:r>
      <w:r w:rsidR="00D16DDC">
        <w:rPr>
          <w:rFonts w:ascii="Times New Roman" w:hAnsi="Times New Roman" w:cs="Times New Roman"/>
          <w:sz w:val="24"/>
          <w:szCs w:val="24"/>
        </w:rPr>
        <w:t>factory</w:t>
      </w:r>
      <w:r w:rsidR="00784E95">
        <w:rPr>
          <w:rFonts w:ascii="Times New Roman" w:hAnsi="Times New Roman" w:cs="Times New Roman"/>
          <w:sz w:val="24"/>
          <w:szCs w:val="24"/>
        </w:rPr>
        <w:t xml:space="preserve"> </w:t>
      </w:r>
      <w:r w:rsidR="00D16DDC">
        <w:rPr>
          <w:rFonts w:ascii="Times New Roman" w:hAnsi="Times New Roman" w:cs="Times New Roman"/>
          <w:sz w:val="24"/>
          <w:szCs w:val="24"/>
        </w:rPr>
        <w:t>door</w:t>
      </w:r>
      <w:r w:rsidR="00A5389C">
        <w:rPr>
          <w:rFonts w:ascii="Times New Roman" w:hAnsi="Times New Roman" w:cs="Times New Roman"/>
          <w:sz w:val="24"/>
          <w:szCs w:val="24"/>
        </w:rPr>
        <w:t xml:space="preserve">.  </w:t>
      </w:r>
      <w:r w:rsidR="00784E95">
        <w:rPr>
          <w:rFonts w:ascii="Times New Roman" w:hAnsi="Times New Roman" w:cs="Times New Roman"/>
          <w:sz w:val="24"/>
          <w:szCs w:val="24"/>
        </w:rPr>
        <w:t>In an Armington model this is the same for all widgets produced in country s.</w:t>
      </w:r>
      <w:r w:rsidR="005472B9">
        <w:rPr>
          <w:rStyle w:val="FootnoteReference"/>
          <w:rFonts w:ascii="Times New Roman" w:hAnsi="Times New Roman" w:cs="Times New Roman"/>
          <w:sz w:val="24"/>
          <w:szCs w:val="24"/>
        </w:rPr>
        <w:footnoteReference w:id="2"/>
      </w:r>
      <w:r w:rsidR="00784E95">
        <w:rPr>
          <w:rFonts w:ascii="Times New Roman" w:hAnsi="Times New Roman" w:cs="Times New Roman"/>
          <w:sz w:val="24"/>
          <w:szCs w:val="24"/>
        </w:rPr>
        <w:t xml:space="preserve">  </w:t>
      </w:r>
      <w:r w:rsidR="00A5389C">
        <w:rPr>
          <w:rFonts w:ascii="Times New Roman" w:hAnsi="Times New Roman" w:cs="Times New Roman"/>
          <w:sz w:val="24"/>
          <w:szCs w:val="24"/>
        </w:rPr>
        <w:t xml:space="preserve">The percentage movement in the </w:t>
      </w:r>
      <w:r w:rsidR="00784E95">
        <w:rPr>
          <w:rFonts w:ascii="Times New Roman" w:hAnsi="Times New Roman" w:cs="Times New Roman"/>
          <w:sz w:val="24"/>
          <w:szCs w:val="24"/>
        </w:rPr>
        <w:t>factory</w:t>
      </w:r>
      <w:r w:rsidR="00A5389C">
        <w:rPr>
          <w:rFonts w:ascii="Times New Roman" w:hAnsi="Times New Roman" w:cs="Times New Roman"/>
          <w:sz w:val="24"/>
          <w:szCs w:val="24"/>
        </w:rPr>
        <w:t xml:space="preserve"> price is determined by the </w:t>
      </w:r>
      <w:r w:rsidR="00D16DDC">
        <w:rPr>
          <w:rFonts w:ascii="Times New Roman" w:hAnsi="Times New Roman" w:cs="Times New Roman"/>
          <w:sz w:val="24"/>
          <w:szCs w:val="24"/>
        </w:rPr>
        <w:t>percentage movement</w:t>
      </w:r>
      <w:r w:rsidR="00A5389C">
        <w:rPr>
          <w:rFonts w:ascii="Times New Roman" w:hAnsi="Times New Roman" w:cs="Times New Roman"/>
          <w:sz w:val="24"/>
          <w:szCs w:val="24"/>
        </w:rPr>
        <w:t>s</w:t>
      </w:r>
      <w:r w:rsidR="00D16DDC">
        <w:rPr>
          <w:rFonts w:ascii="Times New Roman" w:hAnsi="Times New Roman" w:cs="Times New Roman"/>
          <w:sz w:val="24"/>
          <w:szCs w:val="24"/>
        </w:rPr>
        <w:t xml:space="preserve"> in input prices (the wage rate </w:t>
      </w:r>
      <w:r w:rsidR="002877AE">
        <w:rPr>
          <w:rFonts w:ascii="Times New Roman" w:hAnsi="Times New Roman" w:cs="Times New Roman"/>
          <w:sz w:val="24"/>
          <w:szCs w:val="24"/>
        </w:rPr>
        <w:t xml:space="preserve">in the </w:t>
      </w:r>
      <w:r w:rsidR="001869D2">
        <w:rPr>
          <w:rFonts w:ascii="Times New Roman" w:hAnsi="Times New Roman" w:cs="Times New Roman"/>
          <w:sz w:val="24"/>
          <w:szCs w:val="24"/>
        </w:rPr>
        <w:t>Basic</w:t>
      </w:r>
      <w:r w:rsidR="002877AE">
        <w:rPr>
          <w:rFonts w:ascii="Times New Roman" w:hAnsi="Times New Roman" w:cs="Times New Roman"/>
          <w:sz w:val="24"/>
          <w:szCs w:val="24"/>
        </w:rPr>
        <w:t>Armington model because l</w:t>
      </w:r>
      <w:r w:rsidR="00D16DDC">
        <w:rPr>
          <w:rFonts w:ascii="Times New Roman" w:hAnsi="Times New Roman" w:cs="Times New Roman"/>
          <w:sz w:val="24"/>
          <w:szCs w:val="24"/>
        </w:rPr>
        <w:t xml:space="preserve">abor </w:t>
      </w:r>
      <w:r w:rsidR="002877AE">
        <w:rPr>
          <w:rFonts w:ascii="Times New Roman" w:hAnsi="Times New Roman" w:cs="Times New Roman"/>
          <w:sz w:val="24"/>
          <w:szCs w:val="24"/>
        </w:rPr>
        <w:t>is</w:t>
      </w:r>
      <w:r w:rsidR="00D16DDC">
        <w:rPr>
          <w:rFonts w:ascii="Times New Roman" w:hAnsi="Times New Roman" w:cs="Times New Roman"/>
          <w:sz w:val="24"/>
          <w:szCs w:val="24"/>
        </w:rPr>
        <w:t xml:space="preserve"> the only input)</w:t>
      </w:r>
      <w:r w:rsidR="00A5389C">
        <w:rPr>
          <w:rFonts w:ascii="Times New Roman" w:hAnsi="Times New Roman" w:cs="Times New Roman"/>
          <w:sz w:val="24"/>
          <w:szCs w:val="24"/>
        </w:rPr>
        <w:t xml:space="preserve"> and </w:t>
      </w:r>
      <w:r w:rsidR="002877AE">
        <w:rPr>
          <w:rFonts w:ascii="Times New Roman" w:hAnsi="Times New Roman" w:cs="Times New Roman"/>
          <w:sz w:val="24"/>
          <w:szCs w:val="24"/>
        </w:rPr>
        <w:t xml:space="preserve">in </w:t>
      </w:r>
      <w:r w:rsidR="00A5389C">
        <w:rPr>
          <w:rFonts w:ascii="Times New Roman" w:hAnsi="Times New Roman" w:cs="Times New Roman"/>
          <w:sz w:val="24"/>
          <w:szCs w:val="24"/>
        </w:rPr>
        <w:t xml:space="preserve">input per unit of output </w:t>
      </w:r>
      <w:r w:rsidR="00681CF4">
        <w:rPr>
          <w:rFonts w:ascii="Times New Roman" w:hAnsi="Times New Roman" w:cs="Times New Roman"/>
          <w:sz w:val="24"/>
          <w:szCs w:val="24"/>
        </w:rPr>
        <w:t xml:space="preserve">denoted by </w:t>
      </w:r>
      <w:r w:rsidR="00A5389C">
        <w:rPr>
          <w:rFonts w:ascii="Times New Roman" w:hAnsi="Times New Roman" w:cs="Times New Roman"/>
          <w:sz w:val="24"/>
          <w:szCs w:val="24"/>
        </w:rPr>
        <w:t>the technology variable, aoMel</w:t>
      </w:r>
      <w:r w:rsidR="00C071B7">
        <w:rPr>
          <w:rFonts w:ascii="Times New Roman" w:hAnsi="Times New Roman" w:cs="Times New Roman"/>
          <w:sz w:val="24"/>
          <w:szCs w:val="24"/>
          <w:vertAlign w:val="subscript"/>
        </w:rPr>
        <w:t>s,c</w:t>
      </w:r>
      <w:r w:rsidR="00A5389C">
        <w:rPr>
          <w:rFonts w:ascii="Times New Roman" w:hAnsi="Times New Roman" w:cs="Times New Roman"/>
          <w:sz w:val="24"/>
          <w:szCs w:val="24"/>
        </w:rPr>
        <w:t xml:space="preserve">.  </w:t>
      </w:r>
      <w:r w:rsidR="00681CF4" w:rsidRPr="00681CF4">
        <w:rPr>
          <w:rFonts w:ascii="Times New Roman" w:hAnsi="Times New Roman" w:cs="Times New Roman"/>
          <w:sz w:val="24"/>
          <w:szCs w:val="24"/>
          <w:lang w:val="en-AU"/>
        </w:rPr>
        <w:t xml:space="preserve">Our reason for including “Mel” in the name of this variable is to indicate that it has a special role in the conversion from Armington to Melitz.  While this variable is normally exogenous in an Armington model, as we will see, </w:t>
      </w:r>
      <w:r w:rsidR="002877AE">
        <w:rPr>
          <w:rFonts w:ascii="Times New Roman" w:hAnsi="Times New Roman" w:cs="Times New Roman"/>
          <w:sz w:val="24"/>
          <w:szCs w:val="24"/>
          <w:lang w:val="en-AU"/>
        </w:rPr>
        <w:t>it becomes endogenous in</w:t>
      </w:r>
      <w:r w:rsidR="00681CF4" w:rsidRPr="00681CF4">
        <w:rPr>
          <w:rFonts w:ascii="Times New Roman" w:hAnsi="Times New Roman" w:cs="Times New Roman"/>
          <w:sz w:val="24"/>
          <w:szCs w:val="24"/>
          <w:lang w:val="en-AU"/>
        </w:rPr>
        <w:t xml:space="preserve"> the </w:t>
      </w:r>
      <w:r w:rsidR="002877AE">
        <w:rPr>
          <w:rFonts w:ascii="Times New Roman" w:hAnsi="Times New Roman" w:cs="Times New Roman"/>
          <w:sz w:val="24"/>
          <w:szCs w:val="24"/>
          <w:lang w:val="en-AU"/>
        </w:rPr>
        <w:t>A2M system to generate Melitz solutions</w:t>
      </w:r>
      <w:r w:rsidR="00046019">
        <w:rPr>
          <w:rFonts w:ascii="Times New Roman" w:hAnsi="Times New Roman" w:cs="Times New Roman"/>
          <w:sz w:val="24"/>
          <w:szCs w:val="24"/>
          <w:lang w:val="en-AU"/>
        </w:rPr>
        <w:t>.</w:t>
      </w:r>
    </w:p>
    <w:p w:rsidR="00647845" w:rsidRDefault="00681CF4" w:rsidP="00046019">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E10EA6">
        <w:rPr>
          <w:rFonts w:ascii="Times New Roman" w:hAnsi="Times New Roman" w:cs="Times New Roman"/>
          <w:sz w:val="24"/>
          <w:szCs w:val="24"/>
        </w:rPr>
        <w:t>(T7.2)</w:t>
      </w:r>
      <w:r>
        <w:rPr>
          <w:rFonts w:ascii="Times New Roman" w:hAnsi="Times New Roman" w:cs="Times New Roman"/>
          <w:sz w:val="24"/>
          <w:szCs w:val="24"/>
        </w:rPr>
        <w:t xml:space="preserve"> determines </w:t>
      </w:r>
      <w:r w:rsidR="00784E95">
        <w:rPr>
          <w:rFonts w:ascii="Times New Roman" w:hAnsi="Times New Roman" w:cs="Times New Roman"/>
          <w:sz w:val="24"/>
          <w:szCs w:val="24"/>
        </w:rPr>
        <w:t xml:space="preserve">market </w:t>
      </w:r>
      <w:r>
        <w:rPr>
          <w:rFonts w:ascii="Times New Roman" w:hAnsi="Times New Roman" w:cs="Times New Roman"/>
          <w:sz w:val="24"/>
          <w:szCs w:val="24"/>
        </w:rPr>
        <w:t xml:space="preserve">prices.  </w:t>
      </w:r>
      <w:r w:rsidR="00784E95">
        <w:rPr>
          <w:rFonts w:ascii="Times New Roman" w:hAnsi="Times New Roman" w:cs="Times New Roman"/>
          <w:sz w:val="24"/>
          <w:szCs w:val="24"/>
        </w:rPr>
        <w:t>Consistent with GTAP terminology, t</w:t>
      </w:r>
      <w:r>
        <w:rPr>
          <w:rFonts w:ascii="Times New Roman" w:hAnsi="Times New Roman" w:cs="Times New Roman"/>
          <w:sz w:val="24"/>
          <w:szCs w:val="24"/>
        </w:rPr>
        <w:t>hese are prices of widgets just beyond the factory door</w:t>
      </w:r>
      <w:r w:rsidR="00784E95">
        <w:rPr>
          <w:rFonts w:ascii="Times New Roman" w:hAnsi="Times New Roman" w:cs="Times New Roman"/>
          <w:sz w:val="24"/>
          <w:szCs w:val="24"/>
        </w:rPr>
        <w:t xml:space="preserve">.  In </w:t>
      </w:r>
      <w:r w:rsidR="001869D2">
        <w:rPr>
          <w:rFonts w:ascii="Times New Roman" w:hAnsi="Times New Roman" w:cs="Times New Roman"/>
          <w:sz w:val="24"/>
          <w:szCs w:val="24"/>
        </w:rPr>
        <w:t>Basic</w:t>
      </w:r>
      <w:r w:rsidR="00784E95">
        <w:rPr>
          <w:rFonts w:ascii="Times New Roman" w:hAnsi="Times New Roman" w:cs="Times New Roman"/>
          <w:sz w:val="24"/>
          <w:szCs w:val="24"/>
        </w:rPr>
        <w:t xml:space="preserve">Armington, market prices are factory prices after the application of a </w:t>
      </w:r>
      <w:r w:rsidR="00364DC7">
        <w:rPr>
          <w:rFonts w:ascii="Times New Roman" w:hAnsi="Times New Roman" w:cs="Times New Roman"/>
          <w:sz w:val="24"/>
          <w:szCs w:val="24"/>
        </w:rPr>
        <w:t>destination</w:t>
      </w:r>
      <w:r w:rsidR="00784E95">
        <w:rPr>
          <w:rFonts w:ascii="Times New Roman" w:hAnsi="Times New Roman" w:cs="Times New Roman"/>
          <w:sz w:val="24"/>
          <w:szCs w:val="24"/>
        </w:rPr>
        <w:t>-</w:t>
      </w:r>
      <w:r w:rsidR="00364DC7">
        <w:rPr>
          <w:rFonts w:ascii="Times New Roman" w:hAnsi="Times New Roman" w:cs="Times New Roman"/>
          <w:sz w:val="24"/>
          <w:szCs w:val="24"/>
        </w:rPr>
        <w:t>specific tax</w:t>
      </w:r>
      <w:r>
        <w:rPr>
          <w:rFonts w:ascii="Times New Roman" w:hAnsi="Times New Roman" w:cs="Times New Roman"/>
          <w:sz w:val="24"/>
          <w:szCs w:val="24"/>
        </w:rPr>
        <w:t>.  The percentage change in the power of th</w:t>
      </w:r>
      <w:r w:rsidR="00D67CEE">
        <w:rPr>
          <w:rFonts w:ascii="Times New Roman" w:hAnsi="Times New Roman" w:cs="Times New Roman"/>
          <w:sz w:val="24"/>
          <w:szCs w:val="24"/>
        </w:rPr>
        <w:t>is</w:t>
      </w:r>
      <w:r>
        <w:rPr>
          <w:rFonts w:ascii="Times New Roman" w:hAnsi="Times New Roman" w:cs="Times New Roman"/>
          <w:sz w:val="24"/>
          <w:szCs w:val="24"/>
        </w:rPr>
        <w:t xml:space="preserve"> tax is txMel</w:t>
      </w:r>
      <w:r w:rsidR="00E10EA6">
        <w:rPr>
          <w:rFonts w:ascii="Times New Roman" w:hAnsi="Times New Roman" w:cs="Times New Roman"/>
          <w:sz w:val="24"/>
          <w:szCs w:val="24"/>
          <w:vertAlign w:val="subscript"/>
        </w:rPr>
        <w:t>sd,c</w:t>
      </w:r>
      <w:r>
        <w:rPr>
          <w:rFonts w:ascii="Times New Roman" w:hAnsi="Times New Roman" w:cs="Times New Roman"/>
          <w:sz w:val="24"/>
          <w:szCs w:val="24"/>
        </w:rPr>
        <w:t>.  Again, the ‘Mel” suffix is included to denote a special role in the Armington</w:t>
      </w:r>
      <w:r w:rsidR="008E57FB">
        <w:rPr>
          <w:rFonts w:ascii="Times New Roman" w:hAnsi="Times New Roman" w:cs="Times New Roman"/>
          <w:sz w:val="24"/>
          <w:szCs w:val="24"/>
        </w:rPr>
        <w:t>-</w:t>
      </w:r>
      <w:r>
        <w:rPr>
          <w:rFonts w:ascii="Times New Roman" w:hAnsi="Times New Roman" w:cs="Times New Roman"/>
          <w:sz w:val="24"/>
          <w:szCs w:val="24"/>
        </w:rPr>
        <w:t>to</w:t>
      </w:r>
      <w:r w:rsidR="008E57FB">
        <w:rPr>
          <w:rFonts w:ascii="Times New Roman" w:hAnsi="Times New Roman" w:cs="Times New Roman"/>
          <w:sz w:val="24"/>
          <w:szCs w:val="24"/>
        </w:rPr>
        <w:t>-</w:t>
      </w:r>
      <w:r>
        <w:rPr>
          <w:rFonts w:ascii="Times New Roman" w:hAnsi="Times New Roman" w:cs="Times New Roman"/>
          <w:sz w:val="24"/>
          <w:szCs w:val="24"/>
        </w:rPr>
        <w:t xml:space="preserve">Melitz conversion, with the variable normally being exogenous in Armington but becoming endogenous in Melitz.  </w:t>
      </w:r>
      <w:r w:rsidR="00364DC7">
        <w:rPr>
          <w:rFonts w:ascii="Times New Roman" w:hAnsi="Times New Roman" w:cs="Times New Roman"/>
          <w:sz w:val="24"/>
          <w:szCs w:val="24"/>
        </w:rPr>
        <w:t xml:space="preserve">The destination-specific nature of the tax </w:t>
      </w:r>
      <w:r w:rsidR="00075709">
        <w:rPr>
          <w:rFonts w:ascii="Times New Roman" w:hAnsi="Times New Roman" w:cs="Times New Roman"/>
          <w:sz w:val="24"/>
          <w:szCs w:val="24"/>
        </w:rPr>
        <w:t xml:space="preserve">becomes important when we introduce the Melitz specification of </w:t>
      </w:r>
      <w:r w:rsidR="000A07A8">
        <w:rPr>
          <w:rFonts w:ascii="Times New Roman" w:hAnsi="Times New Roman" w:cs="Times New Roman"/>
          <w:sz w:val="24"/>
          <w:szCs w:val="24"/>
        </w:rPr>
        <w:t xml:space="preserve">productivity </w:t>
      </w:r>
      <w:r w:rsidR="00075709">
        <w:rPr>
          <w:rFonts w:ascii="Times New Roman" w:hAnsi="Times New Roman" w:cs="Times New Roman"/>
          <w:sz w:val="24"/>
          <w:szCs w:val="24"/>
        </w:rPr>
        <w:t xml:space="preserve">differences in country </w:t>
      </w:r>
      <w:r w:rsidR="000A07A8">
        <w:rPr>
          <w:rFonts w:ascii="Times New Roman" w:hAnsi="Times New Roman" w:cs="Times New Roman"/>
          <w:sz w:val="24"/>
          <w:szCs w:val="24"/>
        </w:rPr>
        <w:t xml:space="preserve">s </w:t>
      </w:r>
      <w:r w:rsidR="00075709">
        <w:rPr>
          <w:rFonts w:ascii="Times New Roman" w:hAnsi="Times New Roman" w:cs="Times New Roman"/>
          <w:sz w:val="24"/>
          <w:szCs w:val="24"/>
        </w:rPr>
        <w:t xml:space="preserve">between </w:t>
      </w:r>
      <w:r w:rsidR="000A07A8">
        <w:rPr>
          <w:rFonts w:ascii="Times New Roman" w:hAnsi="Times New Roman" w:cs="Times New Roman"/>
          <w:sz w:val="24"/>
          <w:szCs w:val="24"/>
        </w:rPr>
        <w:t xml:space="preserve">the </w:t>
      </w:r>
      <w:r w:rsidR="00075709">
        <w:rPr>
          <w:rFonts w:ascii="Times New Roman" w:hAnsi="Times New Roman" w:cs="Times New Roman"/>
          <w:sz w:val="24"/>
          <w:szCs w:val="24"/>
        </w:rPr>
        <w:t xml:space="preserve">firms </w:t>
      </w:r>
      <w:r w:rsidR="000A07A8">
        <w:rPr>
          <w:rFonts w:ascii="Times New Roman" w:hAnsi="Times New Roman" w:cs="Times New Roman"/>
          <w:sz w:val="24"/>
          <w:szCs w:val="24"/>
        </w:rPr>
        <w:t xml:space="preserve">that supply </w:t>
      </w:r>
      <w:r w:rsidR="00075709">
        <w:rPr>
          <w:rFonts w:ascii="Times New Roman" w:hAnsi="Times New Roman" w:cs="Times New Roman"/>
          <w:sz w:val="24"/>
          <w:szCs w:val="24"/>
        </w:rPr>
        <w:t xml:space="preserve">widgets to different destinations.  </w:t>
      </w:r>
    </w:p>
    <w:p w:rsidR="000A07A8" w:rsidRDefault="000A07A8" w:rsidP="00E10EA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E10EA6">
        <w:rPr>
          <w:rFonts w:ascii="Times New Roman" w:hAnsi="Times New Roman" w:cs="Times New Roman"/>
          <w:sz w:val="24"/>
          <w:szCs w:val="24"/>
        </w:rPr>
        <w:t>(T7.3)</w:t>
      </w:r>
      <w:r>
        <w:rPr>
          <w:rFonts w:ascii="Times New Roman" w:hAnsi="Times New Roman" w:cs="Times New Roman"/>
          <w:sz w:val="24"/>
          <w:szCs w:val="24"/>
        </w:rPr>
        <w:t xml:space="preserve"> defines fob prices.  In </w:t>
      </w:r>
      <w:r w:rsidR="001869D2">
        <w:rPr>
          <w:rFonts w:ascii="Times New Roman" w:hAnsi="Times New Roman" w:cs="Times New Roman"/>
          <w:sz w:val="24"/>
          <w:szCs w:val="24"/>
        </w:rPr>
        <w:t>Basic</w:t>
      </w:r>
      <w:r>
        <w:rPr>
          <w:rFonts w:ascii="Times New Roman" w:hAnsi="Times New Roman" w:cs="Times New Roman"/>
          <w:sz w:val="24"/>
          <w:szCs w:val="24"/>
        </w:rPr>
        <w:t xml:space="preserve">Armington these are the same as </w:t>
      </w:r>
      <w:r w:rsidR="00D67CEE">
        <w:rPr>
          <w:rFonts w:ascii="Times New Roman" w:hAnsi="Times New Roman" w:cs="Times New Roman"/>
          <w:sz w:val="24"/>
          <w:szCs w:val="24"/>
        </w:rPr>
        <w:t>market</w:t>
      </w:r>
      <w:r>
        <w:rPr>
          <w:rFonts w:ascii="Times New Roman" w:hAnsi="Times New Roman" w:cs="Times New Roman"/>
          <w:sz w:val="24"/>
          <w:szCs w:val="24"/>
        </w:rPr>
        <w:t xml:space="preserve"> prices.  </w:t>
      </w:r>
      <w:r w:rsidRPr="005329F6">
        <w:rPr>
          <w:rFonts w:ascii="Times New Roman" w:hAnsi="Times New Roman" w:cs="Times New Roman"/>
          <w:sz w:val="24"/>
          <w:szCs w:val="24"/>
        </w:rPr>
        <w:t>In a more detailed mode</w:t>
      </w:r>
      <w:r w:rsidR="005329F6">
        <w:rPr>
          <w:rFonts w:ascii="Times New Roman" w:hAnsi="Times New Roman" w:cs="Times New Roman"/>
          <w:sz w:val="24"/>
          <w:szCs w:val="24"/>
        </w:rPr>
        <w:t>l, m</w:t>
      </w:r>
      <w:r>
        <w:rPr>
          <w:rFonts w:ascii="Times New Roman" w:hAnsi="Times New Roman" w:cs="Times New Roman"/>
          <w:sz w:val="24"/>
          <w:szCs w:val="24"/>
        </w:rPr>
        <w:t xml:space="preserve">argin costs (e.g. transport to ports of exit) and taxes and subsidies cause a wedge between </w:t>
      </w:r>
      <w:r w:rsidR="00D67CEE">
        <w:rPr>
          <w:rFonts w:ascii="Times New Roman" w:hAnsi="Times New Roman" w:cs="Times New Roman"/>
          <w:sz w:val="24"/>
          <w:szCs w:val="24"/>
        </w:rPr>
        <w:t>market</w:t>
      </w:r>
      <w:r>
        <w:rPr>
          <w:rFonts w:ascii="Times New Roman" w:hAnsi="Times New Roman" w:cs="Times New Roman"/>
          <w:sz w:val="24"/>
          <w:szCs w:val="24"/>
        </w:rPr>
        <w:t xml:space="preserve"> prices and fob prices.  </w:t>
      </w:r>
      <w:r w:rsidR="00364DC7">
        <w:rPr>
          <w:rFonts w:ascii="Times New Roman" w:hAnsi="Times New Roman" w:cs="Times New Roman"/>
          <w:sz w:val="24"/>
          <w:szCs w:val="24"/>
        </w:rPr>
        <w:t xml:space="preserve"> </w:t>
      </w:r>
    </w:p>
    <w:p w:rsidR="002C0185" w:rsidRPr="005342D4" w:rsidRDefault="002C0185" w:rsidP="00E10EA6">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E10EA6">
        <w:rPr>
          <w:rFonts w:ascii="Times New Roman" w:hAnsi="Times New Roman" w:cs="Times New Roman"/>
          <w:sz w:val="24"/>
          <w:szCs w:val="24"/>
        </w:rPr>
        <w:t>(T7.4)</w:t>
      </w:r>
      <w:r>
        <w:rPr>
          <w:rFonts w:ascii="Times New Roman" w:hAnsi="Times New Roman" w:cs="Times New Roman"/>
          <w:sz w:val="24"/>
          <w:szCs w:val="24"/>
        </w:rPr>
        <w:t xml:space="preserve"> defines cif prices.  In </w:t>
      </w:r>
      <w:r w:rsidR="001869D2">
        <w:rPr>
          <w:rFonts w:ascii="Times New Roman" w:hAnsi="Times New Roman" w:cs="Times New Roman"/>
          <w:sz w:val="24"/>
          <w:szCs w:val="24"/>
        </w:rPr>
        <w:t>Basic</w:t>
      </w:r>
      <w:r>
        <w:rPr>
          <w:rFonts w:ascii="Times New Roman" w:hAnsi="Times New Roman" w:cs="Times New Roman"/>
          <w:sz w:val="24"/>
          <w:szCs w:val="24"/>
        </w:rPr>
        <w:t xml:space="preserve">Armington these are the same as fob prices.  In </w:t>
      </w:r>
      <w:r w:rsidRPr="005329F6">
        <w:rPr>
          <w:rFonts w:ascii="Times New Roman" w:hAnsi="Times New Roman" w:cs="Times New Roman"/>
          <w:sz w:val="24"/>
          <w:szCs w:val="24"/>
        </w:rPr>
        <w:t>GTAP,</w:t>
      </w:r>
      <w:r>
        <w:rPr>
          <w:rFonts w:ascii="Times New Roman" w:hAnsi="Times New Roman" w:cs="Times New Roman"/>
          <w:sz w:val="24"/>
          <w:szCs w:val="24"/>
        </w:rPr>
        <w:t xml:space="preserve"> transport costs from port of exit to port of entry provide a wedge between the two sets of prices.  </w:t>
      </w:r>
      <w:r w:rsidR="005342D4">
        <w:rPr>
          <w:rFonts w:ascii="Times New Roman" w:hAnsi="Times New Roman" w:cs="Times New Roman"/>
          <w:sz w:val="24"/>
          <w:szCs w:val="24"/>
        </w:rPr>
        <w:t>By making t</w:t>
      </w:r>
      <w:r w:rsidR="00627661">
        <w:rPr>
          <w:rFonts w:ascii="Times New Roman" w:hAnsi="Times New Roman" w:cs="Times New Roman"/>
          <w:sz w:val="24"/>
          <w:szCs w:val="24"/>
        </w:rPr>
        <w:t xml:space="preserve">ransport costs </w:t>
      </w:r>
      <w:r w:rsidR="005342D4">
        <w:rPr>
          <w:rFonts w:ascii="Times New Roman" w:hAnsi="Times New Roman" w:cs="Times New Roman"/>
          <w:i/>
          <w:sz w:val="24"/>
          <w:szCs w:val="24"/>
        </w:rPr>
        <w:t>ad valorem</w:t>
      </w:r>
      <w:r w:rsidR="005342D4">
        <w:rPr>
          <w:rFonts w:ascii="Times New Roman" w:hAnsi="Times New Roman" w:cs="Times New Roman"/>
          <w:sz w:val="24"/>
          <w:szCs w:val="24"/>
        </w:rPr>
        <w:t xml:space="preserve"> with respect to fob prices we can maintain the percentage</w:t>
      </w:r>
      <w:r w:rsidR="00627661">
        <w:rPr>
          <w:rFonts w:ascii="Times New Roman" w:hAnsi="Times New Roman" w:cs="Times New Roman"/>
          <w:sz w:val="24"/>
          <w:szCs w:val="24"/>
        </w:rPr>
        <w:t>-</w:t>
      </w:r>
      <w:r w:rsidR="005342D4">
        <w:rPr>
          <w:rFonts w:ascii="Times New Roman" w:hAnsi="Times New Roman" w:cs="Times New Roman"/>
          <w:sz w:val="24"/>
          <w:szCs w:val="24"/>
        </w:rPr>
        <w:t xml:space="preserve">change equation </w:t>
      </w:r>
      <w:r w:rsidR="00E10EA6">
        <w:rPr>
          <w:rFonts w:ascii="Times New Roman" w:hAnsi="Times New Roman" w:cs="Times New Roman"/>
          <w:sz w:val="24"/>
          <w:szCs w:val="24"/>
        </w:rPr>
        <w:t>(T7.4)</w:t>
      </w:r>
      <w:r w:rsidR="00627661">
        <w:rPr>
          <w:rFonts w:ascii="Times New Roman" w:hAnsi="Times New Roman" w:cs="Times New Roman"/>
          <w:sz w:val="24"/>
          <w:szCs w:val="24"/>
        </w:rPr>
        <w:t xml:space="preserve">, with an additional exogenous variable to represent </w:t>
      </w:r>
      <w:r w:rsidR="002877AE">
        <w:rPr>
          <w:rFonts w:ascii="Times New Roman" w:hAnsi="Times New Roman" w:cs="Times New Roman"/>
          <w:sz w:val="24"/>
          <w:szCs w:val="24"/>
        </w:rPr>
        <w:t xml:space="preserve">percentage changes in </w:t>
      </w:r>
      <w:r w:rsidR="00627661">
        <w:rPr>
          <w:rFonts w:ascii="Times New Roman" w:hAnsi="Times New Roman" w:cs="Times New Roman"/>
          <w:sz w:val="24"/>
          <w:szCs w:val="24"/>
        </w:rPr>
        <w:t xml:space="preserve">the </w:t>
      </w:r>
      <w:r w:rsidR="00CD7E68">
        <w:rPr>
          <w:rFonts w:ascii="Times New Roman" w:hAnsi="Times New Roman" w:cs="Times New Roman"/>
          <w:sz w:val="24"/>
          <w:szCs w:val="24"/>
        </w:rPr>
        <w:t>power</w:t>
      </w:r>
      <w:r w:rsidR="00627661">
        <w:rPr>
          <w:rFonts w:ascii="Times New Roman" w:hAnsi="Times New Roman" w:cs="Times New Roman"/>
          <w:sz w:val="24"/>
          <w:szCs w:val="24"/>
        </w:rPr>
        <w:t xml:space="preserve"> of transport costs</w:t>
      </w:r>
      <w:r w:rsidR="005342D4">
        <w:rPr>
          <w:rFonts w:ascii="Times New Roman" w:hAnsi="Times New Roman" w:cs="Times New Roman"/>
          <w:sz w:val="24"/>
          <w:szCs w:val="24"/>
        </w:rPr>
        <w:t xml:space="preserve">.  </w:t>
      </w:r>
    </w:p>
    <w:p w:rsidR="0058503C" w:rsidRDefault="002C0185" w:rsidP="003C42F5">
      <w:pPr>
        <w:ind w:firstLine="284"/>
        <w:jc w:val="both"/>
        <w:rPr>
          <w:rFonts w:ascii="Times New Roman" w:hAnsi="Times New Roman" w:cs="Times New Roman"/>
          <w:b/>
          <w:i/>
          <w:sz w:val="24"/>
          <w:szCs w:val="24"/>
        </w:rPr>
      </w:pPr>
      <w:r>
        <w:rPr>
          <w:rFonts w:ascii="Times New Roman" w:hAnsi="Times New Roman" w:cs="Times New Roman"/>
          <w:sz w:val="24"/>
          <w:szCs w:val="24"/>
        </w:rPr>
        <w:t xml:space="preserve">Equation </w:t>
      </w:r>
      <w:r w:rsidR="00A76BE8">
        <w:rPr>
          <w:rFonts w:ascii="Times New Roman" w:hAnsi="Times New Roman" w:cs="Times New Roman"/>
          <w:sz w:val="24"/>
          <w:szCs w:val="24"/>
        </w:rPr>
        <w:t>(T7.5)</w:t>
      </w:r>
      <w:r>
        <w:rPr>
          <w:rFonts w:ascii="Times New Roman" w:hAnsi="Times New Roman" w:cs="Times New Roman"/>
          <w:sz w:val="24"/>
          <w:szCs w:val="24"/>
        </w:rPr>
        <w:t xml:space="preserve"> defines purchasers prices as cif prices plus tariffs. </w:t>
      </w:r>
      <w:r w:rsidR="00A76BE8">
        <w:rPr>
          <w:rFonts w:ascii="Times New Roman" w:hAnsi="Times New Roman" w:cs="Times New Roman"/>
          <w:sz w:val="24"/>
          <w:szCs w:val="24"/>
        </w:rPr>
        <w:t xml:space="preserve"> </w:t>
      </w:r>
      <w:r>
        <w:rPr>
          <w:rFonts w:ascii="Times New Roman" w:hAnsi="Times New Roman" w:cs="Times New Roman"/>
          <w:sz w:val="24"/>
          <w:szCs w:val="24"/>
        </w:rPr>
        <w:t xml:space="preserve">In a detailed model such as GTAP, purchasers prices carry a user subscript.  In </w:t>
      </w:r>
      <w:r w:rsidR="001869D2">
        <w:rPr>
          <w:rFonts w:ascii="Times New Roman" w:hAnsi="Times New Roman" w:cs="Times New Roman"/>
          <w:sz w:val="24"/>
          <w:szCs w:val="24"/>
        </w:rPr>
        <w:t>BasicArmington</w:t>
      </w:r>
      <w:r>
        <w:rPr>
          <w:rFonts w:ascii="Times New Roman" w:hAnsi="Times New Roman" w:cs="Times New Roman"/>
          <w:sz w:val="24"/>
          <w:szCs w:val="24"/>
        </w:rPr>
        <w:t xml:space="preserve"> this is not necessary because there is only one user</w:t>
      </w:r>
      <w:r w:rsidR="00A76BE8" w:rsidRPr="00A76BE8">
        <w:rPr>
          <w:rFonts w:ascii="Times New Roman" w:hAnsi="Times New Roman" w:cs="Times New Roman"/>
          <w:sz w:val="24"/>
          <w:szCs w:val="24"/>
        </w:rPr>
        <w:t xml:space="preserve"> </w:t>
      </w:r>
      <w:r w:rsidR="00A76BE8">
        <w:rPr>
          <w:rFonts w:ascii="Times New Roman" w:hAnsi="Times New Roman" w:cs="Times New Roman"/>
          <w:sz w:val="24"/>
          <w:szCs w:val="24"/>
        </w:rPr>
        <w:t xml:space="preserve">of commodity c flowing from s to d, namely </w:t>
      </w:r>
      <w:r>
        <w:rPr>
          <w:rFonts w:ascii="Times New Roman" w:hAnsi="Times New Roman" w:cs="Times New Roman"/>
          <w:sz w:val="24"/>
          <w:szCs w:val="24"/>
        </w:rPr>
        <w:t>households in country d</w:t>
      </w:r>
      <w:r w:rsidR="00A76BE8">
        <w:rPr>
          <w:rFonts w:ascii="Times New Roman" w:hAnsi="Times New Roman" w:cs="Times New Roman"/>
          <w:sz w:val="24"/>
          <w:szCs w:val="24"/>
        </w:rPr>
        <w:t>.</w:t>
      </w:r>
      <w:r>
        <w:rPr>
          <w:rFonts w:ascii="Times New Roman" w:hAnsi="Times New Roman" w:cs="Times New Roman"/>
          <w:sz w:val="24"/>
          <w:szCs w:val="24"/>
        </w:rPr>
        <w:t xml:space="preserve">  </w:t>
      </w:r>
      <w:r w:rsidR="00627661">
        <w:rPr>
          <w:rFonts w:ascii="Times New Roman" w:hAnsi="Times New Roman" w:cs="Times New Roman"/>
          <w:sz w:val="24"/>
          <w:szCs w:val="24"/>
        </w:rPr>
        <w:t xml:space="preserve">Also, we have assumed in </w:t>
      </w:r>
      <w:r w:rsidR="001869D2">
        <w:rPr>
          <w:rFonts w:ascii="Times New Roman" w:hAnsi="Times New Roman" w:cs="Times New Roman"/>
          <w:sz w:val="24"/>
          <w:szCs w:val="24"/>
        </w:rPr>
        <w:t>BasicArmington</w:t>
      </w:r>
      <w:r w:rsidR="00627661">
        <w:rPr>
          <w:rFonts w:ascii="Times New Roman" w:hAnsi="Times New Roman" w:cs="Times New Roman"/>
          <w:sz w:val="24"/>
          <w:szCs w:val="24"/>
        </w:rPr>
        <w:t xml:space="preserve"> that there are no margins and sales taxes that separate cif prices from purchasers prices.  In GTAP there are sales taxes but no </w:t>
      </w:r>
      <w:r w:rsidR="00F30CA5">
        <w:rPr>
          <w:rFonts w:ascii="Times New Roman" w:hAnsi="Times New Roman" w:cs="Times New Roman"/>
          <w:sz w:val="24"/>
          <w:szCs w:val="24"/>
        </w:rPr>
        <w:br/>
      </w:r>
    </w:p>
    <w:p w:rsidR="009B0E9B" w:rsidRDefault="009B0E9B">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F30CA5" w:rsidRPr="00070438" w:rsidRDefault="00F30CA5" w:rsidP="00134739">
      <w:pPr>
        <w:spacing w:after="0"/>
        <w:jc w:val="center"/>
        <w:rPr>
          <w:rFonts w:ascii="Times New Roman" w:hAnsi="Times New Roman" w:cs="Times New Roman"/>
          <w:b/>
          <w:i/>
          <w:sz w:val="24"/>
          <w:szCs w:val="24"/>
        </w:rPr>
      </w:pPr>
      <w:r w:rsidRPr="00070438">
        <w:rPr>
          <w:rFonts w:ascii="Times New Roman" w:hAnsi="Times New Roman" w:cs="Times New Roman"/>
          <w:b/>
          <w:i/>
          <w:sz w:val="24"/>
          <w:szCs w:val="24"/>
        </w:rPr>
        <w:lastRenderedPageBreak/>
        <w:t xml:space="preserve">Table 7.1.  </w:t>
      </w:r>
      <w:r>
        <w:rPr>
          <w:rFonts w:ascii="Times New Roman" w:hAnsi="Times New Roman" w:cs="Times New Roman"/>
          <w:b/>
          <w:i/>
          <w:sz w:val="24"/>
          <w:szCs w:val="24"/>
        </w:rPr>
        <w:t>An A2M system: p</w:t>
      </w:r>
      <w:r w:rsidRPr="00070438">
        <w:rPr>
          <w:rFonts w:ascii="Times New Roman" w:hAnsi="Times New Roman" w:cs="Times New Roman"/>
          <w:b/>
          <w:i/>
          <w:sz w:val="24"/>
          <w:szCs w:val="24"/>
        </w:rPr>
        <w:t>ercentage change version</w:t>
      </w:r>
      <w:r>
        <w:rPr>
          <w:rFonts w:ascii="Times New Roman" w:hAnsi="Times New Roman" w:cs="Times New Roman"/>
          <w:b/>
          <w:i/>
          <w:sz w:val="24"/>
          <w:szCs w:val="24"/>
        </w:rPr>
        <w:t>s</w:t>
      </w:r>
      <w:r w:rsidRPr="00070438">
        <w:rPr>
          <w:rFonts w:ascii="Times New Roman" w:hAnsi="Times New Roman" w:cs="Times New Roman"/>
          <w:b/>
          <w:i/>
          <w:sz w:val="24"/>
          <w:szCs w:val="24"/>
        </w:rPr>
        <w:t xml:space="preserve"> of </w:t>
      </w:r>
      <w:r>
        <w:rPr>
          <w:rFonts w:ascii="Times New Roman" w:hAnsi="Times New Roman" w:cs="Times New Roman"/>
          <w:b/>
          <w:i/>
          <w:sz w:val="24"/>
          <w:szCs w:val="24"/>
        </w:rPr>
        <w:t xml:space="preserve">equations for the </w:t>
      </w:r>
      <w:r w:rsidR="001869D2">
        <w:rPr>
          <w:rFonts w:ascii="Times New Roman" w:hAnsi="Times New Roman" w:cs="Times New Roman"/>
          <w:b/>
          <w:i/>
          <w:sz w:val="24"/>
          <w:szCs w:val="24"/>
        </w:rPr>
        <w:t>Basic</w:t>
      </w:r>
      <w:r>
        <w:rPr>
          <w:rFonts w:ascii="Times New Roman" w:hAnsi="Times New Roman" w:cs="Times New Roman"/>
          <w:b/>
          <w:i/>
          <w:sz w:val="24"/>
          <w:szCs w:val="24"/>
        </w:rPr>
        <w:t>Armington model and additional equations for conversion to Melitz</w:t>
      </w:r>
    </w:p>
    <w:tbl>
      <w:tblPr>
        <w:tblStyle w:val="TableGrid"/>
        <w:tblW w:w="8978" w:type="dxa"/>
        <w:tblLook w:val="04A0" w:firstRow="1" w:lastRow="0" w:firstColumn="1" w:lastColumn="0" w:noHBand="0" w:noVBand="1"/>
      </w:tblPr>
      <w:tblGrid>
        <w:gridCol w:w="822"/>
        <w:gridCol w:w="8156"/>
      </w:tblGrid>
      <w:tr w:rsidR="00F30CA5" w:rsidTr="000F0298">
        <w:tc>
          <w:tcPr>
            <w:tcW w:w="822" w:type="dxa"/>
            <w:tcBorders>
              <w:top w:val="single" w:sz="18" w:space="0" w:color="808080" w:themeColor="background1" w:themeShade="80"/>
              <w:left w:val="nil"/>
              <w:bottom w:val="single" w:sz="18" w:space="0" w:color="808080" w:themeColor="background1" w:themeShade="80"/>
              <w:right w:val="single" w:sz="18" w:space="0" w:color="808080" w:themeColor="background1" w:themeShade="80"/>
            </w:tcBorders>
          </w:tcPr>
          <w:p w:rsidR="00F30CA5" w:rsidRPr="00070438" w:rsidRDefault="00F30CA5" w:rsidP="009D6E29">
            <w:pPr>
              <w:spacing w:after="0" w:line="360" w:lineRule="auto"/>
              <w:rPr>
                <w:rFonts w:ascii="Times New Roman" w:hAnsi="Times New Roman" w:cs="Times New Roman"/>
                <w:sz w:val="20"/>
                <w:szCs w:val="20"/>
              </w:rPr>
            </w:pPr>
          </w:p>
        </w:tc>
        <w:tc>
          <w:tcPr>
            <w:tcW w:w="8156" w:type="dxa"/>
            <w:tcBorders>
              <w:top w:val="single" w:sz="18" w:space="0" w:color="808080" w:themeColor="background1" w:themeShade="80"/>
              <w:left w:val="single" w:sz="18" w:space="0" w:color="808080" w:themeColor="background1" w:themeShade="80"/>
              <w:bottom w:val="single" w:sz="18" w:space="0" w:color="808080" w:themeColor="background1" w:themeShade="80"/>
              <w:right w:val="nil"/>
            </w:tcBorders>
          </w:tcPr>
          <w:p w:rsidR="00F30CA5" w:rsidRPr="00F27505" w:rsidRDefault="001869D2" w:rsidP="009D6E29">
            <w:pPr>
              <w:spacing w:after="0" w:line="360" w:lineRule="auto"/>
              <w:rPr>
                <w:rFonts w:ascii="Times New Roman" w:hAnsi="Times New Roman" w:cs="Times New Roman"/>
                <w:b/>
                <w:i/>
                <w:sz w:val="24"/>
                <w:szCs w:val="24"/>
              </w:rPr>
            </w:pPr>
            <w:r>
              <w:rPr>
                <w:rFonts w:ascii="Times New Roman" w:hAnsi="Times New Roman" w:cs="Times New Roman"/>
                <w:b/>
                <w:i/>
                <w:sz w:val="24"/>
                <w:szCs w:val="24"/>
              </w:rPr>
              <w:t>Basic</w:t>
            </w:r>
            <w:r w:rsidR="00F30CA5" w:rsidRPr="00F27505">
              <w:rPr>
                <w:rFonts w:ascii="Times New Roman" w:hAnsi="Times New Roman" w:cs="Times New Roman"/>
                <w:b/>
                <w:i/>
                <w:sz w:val="24"/>
                <w:szCs w:val="24"/>
              </w:rPr>
              <w:t>Armington model</w:t>
            </w:r>
          </w:p>
        </w:tc>
      </w:tr>
      <w:tr w:rsidR="00F30CA5" w:rsidTr="000F0298">
        <w:tc>
          <w:tcPr>
            <w:tcW w:w="822" w:type="dxa"/>
            <w:tcBorders>
              <w:top w:val="single" w:sz="18" w:space="0" w:color="808080" w:themeColor="background1" w:themeShade="80"/>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p>
        </w:tc>
        <w:tc>
          <w:tcPr>
            <w:tcW w:w="8156" w:type="dxa"/>
            <w:tcBorders>
              <w:top w:val="single" w:sz="18" w:space="0" w:color="808080" w:themeColor="background1" w:themeShade="80"/>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231CF6">
              <w:rPr>
                <w:rFonts w:ascii="Times New Roman" w:hAnsi="Times New Roman" w:cs="Times New Roman"/>
                <w:position w:val="-12"/>
                <w:sz w:val="20"/>
                <w:szCs w:val="20"/>
              </w:rPr>
              <w:object w:dxaOrig="2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pt;height:17.05pt" o:ole="">
                  <v:imagedata r:id="rId8" o:title=""/>
                </v:shape>
                <o:OLEObject Type="Embed" ProgID="Equation.DSMT4" ShapeID="_x0000_i1025" DrawAspect="Content" ObjectID="_1585147683" r:id="rId9"/>
              </w:object>
            </w:r>
            <w:r w:rsidRPr="00070438">
              <w:rPr>
                <w:rFonts w:ascii="Times New Roman" w:hAnsi="Times New Roman" w:cs="Times New Roman"/>
                <w:sz w:val="20"/>
                <w:szCs w:val="20"/>
              </w:rPr>
              <w:t xml:space="preserve">       </w: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.2)</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231CF6">
              <w:rPr>
                <w:rFonts w:ascii="Times New Roman" w:hAnsi="Times New Roman" w:cs="Times New Roman"/>
                <w:position w:val="-12"/>
                <w:sz w:val="20"/>
                <w:szCs w:val="20"/>
              </w:rPr>
              <w:object w:dxaOrig="2980" w:dyaOrig="320">
                <v:shape id="_x0000_i1026" type="#_x0000_t75" style="width:149.2pt;height:17.05pt" o:ole="">
                  <v:imagedata r:id="rId10" o:title=""/>
                </v:shape>
                <o:OLEObject Type="Embed" ProgID="Equation.DSMT4" ShapeID="_x0000_i1026" DrawAspect="Content" ObjectID="_1585147684" r:id="rId11"/>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vertAlign w:val="superscript"/>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w:t>
            </w:r>
            <w:r>
              <w:rPr>
                <w:rFonts w:ascii="Times New Roman" w:hAnsi="Times New Roman" w:cs="Times New Roman"/>
                <w:sz w:val="20"/>
                <w:szCs w:val="20"/>
              </w:rPr>
              <w:t>3</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231CF6">
              <w:rPr>
                <w:rFonts w:ascii="Times New Roman" w:hAnsi="Times New Roman" w:cs="Times New Roman"/>
                <w:position w:val="-14"/>
                <w:sz w:val="20"/>
                <w:szCs w:val="20"/>
              </w:rPr>
              <w:object w:dxaOrig="2200" w:dyaOrig="380">
                <v:shape id="_x0000_i1027" type="#_x0000_t75" style="width:109.1pt;height:17.8pt" o:ole="">
                  <v:imagedata r:id="rId12" o:title=""/>
                </v:shape>
                <o:OLEObject Type="Embed" ProgID="Equation.DSMT4" ShapeID="_x0000_i1027" DrawAspect="Content" ObjectID="_1585147685" r:id="rId13"/>
              </w:object>
            </w:r>
            <w:r w:rsidRPr="00070438">
              <w:rPr>
                <w:rFonts w:ascii="Times New Roman" w:hAnsi="Times New Roman" w:cs="Times New Roman"/>
                <w:sz w:val="20"/>
                <w:szCs w:val="20"/>
              </w:rPr>
              <w:t xml:space="preserve">  </w: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.4)</w:t>
            </w:r>
          </w:p>
        </w:tc>
        <w:tc>
          <w:tcPr>
            <w:tcW w:w="8156" w:type="dxa"/>
            <w:tcBorders>
              <w:left w:val="single" w:sz="18" w:space="0" w:color="808080" w:themeColor="background1" w:themeShade="80"/>
              <w:right w:val="nil"/>
            </w:tcBorders>
            <w:vAlign w:val="center"/>
          </w:tcPr>
          <w:p w:rsidR="00F30CA5" w:rsidRPr="00231CF6" w:rsidRDefault="00F30CA5" w:rsidP="009D6E29">
            <w:pPr>
              <w:spacing w:before="40" w:after="40" w:line="240" w:lineRule="auto"/>
            </w:pPr>
            <w:r w:rsidRPr="00231CF6">
              <w:rPr>
                <w:rFonts w:ascii="Times New Roman" w:hAnsi="Times New Roman" w:cs="Times New Roman"/>
                <w:position w:val="-14"/>
                <w:sz w:val="20"/>
                <w:szCs w:val="20"/>
              </w:rPr>
              <w:object w:dxaOrig="1780" w:dyaOrig="380">
                <v:shape id="_x0000_i1028" type="#_x0000_t75" style="width:89.05pt;height:17.8pt" o:ole="">
                  <v:imagedata r:id="rId14" o:title=""/>
                </v:shape>
                <o:OLEObject Type="Embed" ProgID="Equation.DSMT4" ShapeID="_x0000_i1028" DrawAspect="Content" ObjectID="_1585147686" r:id="rId15"/>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.5)</w:t>
            </w:r>
          </w:p>
        </w:tc>
        <w:tc>
          <w:tcPr>
            <w:tcW w:w="8156" w:type="dxa"/>
            <w:tcBorders>
              <w:left w:val="single" w:sz="18" w:space="0" w:color="808080" w:themeColor="background1" w:themeShade="80"/>
              <w:right w:val="nil"/>
            </w:tcBorders>
            <w:vAlign w:val="center"/>
          </w:tcPr>
          <w:p w:rsidR="00F30CA5" w:rsidRPr="00231CF6" w:rsidRDefault="00F30CA5" w:rsidP="009D6E29">
            <w:pPr>
              <w:snapToGrid w:val="0"/>
              <w:spacing w:after="0" w:line="240" w:lineRule="auto"/>
            </w:pPr>
            <w:r w:rsidRPr="00231CF6">
              <w:rPr>
                <w:rFonts w:ascii="Times New Roman" w:hAnsi="Times New Roman" w:cs="Times New Roman"/>
                <w:position w:val="-14"/>
                <w:sz w:val="20"/>
                <w:szCs w:val="20"/>
              </w:rPr>
              <w:object w:dxaOrig="2200" w:dyaOrig="380">
                <v:shape id="_x0000_i1029" type="#_x0000_t75" style="width:109.1pt;height:17.8pt" o:ole="">
                  <v:imagedata r:id="rId16" o:title=""/>
                </v:shape>
                <o:OLEObject Type="Embed" ProgID="Equation.DSMT4" ShapeID="_x0000_i1029" DrawAspect="Content" ObjectID="_1585147687" r:id="rId17"/>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.6)</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231CF6">
              <w:rPr>
                <w:rFonts w:ascii="Times New Roman" w:hAnsi="Times New Roman" w:cs="Times New Roman"/>
                <w:position w:val="-18"/>
                <w:sz w:val="20"/>
                <w:szCs w:val="20"/>
              </w:rPr>
              <w:object w:dxaOrig="5640" w:dyaOrig="480">
                <v:shape id="_x0000_i1030" type="#_x0000_t75" style="width:278.35pt;height:22.25pt" o:ole="">
                  <v:imagedata r:id="rId18" o:title=""/>
                </v:shape>
                <o:OLEObject Type="Embed" ProgID="Equation.DSMT4" ShapeID="_x0000_i1030" DrawAspect="Content" ObjectID="_1585147688" r:id="rId19"/>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.7)</w:t>
            </w:r>
          </w:p>
        </w:tc>
        <w:tc>
          <w:tcPr>
            <w:tcW w:w="8156" w:type="dxa"/>
            <w:tcBorders>
              <w:left w:val="single" w:sz="18" w:space="0" w:color="808080" w:themeColor="background1" w:themeShade="80"/>
              <w:right w:val="nil"/>
            </w:tcBorders>
            <w:vAlign w:val="center"/>
          </w:tcPr>
          <w:p w:rsidR="00F30CA5" w:rsidRPr="00070438" w:rsidRDefault="00F30CA5" w:rsidP="009D6E29">
            <w:pPr>
              <w:snapToGrid w:val="0"/>
              <w:spacing w:after="0" w:line="240" w:lineRule="auto"/>
              <w:rPr>
                <w:rFonts w:ascii="Times New Roman" w:hAnsi="Times New Roman" w:cs="Times New Roman"/>
                <w:b/>
                <w:bCs/>
                <w:sz w:val="20"/>
                <w:szCs w:val="20"/>
              </w:rPr>
            </w:pPr>
            <w:r w:rsidRPr="00D21A1A">
              <w:rPr>
                <w:rFonts w:ascii="Times New Roman" w:hAnsi="Times New Roman" w:cs="Times New Roman"/>
                <w:position w:val="-28"/>
                <w:sz w:val="20"/>
                <w:szCs w:val="20"/>
              </w:rPr>
              <w:object w:dxaOrig="3980" w:dyaOrig="560">
                <v:shape id="_x0000_i1031" type="#_x0000_t75" style="width:200.4pt;height:26pt" o:ole="">
                  <v:imagedata r:id="rId20" o:title=""/>
                </v:shape>
                <o:OLEObject Type="Embed" ProgID="Equation.DSMT4" ShapeID="_x0000_i1031" DrawAspect="Content" ObjectID="_1585147689" r:id="rId21"/>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.8)</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5779F2">
              <w:rPr>
                <w:rFonts w:ascii="Times New Roman" w:hAnsi="Times New Roman" w:cs="Times New Roman"/>
                <w:position w:val="-14"/>
                <w:sz w:val="20"/>
                <w:szCs w:val="20"/>
              </w:rPr>
              <w:object w:dxaOrig="2680" w:dyaOrig="380">
                <v:shape id="_x0000_i1032" type="#_x0000_t75" style="width:134.35pt;height:17.8pt" o:ole="">
                  <v:imagedata r:id="rId22" o:title=""/>
                </v:shape>
                <o:OLEObject Type="Embed" ProgID="Equation.DSMT4" ShapeID="_x0000_i1032" DrawAspect="Content" ObjectID="_1585147690" r:id="rId23"/>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w:t>
            </w:r>
            <w:r>
              <w:rPr>
                <w:rFonts w:ascii="Times New Roman" w:hAnsi="Times New Roman" w:cs="Times New Roman"/>
                <w:sz w:val="20"/>
                <w:szCs w:val="20"/>
              </w:rPr>
              <w:t>9</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D81760" w:rsidP="009D6E29">
            <w:pPr>
              <w:spacing w:after="0" w:line="240" w:lineRule="auto"/>
              <w:rPr>
                <w:rFonts w:ascii="Times New Roman" w:hAnsi="Times New Roman" w:cs="Times New Roman"/>
                <w:position w:val="-30"/>
                <w:sz w:val="20"/>
                <w:szCs w:val="20"/>
              </w:rPr>
            </w:pPr>
            <w:r w:rsidRPr="00070438">
              <w:rPr>
                <w:rFonts w:ascii="Times New Roman" w:hAnsi="Times New Roman" w:cs="Times New Roman"/>
                <w:position w:val="-14"/>
                <w:sz w:val="20"/>
                <w:szCs w:val="20"/>
              </w:rPr>
              <w:object w:dxaOrig="2480" w:dyaOrig="380">
                <v:shape id="_x0000_i1033" type="#_x0000_t75" style="width:121.75pt;height:17.8pt" o:ole="">
                  <v:imagedata r:id="rId24" o:title=""/>
                </v:shape>
                <o:OLEObject Type="Embed" ProgID="Equation.DSMT4" ShapeID="_x0000_i1033" DrawAspect="Content" ObjectID="_1585147691" r:id="rId25"/>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w:t>
            </w:r>
            <w:r>
              <w:rPr>
                <w:rFonts w:ascii="Times New Roman" w:hAnsi="Times New Roman" w:cs="Times New Roman"/>
                <w:sz w:val="20"/>
                <w:szCs w:val="20"/>
              </w:rPr>
              <w:t>10</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position w:val="-30"/>
                <w:sz w:val="20"/>
                <w:szCs w:val="20"/>
              </w:rPr>
            </w:pPr>
            <w:r w:rsidRPr="00070438">
              <w:rPr>
                <w:rFonts w:ascii="Times New Roman" w:hAnsi="Times New Roman" w:cs="Times New Roman"/>
                <w:position w:val="-14"/>
                <w:sz w:val="20"/>
                <w:szCs w:val="20"/>
              </w:rPr>
              <w:object w:dxaOrig="2320" w:dyaOrig="380">
                <v:shape id="_x0000_i1034" type="#_x0000_t75" style="width:118pt;height:17.8pt" o:ole="">
                  <v:imagedata r:id="rId26" o:title=""/>
                </v:shape>
                <o:OLEObject Type="Embed" ProgID="Equation.DSMT4" ShapeID="_x0000_i1034" DrawAspect="Content" ObjectID="_1585147692" r:id="rId27"/>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1</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position w:val="-30"/>
                <w:sz w:val="20"/>
                <w:szCs w:val="20"/>
              </w:rPr>
            </w:pPr>
            <w:r w:rsidRPr="00D21A1A">
              <w:rPr>
                <w:rFonts w:ascii="Times New Roman" w:hAnsi="Times New Roman" w:cs="Times New Roman"/>
                <w:position w:val="-28"/>
                <w:sz w:val="20"/>
                <w:szCs w:val="20"/>
              </w:rPr>
              <w:object w:dxaOrig="2700" w:dyaOrig="540">
                <v:shape id="_x0000_i1035" type="#_x0000_t75" style="width:132.1pt;height:26pt" o:ole="">
                  <v:imagedata r:id="rId28" o:title=""/>
                </v:shape>
                <o:OLEObject Type="Embed" ProgID="Equation.DSMT4" ShapeID="_x0000_i1035" DrawAspect="Content" ObjectID="_1585147693" r:id="rId29"/>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2</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B51F95">
              <w:rPr>
                <w:rFonts w:ascii="Times New Roman" w:hAnsi="Times New Roman" w:cs="Times New Roman"/>
                <w:position w:val="-30"/>
                <w:sz w:val="20"/>
                <w:szCs w:val="20"/>
              </w:rPr>
              <w:object w:dxaOrig="6979" w:dyaOrig="720">
                <v:shape id="_x0000_i1036" type="#_x0000_t75" style="width:339.2pt;height:34.15pt" o:ole="">
                  <v:imagedata r:id="rId30" o:title=""/>
                </v:shape>
                <o:OLEObject Type="Embed" ProgID="Equation.DSMT4" ShapeID="_x0000_i1036" DrawAspect="Content" ObjectID="_1585147694" r:id="rId31"/>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3</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B51F95">
              <w:rPr>
                <w:rFonts w:ascii="Times New Roman" w:hAnsi="Times New Roman" w:cs="Times New Roman"/>
                <w:position w:val="-42"/>
                <w:sz w:val="20"/>
                <w:szCs w:val="20"/>
              </w:rPr>
              <w:object w:dxaOrig="5020" w:dyaOrig="960">
                <v:shape id="_x0000_i1037" type="#_x0000_t75" style="width:242pt;height:46pt" o:ole="">
                  <v:imagedata r:id="rId32" o:title=""/>
                </v:shape>
                <o:OLEObject Type="Embed" ProgID="Equation.DSMT4" ShapeID="_x0000_i1037" DrawAspect="Content" ObjectID="_1585147695" r:id="rId33"/>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4</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8D5E54">
              <w:rPr>
                <w:rFonts w:ascii="Times New Roman" w:hAnsi="Times New Roman" w:cs="Times New Roman"/>
                <w:position w:val="-38"/>
                <w:sz w:val="20"/>
                <w:szCs w:val="20"/>
              </w:rPr>
              <w:object w:dxaOrig="6660" w:dyaOrig="880">
                <v:shape id="_x0000_i1038" type="#_x0000_t75" style="width:324.35pt;height:41.55pt" o:ole="">
                  <v:imagedata r:id="rId34" o:title=""/>
                </v:shape>
                <o:OLEObject Type="Embed" ProgID="Equation.DSMT4" ShapeID="_x0000_i1038" DrawAspect="Content" ObjectID="_1585147696" r:id="rId35"/>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5)</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8D5E54">
              <w:rPr>
                <w:rFonts w:ascii="Times New Roman" w:hAnsi="Times New Roman" w:cs="Times New Roman"/>
                <w:position w:val="-38"/>
                <w:sz w:val="20"/>
                <w:szCs w:val="20"/>
              </w:rPr>
              <w:object w:dxaOrig="7980" w:dyaOrig="880">
                <v:shape id="_x0000_i1039" type="#_x0000_t75" style="width:387.45pt;height:41.55pt" o:ole="">
                  <v:imagedata r:id="rId36" o:title=""/>
                </v:shape>
                <o:OLEObject Type="Embed" ProgID="Equation.DSMT4" ShapeID="_x0000_i1039" DrawAspect="Content" ObjectID="_1585147697" r:id="rId37"/>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sidRPr="00070438">
              <w:rPr>
                <w:rFonts w:ascii="Times New Roman" w:hAnsi="Times New Roman" w:cs="Times New Roman"/>
                <w:sz w:val="20"/>
                <w:szCs w:val="20"/>
              </w:rPr>
              <w:t>(T</w:t>
            </w:r>
            <w:r>
              <w:rPr>
                <w:rFonts w:ascii="Times New Roman" w:hAnsi="Times New Roman" w:cs="Times New Roman"/>
                <w:sz w:val="20"/>
                <w:szCs w:val="20"/>
              </w:rPr>
              <w:t>7.</w:t>
            </w:r>
            <w:r w:rsidRPr="00070438">
              <w:rPr>
                <w:rFonts w:ascii="Times New Roman" w:hAnsi="Times New Roman" w:cs="Times New Roman"/>
                <w:sz w:val="20"/>
                <w:szCs w:val="20"/>
              </w:rPr>
              <w:t>1</w:t>
            </w:r>
            <w:r>
              <w:rPr>
                <w:rFonts w:ascii="Times New Roman" w:hAnsi="Times New Roman" w:cs="Times New Roman"/>
                <w:sz w:val="20"/>
                <w:szCs w:val="20"/>
              </w:rPr>
              <w:t>6</w:t>
            </w:r>
            <w:r w:rsidRPr="00070438">
              <w:rPr>
                <w:rFonts w:ascii="Times New Roman" w:hAnsi="Times New Roman" w:cs="Times New Roman"/>
                <w:sz w:val="20"/>
                <w:szCs w:val="20"/>
              </w:rPr>
              <w:t>)</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8D5E54">
              <w:rPr>
                <w:rFonts w:ascii="Times New Roman" w:hAnsi="Times New Roman" w:cs="Times New Roman"/>
                <w:position w:val="-30"/>
                <w:sz w:val="20"/>
                <w:szCs w:val="20"/>
              </w:rPr>
              <w:object w:dxaOrig="3900" w:dyaOrig="720">
                <v:shape id="_x0000_i1040" type="#_x0000_t75" style="width:190pt;height:34.15pt" o:ole="">
                  <v:imagedata r:id="rId38" o:title=""/>
                </v:shape>
                <o:OLEObject Type="Embed" ProgID="Equation.DSMT4" ShapeID="_x0000_i1040" DrawAspect="Content" ObjectID="_1585147698" r:id="rId39"/>
              </w:object>
            </w:r>
          </w:p>
        </w:tc>
      </w:tr>
      <w:tr w:rsidR="00F30CA5" w:rsidTr="000F0298">
        <w:tc>
          <w:tcPr>
            <w:tcW w:w="822" w:type="dxa"/>
            <w:tcBorders>
              <w:left w:val="nil"/>
              <w:right w:val="single" w:sz="18" w:space="0" w:color="808080" w:themeColor="background1" w:themeShade="80"/>
            </w:tcBorders>
          </w:tcPr>
          <w:p w:rsidR="00F30CA5" w:rsidRPr="00070438" w:rsidRDefault="00F30CA5" w:rsidP="009D6E29">
            <w:pPr>
              <w:spacing w:after="0" w:line="360" w:lineRule="auto"/>
              <w:rPr>
                <w:rFonts w:ascii="Times New Roman" w:hAnsi="Times New Roman" w:cs="Times New Roman"/>
                <w:sz w:val="20"/>
                <w:szCs w:val="20"/>
              </w:rPr>
            </w:pPr>
          </w:p>
        </w:tc>
        <w:tc>
          <w:tcPr>
            <w:tcW w:w="8156" w:type="dxa"/>
            <w:tcBorders>
              <w:left w:val="single" w:sz="18" w:space="0" w:color="808080" w:themeColor="background1" w:themeShade="80"/>
              <w:right w:val="nil"/>
            </w:tcBorders>
          </w:tcPr>
          <w:p w:rsidR="00F30CA5" w:rsidRPr="00F27505" w:rsidRDefault="00F30CA5" w:rsidP="009D6E29">
            <w:pPr>
              <w:spacing w:after="0" w:line="360" w:lineRule="auto"/>
              <w:rPr>
                <w:rFonts w:ascii="Times New Roman" w:hAnsi="Times New Roman" w:cs="Times New Roman"/>
                <w:b/>
                <w:i/>
                <w:sz w:val="24"/>
                <w:szCs w:val="24"/>
              </w:rPr>
            </w:pPr>
            <w:r w:rsidRPr="00F27505">
              <w:rPr>
                <w:rFonts w:ascii="Times New Roman" w:hAnsi="Times New Roman" w:cs="Times New Roman"/>
                <w:b/>
                <w:i/>
                <w:sz w:val="24"/>
                <w:szCs w:val="24"/>
              </w:rPr>
              <w:t>Additional equations for converting Armington to Melitz</w: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(T7.17)</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6C2C88">
              <w:rPr>
                <w:rFonts w:ascii="Times New Roman" w:hAnsi="Times New Roman" w:cs="Times New Roman"/>
                <w:position w:val="-14"/>
                <w:sz w:val="20"/>
                <w:szCs w:val="20"/>
              </w:rPr>
              <w:object w:dxaOrig="2280" w:dyaOrig="380">
                <v:shape id="_x0000_i1041" type="#_x0000_t75" style="width:111.35pt;height:17.8pt" o:ole="">
                  <v:imagedata r:id="rId40" o:title=""/>
                </v:shape>
                <o:OLEObject Type="Embed" ProgID="Equation.DSMT4" ShapeID="_x0000_i1041" DrawAspect="Content" ObjectID="_1585147699" r:id="rId41"/>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(T7.18)</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F27505">
              <w:rPr>
                <w:rFonts w:ascii="Times New Roman" w:hAnsi="Times New Roman" w:cs="Times New Roman"/>
                <w:position w:val="-14"/>
                <w:sz w:val="20"/>
                <w:szCs w:val="20"/>
              </w:rPr>
              <w:object w:dxaOrig="3720" w:dyaOrig="380">
                <v:shape id="_x0000_i1042" type="#_x0000_t75" style="width:181.1pt;height:17.8pt" o:ole="">
                  <v:imagedata r:id="rId42" o:title=""/>
                </v:shape>
                <o:OLEObject Type="Embed" ProgID="Equation.DSMT4" ShapeID="_x0000_i1042" DrawAspect="Content" ObjectID="_1585147700" r:id="rId43"/>
              </w:object>
            </w:r>
          </w:p>
        </w:tc>
      </w:tr>
      <w:tr w:rsidR="00F30CA5" w:rsidTr="000F0298">
        <w:tc>
          <w:tcPr>
            <w:tcW w:w="822" w:type="dxa"/>
            <w:tcBorders>
              <w:left w:val="nil"/>
              <w:right w:val="single" w:sz="18" w:space="0" w:color="808080" w:themeColor="background1" w:themeShade="80"/>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(T7.19)</w:t>
            </w:r>
          </w:p>
        </w:tc>
        <w:tc>
          <w:tcPr>
            <w:tcW w:w="8156" w:type="dxa"/>
            <w:tcBorders>
              <w:left w:val="single" w:sz="18" w:space="0" w:color="808080" w:themeColor="background1" w:themeShade="80"/>
              <w:right w:val="nil"/>
            </w:tcBorders>
          </w:tcPr>
          <w:p w:rsidR="00F30CA5" w:rsidRPr="00070438" w:rsidRDefault="00F30CA5" w:rsidP="009D6E29">
            <w:pPr>
              <w:spacing w:after="0" w:line="240" w:lineRule="auto"/>
              <w:rPr>
                <w:rFonts w:ascii="Times New Roman" w:hAnsi="Times New Roman" w:cs="Times New Roman"/>
                <w:sz w:val="20"/>
                <w:szCs w:val="20"/>
              </w:rPr>
            </w:pPr>
            <w:r w:rsidRPr="00F27505">
              <w:rPr>
                <w:rFonts w:ascii="Times New Roman" w:hAnsi="Times New Roman" w:cs="Times New Roman"/>
                <w:position w:val="-14"/>
                <w:sz w:val="20"/>
                <w:szCs w:val="20"/>
              </w:rPr>
              <w:object w:dxaOrig="3800" w:dyaOrig="400">
                <v:shape id="_x0000_i1043" type="#_x0000_t75" style="width:184.8pt;height:19.3pt" o:ole="">
                  <v:imagedata r:id="rId44" o:title=""/>
                </v:shape>
                <o:OLEObject Type="Embed" ProgID="Equation.DSMT4" ShapeID="_x0000_i1043" DrawAspect="Content" ObjectID="_1585147701" r:id="rId45"/>
              </w:object>
            </w:r>
          </w:p>
        </w:tc>
      </w:tr>
    </w:tbl>
    <w:p w:rsidR="00F30CA5" w:rsidRDefault="00F30CA5" w:rsidP="00F30CA5">
      <w:pPr>
        <w:rPr>
          <w:rFonts w:ascii="Times New Roman" w:hAnsi="Times New Roman" w:cs="Times New Roman"/>
          <w:b/>
          <w:i/>
          <w:sz w:val="24"/>
          <w:szCs w:val="24"/>
        </w:rPr>
      </w:pPr>
      <w:r>
        <w:t xml:space="preserve">                                                                                                                                </w:t>
      </w:r>
      <w:r>
        <w:rPr>
          <w:rFonts w:ascii="Times New Roman" w:hAnsi="Times New Roman" w:cs="Times New Roman"/>
          <w:b/>
          <w:i/>
          <w:sz w:val="24"/>
          <w:szCs w:val="24"/>
        </w:rPr>
        <w:t>Table 7.1 continues …</w:t>
      </w:r>
    </w:p>
    <w:p w:rsidR="00F30CA5" w:rsidRDefault="00F30CA5" w:rsidP="00F30CA5">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F30CA5" w:rsidRDefault="00F30CA5" w:rsidP="00F30CA5">
      <w:pPr>
        <w:rPr>
          <w:rFonts w:ascii="Times New Roman" w:hAnsi="Times New Roman" w:cs="Times New Roman"/>
          <w:b/>
          <w:i/>
          <w:sz w:val="24"/>
          <w:szCs w:val="24"/>
        </w:rPr>
      </w:pPr>
    </w:p>
    <w:p w:rsidR="00F30CA5" w:rsidRDefault="00F30CA5" w:rsidP="000F0298">
      <w:pPr>
        <w:spacing w:after="0"/>
        <w:rPr>
          <w:rFonts w:ascii="Times New Roman" w:hAnsi="Times New Roman" w:cs="Times New Roman"/>
          <w:b/>
          <w:i/>
          <w:sz w:val="24"/>
          <w:szCs w:val="24"/>
        </w:rPr>
      </w:pPr>
      <w:r>
        <w:rPr>
          <w:rFonts w:ascii="Times New Roman" w:hAnsi="Times New Roman" w:cs="Times New Roman"/>
          <w:b/>
          <w:i/>
          <w:sz w:val="24"/>
          <w:szCs w:val="24"/>
        </w:rPr>
        <w:t>Table 7.1 continued …</w:t>
      </w:r>
    </w:p>
    <w:tbl>
      <w:tblPr>
        <w:tblStyle w:val="TableGrid"/>
        <w:tblW w:w="8978" w:type="dxa"/>
        <w:tblLook w:val="04A0" w:firstRow="1" w:lastRow="0" w:firstColumn="1" w:lastColumn="0" w:noHBand="0" w:noVBand="1"/>
      </w:tblPr>
      <w:tblGrid>
        <w:gridCol w:w="822"/>
        <w:gridCol w:w="8156"/>
      </w:tblGrid>
      <w:tr w:rsidR="00F30CA5" w:rsidTr="000F0298">
        <w:tc>
          <w:tcPr>
            <w:tcW w:w="822" w:type="dxa"/>
            <w:tcBorders>
              <w:top w:val="single" w:sz="18" w:space="0" w:color="595959" w:themeColor="text1" w:themeTint="A6"/>
              <w:left w:val="nil"/>
              <w:bottom w:val="single" w:sz="4" w:space="0" w:color="auto"/>
              <w:right w:val="single" w:sz="18" w:space="0" w:color="595959" w:themeColor="text1" w:themeTint="A6"/>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(T7.20)</w:t>
            </w:r>
          </w:p>
        </w:tc>
        <w:tc>
          <w:tcPr>
            <w:tcW w:w="8156" w:type="dxa"/>
            <w:tcBorders>
              <w:top w:val="single" w:sz="18" w:space="0" w:color="595959" w:themeColor="text1" w:themeTint="A6"/>
              <w:left w:val="single" w:sz="18" w:space="0" w:color="595959" w:themeColor="text1" w:themeTint="A6"/>
              <w:bottom w:val="single" w:sz="4" w:space="0" w:color="auto"/>
              <w:right w:val="nil"/>
            </w:tcBorders>
          </w:tcPr>
          <w:p w:rsidR="00F30CA5" w:rsidRPr="00070438" w:rsidRDefault="00F30CA5" w:rsidP="009D6E29">
            <w:pPr>
              <w:spacing w:after="0" w:line="240" w:lineRule="auto"/>
              <w:rPr>
                <w:rFonts w:ascii="Times New Roman" w:hAnsi="Times New Roman" w:cs="Times New Roman"/>
                <w:sz w:val="20"/>
                <w:szCs w:val="20"/>
              </w:rPr>
            </w:pPr>
            <w:r w:rsidRPr="00CC71DD">
              <w:rPr>
                <w:rFonts w:ascii="Times New Roman" w:hAnsi="Times New Roman" w:cs="Times New Roman"/>
                <w:position w:val="-124"/>
                <w:sz w:val="20"/>
                <w:szCs w:val="20"/>
              </w:rPr>
              <w:object w:dxaOrig="6720" w:dyaOrig="2540">
                <v:shape id="_x0000_i1044" type="#_x0000_t75" style="width:327.35pt;height:121.75pt" o:ole="">
                  <v:imagedata r:id="rId46" o:title=""/>
                </v:shape>
                <o:OLEObject Type="Embed" ProgID="Equation.DSMT4" ShapeID="_x0000_i1044" DrawAspect="Content" ObjectID="_1585147702" r:id="rId47"/>
              </w:object>
            </w:r>
          </w:p>
        </w:tc>
      </w:tr>
      <w:tr w:rsidR="00F30CA5" w:rsidTr="000F0298">
        <w:tc>
          <w:tcPr>
            <w:tcW w:w="822" w:type="dxa"/>
            <w:tcBorders>
              <w:left w:val="nil"/>
              <w:right w:val="single" w:sz="18" w:space="0" w:color="595959" w:themeColor="text1" w:themeTint="A6"/>
            </w:tcBorders>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(T7.21)</w:t>
            </w:r>
          </w:p>
        </w:tc>
        <w:tc>
          <w:tcPr>
            <w:tcW w:w="8156" w:type="dxa"/>
            <w:tcBorders>
              <w:top w:val="single" w:sz="4" w:space="0" w:color="auto"/>
              <w:left w:val="single" w:sz="18" w:space="0" w:color="595959" w:themeColor="text1" w:themeTint="A6"/>
              <w:bottom w:val="single" w:sz="4" w:space="0" w:color="auto"/>
              <w:right w:val="nil"/>
            </w:tcBorders>
          </w:tcPr>
          <w:p w:rsidR="00F30CA5" w:rsidRPr="00070438" w:rsidRDefault="00F30CA5" w:rsidP="009D6E29">
            <w:pPr>
              <w:spacing w:after="0" w:line="240" w:lineRule="auto"/>
              <w:rPr>
                <w:rFonts w:ascii="Times New Roman" w:hAnsi="Times New Roman" w:cs="Times New Roman"/>
                <w:sz w:val="20"/>
                <w:szCs w:val="20"/>
              </w:rPr>
            </w:pPr>
            <w:r w:rsidRPr="006C2C88">
              <w:rPr>
                <w:rFonts w:ascii="Times New Roman" w:hAnsi="Times New Roman" w:cs="Times New Roman"/>
                <w:position w:val="-14"/>
                <w:sz w:val="20"/>
                <w:szCs w:val="20"/>
              </w:rPr>
              <w:object w:dxaOrig="2439" w:dyaOrig="380">
                <v:shape id="_x0000_i1045" type="#_x0000_t75" style="width:118.75pt;height:17.8pt" o:ole="">
                  <v:imagedata r:id="rId48" o:title=""/>
                </v:shape>
                <o:OLEObject Type="Embed" ProgID="Equation.DSMT4" ShapeID="_x0000_i1045" DrawAspect="Content" ObjectID="_1585147703" r:id="rId49"/>
              </w:object>
            </w:r>
          </w:p>
        </w:tc>
      </w:tr>
      <w:tr w:rsidR="00F30CA5" w:rsidTr="000F0298">
        <w:tc>
          <w:tcPr>
            <w:tcW w:w="822" w:type="dxa"/>
            <w:tcBorders>
              <w:left w:val="nil"/>
              <w:right w:val="single" w:sz="18" w:space="0" w:color="595959" w:themeColor="text1" w:themeTint="A6"/>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(T7.22)</w:t>
            </w:r>
          </w:p>
        </w:tc>
        <w:tc>
          <w:tcPr>
            <w:tcW w:w="8156" w:type="dxa"/>
            <w:tcBorders>
              <w:top w:val="single" w:sz="4" w:space="0" w:color="auto"/>
              <w:left w:val="single" w:sz="18" w:space="0" w:color="595959" w:themeColor="text1" w:themeTint="A6"/>
              <w:right w:val="nil"/>
            </w:tcBorders>
          </w:tcPr>
          <w:p w:rsidR="00F30CA5" w:rsidRPr="00070438" w:rsidRDefault="00F30CA5" w:rsidP="009D6E29">
            <w:pPr>
              <w:spacing w:after="0" w:line="240" w:lineRule="auto"/>
              <w:rPr>
                <w:rFonts w:ascii="Times New Roman" w:hAnsi="Times New Roman" w:cs="Times New Roman"/>
                <w:sz w:val="20"/>
                <w:szCs w:val="20"/>
              </w:rPr>
            </w:pPr>
            <w:r w:rsidRPr="006C2C88">
              <w:rPr>
                <w:rFonts w:ascii="Times New Roman" w:hAnsi="Times New Roman" w:cs="Times New Roman"/>
                <w:position w:val="-14"/>
                <w:sz w:val="20"/>
                <w:szCs w:val="20"/>
              </w:rPr>
              <w:object w:dxaOrig="2380" w:dyaOrig="380">
                <v:shape id="_x0000_i1046" type="#_x0000_t75" style="width:116.55pt;height:17.8pt" o:ole="">
                  <v:imagedata r:id="rId50" o:title=""/>
                </v:shape>
                <o:OLEObject Type="Embed" ProgID="Equation.DSMT4" ShapeID="_x0000_i1046" DrawAspect="Content" ObjectID="_1585147704" r:id="rId51"/>
              </w:object>
            </w:r>
          </w:p>
        </w:tc>
      </w:tr>
      <w:tr w:rsidR="00F30CA5" w:rsidTr="000F0298">
        <w:tc>
          <w:tcPr>
            <w:tcW w:w="822" w:type="dxa"/>
            <w:tcBorders>
              <w:left w:val="nil"/>
              <w:right w:val="single" w:sz="18" w:space="0" w:color="595959" w:themeColor="text1" w:themeTint="A6"/>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(T7.23)</w:t>
            </w:r>
          </w:p>
        </w:tc>
        <w:tc>
          <w:tcPr>
            <w:tcW w:w="8156" w:type="dxa"/>
            <w:tcBorders>
              <w:left w:val="single" w:sz="18" w:space="0" w:color="595959" w:themeColor="text1" w:themeTint="A6"/>
              <w:right w:val="nil"/>
            </w:tcBorders>
          </w:tcPr>
          <w:p w:rsidR="00F30CA5" w:rsidRPr="00070438" w:rsidRDefault="00F30CA5" w:rsidP="009D6E29">
            <w:pPr>
              <w:spacing w:after="0" w:line="240" w:lineRule="auto"/>
              <w:rPr>
                <w:rFonts w:ascii="Times New Roman" w:hAnsi="Times New Roman" w:cs="Times New Roman"/>
                <w:sz w:val="20"/>
                <w:szCs w:val="20"/>
              </w:rPr>
            </w:pPr>
            <w:r w:rsidRPr="006C2C88">
              <w:rPr>
                <w:rFonts w:ascii="Times New Roman" w:hAnsi="Times New Roman" w:cs="Times New Roman"/>
                <w:position w:val="-14"/>
                <w:sz w:val="20"/>
                <w:szCs w:val="20"/>
              </w:rPr>
              <w:object w:dxaOrig="1500" w:dyaOrig="380">
                <v:shape id="_x0000_i1047" type="#_x0000_t75" style="width:73.5pt;height:17.8pt" o:ole="">
                  <v:imagedata r:id="rId52" o:title=""/>
                </v:shape>
                <o:OLEObject Type="Embed" ProgID="Equation.DSMT4" ShapeID="_x0000_i1047" DrawAspect="Content" ObjectID="_1585147705" r:id="rId53"/>
              </w:object>
            </w:r>
          </w:p>
        </w:tc>
      </w:tr>
      <w:tr w:rsidR="00F30CA5" w:rsidTr="000F0298">
        <w:tc>
          <w:tcPr>
            <w:tcW w:w="822" w:type="dxa"/>
            <w:tcBorders>
              <w:left w:val="nil"/>
              <w:right w:val="single" w:sz="18" w:space="0" w:color="595959" w:themeColor="text1" w:themeTint="A6"/>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(T7.24)</w:t>
            </w:r>
          </w:p>
        </w:tc>
        <w:tc>
          <w:tcPr>
            <w:tcW w:w="8156" w:type="dxa"/>
            <w:tcBorders>
              <w:left w:val="single" w:sz="18" w:space="0" w:color="595959" w:themeColor="text1" w:themeTint="A6"/>
              <w:right w:val="nil"/>
            </w:tcBorders>
          </w:tcPr>
          <w:p w:rsidR="00F30CA5" w:rsidRPr="00070438" w:rsidRDefault="00F30CA5" w:rsidP="009D6E29">
            <w:pPr>
              <w:spacing w:after="0" w:line="240" w:lineRule="auto"/>
              <w:rPr>
                <w:rFonts w:ascii="Times New Roman" w:hAnsi="Times New Roman" w:cs="Times New Roman"/>
                <w:sz w:val="20"/>
                <w:szCs w:val="20"/>
              </w:rPr>
            </w:pPr>
            <w:r w:rsidRPr="006C2C88">
              <w:rPr>
                <w:rFonts w:ascii="Times New Roman" w:hAnsi="Times New Roman" w:cs="Times New Roman"/>
                <w:position w:val="-14"/>
                <w:sz w:val="20"/>
                <w:szCs w:val="20"/>
              </w:rPr>
              <w:object w:dxaOrig="1520" w:dyaOrig="380">
                <v:shape id="_x0000_i1048" type="#_x0000_t75" style="width:74.25pt;height:17.8pt" o:ole="">
                  <v:imagedata r:id="rId54" o:title=""/>
                </v:shape>
                <o:OLEObject Type="Embed" ProgID="Equation.DSMT4" ShapeID="_x0000_i1048" DrawAspect="Content" ObjectID="_1585147706" r:id="rId55"/>
              </w:object>
            </w:r>
          </w:p>
        </w:tc>
      </w:tr>
      <w:tr w:rsidR="00F30CA5" w:rsidTr="00134739">
        <w:tc>
          <w:tcPr>
            <w:tcW w:w="822" w:type="dxa"/>
            <w:tcBorders>
              <w:left w:val="nil"/>
              <w:bottom w:val="single" w:sz="18" w:space="0" w:color="595959" w:themeColor="text1" w:themeTint="A6"/>
              <w:right w:val="single" w:sz="18" w:space="0" w:color="595959" w:themeColor="text1" w:themeTint="A6"/>
            </w:tcBorders>
            <w:vAlign w:val="center"/>
          </w:tcPr>
          <w:p w:rsidR="00F30CA5" w:rsidRPr="00070438" w:rsidRDefault="00F30CA5" w:rsidP="009D6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(T7.25)</w:t>
            </w:r>
          </w:p>
        </w:tc>
        <w:tc>
          <w:tcPr>
            <w:tcW w:w="8156" w:type="dxa"/>
            <w:tcBorders>
              <w:left w:val="single" w:sz="18" w:space="0" w:color="595959" w:themeColor="text1" w:themeTint="A6"/>
              <w:bottom w:val="single" w:sz="18" w:space="0" w:color="595959" w:themeColor="text1" w:themeTint="A6"/>
              <w:right w:val="nil"/>
            </w:tcBorders>
          </w:tcPr>
          <w:p w:rsidR="00F30CA5" w:rsidRPr="00070438" w:rsidRDefault="00F30CA5" w:rsidP="009D6E29">
            <w:pPr>
              <w:spacing w:after="0" w:line="240" w:lineRule="auto"/>
              <w:rPr>
                <w:rFonts w:ascii="Times New Roman" w:hAnsi="Times New Roman" w:cs="Times New Roman"/>
                <w:sz w:val="20"/>
                <w:szCs w:val="20"/>
              </w:rPr>
            </w:pPr>
            <w:r w:rsidRPr="009F3720">
              <w:rPr>
                <w:rFonts w:ascii="Times New Roman" w:hAnsi="Times New Roman" w:cs="Times New Roman"/>
                <w:position w:val="-28"/>
                <w:sz w:val="20"/>
                <w:szCs w:val="20"/>
              </w:rPr>
              <w:object w:dxaOrig="2439" w:dyaOrig="540">
                <v:shape id="_x0000_i1049" type="#_x0000_t75" style="width:118.75pt;height:26pt" o:ole="">
                  <v:imagedata r:id="rId56" o:title=""/>
                </v:shape>
                <o:OLEObject Type="Embed" ProgID="Equation.DSMT4" ShapeID="_x0000_i1049" DrawAspect="Content" ObjectID="_1585147707" r:id="rId57"/>
              </w:object>
            </w:r>
          </w:p>
        </w:tc>
      </w:tr>
      <w:tr w:rsidR="00F30CA5" w:rsidRPr="009F3720" w:rsidTr="00134739">
        <w:tc>
          <w:tcPr>
            <w:tcW w:w="8978" w:type="dxa"/>
            <w:gridSpan w:val="2"/>
            <w:tcBorders>
              <w:top w:val="single" w:sz="18" w:space="0" w:color="595959" w:themeColor="text1" w:themeTint="A6"/>
              <w:left w:val="nil"/>
              <w:bottom w:val="single" w:sz="18" w:space="0" w:color="595959" w:themeColor="text1" w:themeTint="A6"/>
              <w:right w:val="nil"/>
            </w:tcBorders>
          </w:tcPr>
          <w:p w:rsidR="00F30CA5" w:rsidRPr="009F3720" w:rsidRDefault="00F30CA5" w:rsidP="00CD7E68">
            <w:pPr>
              <w:rPr>
                <w:rFonts w:ascii="Times New Roman" w:hAnsi="Times New Roman" w:cs="Times New Roman"/>
                <w:b/>
                <w:sz w:val="20"/>
                <w:szCs w:val="20"/>
              </w:rPr>
            </w:pPr>
            <w:r w:rsidRPr="009F3720">
              <w:rPr>
                <w:rFonts w:ascii="Times New Roman" w:hAnsi="Times New Roman" w:cs="Times New Roman"/>
                <w:b/>
                <w:sz w:val="20"/>
                <w:szCs w:val="20"/>
              </w:rPr>
              <w:t>Notation</w:t>
            </w:r>
            <w:r w:rsidRPr="009F3720">
              <w:rPr>
                <w:rFonts w:ascii="Times New Roman" w:hAnsi="Times New Roman" w:cs="Times New Roman"/>
                <w:sz w:val="20"/>
                <w:szCs w:val="20"/>
              </w:rPr>
              <w:t xml:space="preserve">:  </w:t>
            </w:r>
            <w:r w:rsidR="00CD7E68">
              <w:rPr>
                <w:rFonts w:ascii="Times New Roman" w:hAnsi="Times New Roman" w:cs="Times New Roman"/>
                <w:sz w:val="20"/>
                <w:szCs w:val="20"/>
              </w:rPr>
              <w:t>See Table 7.2.  Also note that w</w:t>
            </w:r>
            <w:r w:rsidRPr="009F3720">
              <w:rPr>
                <w:rFonts w:ascii="Times New Roman" w:hAnsi="Times New Roman" w:cs="Times New Roman"/>
                <w:sz w:val="20"/>
                <w:szCs w:val="20"/>
              </w:rPr>
              <w:t xml:space="preserve">e use lowercase symbols </w:t>
            </w:r>
            <w:r>
              <w:rPr>
                <w:rFonts w:ascii="Times New Roman" w:hAnsi="Times New Roman" w:cs="Times New Roman"/>
                <w:sz w:val="20"/>
                <w:szCs w:val="20"/>
              </w:rPr>
              <w:t xml:space="preserve">for </w:t>
            </w:r>
            <w:r w:rsidRPr="009F3720">
              <w:rPr>
                <w:rFonts w:ascii="Times New Roman" w:hAnsi="Times New Roman" w:cs="Times New Roman"/>
                <w:sz w:val="20"/>
                <w:szCs w:val="20"/>
              </w:rPr>
              <w:t xml:space="preserve">percentage changes in the variables denoted by the corresponding uppercase symbols.  For example, </w:t>
            </w:r>
            <w:r w:rsidR="00CD7E68" w:rsidRPr="00CD7E68">
              <w:rPr>
                <w:rFonts w:ascii="Times New Roman" w:hAnsi="Times New Roman" w:cs="Times New Roman"/>
                <w:position w:val="-14"/>
                <w:sz w:val="20"/>
                <w:szCs w:val="20"/>
              </w:rPr>
              <w:object w:dxaOrig="2420" w:dyaOrig="380">
                <v:shape id="_x0000_i1050" type="#_x0000_t75" style="width:121.75pt;height:19.3pt" o:ole="">
                  <v:imagedata r:id="rId58" o:title=""/>
                </v:shape>
                <o:OLEObject Type="Embed" ProgID="Equation.DSMT4" ShapeID="_x0000_i1050" DrawAspect="Content" ObjectID="_1585147708" r:id="rId59"/>
              </w:object>
            </w:r>
            <w:r w:rsidRPr="009F3720">
              <w:rPr>
                <w:rFonts w:ascii="Times New Roman" w:hAnsi="Times New Roman" w:cs="Times New Roman"/>
                <w:sz w:val="20"/>
                <w:szCs w:val="20"/>
              </w:rPr>
              <w:t xml:space="preserve">. </w:t>
            </w:r>
            <w:r>
              <w:rPr>
                <w:rFonts w:ascii="Times New Roman" w:hAnsi="Times New Roman" w:cs="Times New Roman"/>
                <w:sz w:val="20"/>
                <w:szCs w:val="20"/>
              </w:rPr>
              <w:t>Tax collections which can be zero or negative (subsidies) are presented as change variables rather than percentage change.  This is indicated by a “d” at the start of a variable name.  For example, drevx</w:t>
            </w:r>
            <w:r>
              <w:rPr>
                <w:rFonts w:ascii="Times New Roman" w:hAnsi="Times New Roman" w:cs="Times New Roman"/>
                <w:sz w:val="20"/>
                <w:szCs w:val="20"/>
                <w:vertAlign w:val="subscript"/>
              </w:rPr>
              <w:t>sd,c</w:t>
            </w:r>
            <w:r>
              <w:rPr>
                <w:rFonts w:ascii="Times New Roman" w:hAnsi="Times New Roman" w:cs="Times New Roman"/>
                <w:sz w:val="20"/>
                <w:szCs w:val="20"/>
              </w:rPr>
              <w:t xml:space="preserve"> is the change in the revenue derived by country s from the factory-door tax</w:t>
            </w:r>
            <w:r w:rsidRPr="009F3720">
              <w:rPr>
                <w:rFonts w:ascii="Times New Roman" w:hAnsi="Times New Roman" w:cs="Times New Roman"/>
                <w:sz w:val="20"/>
                <w:szCs w:val="20"/>
              </w:rPr>
              <w:t xml:space="preserve"> </w:t>
            </w:r>
            <w:r>
              <w:rPr>
                <w:rFonts w:ascii="Times New Roman" w:hAnsi="Times New Roman" w:cs="Times New Roman"/>
                <w:sz w:val="20"/>
                <w:szCs w:val="20"/>
              </w:rPr>
              <w:t xml:space="preserve">imposed on c flowing from s to d.  Coefficients are presented in uppercase symbols often ending with “V” for value.    </w:t>
            </w:r>
          </w:p>
        </w:tc>
      </w:tr>
    </w:tbl>
    <w:p w:rsidR="00F30CA5" w:rsidRDefault="00F30CA5" w:rsidP="00E10EA6">
      <w:pPr>
        <w:spacing w:after="0"/>
        <w:ind w:firstLine="284"/>
        <w:jc w:val="both"/>
        <w:rPr>
          <w:rFonts w:ascii="Times New Roman" w:hAnsi="Times New Roman" w:cs="Times New Roman"/>
          <w:sz w:val="24"/>
          <w:szCs w:val="24"/>
        </w:rPr>
      </w:pPr>
    </w:p>
    <w:p w:rsidR="000A07A8" w:rsidRPr="00627661" w:rsidRDefault="00627661" w:rsidP="00CD7E68">
      <w:pPr>
        <w:spacing w:after="0"/>
        <w:jc w:val="both"/>
        <w:rPr>
          <w:rFonts w:ascii="Times New Roman" w:hAnsi="Times New Roman" w:cs="Times New Roman"/>
          <w:sz w:val="24"/>
          <w:szCs w:val="24"/>
        </w:rPr>
      </w:pPr>
      <w:r>
        <w:rPr>
          <w:rFonts w:ascii="Times New Roman" w:hAnsi="Times New Roman" w:cs="Times New Roman"/>
          <w:sz w:val="24"/>
          <w:szCs w:val="24"/>
        </w:rPr>
        <w:t xml:space="preserve">margins.  By treating the sales taxes as </w:t>
      </w:r>
      <w:r>
        <w:rPr>
          <w:rFonts w:ascii="Times New Roman" w:hAnsi="Times New Roman" w:cs="Times New Roman"/>
          <w:i/>
          <w:sz w:val="24"/>
          <w:szCs w:val="24"/>
        </w:rPr>
        <w:t>ad valorem</w:t>
      </w:r>
      <w:r>
        <w:rPr>
          <w:rFonts w:ascii="Times New Roman" w:hAnsi="Times New Roman" w:cs="Times New Roman"/>
          <w:sz w:val="24"/>
          <w:szCs w:val="24"/>
        </w:rPr>
        <w:t xml:space="preserve"> on cif values, we can use </w:t>
      </w:r>
      <w:r w:rsidR="00A76BE8">
        <w:rPr>
          <w:rFonts w:ascii="Times New Roman" w:hAnsi="Times New Roman" w:cs="Times New Roman"/>
          <w:sz w:val="24"/>
          <w:szCs w:val="24"/>
        </w:rPr>
        <w:t>(T7.5)</w:t>
      </w:r>
      <w:r>
        <w:rPr>
          <w:rFonts w:ascii="Times New Roman" w:hAnsi="Times New Roman" w:cs="Times New Roman"/>
          <w:sz w:val="24"/>
          <w:szCs w:val="24"/>
        </w:rPr>
        <w:t xml:space="preserve"> in GTAP with additional exogenous variables to represent the </w:t>
      </w:r>
      <w:r w:rsidR="00CD7E68">
        <w:rPr>
          <w:rFonts w:ascii="Times New Roman" w:hAnsi="Times New Roman" w:cs="Times New Roman"/>
          <w:sz w:val="24"/>
          <w:szCs w:val="24"/>
        </w:rPr>
        <w:t>powers</w:t>
      </w:r>
      <w:r>
        <w:rPr>
          <w:rFonts w:ascii="Times New Roman" w:hAnsi="Times New Roman" w:cs="Times New Roman"/>
          <w:sz w:val="24"/>
          <w:szCs w:val="24"/>
        </w:rPr>
        <w:t xml:space="preserve"> of sales taxes</w:t>
      </w:r>
      <w:r w:rsidR="00212292">
        <w:rPr>
          <w:rFonts w:ascii="Times New Roman" w:hAnsi="Times New Roman" w:cs="Times New Roman"/>
          <w:sz w:val="24"/>
          <w:szCs w:val="24"/>
        </w:rPr>
        <w:t>.</w:t>
      </w:r>
    </w:p>
    <w:p w:rsidR="00061A77" w:rsidRPr="00061A77" w:rsidRDefault="002C0185" w:rsidP="006C0587">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7500BF">
        <w:rPr>
          <w:rFonts w:ascii="Times New Roman" w:hAnsi="Times New Roman" w:cs="Times New Roman"/>
          <w:sz w:val="24"/>
          <w:szCs w:val="24"/>
        </w:rPr>
        <w:t>(T7.6)</w:t>
      </w:r>
      <w:r w:rsidR="007E40A5">
        <w:rPr>
          <w:rFonts w:ascii="Times New Roman" w:hAnsi="Times New Roman" w:cs="Times New Roman"/>
          <w:sz w:val="24"/>
          <w:szCs w:val="24"/>
        </w:rPr>
        <w:t xml:space="preserve">, (T7.7) and (T7.8) </w:t>
      </w:r>
      <w:r w:rsidR="00061A77" w:rsidRPr="00061A77">
        <w:rPr>
          <w:rFonts w:ascii="Times New Roman" w:hAnsi="Times New Roman" w:cs="Times New Roman"/>
          <w:sz w:val="24"/>
          <w:szCs w:val="24"/>
        </w:rPr>
        <w:t xml:space="preserve">determine the demand in country d for units of c from </w:t>
      </w:r>
      <w:r w:rsidR="007E40A5">
        <w:rPr>
          <w:rFonts w:ascii="Times New Roman" w:hAnsi="Times New Roman" w:cs="Times New Roman"/>
          <w:sz w:val="24"/>
          <w:szCs w:val="24"/>
        </w:rPr>
        <w:t xml:space="preserve">country </w:t>
      </w:r>
      <w:r w:rsidR="00061A77" w:rsidRPr="00061A77">
        <w:rPr>
          <w:rFonts w:ascii="Times New Roman" w:hAnsi="Times New Roman" w:cs="Times New Roman"/>
          <w:sz w:val="24"/>
          <w:szCs w:val="24"/>
        </w:rPr>
        <w:t>s.  Underlying th</w:t>
      </w:r>
      <w:r w:rsidR="007E40A5">
        <w:rPr>
          <w:rFonts w:ascii="Times New Roman" w:hAnsi="Times New Roman" w:cs="Times New Roman"/>
          <w:sz w:val="24"/>
          <w:szCs w:val="24"/>
        </w:rPr>
        <w:t>ese</w:t>
      </w:r>
      <w:r w:rsidR="00061A77" w:rsidRPr="00061A77">
        <w:rPr>
          <w:rFonts w:ascii="Times New Roman" w:hAnsi="Times New Roman" w:cs="Times New Roman"/>
          <w:sz w:val="24"/>
          <w:szCs w:val="24"/>
        </w:rPr>
        <w:t xml:space="preserve"> equation</w:t>
      </w:r>
      <w:r w:rsidR="007E40A5">
        <w:rPr>
          <w:rFonts w:ascii="Times New Roman" w:hAnsi="Times New Roman" w:cs="Times New Roman"/>
          <w:sz w:val="24"/>
          <w:szCs w:val="24"/>
        </w:rPr>
        <w:t>s</w:t>
      </w:r>
      <w:r w:rsidR="00061A77" w:rsidRPr="00061A77">
        <w:rPr>
          <w:rFonts w:ascii="Times New Roman" w:hAnsi="Times New Roman" w:cs="Times New Roman"/>
          <w:sz w:val="24"/>
          <w:szCs w:val="24"/>
        </w:rPr>
        <w:t xml:space="preserve"> is an optimization problem of the form: </w:t>
      </w:r>
    </w:p>
    <w:p w:rsidR="00A14BB6" w:rsidRDefault="007E40A5" w:rsidP="00A14BB6">
      <w:pPr>
        <w:tabs>
          <w:tab w:val="left" w:pos="851"/>
          <w:tab w:val="left" w:pos="993"/>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14BB6">
        <w:rPr>
          <w:rFonts w:ascii="Times New Roman" w:hAnsi="Times New Roman" w:cs="Times New Roman"/>
          <w:sz w:val="24"/>
          <w:szCs w:val="24"/>
        </w:rPr>
        <w:tab/>
      </w:r>
      <w:r w:rsidR="00061A77" w:rsidRPr="00061A77">
        <w:rPr>
          <w:rFonts w:ascii="Times New Roman" w:hAnsi="Times New Roman" w:cs="Times New Roman"/>
          <w:sz w:val="24"/>
          <w:szCs w:val="24"/>
        </w:rPr>
        <w:t xml:space="preserve">choose </w:t>
      </w:r>
      <w:r>
        <w:rPr>
          <w:rFonts w:ascii="Times New Roman" w:hAnsi="Times New Roman" w:cs="Times New Roman"/>
          <w:sz w:val="24"/>
          <w:szCs w:val="24"/>
        </w:rPr>
        <w:t>QCOUNT</w:t>
      </w:r>
      <w:r>
        <w:rPr>
          <w:rFonts w:ascii="Times New Roman" w:hAnsi="Times New Roman" w:cs="Times New Roman"/>
          <w:sz w:val="24"/>
          <w:szCs w:val="24"/>
          <w:vertAlign w:val="subscript"/>
        </w:rPr>
        <w:t>sd,c</w:t>
      </w:r>
      <w:r>
        <w:rPr>
          <w:rFonts w:ascii="Times New Roman" w:hAnsi="Times New Roman" w:cs="Times New Roman"/>
          <w:sz w:val="24"/>
          <w:szCs w:val="24"/>
        </w:rPr>
        <w:t xml:space="preserve"> and </w:t>
      </w:r>
      <w:r w:rsidR="001C1F42">
        <w:rPr>
          <w:rFonts w:ascii="Times New Roman" w:hAnsi="Times New Roman" w:cs="Times New Roman"/>
          <w:sz w:val="24"/>
          <w:szCs w:val="24"/>
        </w:rPr>
        <w:t>Q</w:t>
      </w:r>
      <w:r>
        <w:rPr>
          <w:rFonts w:ascii="Times New Roman" w:hAnsi="Times New Roman" w:cs="Times New Roman"/>
          <w:sz w:val="24"/>
          <w:szCs w:val="24"/>
          <w:vertAlign w:val="subscript"/>
        </w:rPr>
        <w:t>sd,c</w:t>
      </w:r>
      <w:r w:rsidR="00061A77" w:rsidRPr="00061A77">
        <w:rPr>
          <w:rFonts w:ascii="Times New Roman" w:hAnsi="Times New Roman" w:cs="Times New Roman"/>
          <w:sz w:val="24"/>
          <w:szCs w:val="24"/>
        </w:rPr>
        <w:t xml:space="preserve"> for all d </w:t>
      </w:r>
    </w:p>
    <w:p w:rsidR="00061A77" w:rsidRPr="00061A77" w:rsidRDefault="00A14BB6" w:rsidP="00A14BB6">
      <w:pPr>
        <w:tabs>
          <w:tab w:val="left" w:pos="851"/>
          <w:tab w:val="right" w:pos="8789"/>
        </w:tabs>
        <w:spacing w:before="60" w:after="0"/>
        <w:jc w:val="both"/>
        <w:rPr>
          <w:rFonts w:ascii="Times New Roman" w:hAnsi="Times New Roman" w:cs="Times New Roman"/>
          <w:sz w:val="24"/>
          <w:szCs w:val="24"/>
        </w:rPr>
      </w:pPr>
      <w:r>
        <w:rPr>
          <w:rFonts w:ascii="Times New Roman" w:hAnsi="Times New Roman" w:cs="Times New Roman"/>
          <w:sz w:val="24"/>
          <w:szCs w:val="24"/>
        </w:rPr>
        <w:tab/>
      </w:r>
      <w:r w:rsidR="00061A77" w:rsidRPr="00061A77">
        <w:rPr>
          <w:rFonts w:ascii="Times New Roman" w:hAnsi="Times New Roman" w:cs="Times New Roman"/>
          <w:sz w:val="24"/>
          <w:szCs w:val="24"/>
        </w:rPr>
        <w:t>to minimize</w:t>
      </w:r>
      <w:r w:rsidR="007E40A5" w:rsidRPr="00061A77">
        <w:rPr>
          <w:rFonts w:ascii="Times New Roman" w:hAnsi="Times New Roman" w:cs="Times New Roman"/>
          <w:position w:val="-28"/>
          <w:sz w:val="24"/>
          <w:szCs w:val="24"/>
        </w:rPr>
        <w:object w:dxaOrig="2180" w:dyaOrig="540">
          <v:shape id="_x0000_i1051" type="#_x0000_t75" style="width:109.85pt;height:26pt" o:ole="">
            <v:imagedata r:id="rId60" o:title=""/>
          </v:shape>
          <o:OLEObject Type="Embed" ProgID="Equation.DSMT4" ShapeID="_x0000_i1051" DrawAspect="Content" ObjectID="_1585147709" r:id="rId61"/>
        </w:object>
      </w:r>
      <w:r w:rsidR="00061A77">
        <w:rPr>
          <w:rFonts w:ascii="Times New Roman" w:hAnsi="Times New Roman" w:cs="Times New Roman"/>
          <w:sz w:val="24"/>
          <w:szCs w:val="24"/>
        </w:rPr>
        <w:t xml:space="preserve"> </w:t>
      </w:r>
      <w:r w:rsidR="00061A77" w:rsidRPr="00061A77">
        <w:rPr>
          <w:rFonts w:ascii="Times New Roman" w:hAnsi="Times New Roman" w:cs="Times New Roman"/>
          <w:sz w:val="24"/>
          <w:szCs w:val="24"/>
        </w:rPr>
        <w:t xml:space="preserve"> </w:t>
      </w:r>
      <w:r w:rsidR="007E40A5">
        <w:rPr>
          <w:rFonts w:ascii="Times New Roman" w:hAnsi="Times New Roman" w:cs="Times New Roman"/>
          <w:sz w:val="24"/>
          <w:szCs w:val="24"/>
        </w:rPr>
        <w:tab/>
      </w:r>
      <w:r w:rsidR="00061A77" w:rsidRPr="00061A77">
        <w:rPr>
          <w:rFonts w:ascii="Times New Roman" w:hAnsi="Times New Roman" w:cs="Times New Roman"/>
          <w:sz w:val="24"/>
          <w:szCs w:val="24"/>
        </w:rPr>
        <w:t>(</w:t>
      </w:r>
      <w:r w:rsidR="006C0587">
        <w:rPr>
          <w:rFonts w:ascii="Times New Roman" w:hAnsi="Times New Roman" w:cs="Times New Roman"/>
          <w:sz w:val="24"/>
          <w:szCs w:val="24"/>
        </w:rPr>
        <w:t>7.1</w:t>
      </w:r>
      <w:r w:rsidR="00061A77" w:rsidRPr="00061A77">
        <w:rPr>
          <w:rFonts w:ascii="Times New Roman" w:hAnsi="Times New Roman" w:cs="Times New Roman"/>
          <w:sz w:val="24"/>
          <w:szCs w:val="24"/>
        </w:rPr>
        <w:t>)</w:t>
      </w:r>
    </w:p>
    <w:p w:rsidR="007E40A5" w:rsidRDefault="006C0587" w:rsidP="00A14BB6">
      <w:pPr>
        <w:tabs>
          <w:tab w:val="left" w:pos="851"/>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E40A5">
        <w:rPr>
          <w:rFonts w:ascii="Times New Roman" w:hAnsi="Times New Roman" w:cs="Times New Roman"/>
          <w:sz w:val="24"/>
          <w:szCs w:val="24"/>
        </w:rPr>
        <w:tab/>
      </w:r>
      <w:r>
        <w:rPr>
          <w:rFonts w:ascii="Times New Roman" w:hAnsi="Times New Roman" w:cs="Times New Roman"/>
          <w:sz w:val="24"/>
          <w:szCs w:val="24"/>
        </w:rPr>
        <w:t>s</w:t>
      </w:r>
      <w:r w:rsidRPr="00061A77">
        <w:rPr>
          <w:rFonts w:ascii="Times New Roman" w:hAnsi="Times New Roman" w:cs="Times New Roman"/>
          <w:sz w:val="24"/>
          <w:szCs w:val="24"/>
        </w:rPr>
        <w:t>ubject to</w:t>
      </w:r>
      <w:r w:rsidR="00A14BB6" w:rsidRPr="007E40A5">
        <w:rPr>
          <w:rFonts w:ascii="Times New Roman" w:hAnsi="Times New Roman" w:cs="Times New Roman"/>
          <w:position w:val="-16"/>
          <w:sz w:val="24"/>
          <w:szCs w:val="24"/>
        </w:rPr>
        <w:object w:dxaOrig="3700" w:dyaOrig="440">
          <v:shape id="_x0000_i1052" type="#_x0000_t75" style="width:184.8pt;height:21.55pt" o:ole="">
            <v:imagedata r:id="rId62" o:title=""/>
          </v:shape>
          <o:OLEObject Type="Embed" ProgID="Equation.DSMT4" ShapeID="_x0000_i1052" DrawAspect="Content" ObjectID="_1585147710" r:id="rId63"/>
        </w:object>
      </w:r>
      <w:r>
        <w:rPr>
          <w:rFonts w:ascii="Times New Roman" w:hAnsi="Times New Roman" w:cs="Times New Roman"/>
          <w:sz w:val="24"/>
          <w:szCs w:val="24"/>
        </w:rPr>
        <w:tab/>
        <w:t xml:space="preserve">(7.2) </w:t>
      </w:r>
      <w:r w:rsidRPr="00061A77">
        <w:rPr>
          <w:rFonts w:ascii="Times New Roman" w:hAnsi="Times New Roman" w:cs="Times New Roman"/>
          <w:sz w:val="24"/>
          <w:szCs w:val="24"/>
        </w:rPr>
        <w:t xml:space="preserve"> </w:t>
      </w:r>
    </w:p>
    <w:p w:rsidR="007E40A5" w:rsidRDefault="007E40A5" w:rsidP="00A14BB6">
      <w:pPr>
        <w:tabs>
          <w:tab w:val="left" w:pos="851"/>
          <w:tab w:val="left" w:pos="1134"/>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and   </w:t>
      </w:r>
      <w:r w:rsidR="00A14BB6" w:rsidRPr="007E40A5">
        <w:rPr>
          <w:rFonts w:ascii="Times New Roman" w:hAnsi="Times New Roman" w:cs="Times New Roman"/>
          <w:position w:val="-14"/>
          <w:sz w:val="24"/>
          <w:szCs w:val="24"/>
        </w:rPr>
        <w:object w:dxaOrig="3120" w:dyaOrig="380">
          <v:shape id="_x0000_i1053" type="#_x0000_t75" style="width:155.9pt;height:17.8pt" o:ole="">
            <v:imagedata r:id="rId64" o:title=""/>
          </v:shape>
          <o:OLEObject Type="Embed" ProgID="Equation.DSMT4" ShapeID="_x0000_i1053" DrawAspect="Content" ObjectID="_1585147711" r:id="rId65"/>
        </w:object>
      </w:r>
      <w:r>
        <w:rPr>
          <w:rFonts w:ascii="Times New Roman" w:hAnsi="Times New Roman" w:cs="Times New Roman"/>
          <w:sz w:val="24"/>
          <w:szCs w:val="24"/>
        </w:rPr>
        <w:tab/>
        <w:t>(7.3)</w:t>
      </w:r>
    </w:p>
    <w:p w:rsidR="00F30CA5" w:rsidRDefault="009B0ED3" w:rsidP="00586BCF">
      <w:pPr>
        <w:spacing w:after="0"/>
        <w:jc w:val="both"/>
        <w:rPr>
          <w:rFonts w:ascii="Times New Roman" w:hAnsi="Times New Roman" w:cs="Times New Roman"/>
          <w:sz w:val="24"/>
          <w:szCs w:val="24"/>
        </w:rPr>
      </w:pPr>
      <w:r>
        <w:rPr>
          <w:rFonts w:ascii="Times New Roman" w:hAnsi="Times New Roman" w:cs="Times New Roman"/>
          <w:sz w:val="24"/>
          <w:szCs w:val="24"/>
        </w:rPr>
        <w:t>Via (7.1) to (7.3)</w:t>
      </w:r>
      <w:r w:rsidRPr="00061A77">
        <w:rPr>
          <w:rFonts w:ascii="Times New Roman" w:hAnsi="Times New Roman" w:cs="Times New Roman"/>
          <w:sz w:val="24"/>
          <w:szCs w:val="24"/>
        </w:rPr>
        <w:t xml:space="preserve">, households in country d are assumed to choose the </w:t>
      </w:r>
      <w:r>
        <w:rPr>
          <w:rFonts w:ascii="Times New Roman" w:hAnsi="Times New Roman" w:cs="Times New Roman"/>
          <w:sz w:val="24"/>
          <w:szCs w:val="24"/>
        </w:rPr>
        <w:t>number of units (QCOUNT</w:t>
      </w:r>
      <w:r>
        <w:rPr>
          <w:rFonts w:ascii="Times New Roman" w:hAnsi="Times New Roman" w:cs="Times New Roman"/>
          <w:sz w:val="24"/>
          <w:szCs w:val="24"/>
          <w:vertAlign w:val="subscript"/>
        </w:rPr>
        <w:t>sd,c</w:t>
      </w:r>
      <w:r>
        <w:rPr>
          <w:rFonts w:ascii="Times New Roman" w:hAnsi="Times New Roman" w:cs="Times New Roman"/>
          <w:sz w:val="24"/>
          <w:szCs w:val="24"/>
        </w:rPr>
        <w:t>) and utility-generating or effective quantities (Q</w:t>
      </w:r>
      <w:r>
        <w:rPr>
          <w:rFonts w:ascii="Times New Roman" w:hAnsi="Times New Roman" w:cs="Times New Roman"/>
          <w:sz w:val="24"/>
          <w:szCs w:val="24"/>
          <w:vertAlign w:val="subscript"/>
        </w:rPr>
        <w:t>sd,c</w:t>
      </w:r>
      <w:r>
        <w:rPr>
          <w:rFonts w:ascii="Times New Roman" w:hAnsi="Times New Roman" w:cs="Times New Roman"/>
          <w:sz w:val="24"/>
          <w:szCs w:val="24"/>
        </w:rPr>
        <w:t>)</w:t>
      </w:r>
      <w:r w:rsidRPr="00061A77">
        <w:rPr>
          <w:rFonts w:ascii="Times New Roman" w:hAnsi="Times New Roman" w:cs="Times New Roman"/>
          <w:sz w:val="24"/>
          <w:szCs w:val="24"/>
        </w:rPr>
        <w:t xml:space="preserve"> of commodity c that they buy from each country s (including their own) to minimize their total expenditure on c subject to meeting their overall requirements</w:t>
      </w:r>
      <w:r>
        <w:rPr>
          <w:rFonts w:ascii="Times New Roman" w:hAnsi="Times New Roman" w:cs="Times New Roman"/>
          <w:sz w:val="24"/>
          <w:szCs w:val="24"/>
        </w:rPr>
        <w:t xml:space="preserve"> for c</w:t>
      </w:r>
      <w:r w:rsidRPr="00061A77">
        <w:rPr>
          <w:rFonts w:ascii="Times New Roman" w:hAnsi="Times New Roman" w:cs="Times New Roman"/>
          <w:sz w:val="24"/>
          <w:szCs w:val="24"/>
        </w:rPr>
        <w:t>.  In calculating expenditure, households use purchasers prices (P</w:t>
      </w:r>
      <w:r w:rsidR="002877AE">
        <w:rPr>
          <w:rFonts w:ascii="Times New Roman" w:hAnsi="Times New Roman" w:cs="Times New Roman"/>
          <w:sz w:val="24"/>
          <w:szCs w:val="24"/>
          <w:vertAlign w:val="subscript"/>
        </w:rPr>
        <w:t>v</w:t>
      </w:r>
      <w:r>
        <w:rPr>
          <w:rFonts w:ascii="Times New Roman" w:hAnsi="Times New Roman" w:cs="Times New Roman"/>
          <w:sz w:val="24"/>
          <w:szCs w:val="24"/>
          <w:vertAlign w:val="subscript"/>
        </w:rPr>
        <w:t>d,c</w:t>
      </w:r>
      <w:r w:rsidRPr="00061A77">
        <w:rPr>
          <w:rFonts w:ascii="Times New Roman" w:hAnsi="Times New Roman" w:cs="Times New Roman"/>
          <w:sz w:val="24"/>
          <w:szCs w:val="24"/>
        </w:rPr>
        <w:t xml:space="preserve">).  Overall requirements </w:t>
      </w:r>
      <w:r>
        <w:rPr>
          <w:rFonts w:ascii="Times New Roman" w:hAnsi="Times New Roman" w:cs="Times New Roman"/>
          <w:sz w:val="24"/>
          <w:szCs w:val="24"/>
        </w:rPr>
        <w:t>(</w:t>
      </w:r>
      <w:r w:rsidRPr="00061A77">
        <w:rPr>
          <w:rFonts w:ascii="Times New Roman" w:hAnsi="Times New Roman" w:cs="Times New Roman"/>
          <w:sz w:val="24"/>
          <w:szCs w:val="24"/>
        </w:rPr>
        <w:t>Q</w:t>
      </w:r>
      <w:r>
        <w:rPr>
          <w:rFonts w:ascii="Times New Roman" w:hAnsi="Times New Roman" w:cs="Times New Roman"/>
          <w:sz w:val="24"/>
          <w:szCs w:val="24"/>
          <w:vertAlign w:val="subscript"/>
        </w:rPr>
        <w:t>d,c</w:t>
      </w:r>
      <w:r w:rsidRPr="009B0ED3">
        <w:rPr>
          <w:rFonts w:ascii="Times New Roman" w:hAnsi="Times New Roman" w:cs="Times New Roman"/>
          <w:sz w:val="24"/>
          <w:szCs w:val="24"/>
        </w:rPr>
        <w:t>)</w:t>
      </w:r>
      <w:r w:rsidRPr="00061A77">
        <w:rPr>
          <w:rFonts w:ascii="Times New Roman" w:hAnsi="Times New Roman" w:cs="Times New Roman"/>
          <w:sz w:val="24"/>
          <w:szCs w:val="24"/>
        </w:rPr>
        <w:t xml:space="preserve"> are specified as a CES aggregate of </w:t>
      </w:r>
      <w:r>
        <w:rPr>
          <w:rFonts w:ascii="Times New Roman" w:hAnsi="Times New Roman" w:cs="Times New Roman"/>
          <w:sz w:val="24"/>
          <w:szCs w:val="24"/>
        </w:rPr>
        <w:t xml:space="preserve">effective </w:t>
      </w:r>
      <w:r w:rsidRPr="00061A77">
        <w:rPr>
          <w:rFonts w:ascii="Times New Roman" w:hAnsi="Times New Roman" w:cs="Times New Roman"/>
          <w:sz w:val="24"/>
          <w:szCs w:val="24"/>
        </w:rPr>
        <w:t>quantities purchased from each source (supplying country</w:t>
      </w:r>
      <w:r>
        <w:rPr>
          <w:rFonts w:ascii="Times New Roman" w:hAnsi="Times New Roman" w:cs="Times New Roman"/>
          <w:sz w:val="24"/>
          <w:szCs w:val="24"/>
        </w:rPr>
        <w:t xml:space="preserve"> in the set CNT</w:t>
      </w:r>
      <w:r w:rsidRPr="00061A77">
        <w:rPr>
          <w:rFonts w:ascii="Times New Roman" w:hAnsi="Times New Roman" w:cs="Times New Roman"/>
          <w:sz w:val="24"/>
          <w:szCs w:val="24"/>
        </w:rPr>
        <w:t xml:space="preserve">).  Via this specification, we introduce the Armington assumption that units of commodity c from different sources are imperfect substitutes in satisfying household d’s requirements.  </w:t>
      </w:r>
      <w:r w:rsidR="00A14BB6">
        <w:rPr>
          <w:rFonts w:ascii="Times New Roman" w:hAnsi="Times New Roman" w:cs="Times New Roman"/>
          <w:sz w:val="24"/>
          <w:szCs w:val="24"/>
        </w:rPr>
        <w:t xml:space="preserve">The two </w:t>
      </w:r>
      <w:r>
        <w:rPr>
          <w:rFonts w:ascii="Times New Roman" w:hAnsi="Times New Roman" w:cs="Times New Roman"/>
          <w:sz w:val="24"/>
          <w:szCs w:val="24"/>
        </w:rPr>
        <w:t xml:space="preserve">quantity </w:t>
      </w:r>
      <w:r w:rsidR="00F30CA5">
        <w:rPr>
          <w:rFonts w:ascii="Times New Roman" w:hAnsi="Times New Roman" w:cs="Times New Roman"/>
          <w:sz w:val="24"/>
          <w:szCs w:val="24"/>
        </w:rPr>
        <w:br/>
      </w:r>
    </w:p>
    <w:p w:rsidR="00F30CA5" w:rsidRPr="005A4E5C" w:rsidRDefault="00F30CA5" w:rsidP="00F30CA5">
      <w:pPr>
        <w:spacing w:after="0" w:line="240" w:lineRule="auto"/>
        <w:jc w:val="center"/>
        <w:rPr>
          <w:rFonts w:ascii="Times New Roman" w:hAnsi="Times New Roman" w:cs="Times New Roman"/>
          <w:b/>
          <w:i/>
          <w:sz w:val="24"/>
          <w:szCs w:val="24"/>
        </w:rPr>
      </w:pPr>
      <w:r w:rsidRPr="005A4E5C">
        <w:rPr>
          <w:rFonts w:ascii="Times New Roman" w:hAnsi="Times New Roman" w:cs="Times New Roman"/>
          <w:b/>
          <w:i/>
          <w:sz w:val="24"/>
          <w:szCs w:val="24"/>
        </w:rPr>
        <w:lastRenderedPageBreak/>
        <w:t xml:space="preserve">Table </w:t>
      </w:r>
      <w:r>
        <w:rPr>
          <w:rFonts w:ascii="Times New Roman" w:hAnsi="Times New Roman" w:cs="Times New Roman"/>
          <w:b/>
          <w:i/>
          <w:sz w:val="24"/>
          <w:szCs w:val="24"/>
        </w:rPr>
        <w:t>7.2</w:t>
      </w:r>
      <w:r w:rsidRPr="005A4E5C">
        <w:rPr>
          <w:rFonts w:ascii="Times New Roman" w:hAnsi="Times New Roman" w:cs="Times New Roman"/>
          <w:b/>
          <w:i/>
          <w:sz w:val="24"/>
          <w:szCs w:val="24"/>
        </w:rPr>
        <w:t xml:space="preserve">.  </w:t>
      </w:r>
      <w:r>
        <w:rPr>
          <w:rFonts w:ascii="Times New Roman" w:hAnsi="Times New Roman" w:cs="Times New Roman"/>
          <w:b/>
          <w:i/>
          <w:sz w:val="24"/>
          <w:szCs w:val="24"/>
        </w:rPr>
        <w:t xml:space="preserve">Notation for A2M system and closure status of variables in </w:t>
      </w:r>
      <w:r w:rsidR="001869D2">
        <w:rPr>
          <w:rFonts w:ascii="Times New Roman" w:hAnsi="Times New Roman" w:cs="Times New Roman"/>
          <w:b/>
          <w:i/>
          <w:sz w:val="24"/>
          <w:szCs w:val="24"/>
        </w:rPr>
        <w:t>Basic</w:t>
      </w:r>
      <w:r w:rsidRPr="005A4E5C">
        <w:rPr>
          <w:rFonts w:ascii="Times New Roman" w:hAnsi="Times New Roman" w:cs="Times New Roman"/>
          <w:b/>
          <w:i/>
          <w:sz w:val="24"/>
          <w:szCs w:val="24"/>
        </w:rPr>
        <w:t>Arming</w:t>
      </w:r>
      <w:r>
        <w:rPr>
          <w:rFonts w:ascii="Times New Roman" w:hAnsi="Times New Roman" w:cs="Times New Roman"/>
          <w:b/>
          <w:i/>
          <w:sz w:val="24"/>
          <w:szCs w:val="24"/>
        </w:rPr>
        <w:t>t</w:t>
      </w:r>
      <w:r w:rsidRPr="005A4E5C">
        <w:rPr>
          <w:rFonts w:ascii="Times New Roman" w:hAnsi="Times New Roman" w:cs="Times New Roman"/>
          <w:b/>
          <w:i/>
          <w:sz w:val="24"/>
          <w:szCs w:val="24"/>
        </w:rPr>
        <w:t xml:space="preserve">on </w:t>
      </w:r>
      <w:r>
        <w:rPr>
          <w:rFonts w:ascii="Times New Roman" w:hAnsi="Times New Roman" w:cs="Times New Roman"/>
          <w:b/>
          <w:i/>
          <w:sz w:val="24"/>
          <w:szCs w:val="24"/>
        </w:rPr>
        <w:t>and MelitzGE models: ex</w:t>
      </w:r>
      <w:r w:rsidRPr="005A4E5C">
        <w:rPr>
          <w:rFonts w:ascii="Times New Roman" w:hAnsi="Times New Roman" w:cs="Times New Roman"/>
          <w:b/>
          <w:i/>
          <w:sz w:val="24"/>
          <w:szCs w:val="24"/>
        </w:rPr>
        <w:t>ogenous (X) or endogenous (N)</w:t>
      </w:r>
      <w:r>
        <w:rPr>
          <w:rFonts w:ascii="Times New Roman" w:hAnsi="Times New Roman" w:cs="Times New Roman"/>
          <w:b/>
          <w:i/>
          <w:sz w:val="24"/>
          <w:szCs w:val="24"/>
        </w:rPr>
        <w:t xml:space="preserve"> with closure switches highlighted</w:t>
      </w:r>
    </w:p>
    <w:tbl>
      <w:tblPr>
        <w:tblStyle w:val="TableGrid"/>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252"/>
        <w:gridCol w:w="1255"/>
        <w:gridCol w:w="1373"/>
      </w:tblGrid>
      <w:tr w:rsidR="00F30CA5" w:rsidRPr="005A4E5C" w:rsidTr="000F0298">
        <w:tc>
          <w:tcPr>
            <w:tcW w:w="1985" w:type="dxa"/>
            <w:tcBorders>
              <w:top w:val="single" w:sz="18" w:space="0" w:color="595959" w:themeColor="text1" w:themeTint="A6"/>
              <w:bottom w:val="single" w:sz="18" w:space="0" w:color="595959" w:themeColor="text1" w:themeTint="A6"/>
              <w:right w:val="single" w:sz="18" w:space="0" w:color="595959" w:themeColor="text1" w:themeTint="A6"/>
            </w:tcBorders>
          </w:tcPr>
          <w:p w:rsidR="00F30CA5" w:rsidRPr="005A4E5C" w:rsidRDefault="00F30CA5" w:rsidP="009D6E29">
            <w:pPr>
              <w:spacing w:after="0" w:line="240" w:lineRule="auto"/>
              <w:rPr>
                <w:rFonts w:ascii="Times New Roman" w:hAnsi="Times New Roman" w:cs="Times New Roman"/>
                <w:b/>
                <w:i/>
              </w:rPr>
            </w:pPr>
          </w:p>
        </w:tc>
        <w:tc>
          <w:tcPr>
            <w:tcW w:w="4252" w:type="dxa"/>
            <w:tcBorders>
              <w:top w:val="single" w:sz="18" w:space="0" w:color="595959" w:themeColor="text1" w:themeTint="A6"/>
              <w:bottom w:val="single" w:sz="18" w:space="0" w:color="595959" w:themeColor="text1" w:themeTint="A6"/>
              <w:right w:val="single" w:sz="18" w:space="0" w:color="595959" w:themeColor="text1" w:themeTint="A6"/>
            </w:tcBorders>
          </w:tcPr>
          <w:p w:rsidR="00F30CA5" w:rsidRPr="005A4E5C" w:rsidRDefault="00F30CA5" w:rsidP="009D6E29">
            <w:pPr>
              <w:spacing w:after="0" w:line="240" w:lineRule="auto"/>
              <w:rPr>
                <w:rFonts w:ascii="Times New Roman" w:hAnsi="Times New Roman" w:cs="Times New Roman"/>
                <w:b/>
              </w:rPr>
            </w:pPr>
          </w:p>
        </w:tc>
        <w:tc>
          <w:tcPr>
            <w:tcW w:w="1255"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tcPr>
          <w:p w:rsidR="00F30CA5" w:rsidRPr="005A4E5C" w:rsidRDefault="00F30CA5" w:rsidP="009D6E29">
            <w:pPr>
              <w:spacing w:after="0" w:line="240" w:lineRule="auto"/>
              <w:rPr>
                <w:rFonts w:ascii="Times New Roman" w:hAnsi="Times New Roman" w:cs="Times New Roman"/>
                <w:b/>
              </w:rPr>
            </w:pPr>
            <w:r w:rsidRPr="005A4E5C">
              <w:rPr>
                <w:rFonts w:ascii="Times New Roman" w:hAnsi="Times New Roman" w:cs="Times New Roman"/>
                <w:b/>
              </w:rPr>
              <w:t>Armington</w:t>
            </w:r>
          </w:p>
        </w:tc>
        <w:tc>
          <w:tcPr>
            <w:tcW w:w="1373" w:type="dxa"/>
            <w:tcBorders>
              <w:top w:val="single" w:sz="18" w:space="0" w:color="595959" w:themeColor="text1" w:themeTint="A6"/>
              <w:left w:val="single" w:sz="18" w:space="0" w:color="595959" w:themeColor="text1" w:themeTint="A6"/>
              <w:bottom w:val="single" w:sz="18" w:space="0" w:color="595959" w:themeColor="text1" w:themeTint="A6"/>
            </w:tcBorders>
          </w:tcPr>
          <w:p w:rsidR="00F30CA5" w:rsidRPr="005A4E5C" w:rsidRDefault="00F30CA5" w:rsidP="009D6E29">
            <w:pPr>
              <w:spacing w:after="0" w:line="240" w:lineRule="auto"/>
              <w:rPr>
                <w:rFonts w:ascii="Times New Roman" w:hAnsi="Times New Roman" w:cs="Times New Roman"/>
                <w:b/>
              </w:rPr>
            </w:pPr>
            <w:r w:rsidRPr="005A4E5C">
              <w:rPr>
                <w:rFonts w:ascii="Times New Roman" w:hAnsi="Times New Roman" w:cs="Times New Roman"/>
                <w:b/>
              </w:rPr>
              <w:t>Melitz</w:t>
            </w:r>
          </w:p>
        </w:tc>
      </w:tr>
      <w:tr w:rsidR="00F30CA5" w:rsidRPr="005A4E5C" w:rsidTr="000F0298">
        <w:tc>
          <w:tcPr>
            <w:tcW w:w="6237" w:type="dxa"/>
            <w:gridSpan w:val="2"/>
            <w:tcBorders>
              <w:top w:val="single" w:sz="18" w:space="0" w:color="595959" w:themeColor="text1" w:themeTint="A6"/>
              <w:bottom w:val="single" w:sz="18" w:space="0" w:color="595959" w:themeColor="text1" w:themeTint="A6"/>
              <w:right w:val="single" w:sz="18" w:space="0" w:color="595959" w:themeColor="text1" w:themeTint="A6"/>
            </w:tcBorders>
          </w:tcPr>
          <w:p w:rsidR="00F30CA5" w:rsidRPr="005A4E5C" w:rsidRDefault="00F30CA5" w:rsidP="001869D2">
            <w:pPr>
              <w:tabs>
                <w:tab w:val="decimal" w:pos="546"/>
              </w:tabs>
              <w:spacing w:after="0" w:line="240" w:lineRule="auto"/>
              <w:rPr>
                <w:rFonts w:ascii="Times New Roman" w:hAnsi="Times New Roman" w:cs="Times New Roman"/>
                <w:b/>
              </w:rPr>
            </w:pPr>
            <w:r w:rsidRPr="005A4E5C">
              <w:rPr>
                <w:rFonts w:ascii="Times New Roman" w:hAnsi="Times New Roman" w:cs="Times New Roman"/>
                <w:b/>
                <w:i/>
              </w:rPr>
              <w:t xml:space="preserve">Variables in the </w:t>
            </w:r>
            <w:r w:rsidR="001869D2">
              <w:rPr>
                <w:rFonts w:ascii="Times New Roman" w:hAnsi="Times New Roman" w:cs="Times New Roman"/>
                <w:b/>
                <w:i/>
              </w:rPr>
              <w:t>Basic</w:t>
            </w:r>
            <w:r w:rsidRPr="005A4E5C">
              <w:rPr>
                <w:rFonts w:ascii="Times New Roman" w:hAnsi="Times New Roman" w:cs="Times New Roman"/>
                <w:b/>
                <w:i/>
              </w:rPr>
              <w:t>Armington model</w:t>
            </w:r>
          </w:p>
        </w:tc>
        <w:tc>
          <w:tcPr>
            <w:tcW w:w="1255"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tcPr>
          <w:p w:rsidR="00F30CA5" w:rsidRPr="005A4E5C" w:rsidRDefault="00F30CA5" w:rsidP="009D6E29">
            <w:pPr>
              <w:tabs>
                <w:tab w:val="decimal" w:pos="546"/>
              </w:tabs>
              <w:spacing w:after="0" w:line="240" w:lineRule="auto"/>
              <w:rPr>
                <w:rFonts w:ascii="Times New Roman" w:hAnsi="Times New Roman" w:cs="Times New Roman"/>
                <w:b/>
              </w:rPr>
            </w:pPr>
          </w:p>
        </w:tc>
        <w:tc>
          <w:tcPr>
            <w:tcW w:w="1373" w:type="dxa"/>
            <w:tcBorders>
              <w:top w:val="single" w:sz="18" w:space="0" w:color="595959" w:themeColor="text1" w:themeTint="A6"/>
              <w:left w:val="single" w:sz="18" w:space="0" w:color="595959" w:themeColor="text1" w:themeTint="A6"/>
              <w:bottom w:val="single" w:sz="18" w:space="0" w:color="595959" w:themeColor="text1" w:themeTint="A6"/>
            </w:tcBorders>
          </w:tcPr>
          <w:p w:rsidR="00F30CA5" w:rsidRPr="005A4E5C" w:rsidRDefault="00F30CA5" w:rsidP="009D6E29">
            <w:pPr>
              <w:tabs>
                <w:tab w:val="decimal" w:pos="546"/>
              </w:tabs>
              <w:spacing w:after="0" w:line="240" w:lineRule="auto"/>
              <w:rPr>
                <w:rFonts w:ascii="Times New Roman" w:hAnsi="Times New Roman" w:cs="Times New Roman"/>
                <w:b/>
              </w:rPr>
            </w:pPr>
          </w:p>
        </w:tc>
      </w:tr>
      <w:tr w:rsidR="00F30CA5" w:rsidRPr="005A4E5C" w:rsidTr="000F0298">
        <w:tc>
          <w:tcPr>
            <w:tcW w:w="1985" w:type="dxa"/>
            <w:tcBorders>
              <w:top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940" w:dyaOrig="320">
                <v:shape id="_x0000_i1054" type="#_x0000_t75" style="width:46.75pt;height:17.05pt" o:ole="">
                  <v:imagedata r:id="rId66" o:title=""/>
                </v:shape>
                <o:OLEObject Type="Embed" ProgID="Equation.DSMT4" ShapeID="_x0000_i1054" DrawAspect="Content" ObjectID="_1585147712" r:id="rId67"/>
              </w:object>
            </w:r>
            <w:r w:rsidRPr="00D30423">
              <w:rPr>
                <w:rFonts w:ascii="Times New Roman" w:hAnsi="Times New Roman" w:cs="Times New Roman"/>
                <w:sz w:val="20"/>
                <w:szCs w:val="20"/>
              </w:rPr>
              <w:t xml:space="preserve"> </w:t>
            </w:r>
          </w:p>
        </w:tc>
        <w:tc>
          <w:tcPr>
            <w:tcW w:w="4252" w:type="dxa"/>
            <w:tcBorders>
              <w:top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F</w:t>
            </w:r>
            <w:r>
              <w:rPr>
                <w:rFonts w:ascii="Times New Roman" w:hAnsi="Times New Roman" w:cs="Times New Roman"/>
                <w:sz w:val="20"/>
                <w:szCs w:val="20"/>
              </w:rPr>
              <w:t>actory price of c-producing firm in s</w:t>
            </w:r>
          </w:p>
        </w:tc>
        <w:tc>
          <w:tcPr>
            <w:tcW w:w="1255" w:type="dxa"/>
            <w:tcBorders>
              <w:top w:val="single" w:sz="18"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18" w:space="0" w:color="595959" w:themeColor="text1" w:themeTint="A6"/>
              <w:left w:val="single" w:sz="18" w:space="0" w:color="595959" w:themeColor="text1" w:themeTint="A6"/>
              <w:bottom w:val="single" w:sz="4"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c>
          <w:tcPr>
            <w:tcW w:w="1985" w:type="dxa"/>
            <w:tcBorders>
              <w:top w:val="single" w:sz="4"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60" w:dyaOrig="320">
                <v:shape id="_x0000_i1055" type="#_x0000_t75" style="width:39.35pt;height:17.05pt" o:ole="">
                  <v:imagedata r:id="rId68" o:title=""/>
                </v:shape>
                <o:OLEObject Type="Embed" ProgID="Equation.DSMT4" ShapeID="_x0000_i1055" DrawAspect="Content" ObjectID="_1585147713" r:id="rId69"/>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3E7162" w:rsidRDefault="00F30CA5" w:rsidP="009D6E29">
            <w:pPr>
              <w:tabs>
                <w:tab w:val="decimal" w:pos="546"/>
              </w:tabs>
              <w:spacing w:after="0" w:line="240" w:lineRule="auto"/>
              <w:rPr>
                <w:rFonts w:ascii="Times New Roman" w:hAnsi="Times New Roman" w:cs="Times New Roman"/>
                <w:sz w:val="20"/>
                <w:szCs w:val="20"/>
              </w:rPr>
            </w:pPr>
            <w:r w:rsidRPr="003E7162">
              <w:rPr>
                <w:rFonts w:ascii="Times New Roman" w:hAnsi="Times New Roman" w:cs="Times New Roman"/>
                <w:iCs/>
                <w:sz w:val="20"/>
                <w:szCs w:val="20"/>
                <w:lang w:val="en-AU"/>
              </w:rPr>
              <w:t>Dest</w:t>
            </w:r>
            <w:r>
              <w:rPr>
                <w:rFonts w:ascii="Times New Roman" w:hAnsi="Times New Roman" w:cs="Times New Roman"/>
                <w:iCs/>
                <w:sz w:val="20"/>
                <w:szCs w:val="20"/>
                <w:lang w:val="en-AU"/>
              </w:rPr>
              <w:t>ination</w:t>
            </w:r>
            <w:r w:rsidRPr="003E7162">
              <w:rPr>
                <w:rFonts w:ascii="Times New Roman" w:hAnsi="Times New Roman" w:cs="Times New Roman"/>
                <w:iCs/>
                <w:sz w:val="20"/>
                <w:szCs w:val="20"/>
                <w:lang w:val="en-AU"/>
              </w:rPr>
              <w:t>-specific</w:t>
            </w:r>
            <w:r>
              <w:rPr>
                <w:rFonts w:ascii="Times New Roman" w:hAnsi="Times New Roman" w:cs="Times New Roman"/>
                <w:iCs/>
                <w:sz w:val="20"/>
                <w:szCs w:val="20"/>
                <w:lang w:val="en-AU"/>
              </w:rPr>
              <w:t xml:space="preserve"> </w:t>
            </w:r>
            <w:r w:rsidRPr="003E7162">
              <w:rPr>
                <w:rFonts w:ascii="Times New Roman" w:hAnsi="Times New Roman" w:cs="Times New Roman"/>
                <w:iCs/>
                <w:sz w:val="20"/>
                <w:szCs w:val="20"/>
                <w:lang w:val="en-AU"/>
              </w:rPr>
              <w:t xml:space="preserve">power </w:t>
            </w:r>
            <w:r>
              <w:rPr>
                <w:rFonts w:ascii="Times New Roman" w:hAnsi="Times New Roman" w:cs="Times New Roman"/>
                <w:iCs/>
                <w:sz w:val="20"/>
                <w:szCs w:val="20"/>
                <w:lang w:val="en-AU"/>
              </w:rPr>
              <w:t xml:space="preserve">of tax charged by s on </w:t>
            </w:r>
            <w:r w:rsidRPr="003E7162">
              <w:rPr>
                <w:rFonts w:ascii="Times New Roman" w:hAnsi="Times New Roman" w:cs="Times New Roman"/>
                <w:iCs/>
                <w:sz w:val="20"/>
                <w:szCs w:val="20"/>
                <w:lang w:val="en-AU"/>
              </w:rPr>
              <w:t xml:space="preserve">factory value c to d </w:t>
            </w:r>
            <w:r w:rsidRPr="003E7162">
              <w:rPr>
                <w:rFonts w:ascii="Times New Roman" w:hAnsi="Times New Roman" w:cs="Times New Roman"/>
                <w:sz w:val="20"/>
                <w:szCs w:val="20"/>
              </w:rPr>
              <w:t xml:space="preserve">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c>
          <w:tcPr>
            <w:tcW w:w="1985"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999" w:dyaOrig="320">
                <v:shape id="_x0000_i1056" type="#_x0000_t75" style="width:49.75pt;height:17.05pt" o:ole="">
                  <v:imagedata r:id="rId70" o:title=""/>
                </v:shape>
                <o:OLEObject Type="Embed" ProgID="Equation.DSMT4" ShapeID="_x0000_i1056" DrawAspect="Content" ObjectID="_1585147714" r:id="rId71"/>
              </w:object>
            </w:r>
          </w:p>
        </w:tc>
        <w:tc>
          <w:tcPr>
            <w:tcW w:w="4252"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0F2FA4" w:rsidRDefault="00F30CA5" w:rsidP="009D6E29">
            <w:pPr>
              <w:tabs>
                <w:tab w:val="decimal" w:pos="546"/>
              </w:tabs>
              <w:spacing w:after="0" w:line="240" w:lineRule="auto"/>
              <w:rPr>
                <w:rFonts w:ascii="Times New Roman" w:hAnsi="Times New Roman" w:cs="Times New Roman"/>
                <w:sz w:val="20"/>
                <w:szCs w:val="20"/>
              </w:rPr>
            </w:pPr>
            <w:r w:rsidRPr="000F2FA4">
              <w:rPr>
                <w:rFonts w:ascii="Times New Roman" w:hAnsi="Times New Roman" w:cs="Times New Roman"/>
                <w:iCs/>
                <w:sz w:val="20"/>
                <w:szCs w:val="20"/>
                <w:lang w:val="en-AU"/>
              </w:rPr>
              <w:t>Price just beyond the factory door of c,s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c>
          <w:tcPr>
            <w:tcW w:w="1985"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00" w:dyaOrig="320">
                <v:shape id="_x0000_i1057" type="#_x0000_t75" style="width:34.9pt;height:17.05pt" o:ole="">
                  <v:imagedata r:id="rId72" o:title=""/>
                </v:shape>
                <o:OLEObject Type="Embed" ProgID="Equation.DSMT4" ShapeID="_x0000_i1057" DrawAspect="Content" ObjectID="_1585147715" r:id="rId73"/>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0F2FA4" w:rsidRDefault="00F30CA5" w:rsidP="009D6E29">
            <w:pPr>
              <w:tabs>
                <w:tab w:val="decimal" w:pos="546"/>
              </w:tabs>
              <w:spacing w:after="0" w:line="240" w:lineRule="auto"/>
              <w:rPr>
                <w:rFonts w:ascii="Times New Roman" w:hAnsi="Times New Roman" w:cs="Times New Roman"/>
                <w:sz w:val="20"/>
                <w:szCs w:val="20"/>
              </w:rPr>
            </w:pPr>
            <w:r w:rsidRPr="000F2FA4">
              <w:rPr>
                <w:rFonts w:ascii="Times New Roman" w:hAnsi="Times New Roman" w:cs="Times New Roman"/>
                <w:iCs/>
                <w:sz w:val="20"/>
                <w:szCs w:val="20"/>
                <w:lang w:val="en-AU"/>
              </w:rPr>
              <w:t>Fob price of flow c,s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c>
          <w:tcPr>
            <w:tcW w:w="1985"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660" w:dyaOrig="320">
                <v:shape id="_x0000_i1058" type="#_x0000_t75" style="width:34.15pt;height:17.05pt" o:ole="">
                  <v:imagedata r:id="rId74" o:title=""/>
                </v:shape>
                <o:OLEObject Type="Embed" ProgID="Equation.DSMT4" ShapeID="_x0000_i1058" DrawAspect="Content" ObjectID="_1585147716" r:id="rId7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0F2FA4" w:rsidRDefault="00F30CA5" w:rsidP="009D6E29">
            <w:pPr>
              <w:tabs>
                <w:tab w:val="decimal" w:pos="546"/>
              </w:tabs>
              <w:spacing w:after="0" w:line="240" w:lineRule="auto"/>
              <w:rPr>
                <w:rFonts w:ascii="Times New Roman" w:hAnsi="Times New Roman" w:cs="Times New Roman"/>
                <w:sz w:val="20"/>
                <w:szCs w:val="20"/>
              </w:rPr>
            </w:pPr>
            <w:r w:rsidRPr="000F2FA4">
              <w:rPr>
                <w:rFonts w:ascii="Times New Roman" w:hAnsi="Times New Roman" w:cs="Times New Roman"/>
                <w:iCs/>
                <w:sz w:val="20"/>
                <w:szCs w:val="20"/>
                <w:lang w:val="en-AU"/>
              </w:rPr>
              <w:t>Cif price of flow c,s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440" w:dyaOrig="320">
                <v:shape id="_x0000_i1059" type="#_x0000_t75" style="width:21.55pt;height:17.05pt" o:ole="">
                  <v:imagedata r:id="rId76" o:title=""/>
                </v:shape>
                <o:OLEObject Type="Embed" ProgID="Equation.DSMT4" ShapeID="_x0000_i1059" DrawAspect="Content" ObjectID="_1585147717" r:id="rId77"/>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0F2FA4" w:rsidRDefault="00F30CA5" w:rsidP="009D6E29">
            <w:pPr>
              <w:tabs>
                <w:tab w:val="decimal" w:pos="546"/>
              </w:tabs>
              <w:spacing w:after="0" w:line="240" w:lineRule="auto"/>
              <w:rPr>
                <w:rFonts w:ascii="Times New Roman" w:hAnsi="Times New Roman" w:cs="Times New Roman"/>
                <w:sz w:val="20"/>
                <w:szCs w:val="20"/>
              </w:rPr>
            </w:pPr>
            <w:r w:rsidRPr="000F2FA4">
              <w:rPr>
                <w:rFonts w:ascii="Times New Roman" w:hAnsi="Times New Roman" w:cs="Times New Roman"/>
                <w:iCs/>
                <w:sz w:val="20"/>
                <w:szCs w:val="20"/>
                <w:lang w:val="en-AU"/>
              </w:rPr>
              <w:t>Purchasers price of c,s,d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499" w:dyaOrig="320">
                <v:shape id="_x0000_i1060" type="#_x0000_t75" style="width:25.25pt;height:17.05pt" o:ole="">
                  <v:imagedata r:id="rId78" o:title=""/>
                </v:shape>
                <o:OLEObject Type="Embed" ProgID="Equation.DSMT4" ShapeID="_x0000_i1060" DrawAspect="Content" ObjectID="_1585147718" r:id="rId79"/>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0F2FA4" w:rsidRDefault="00F30CA5" w:rsidP="009D6E29">
            <w:pPr>
              <w:spacing w:after="0" w:line="240" w:lineRule="auto"/>
              <w:rPr>
                <w:rFonts w:ascii="Times New Roman" w:hAnsi="Times New Roman" w:cs="Times New Roman"/>
                <w:sz w:val="20"/>
                <w:szCs w:val="20"/>
              </w:rPr>
            </w:pPr>
            <w:r w:rsidRPr="000F2FA4">
              <w:rPr>
                <w:rFonts w:ascii="Times New Roman" w:hAnsi="Times New Roman" w:cs="Times New Roman"/>
                <w:iCs/>
                <w:sz w:val="20"/>
                <w:szCs w:val="20"/>
                <w:lang w:val="en-AU"/>
              </w:rPr>
              <w:t>Power of tariff on flow c,s to d, applied to cif value</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0F2FA4" w:rsidRDefault="00F30CA5" w:rsidP="009D6E29">
            <w:pPr>
              <w:spacing w:after="0" w:line="240" w:lineRule="auto"/>
              <w:rPr>
                <w:rFonts w:ascii="Times New Roman" w:hAnsi="Times New Roman" w:cs="Times New Roman"/>
                <w:sz w:val="20"/>
                <w:szCs w:val="20"/>
              </w:rPr>
            </w:pPr>
            <w:r w:rsidRPr="000F2FA4">
              <w:rPr>
                <w:rFonts w:ascii="Times New Roman" w:hAnsi="Times New Roman" w:cs="Times New Roman"/>
                <w:position w:val="-12"/>
                <w:sz w:val="20"/>
                <w:szCs w:val="20"/>
              </w:rPr>
              <w:object w:dxaOrig="840" w:dyaOrig="320">
                <v:shape id="_x0000_i1061" type="#_x0000_t75" style="width:40.8pt;height:17.05pt" o:ole="">
                  <v:imagedata r:id="rId80" o:title=""/>
                </v:shape>
                <o:OLEObject Type="Embed" ProgID="Equation.DSMT4" ShapeID="_x0000_i1061" DrawAspect="Content" ObjectID="_1585147719" r:id="rId81"/>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A96809" w:rsidRDefault="00F30CA5" w:rsidP="009D6E29">
            <w:pPr>
              <w:tabs>
                <w:tab w:val="decimal" w:pos="546"/>
              </w:tabs>
              <w:spacing w:after="0" w:line="240" w:lineRule="auto"/>
              <w:rPr>
                <w:rFonts w:ascii="Times New Roman" w:hAnsi="Times New Roman" w:cs="Times New Roman"/>
                <w:iCs/>
                <w:color w:val="000000"/>
                <w:sz w:val="20"/>
                <w:szCs w:val="20"/>
                <w:lang w:val="en-AU"/>
              </w:rPr>
            </w:pPr>
            <w:r w:rsidRPr="00A96809">
              <w:rPr>
                <w:rFonts w:ascii="Times New Roman" w:hAnsi="Times New Roman" w:cs="Times New Roman"/>
                <w:iCs/>
                <w:color w:val="000000"/>
                <w:sz w:val="20"/>
                <w:szCs w:val="20"/>
                <w:lang w:val="en-AU"/>
              </w:rPr>
              <w:t>Quantity of c (number of widgets) sent from 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0F2FA4" w:rsidRDefault="00F30CA5" w:rsidP="009D6E29">
            <w:pPr>
              <w:spacing w:after="0" w:line="240" w:lineRule="auto"/>
              <w:rPr>
                <w:rFonts w:ascii="Times New Roman" w:hAnsi="Times New Roman" w:cs="Times New Roman"/>
                <w:sz w:val="20"/>
                <w:szCs w:val="20"/>
              </w:rPr>
            </w:pPr>
            <w:r w:rsidRPr="000F2FA4">
              <w:rPr>
                <w:rFonts w:ascii="Times New Roman" w:hAnsi="Times New Roman" w:cs="Times New Roman"/>
                <w:position w:val="-12"/>
                <w:sz w:val="20"/>
                <w:szCs w:val="20"/>
              </w:rPr>
              <w:object w:dxaOrig="380" w:dyaOrig="320">
                <v:shape id="_x0000_i1062" type="#_x0000_t75" style="width:17.8pt;height:17.05pt" o:ole="">
                  <v:imagedata r:id="rId82" o:title=""/>
                </v:shape>
                <o:OLEObject Type="Embed" ProgID="Equation.DSMT4" ShapeID="_x0000_i1062" DrawAspect="Content" ObjectID="_1585147720" r:id="rId83"/>
              </w:object>
            </w:r>
            <w:r w:rsidRPr="000F2FA4">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A96809" w:rsidRDefault="00F30CA5" w:rsidP="009D6E29">
            <w:pPr>
              <w:tabs>
                <w:tab w:val="decimal" w:pos="546"/>
              </w:tabs>
              <w:spacing w:after="0" w:line="240" w:lineRule="auto"/>
              <w:rPr>
                <w:rFonts w:ascii="Times New Roman" w:hAnsi="Times New Roman" w:cs="Times New Roman"/>
                <w:sz w:val="20"/>
                <w:szCs w:val="20"/>
              </w:rPr>
            </w:pPr>
            <w:r w:rsidRPr="00A96809">
              <w:rPr>
                <w:rFonts w:ascii="Times New Roman" w:hAnsi="Times New Roman" w:cs="Times New Roman"/>
                <w:iCs/>
                <w:color w:val="000000"/>
                <w:sz w:val="20"/>
                <w:szCs w:val="20"/>
                <w:lang w:val="en-AU"/>
              </w:rPr>
              <w:t>Effective qty of c sent from s to d, see (7.1)-(7.3)</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6754FD">
              <w:rPr>
                <w:rFonts w:ascii="Times New Roman" w:hAnsi="Times New Roman" w:cs="Times New Roman"/>
                <w:position w:val="-10"/>
                <w:sz w:val="20"/>
                <w:szCs w:val="20"/>
              </w:rPr>
              <w:object w:dxaOrig="279" w:dyaOrig="300">
                <v:shape id="_x0000_i1063" type="#_x0000_t75" style="width:14.1pt;height:15.6pt" o:ole="">
                  <v:imagedata r:id="rId84" o:title=""/>
                </v:shape>
                <o:OLEObject Type="Embed" ProgID="Equation.DSMT4" ShapeID="_x0000_i1063" DrawAspect="Content" ObjectID="_1585147721" r:id="rId8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0F2FA4">
              <w:rPr>
                <w:rFonts w:ascii="Times New Roman" w:hAnsi="Times New Roman" w:cs="Times New Roman"/>
                <w:iCs/>
                <w:color w:val="000000"/>
                <w:sz w:val="20"/>
                <w:szCs w:val="20"/>
                <w:lang w:val="en-AU"/>
              </w:rPr>
              <w:t>Wage rate in region 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20" w:dyaOrig="320">
                <v:shape id="_x0000_i1064" type="#_x0000_t75" style="width:36.35pt;height:17.05pt" o:ole="">
                  <v:imagedata r:id="rId86" o:title=""/>
                </v:shape>
                <o:OLEObject Type="Embed" ProgID="Equation.DSMT4" ShapeID="_x0000_i1064" DrawAspect="Content" ObjectID="_1585147722" r:id="rId87"/>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All input tech variable: output per unit of input in industry c,s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340" w:dyaOrig="320">
                <v:shape id="_x0000_i1065" type="#_x0000_t75" style="width:17.05pt;height:17.05pt" o:ole="">
                  <v:imagedata r:id="rId88" o:title=""/>
                </v:shape>
                <o:OLEObject Type="Embed" ProgID="Equation.DSMT4" ShapeID="_x0000_i1065" DrawAspect="Content" ObjectID="_1585147723" r:id="rId89"/>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Qty of composite c consumed in d, not differentiated by source</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780" w:dyaOrig="320">
                <v:shape id="_x0000_i1066" type="#_x0000_t75" style="width:39.35pt;height:17.05pt" o:ole="">
                  <v:imagedata r:id="rId90" o:title=""/>
                </v:shape>
                <o:OLEObject Type="Embed" ProgID="Equation.DSMT4" ShapeID="_x0000_i1066" DrawAspect="Content" ObjectID="_1585147724" r:id="rId91"/>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Pref variable for c,s to satisfy d's demands for c</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6754FD">
              <w:rPr>
                <w:rFonts w:ascii="Times New Roman" w:hAnsi="Times New Roman" w:cs="Times New Roman"/>
                <w:position w:val="-10"/>
                <w:sz w:val="20"/>
                <w:szCs w:val="20"/>
              </w:rPr>
              <w:object w:dxaOrig="1280" w:dyaOrig="300">
                <v:shape id="_x0000_i1067" type="#_x0000_t75" style="width:63.85pt;height:15.6pt" o:ole="">
                  <v:imagedata r:id="rId92" o:title=""/>
                </v:shape>
                <o:OLEObject Type="Embed" ProgID="Equation.DSMT4" ShapeID="_x0000_i1067" DrawAspect="Content" ObjectID="_1585147725" r:id="rId93"/>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 xml:space="preserve">Country 1's average propensity to consume out of GDP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c>
          <w:tcPr>
            <w:tcW w:w="1985"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6754FD">
              <w:rPr>
                <w:rFonts w:ascii="Times New Roman" w:hAnsi="Times New Roman" w:cs="Times New Roman"/>
                <w:position w:val="-10"/>
                <w:sz w:val="20"/>
                <w:szCs w:val="20"/>
              </w:rPr>
              <w:object w:dxaOrig="1320" w:dyaOrig="300">
                <v:shape id="_x0000_i1068" type="#_x0000_t75" style="width:66pt;height:16pt" o:ole="">
                  <v:imagedata r:id="rId94" o:title=""/>
                </v:shape>
                <o:OLEObject Type="Embed" ProgID="Equation.DSMT4" ShapeID="_x0000_i1068" DrawAspect="Content" ObjectID="_1585147726" r:id="rId9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 xml:space="preserve">Country 2's average propensity to consume out of GDP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6754FD">
              <w:rPr>
                <w:rFonts w:ascii="Times New Roman" w:hAnsi="Times New Roman" w:cs="Times New Roman"/>
                <w:position w:val="-10"/>
                <w:sz w:val="20"/>
                <w:szCs w:val="20"/>
              </w:rPr>
              <w:object w:dxaOrig="440" w:dyaOrig="300">
                <v:shape id="_x0000_i1069" type="#_x0000_t75" style="width:23pt;height:16pt" o:ole="">
                  <v:imagedata r:id="rId96" o:title=""/>
                </v:shape>
                <o:OLEObject Type="Embed" ProgID="Equation.DSMT4" ShapeID="_x0000_i1069" DrawAspect="Content" ObjectID="_1585147727" r:id="rId97"/>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GDP in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340" w:dyaOrig="320">
                <v:shape id="_x0000_i1070" type="#_x0000_t75" style="width:17pt;height:17pt" o:ole="">
                  <v:imagedata r:id="rId98" o:title=""/>
                </v:shape>
                <o:OLEObject Type="Embed" ProgID="Equation.DSMT4" ShapeID="_x0000_i1070" DrawAspect="Content" ObjectID="_1585147728" r:id="rId99"/>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Price of the c-composite in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320" w:dyaOrig="320">
                <v:shape id="_x0000_i1071" type="#_x0000_t75" style="width:17pt;height:17pt" o:ole="">
                  <v:imagedata r:id="rId100" o:title=""/>
                </v:shape>
                <o:OLEObject Type="Embed" ProgID="Equation.DSMT4" ShapeID="_x0000_i1071" DrawAspect="Content" ObjectID="_1585147729" r:id="rId101"/>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Quantity of labor used in industry c,s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639" w:dyaOrig="320">
                <v:shape id="_x0000_i1072" type="#_x0000_t75" style="width:33pt;height:17pt" o:ole="">
                  <v:imagedata r:id="rId102" o:title=""/>
                </v:shape>
                <o:OLEObject Type="Embed" ProgID="Equation.DSMT4" ShapeID="_x0000_i1072" DrawAspect="Content" ObjectID="_1585147730" r:id="rId103"/>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Total qty (no. of widgets) produced by industry c in region 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6754FD">
              <w:rPr>
                <w:rFonts w:ascii="Times New Roman" w:hAnsi="Times New Roman" w:cs="Times New Roman"/>
                <w:position w:val="-10"/>
                <w:sz w:val="20"/>
                <w:szCs w:val="20"/>
              </w:rPr>
              <w:object w:dxaOrig="440" w:dyaOrig="300">
                <v:shape id="_x0000_i1073" type="#_x0000_t75" style="width:23pt;height:16pt" o:ole="">
                  <v:imagedata r:id="rId104" o:title=""/>
                </v:shape>
                <o:OLEObject Type="Embed" ProgID="Equation.DSMT4" ShapeID="_x0000_i1073" DrawAspect="Content" ObjectID="_1585147731" r:id="rId10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Employment in country 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80" w:dyaOrig="320">
                <v:shape id="_x0000_i1074" type="#_x0000_t75" style="width:38pt;height:17pt" o:ole="">
                  <v:imagedata r:id="rId106" o:title=""/>
                </v:shape>
                <o:OLEObject Type="Embed" ProgID="Equation.DSMT4" ShapeID="_x0000_i1074" DrawAspect="Content" ObjectID="_1585147732" r:id="rId107"/>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d's tariff revenue on flow c from 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40" w:dyaOrig="320">
                <v:shape id="_x0000_i1075" type="#_x0000_t75" style="width:37pt;height:17pt" o:ole="">
                  <v:imagedata r:id="rId108" o:title=""/>
                </v:shape>
                <o:OLEObject Type="Embed" ProgID="Equation.DSMT4" ShapeID="_x0000_i1075" DrawAspect="Content" ObjectID="_1585147733" r:id="rId109"/>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5527DC" w:rsidRDefault="00F30CA5" w:rsidP="009D6E29">
            <w:pPr>
              <w:tabs>
                <w:tab w:val="decimal" w:pos="546"/>
              </w:tabs>
              <w:spacing w:after="0" w:line="240" w:lineRule="auto"/>
              <w:rPr>
                <w:rFonts w:ascii="Times New Roman" w:hAnsi="Times New Roman" w:cs="Times New Roman"/>
                <w:sz w:val="20"/>
                <w:szCs w:val="20"/>
              </w:rPr>
            </w:pPr>
            <w:r w:rsidRPr="005527DC">
              <w:rPr>
                <w:rFonts w:ascii="Times New Roman" w:hAnsi="Times New Roman" w:cs="Times New Roman"/>
                <w:iCs/>
                <w:sz w:val="20"/>
                <w:szCs w:val="20"/>
                <w:lang w:val="en-AU"/>
              </w:rPr>
              <w:t>s's tax revenue on flow c from s to d</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18"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color w:val="000000"/>
                <w:sz w:val="20"/>
                <w:szCs w:val="20"/>
              </w:rPr>
            </w:pPr>
            <w:r w:rsidRPr="006754FD">
              <w:rPr>
                <w:rFonts w:ascii="Times New Roman" w:hAnsi="Times New Roman" w:cs="Times New Roman"/>
                <w:position w:val="-10"/>
                <w:sz w:val="20"/>
                <w:szCs w:val="20"/>
              </w:rPr>
              <w:object w:dxaOrig="760" w:dyaOrig="240">
                <v:shape id="_x0000_i1076" type="#_x0000_t75" style="width:37pt;height:12pt" o:ole="">
                  <v:imagedata r:id="rId110" o:title=""/>
                </v:shape>
                <o:OLEObject Type="Embed" ProgID="Equation.DSMT4" ShapeID="_x0000_i1076" DrawAspect="Content" ObjectID="_1585147734" r:id="rId111"/>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World-wide average wage rate</w:t>
            </w:r>
          </w:p>
        </w:tc>
        <w:tc>
          <w:tcPr>
            <w:tcW w:w="1255"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18"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7" w:type="dxa"/>
            <w:gridSpan w:val="2"/>
            <w:tcBorders>
              <w:top w:val="single" w:sz="18" w:space="0" w:color="595959" w:themeColor="text1" w:themeTint="A6"/>
              <w:left w:val="nil"/>
              <w:bottom w:val="single" w:sz="18"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b/>
                <w:i/>
                <w:sz w:val="20"/>
                <w:szCs w:val="20"/>
              </w:rPr>
              <w:t>Additional variables for the Melitz model</w:t>
            </w:r>
          </w:p>
        </w:tc>
        <w:tc>
          <w:tcPr>
            <w:tcW w:w="1255"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p>
        </w:tc>
        <w:tc>
          <w:tcPr>
            <w:tcW w:w="1373" w:type="dxa"/>
            <w:tcBorders>
              <w:top w:val="single" w:sz="18" w:space="0" w:color="595959" w:themeColor="text1" w:themeTint="A6"/>
              <w:left w:val="single" w:sz="18" w:space="0" w:color="595959" w:themeColor="text1" w:themeTint="A6"/>
              <w:bottom w:val="single" w:sz="18"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18" w:space="0" w:color="595959" w:themeColor="text1" w:themeTint="A6"/>
              <w:left w:val="nil"/>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820" w:dyaOrig="320">
                <v:shape id="_x0000_i1077" type="#_x0000_t75" style="width:41pt;height:17pt" o:ole="">
                  <v:imagedata r:id="rId112" o:title=""/>
                </v:shape>
                <o:OLEObject Type="Embed" ProgID="Equation.DSMT4" ShapeID="_x0000_i1077" DrawAspect="Content" ObjectID="_1585147735" r:id="rId113"/>
              </w:object>
            </w:r>
            <w:r w:rsidRPr="00D30423">
              <w:rPr>
                <w:rFonts w:ascii="Times New Roman" w:hAnsi="Times New Roman" w:cs="Times New Roman"/>
                <w:sz w:val="20"/>
                <w:szCs w:val="20"/>
              </w:rPr>
              <w:t xml:space="preserve"> </w:t>
            </w:r>
          </w:p>
        </w:tc>
        <w:tc>
          <w:tcPr>
            <w:tcW w:w="4252" w:type="dxa"/>
            <w:tcBorders>
              <w:top w:val="single" w:sz="18"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6518CF" w:rsidRDefault="00F30CA5" w:rsidP="009D6E29">
            <w:pPr>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Exogenous to turn on Melitz factory-door tax rates</w:t>
            </w:r>
          </w:p>
        </w:tc>
        <w:tc>
          <w:tcPr>
            <w:tcW w:w="1255" w:type="dxa"/>
            <w:tcBorders>
              <w:top w:val="single" w:sz="18"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18" w:space="0" w:color="595959" w:themeColor="text1" w:themeTint="A6"/>
              <w:left w:val="single" w:sz="18" w:space="0" w:color="595959" w:themeColor="text1" w:themeTint="A6"/>
              <w:bottom w:val="single" w:sz="4"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840" w:dyaOrig="320">
                <v:shape id="_x0000_i1078" type="#_x0000_t75" style="width:42pt;height:17pt" o:ole="">
                  <v:imagedata r:id="rId114" o:title=""/>
                </v:shape>
                <o:OLEObject Type="Embed" ProgID="Equation.DSMT4" ShapeID="_x0000_i1078" DrawAspect="Content" ObjectID="_1585147736" r:id="rId11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Exogenous to turn on Melitz love of variety</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480" w:dyaOrig="320">
                <v:shape id="_x0000_i1079" type="#_x0000_t75" style="width:24pt;height:17pt" o:ole="">
                  <v:imagedata r:id="rId116" o:title=""/>
                </v:shape>
                <o:OLEObject Type="Embed" ProgID="Equation.DSMT4" ShapeID="_x0000_i1079" DrawAspect="Content" ObjectID="_1585147737" r:id="rId117"/>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Exogenous to turn on Melitz total inputs to c-firms in s</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440" w:dyaOrig="320">
                <v:shape id="_x0000_i1080" type="#_x0000_t75" style="width:22pt;height:17pt" o:ole="">
                  <v:imagedata r:id="rId118" o:title=""/>
                </v:shape>
                <o:OLEObject Type="Embed" ProgID="Equation.DSMT4" ShapeID="_x0000_i1080" DrawAspect="Content" ObjectID="_1585147738" r:id="rId119"/>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Productivity of a typical c firm on sd-link</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400" w:dyaOrig="320">
                <v:shape id="_x0000_i1081" type="#_x0000_t75" style="width:21pt;height:17pt" o:ole="">
                  <v:imagedata r:id="rId120" o:title=""/>
                </v:shape>
                <o:OLEObject Type="Embed" ProgID="Equation.DSMT4" ShapeID="_x0000_i1081" DrawAspect="Content" ObjectID="_1585147739" r:id="rId121"/>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 xml:space="preserve">No. of c-producing firms (varieties) on the sd-link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134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340" w:dyaOrig="320">
                <v:shape id="_x0000_i1082" type="#_x0000_t75" style="width:17pt;height:17pt" o:ole="">
                  <v:imagedata r:id="rId122" o:title=""/>
                </v:shape>
                <o:OLEObject Type="Embed" ProgID="Equation.DSMT4" ShapeID="_x0000_i1082" DrawAspect="Content" ObjectID="_1585147740" r:id="rId123"/>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Qty of inputs required to set up on the sd,c-link</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134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single" w:sz="4" w:space="0" w:color="595959" w:themeColor="text1" w:themeTint="A6"/>
              <w:left w:val="nil"/>
              <w:bottom w:val="single" w:sz="18"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340" w:dyaOrig="320">
                <v:shape id="_x0000_i1083" type="#_x0000_t75" style="width:17pt;height:17pt" o:ole="">
                  <v:imagedata r:id="rId124" o:title=""/>
                </v:shape>
                <o:OLEObject Type="Embed" ProgID="Equation.DSMT4" ShapeID="_x0000_i1083" DrawAspect="Content" ObjectID="_1585147741" r:id="rId12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shd w:val="clear" w:color="auto" w:fill="FFFF00"/>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Number of c-firms in country s</w:t>
            </w:r>
          </w:p>
        </w:tc>
        <w:tc>
          <w:tcPr>
            <w:tcW w:w="1255"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18"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bl>
    <w:p w:rsidR="000F0298" w:rsidRDefault="000F0298" w:rsidP="000F0298">
      <w:pPr>
        <w:jc w:val="right"/>
        <w:rPr>
          <w:rFonts w:ascii="Times New Roman" w:hAnsi="Times New Roman" w:cs="Times New Roman"/>
          <w:b/>
          <w:i/>
          <w:sz w:val="24"/>
          <w:szCs w:val="24"/>
        </w:rPr>
      </w:pPr>
      <w:r>
        <w:rPr>
          <w:rFonts w:ascii="Times New Roman" w:hAnsi="Times New Roman" w:cs="Times New Roman"/>
          <w:b/>
          <w:i/>
          <w:sz w:val="24"/>
          <w:szCs w:val="24"/>
        </w:rPr>
        <w:t>Table 7.2 continues …</w:t>
      </w:r>
    </w:p>
    <w:p w:rsidR="000F0298" w:rsidRDefault="000F0298">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0F0298" w:rsidRDefault="000F0298">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Table 7.2 continued …</w:t>
      </w:r>
    </w:p>
    <w:tbl>
      <w:tblPr>
        <w:tblStyle w:val="TableGrid"/>
        <w:tblW w:w="8883" w:type="dxa"/>
        <w:tblInd w:w="-5" w:type="dxa"/>
        <w:tblLook w:val="04A0" w:firstRow="1" w:lastRow="0" w:firstColumn="1" w:lastColumn="0" w:noHBand="0" w:noVBand="1"/>
      </w:tblPr>
      <w:tblGrid>
        <w:gridCol w:w="1985"/>
        <w:gridCol w:w="4252"/>
        <w:gridCol w:w="1255"/>
        <w:gridCol w:w="1373"/>
        <w:gridCol w:w="18"/>
      </w:tblGrid>
      <w:tr w:rsidR="000F0298" w:rsidRPr="005A4E5C" w:rsidTr="000F0298">
        <w:trPr>
          <w:gridAfter w:val="1"/>
          <w:wAfter w:w="18" w:type="dxa"/>
        </w:trPr>
        <w:tc>
          <w:tcPr>
            <w:tcW w:w="6237" w:type="dxa"/>
            <w:gridSpan w:val="2"/>
            <w:tcBorders>
              <w:top w:val="single" w:sz="18" w:space="0" w:color="404040" w:themeColor="text1" w:themeTint="BF"/>
              <w:left w:val="nil"/>
              <w:bottom w:val="single" w:sz="18" w:space="0" w:color="404040" w:themeColor="text1" w:themeTint="BF"/>
              <w:right w:val="single" w:sz="18" w:space="0" w:color="404040" w:themeColor="text1" w:themeTint="BF"/>
            </w:tcBorders>
          </w:tcPr>
          <w:p w:rsidR="000F0298" w:rsidRPr="005A4E5C" w:rsidRDefault="000F0298" w:rsidP="00EB27BA">
            <w:pPr>
              <w:spacing w:after="0" w:line="240" w:lineRule="auto"/>
              <w:rPr>
                <w:rFonts w:ascii="Times New Roman" w:hAnsi="Times New Roman" w:cs="Times New Roman"/>
                <w:b/>
              </w:rPr>
            </w:pPr>
          </w:p>
        </w:tc>
        <w:tc>
          <w:tcPr>
            <w:tcW w:w="1255" w:type="dxa"/>
            <w:tc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tcBorders>
          </w:tcPr>
          <w:p w:rsidR="000F0298" w:rsidRPr="005A4E5C" w:rsidRDefault="000F0298" w:rsidP="00EB27BA">
            <w:pPr>
              <w:spacing w:after="0" w:line="240" w:lineRule="auto"/>
              <w:rPr>
                <w:rFonts w:ascii="Times New Roman" w:hAnsi="Times New Roman" w:cs="Times New Roman"/>
                <w:b/>
              </w:rPr>
            </w:pPr>
            <w:r w:rsidRPr="005A4E5C">
              <w:rPr>
                <w:rFonts w:ascii="Times New Roman" w:hAnsi="Times New Roman" w:cs="Times New Roman"/>
                <w:b/>
              </w:rPr>
              <w:t>Armington</w:t>
            </w:r>
          </w:p>
        </w:tc>
        <w:tc>
          <w:tcPr>
            <w:tcW w:w="1373" w:type="dxa"/>
            <w:tcBorders>
              <w:top w:val="single" w:sz="18" w:space="0" w:color="404040" w:themeColor="text1" w:themeTint="BF"/>
              <w:left w:val="single" w:sz="18" w:space="0" w:color="404040" w:themeColor="text1" w:themeTint="BF"/>
              <w:bottom w:val="single" w:sz="18" w:space="0" w:color="404040" w:themeColor="text1" w:themeTint="BF"/>
              <w:right w:val="nil"/>
            </w:tcBorders>
          </w:tcPr>
          <w:p w:rsidR="000F0298" w:rsidRPr="005A4E5C" w:rsidRDefault="000F0298" w:rsidP="00EB27BA">
            <w:pPr>
              <w:spacing w:after="0" w:line="240" w:lineRule="auto"/>
              <w:rPr>
                <w:rFonts w:ascii="Times New Roman" w:hAnsi="Times New Roman" w:cs="Times New Roman"/>
                <w:b/>
              </w:rPr>
            </w:pPr>
            <w:r w:rsidRPr="005A4E5C">
              <w:rPr>
                <w:rFonts w:ascii="Times New Roman" w:hAnsi="Times New Roman" w:cs="Times New Roman"/>
                <w:b/>
              </w:rPr>
              <w:t>Melitz</w:t>
            </w:r>
          </w:p>
        </w:tc>
      </w:tr>
      <w:tr w:rsidR="000F0298" w:rsidRPr="005A4E5C" w:rsidTr="000F0298">
        <w:trPr>
          <w:gridAfter w:val="1"/>
          <w:wAfter w:w="18" w:type="dxa"/>
        </w:trPr>
        <w:tc>
          <w:tcPr>
            <w:tcW w:w="6237" w:type="dxa"/>
            <w:gridSpan w:val="2"/>
            <w:tcBorders>
              <w:top w:val="single" w:sz="18" w:space="0" w:color="404040" w:themeColor="text1" w:themeTint="BF"/>
              <w:left w:val="nil"/>
              <w:bottom w:val="single" w:sz="18" w:space="0" w:color="404040" w:themeColor="text1" w:themeTint="BF"/>
              <w:right w:val="single" w:sz="18" w:space="0" w:color="404040" w:themeColor="text1" w:themeTint="BF"/>
            </w:tcBorders>
          </w:tcPr>
          <w:p w:rsidR="000F0298" w:rsidRPr="005A4E5C" w:rsidRDefault="000F0298" w:rsidP="00EB27BA">
            <w:pPr>
              <w:spacing w:after="0" w:line="240" w:lineRule="auto"/>
              <w:rPr>
                <w:rFonts w:ascii="Times New Roman" w:hAnsi="Times New Roman" w:cs="Times New Roman"/>
                <w:b/>
              </w:rPr>
            </w:pPr>
            <w:r w:rsidRPr="005A4E5C">
              <w:rPr>
                <w:rFonts w:ascii="Times New Roman" w:hAnsi="Times New Roman" w:cs="Times New Roman"/>
                <w:b/>
                <w:i/>
              </w:rPr>
              <w:t xml:space="preserve">Variables in the </w:t>
            </w:r>
            <w:r>
              <w:rPr>
                <w:rFonts w:ascii="Times New Roman" w:hAnsi="Times New Roman" w:cs="Times New Roman"/>
                <w:b/>
                <w:i/>
              </w:rPr>
              <w:t>Basic</w:t>
            </w:r>
            <w:r w:rsidRPr="005A4E5C">
              <w:rPr>
                <w:rFonts w:ascii="Times New Roman" w:hAnsi="Times New Roman" w:cs="Times New Roman"/>
                <w:b/>
                <w:i/>
              </w:rPr>
              <w:t>Armington model</w:t>
            </w:r>
          </w:p>
        </w:tc>
        <w:tc>
          <w:tcPr>
            <w:tcW w:w="1255" w:type="dxa"/>
            <w:tc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tcBorders>
          </w:tcPr>
          <w:p w:rsidR="000F0298" w:rsidRPr="005A4E5C" w:rsidRDefault="000F0298" w:rsidP="00EB27BA">
            <w:pPr>
              <w:spacing w:after="0" w:line="240" w:lineRule="auto"/>
              <w:rPr>
                <w:rFonts w:ascii="Times New Roman" w:hAnsi="Times New Roman" w:cs="Times New Roman"/>
                <w:b/>
              </w:rPr>
            </w:pPr>
          </w:p>
        </w:tc>
        <w:tc>
          <w:tcPr>
            <w:tcW w:w="1373" w:type="dxa"/>
            <w:tcBorders>
              <w:top w:val="single" w:sz="18" w:space="0" w:color="404040" w:themeColor="text1" w:themeTint="BF"/>
              <w:left w:val="single" w:sz="18" w:space="0" w:color="404040" w:themeColor="text1" w:themeTint="BF"/>
              <w:bottom w:val="single" w:sz="18" w:space="0" w:color="404040" w:themeColor="text1" w:themeTint="BF"/>
              <w:right w:val="nil"/>
            </w:tcBorders>
          </w:tcPr>
          <w:p w:rsidR="000F0298" w:rsidRPr="005A4E5C" w:rsidRDefault="000F0298" w:rsidP="00EB27BA">
            <w:pPr>
              <w:spacing w:after="0" w:line="240" w:lineRule="auto"/>
              <w:rPr>
                <w:rFonts w:ascii="Times New Roman" w:hAnsi="Times New Roman" w:cs="Times New Roman"/>
                <w:b/>
              </w:rPr>
            </w:pPr>
          </w:p>
        </w:tc>
      </w:tr>
      <w:tr w:rsidR="00F30CA5" w:rsidRPr="005A4E5C" w:rsidTr="000F0298">
        <w:trPr>
          <w:gridAfter w:val="1"/>
          <w:wAfter w:w="18" w:type="dxa"/>
        </w:trPr>
        <w:tc>
          <w:tcPr>
            <w:tcW w:w="1985" w:type="dxa"/>
            <w:tcBorders>
              <w:top w:val="single" w:sz="18" w:space="0" w:color="404040" w:themeColor="text1" w:themeTint="BF"/>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340" w:dyaOrig="320">
                <v:shape id="_x0000_i1084" type="#_x0000_t75" style="width:17pt;height:17pt" o:ole="">
                  <v:imagedata r:id="rId126" o:title=""/>
                </v:shape>
                <o:OLEObject Type="Embed" ProgID="Equation.DSMT4" ShapeID="_x0000_i1084" DrawAspect="Content" ObjectID="_1585147742" r:id="rId127"/>
              </w:object>
            </w:r>
          </w:p>
        </w:tc>
        <w:tc>
          <w:tcPr>
            <w:tcW w:w="4252" w:type="dxa"/>
            <w:tcBorders>
              <w:top w:val="single" w:sz="18" w:space="0" w:color="404040" w:themeColor="text1" w:themeTint="BF"/>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Qty of inputs for a c-firm to set up the opportunity to produce</w:t>
            </w:r>
          </w:p>
        </w:tc>
        <w:tc>
          <w:tcPr>
            <w:tcW w:w="1255" w:type="dxa"/>
            <w:tcBorders>
              <w:top w:val="single" w:sz="18" w:space="0" w:color="404040" w:themeColor="text1" w:themeTint="BF"/>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X</w:t>
            </w:r>
          </w:p>
        </w:tc>
      </w:tr>
      <w:tr w:rsidR="00F30CA5" w:rsidRPr="005A4E5C" w:rsidTr="000F0298">
        <w:trPr>
          <w:gridAfter w:val="1"/>
          <w:wAfter w:w="18" w:type="dxa"/>
        </w:trPr>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700" w:dyaOrig="320">
                <v:shape id="_x0000_i1085" type="#_x0000_t75" style="width:35pt;height:17pt" o:ole="">
                  <v:imagedata r:id="rId128" o:title=""/>
                </v:shape>
                <o:OLEObject Type="Embed" ProgID="Equation.DSMT4" ShapeID="_x0000_i1085" DrawAspect="Content" ObjectID="_1585147743" r:id="rId129"/>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Productivity of minimum prod</w:t>
            </w:r>
            <w:r>
              <w:rPr>
                <w:rFonts w:ascii="Times New Roman" w:hAnsi="Times New Roman" w:cs="Times New Roman"/>
                <w:iCs/>
                <w:sz w:val="20"/>
                <w:szCs w:val="20"/>
                <w:lang w:val="en-AU"/>
              </w:rPr>
              <w:t>uctivi</w:t>
            </w:r>
            <w:r w:rsidRPr="006518CF">
              <w:rPr>
                <w:rFonts w:ascii="Times New Roman" w:hAnsi="Times New Roman" w:cs="Times New Roman"/>
                <w:iCs/>
                <w:sz w:val="20"/>
                <w:szCs w:val="20"/>
                <w:lang w:val="en-AU"/>
              </w:rPr>
              <w:t>ty c-firm on sd-link</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rPr>
          <w:gridAfter w:val="1"/>
          <w:wAfter w:w="18" w:type="dxa"/>
        </w:trPr>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700" w:dyaOrig="320">
                <v:shape id="_x0000_i1086" type="#_x0000_t75" style="width:35pt;height:17pt" o:ole="">
                  <v:imagedata r:id="rId130" o:title=""/>
                </v:shape>
                <o:OLEObject Type="Embed" ProgID="Equation.DSMT4" ShapeID="_x0000_i1086" DrawAspect="Content" ObjectID="_1585147744" r:id="rId131"/>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spacing w:after="0" w:line="240" w:lineRule="auto"/>
              <w:rPr>
                <w:rFonts w:ascii="Times New Roman" w:hAnsi="Times New Roman" w:cs="Times New Roman"/>
                <w:sz w:val="20"/>
                <w:szCs w:val="20"/>
              </w:rPr>
            </w:pPr>
            <w:r>
              <w:rPr>
                <w:rFonts w:ascii="Times New Roman" w:hAnsi="Times New Roman" w:cs="Times New Roman"/>
                <w:iCs/>
                <w:sz w:val="20"/>
                <w:szCs w:val="20"/>
                <w:lang w:val="en-AU"/>
              </w:rPr>
              <w:t>S</w:t>
            </w:r>
            <w:r w:rsidRPr="006518CF">
              <w:rPr>
                <w:rFonts w:ascii="Times New Roman" w:hAnsi="Times New Roman" w:cs="Times New Roman"/>
                <w:iCs/>
                <w:sz w:val="20"/>
                <w:szCs w:val="20"/>
                <w:lang w:val="en-AU"/>
              </w:rPr>
              <w:t xml:space="preserve">ales </w:t>
            </w:r>
            <w:r>
              <w:rPr>
                <w:rFonts w:ascii="Times New Roman" w:hAnsi="Times New Roman" w:cs="Times New Roman"/>
                <w:iCs/>
                <w:sz w:val="20"/>
                <w:szCs w:val="20"/>
                <w:lang w:val="en-AU"/>
              </w:rPr>
              <w:t xml:space="preserve">to d </w:t>
            </w:r>
            <w:r w:rsidRPr="006518CF">
              <w:rPr>
                <w:rFonts w:ascii="Times New Roman" w:hAnsi="Times New Roman" w:cs="Times New Roman"/>
                <w:iCs/>
                <w:sz w:val="20"/>
                <w:szCs w:val="20"/>
                <w:lang w:val="en-AU"/>
              </w:rPr>
              <w:t>of c-firm with min. prod</w:t>
            </w:r>
            <w:r>
              <w:rPr>
                <w:rFonts w:ascii="Times New Roman" w:hAnsi="Times New Roman" w:cs="Times New Roman"/>
                <w:iCs/>
                <w:sz w:val="20"/>
                <w:szCs w:val="20"/>
                <w:lang w:val="en-AU"/>
              </w:rPr>
              <w:t>uctivity</w:t>
            </w:r>
            <w:r w:rsidRPr="006518CF">
              <w:rPr>
                <w:rFonts w:ascii="Times New Roman" w:hAnsi="Times New Roman" w:cs="Times New Roman"/>
                <w:iCs/>
                <w:sz w:val="20"/>
                <w:szCs w:val="20"/>
                <w:lang w:val="en-AU"/>
              </w:rPr>
              <w:t xml:space="preserve"> on sd-link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rPr>
          <w:gridAfter w:val="1"/>
          <w:wAfter w:w="18" w:type="dxa"/>
        </w:trPr>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sidRPr="00D30423">
              <w:rPr>
                <w:rFonts w:ascii="Times New Roman" w:hAnsi="Times New Roman" w:cs="Times New Roman"/>
                <w:position w:val="-12"/>
                <w:sz w:val="20"/>
                <w:szCs w:val="20"/>
              </w:rPr>
              <w:object w:dxaOrig="440" w:dyaOrig="320">
                <v:shape id="_x0000_i1087" type="#_x0000_t75" style="width:22pt;height:17pt" o:ole="">
                  <v:imagedata r:id="rId132" o:title=""/>
                </v:shape>
                <o:OLEObject Type="Embed" ProgID="Equation.DSMT4" ShapeID="_x0000_i1087" DrawAspect="Content" ObjectID="_1585147745" r:id="rId133"/>
              </w:objec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tabs>
                <w:tab w:val="decimal" w:pos="546"/>
              </w:tabs>
              <w:spacing w:after="0" w:line="240" w:lineRule="auto"/>
              <w:rPr>
                <w:rFonts w:ascii="Times New Roman" w:hAnsi="Times New Roman" w:cs="Times New Roman"/>
                <w:sz w:val="20"/>
                <w:szCs w:val="20"/>
              </w:rPr>
            </w:pPr>
            <w:r>
              <w:rPr>
                <w:rFonts w:ascii="Times New Roman" w:hAnsi="Times New Roman" w:cs="Times New Roman"/>
                <w:iCs/>
                <w:sz w:val="20"/>
                <w:szCs w:val="20"/>
                <w:lang w:val="en-AU"/>
              </w:rPr>
              <w:t>S</w:t>
            </w:r>
            <w:r w:rsidRPr="006518CF">
              <w:rPr>
                <w:rFonts w:ascii="Times New Roman" w:hAnsi="Times New Roman" w:cs="Times New Roman"/>
                <w:iCs/>
                <w:sz w:val="20"/>
                <w:szCs w:val="20"/>
                <w:lang w:val="en-AU"/>
              </w:rPr>
              <w:t xml:space="preserve">ales </w:t>
            </w:r>
            <w:r>
              <w:rPr>
                <w:rFonts w:ascii="Times New Roman" w:hAnsi="Times New Roman" w:cs="Times New Roman"/>
                <w:iCs/>
                <w:sz w:val="20"/>
                <w:szCs w:val="20"/>
                <w:lang w:val="en-AU"/>
              </w:rPr>
              <w:t xml:space="preserve">to d </w:t>
            </w:r>
            <w:r w:rsidRPr="006518CF">
              <w:rPr>
                <w:rFonts w:ascii="Times New Roman" w:hAnsi="Times New Roman" w:cs="Times New Roman"/>
                <w:iCs/>
                <w:sz w:val="20"/>
                <w:szCs w:val="20"/>
                <w:lang w:val="en-AU"/>
              </w:rPr>
              <w:t xml:space="preserve">of c-firm with </w:t>
            </w:r>
            <w:r>
              <w:rPr>
                <w:rFonts w:ascii="Times New Roman" w:hAnsi="Times New Roman" w:cs="Times New Roman"/>
                <w:iCs/>
                <w:sz w:val="20"/>
                <w:szCs w:val="20"/>
                <w:lang w:val="en-AU"/>
              </w:rPr>
              <w:t>typical productivity</w:t>
            </w:r>
            <w:r w:rsidRPr="006518CF">
              <w:rPr>
                <w:rFonts w:ascii="Times New Roman" w:hAnsi="Times New Roman" w:cs="Times New Roman"/>
                <w:iCs/>
                <w:sz w:val="20"/>
                <w:szCs w:val="20"/>
                <w:lang w:val="en-AU"/>
              </w:rPr>
              <w:t xml:space="preserve"> on sd-link </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rPr>
          <w:gridAfter w:val="1"/>
          <w:wAfter w:w="18" w:type="dxa"/>
        </w:trPr>
        <w:tc>
          <w:tcPr>
            <w:tcW w:w="1985" w:type="dxa"/>
            <w:tcBorders>
              <w:top w:val="single" w:sz="4" w:space="0" w:color="595959" w:themeColor="text1" w:themeTint="A6"/>
              <w:left w:val="nil"/>
              <w:bottom w:val="single" w:sz="4"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i/>
                <w:iCs/>
                <w:sz w:val="20"/>
                <w:szCs w:val="20"/>
              </w:rPr>
            </w:pPr>
            <w:r w:rsidRPr="00D30423">
              <w:rPr>
                <w:rFonts w:ascii="Times New Roman" w:hAnsi="Times New Roman" w:cs="Times New Roman"/>
                <w:position w:val="-12"/>
                <w:sz w:val="20"/>
                <w:szCs w:val="20"/>
              </w:rPr>
              <w:object w:dxaOrig="440" w:dyaOrig="320">
                <v:shape id="_x0000_i1088" type="#_x0000_t75" style="width:22pt;height:17pt" o:ole="">
                  <v:imagedata r:id="rId134" o:title=""/>
                </v:shape>
                <o:OLEObject Type="Embed" ProgID="Equation.DSMT4" ShapeID="_x0000_i1088" DrawAspect="Content" ObjectID="_1585147746" r:id="rId135"/>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6518CF" w:rsidRDefault="00F30CA5" w:rsidP="009D6E29">
            <w:pPr>
              <w:spacing w:after="0" w:line="240" w:lineRule="auto"/>
              <w:rPr>
                <w:rFonts w:ascii="Times New Roman" w:hAnsi="Times New Roman" w:cs="Times New Roman"/>
                <w:sz w:val="20"/>
                <w:szCs w:val="20"/>
              </w:rPr>
            </w:pPr>
            <w:r w:rsidRPr="006518CF">
              <w:rPr>
                <w:rFonts w:ascii="Times New Roman" w:hAnsi="Times New Roman" w:cs="Times New Roman"/>
                <w:iCs/>
                <w:sz w:val="20"/>
                <w:szCs w:val="20"/>
                <w:lang w:val="en-AU"/>
              </w:rPr>
              <w:t xml:space="preserve">Productivity of </w:t>
            </w:r>
            <w:r>
              <w:rPr>
                <w:rFonts w:ascii="Times New Roman" w:hAnsi="Times New Roman" w:cs="Times New Roman"/>
                <w:iCs/>
                <w:sz w:val="20"/>
                <w:szCs w:val="20"/>
                <w:lang w:val="en-AU"/>
              </w:rPr>
              <w:t>typical</w:t>
            </w:r>
            <w:r w:rsidRPr="006518CF">
              <w:rPr>
                <w:rFonts w:ascii="Times New Roman" w:hAnsi="Times New Roman" w:cs="Times New Roman"/>
                <w:iCs/>
                <w:sz w:val="20"/>
                <w:szCs w:val="20"/>
                <w:lang w:val="en-AU"/>
              </w:rPr>
              <w:t xml:space="preserve"> prod</w:t>
            </w:r>
            <w:r>
              <w:rPr>
                <w:rFonts w:ascii="Times New Roman" w:hAnsi="Times New Roman" w:cs="Times New Roman"/>
                <w:iCs/>
                <w:sz w:val="20"/>
                <w:szCs w:val="20"/>
                <w:lang w:val="en-AU"/>
              </w:rPr>
              <w:t xml:space="preserve">uctivity </w:t>
            </w:r>
            <w:r w:rsidRPr="006518CF">
              <w:rPr>
                <w:rFonts w:ascii="Times New Roman" w:hAnsi="Times New Roman" w:cs="Times New Roman"/>
                <w:iCs/>
                <w:sz w:val="20"/>
                <w:szCs w:val="20"/>
                <w:lang w:val="en-AU"/>
              </w:rPr>
              <w:t>c-firm on sd-link</w:t>
            </w:r>
          </w:p>
        </w:tc>
        <w:tc>
          <w:tcPr>
            <w:tcW w:w="1255" w:type="dxa"/>
            <w:tcBorders>
              <w:top w:val="single" w:sz="4" w:space="0" w:color="595959" w:themeColor="text1" w:themeTint="A6"/>
              <w:left w:val="single" w:sz="18" w:space="0" w:color="595959" w:themeColor="text1" w:themeTint="A6"/>
              <w:bottom w:val="single" w:sz="4" w:space="0" w:color="595959" w:themeColor="text1" w:themeTint="A6"/>
              <w:right w:val="single" w:sz="18" w:space="0" w:color="595959" w:themeColor="text1" w:themeTint="A6"/>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c>
          <w:tcPr>
            <w:tcW w:w="1373" w:type="dxa"/>
            <w:tcBorders>
              <w:top w:val="single" w:sz="4" w:space="0" w:color="595959" w:themeColor="text1" w:themeTint="A6"/>
              <w:left w:val="single" w:sz="18" w:space="0" w:color="595959" w:themeColor="text1" w:themeTint="A6"/>
              <w:bottom w:val="single" w:sz="4" w:space="0" w:color="595959" w:themeColor="text1" w:themeTint="A6"/>
              <w:right w:val="nil"/>
            </w:tcBorders>
          </w:tcPr>
          <w:p w:rsidR="00F30CA5" w:rsidRPr="00D30423" w:rsidRDefault="00F30CA5" w:rsidP="009D6E29">
            <w:pPr>
              <w:tabs>
                <w:tab w:val="decimal" w:pos="546"/>
              </w:tabs>
              <w:spacing w:after="0" w:line="240" w:lineRule="auto"/>
              <w:rPr>
                <w:rFonts w:ascii="Times New Roman" w:hAnsi="Times New Roman" w:cs="Times New Roman"/>
                <w:sz w:val="20"/>
                <w:szCs w:val="20"/>
              </w:rPr>
            </w:pPr>
            <w:r w:rsidRPr="00D30423">
              <w:rPr>
                <w:rFonts w:ascii="Times New Roman" w:hAnsi="Times New Roman" w:cs="Times New Roman"/>
                <w:sz w:val="20"/>
                <w:szCs w:val="20"/>
              </w:rPr>
              <w:t>N</w:t>
            </w:r>
          </w:p>
        </w:tc>
      </w:tr>
      <w:tr w:rsidR="00F30CA5" w:rsidRPr="005A4E5C" w:rsidTr="000F0298">
        <w:trPr>
          <w:gridAfter w:val="1"/>
          <w:wAfter w:w="18" w:type="dxa"/>
        </w:trPr>
        <w:tc>
          <w:tcPr>
            <w:tcW w:w="1985" w:type="dxa"/>
            <w:tcBorders>
              <w:top w:val="single" w:sz="4" w:space="0" w:color="595959" w:themeColor="text1" w:themeTint="A6"/>
              <w:left w:val="nil"/>
              <w:bottom w:val="single" w:sz="18" w:space="0" w:color="595959" w:themeColor="text1" w:themeTint="A6"/>
              <w:right w:val="single" w:sz="18" w:space="0" w:color="595959" w:themeColor="text1" w:themeTint="A6"/>
            </w:tcBorders>
            <w:shd w:val="clear" w:color="auto" w:fill="FFFF00"/>
          </w:tcPr>
          <w:p w:rsidR="00F30CA5" w:rsidRPr="00D30423" w:rsidRDefault="00F30CA5" w:rsidP="009D6E29">
            <w:pPr>
              <w:spacing w:after="0" w:line="240" w:lineRule="auto"/>
              <w:rPr>
                <w:rFonts w:ascii="Times New Roman" w:hAnsi="Times New Roman" w:cs="Times New Roman"/>
                <w:color w:val="000000"/>
                <w:sz w:val="20"/>
                <w:szCs w:val="20"/>
              </w:rPr>
            </w:pPr>
            <w:r w:rsidRPr="00D30423">
              <w:rPr>
                <w:rFonts w:ascii="Times New Roman" w:hAnsi="Times New Roman" w:cs="Times New Roman"/>
                <w:position w:val="-12"/>
                <w:sz w:val="20"/>
                <w:szCs w:val="20"/>
              </w:rPr>
              <w:object w:dxaOrig="920" w:dyaOrig="320">
                <v:shape id="_x0000_i1089" type="#_x0000_t75" style="width:46pt;height:17pt" o:ole="">
                  <v:imagedata r:id="rId136" o:title=""/>
                </v:shape>
                <o:OLEObject Type="Embed" ProgID="Equation.DSMT4" ShapeID="_x0000_i1089" DrawAspect="Content" ObjectID="_1585147747" r:id="rId137"/>
              </w:object>
            </w:r>
            <w:r w:rsidRPr="00D30423">
              <w:rPr>
                <w:rFonts w:ascii="Times New Roman" w:hAnsi="Times New Roman" w:cs="Times New Roman"/>
                <w:sz w:val="20"/>
                <w:szCs w:val="20"/>
              </w:rPr>
              <w:t xml:space="preserve"> </w:t>
            </w:r>
          </w:p>
        </w:tc>
        <w:tc>
          <w:tcPr>
            <w:tcW w:w="4252"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shd w:val="clear" w:color="auto" w:fill="FFFF00"/>
          </w:tcPr>
          <w:p w:rsidR="00F30CA5" w:rsidRPr="006518CF" w:rsidRDefault="00F30CA5" w:rsidP="009D6E29">
            <w:pPr>
              <w:tabs>
                <w:tab w:val="decimal" w:pos="546"/>
              </w:tabs>
              <w:spacing w:after="0" w:line="240" w:lineRule="auto"/>
              <w:rPr>
                <w:rFonts w:ascii="Times New Roman" w:hAnsi="Times New Roman" w:cs="Times New Roman"/>
                <w:sz w:val="20"/>
                <w:szCs w:val="20"/>
                <w:highlight w:val="yellow"/>
              </w:rPr>
            </w:pPr>
            <w:r w:rsidRPr="006518CF">
              <w:rPr>
                <w:rFonts w:ascii="Times New Roman" w:hAnsi="Times New Roman" w:cs="Times New Roman"/>
                <w:iCs/>
                <w:sz w:val="20"/>
                <w:szCs w:val="20"/>
                <w:highlight w:val="yellow"/>
                <w:lang w:val="en-AU"/>
              </w:rPr>
              <w:t>Rev from dest-specific factory-door tax on c-firms in s</w:t>
            </w:r>
          </w:p>
        </w:tc>
        <w:tc>
          <w:tcPr>
            <w:tcW w:w="1255" w:type="dxa"/>
            <w:tcBorders>
              <w:top w:val="single" w:sz="4"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highlight w:val="yellow"/>
              </w:rPr>
            </w:pPr>
            <w:r w:rsidRPr="00D30423">
              <w:rPr>
                <w:rFonts w:ascii="Times New Roman" w:hAnsi="Times New Roman" w:cs="Times New Roman"/>
                <w:sz w:val="20"/>
                <w:szCs w:val="20"/>
                <w:highlight w:val="yellow"/>
              </w:rPr>
              <w:t>N</w:t>
            </w:r>
          </w:p>
        </w:tc>
        <w:tc>
          <w:tcPr>
            <w:tcW w:w="1373" w:type="dxa"/>
            <w:tcBorders>
              <w:top w:val="single" w:sz="4" w:space="0" w:color="595959" w:themeColor="text1" w:themeTint="A6"/>
              <w:left w:val="single" w:sz="18" w:space="0" w:color="595959" w:themeColor="text1" w:themeTint="A6"/>
              <w:bottom w:val="single" w:sz="18" w:space="0" w:color="595959" w:themeColor="text1" w:themeTint="A6"/>
              <w:right w:val="nil"/>
            </w:tcBorders>
            <w:shd w:val="clear" w:color="auto" w:fill="FFFF00"/>
          </w:tcPr>
          <w:p w:rsidR="00F30CA5" w:rsidRPr="00D30423" w:rsidRDefault="00F30CA5" w:rsidP="009D6E29">
            <w:pPr>
              <w:tabs>
                <w:tab w:val="decimal" w:pos="546"/>
              </w:tabs>
              <w:spacing w:after="0" w:line="240" w:lineRule="auto"/>
              <w:rPr>
                <w:rFonts w:ascii="Times New Roman" w:hAnsi="Times New Roman" w:cs="Times New Roman"/>
                <w:sz w:val="20"/>
                <w:szCs w:val="20"/>
                <w:highlight w:val="yellow"/>
              </w:rPr>
            </w:pPr>
            <w:r w:rsidRPr="00D30423">
              <w:rPr>
                <w:rFonts w:ascii="Times New Roman" w:hAnsi="Times New Roman" w:cs="Times New Roman"/>
                <w:sz w:val="20"/>
                <w:szCs w:val="20"/>
                <w:highlight w:val="yellow"/>
              </w:rPr>
              <w:t>X</w:t>
            </w:r>
          </w:p>
        </w:tc>
      </w:tr>
      <w:tr w:rsidR="00F30CA5" w:rsidRPr="00D33798" w:rsidTr="000F0298">
        <w:trPr>
          <w:gridAfter w:val="1"/>
          <w:wAfter w:w="18" w:type="dxa"/>
        </w:trPr>
        <w:tc>
          <w:tcPr>
            <w:tcW w:w="6237" w:type="dxa"/>
            <w:gridSpan w:val="2"/>
            <w:tcBorders>
              <w:top w:val="single" w:sz="18" w:space="0" w:color="595959" w:themeColor="text1" w:themeTint="A6"/>
              <w:left w:val="nil"/>
              <w:bottom w:val="single" w:sz="18" w:space="0" w:color="595959" w:themeColor="text1" w:themeTint="A6"/>
              <w:right w:val="single" w:sz="18" w:space="0" w:color="595959" w:themeColor="text1" w:themeTint="A6"/>
            </w:tcBorders>
          </w:tcPr>
          <w:p w:rsidR="00F30CA5" w:rsidRPr="00D33798" w:rsidRDefault="00F30CA5" w:rsidP="009D6E29">
            <w:pPr>
              <w:tabs>
                <w:tab w:val="decimal" w:pos="546"/>
              </w:tabs>
              <w:spacing w:after="0" w:line="240" w:lineRule="auto"/>
              <w:rPr>
                <w:rFonts w:ascii="Times New Roman" w:hAnsi="Times New Roman" w:cs="Times New Roman"/>
                <w:b/>
                <w:i/>
                <w:iCs/>
                <w:sz w:val="20"/>
                <w:szCs w:val="20"/>
                <w:highlight w:val="yellow"/>
                <w:lang w:val="en-AU"/>
              </w:rPr>
            </w:pPr>
            <w:r w:rsidRPr="00D33798">
              <w:rPr>
                <w:rFonts w:ascii="Times New Roman" w:hAnsi="Times New Roman" w:cs="Times New Roman"/>
                <w:b/>
                <w:i/>
                <w:sz w:val="20"/>
                <w:szCs w:val="20"/>
              </w:rPr>
              <w:t>Other notation:</w:t>
            </w:r>
            <w:r>
              <w:rPr>
                <w:rFonts w:ascii="Times New Roman" w:hAnsi="Times New Roman" w:cs="Times New Roman"/>
                <w:b/>
                <w:i/>
                <w:sz w:val="20"/>
                <w:szCs w:val="20"/>
              </w:rPr>
              <w:t xml:space="preserve"> parameters and coefficients in levels </w:t>
            </w:r>
            <w:r w:rsidRPr="00D33798">
              <w:rPr>
                <w:rFonts w:ascii="Times New Roman" w:hAnsi="Times New Roman" w:cs="Times New Roman"/>
                <w:b/>
                <w:i/>
                <w:sz w:val="20"/>
                <w:szCs w:val="20"/>
              </w:rPr>
              <w:t xml:space="preserve"> </w:t>
            </w:r>
          </w:p>
        </w:tc>
        <w:tc>
          <w:tcPr>
            <w:tcW w:w="1255"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shd w:val="clear" w:color="auto" w:fill="auto"/>
          </w:tcPr>
          <w:p w:rsidR="00F30CA5" w:rsidRPr="00D33798" w:rsidRDefault="00F30CA5" w:rsidP="009D6E29">
            <w:pPr>
              <w:tabs>
                <w:tab w:val="decimal" w:pos="546"/>
              </w:tabs>
              <w:spacing w:after="0" w:line="240" w:lineRule="auto"/>
              <w:rPr>
                <w:rFonts w:ascii="Times New Roman" w:hAnsi="Times New Roman" w:cs="Times New Roman"/>
                <w:b/>
                <w:i/>
                <w:sz w:val="20"/>
                <w:szCs w:val="20"/>
                <w:highlight w:val="yellow"/>
              </w:rPr>
            </w:pPr>
          </w:p>
        </w:tc>
        <w:tc>
          <w:tcPr>
            <w:tcW w:w="1373" w:type="dxa"/>
            <w:tcBorders>
              <w:top w:val="single" w:sz="18" w:space="0" w:color="595959" w:themeColor="text1" w:themeTint="A6"/>
              <w:left w:val="single" w:sz="18" w:space="0" w:color="595959" w:themeColor="text1" w:themeTint="A6"/>
              <w:bottom w:val="single" w:sz="18" w:space="0" w:color="595959" w:themeColor="text1" w:themeTint="A6"/>
              <w:right w:val="nil"/>
            </w:tcBorders>
            <w:shd w:val="clear" w:color="auto" w:fill="auto"/>
          </w:tcPr>
          <w:p w:rsidR="00F30CA5" w:rsidRPr="00D33798" w:rsidRDefault="00F30CA5" w:rsidP="009D6E29">
            <w:pPr>
              <w:tabs>
                <w:tab w:val="decimal" w:pos="546"/>
              </w:tabs>
              <w:spacing w:after="0" w:line="240" w:lineRule="auto"/>
              <w:rPr>
                <w:rFonts w:ascii="Times New Roman" w:hAnsi="Times New Roman" w:cs="Times New Roman"/>
                <w:b/>
                <w:i/>
                <w:sz w:val="20"/>
                <w:szCs w:val="20"/>
                <w:highlight w:val="yellow"/>
              </w:rPr>
            </w:pPr>
          </w:p>
        </w:tc>
      </w:tr>
      <w:tr w:rsidR="00F30CA5" w:rsidRPr="005A4E5C" w:rsidTr="000F0298">
        <w:tc>
          <w:tcPr>
            <w:tcW w:w="1985" w:type="dxa"/>
            <w:tcBorders>
              <w:top w:val="single" w:sz="18" w:space="0" w:color="595959" w:themeColor="text1" w:themeTint="A6"/>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sym w:font="Symbol" w:char="F073"/>
            </w:r>
          </w:p>
        </w:tc>
        <w:tc>
          <w:tcPr>
            <w:tcW w:w="6898" w:type="dxa"/>
            <w:gridSpan w:val="4"/>
            <w:tcBorders>
              <w:top w:val="single" w:sz="18" w:space="0" w:color="595959" w:themeColor="text1" w:themeTint="A6"/>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Substitution elasticity</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sym w:font="Symbol" w:char="F061"/>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Parameter in Pareto distribution of firm productivities</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SHA(s,d,c)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Share of d's purchases of c that is sourced from s</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LTOT</w:t>
            </w:r>
            <w:r>
              <w:rPr>
                <w:rFonts w:ascii="Times New Roman" w:hAnsi="Times New Roman" w:cs="Times New Roman"/>
                <w:vertAlign w:val="subscript"/>
              </w:rPr>
              <w:t>s</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Aggregate employment in region s</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L</w:t>
            </w:r>
            <w:r>
              <w:rPr>
                <w:rFonts w:ascii="Times New Roman" w:hAnsi="Times New Roman" w:cs="Times New Roman"/>
                <w:vertAlign w:val="subscript"/>
              </w:rPr>
              <w:t>s,c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Quantity of labor used in industry c, country s</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FACTORYV(s,d,c)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Factory value of commodity c sent from s to d</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GDP(d)</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Nominal GDP in region d</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TM</w:t>
            </w:r>
            <w:r>
              <w:rPr>
                <w:rFonts w:ascii="Times New Roman" w:hAnsi="Times New Roman" w:cs="Times New Roman"/>
                <w:vertAlign w:val="subscript"/>
              </w:rPr>
              <w:t>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 xml:space="preserve">Power </w:t>
            </w:r>
            <w:r>
              <w:rPr>
                <w:rFonts w:ascii="Times New Roman" w:hAnsi="Times New Roman" w:cs="Times New Roman"/>
                <w:iCs/>
                <w:sz w:val="20"/>
                <w:szCs w:val="20"/>
                <w:lang w:val="en-AU"/>
              </w:rPr>
              <w:t xml:space="preserve">of </w:t>
            </w:r>
            <w:r w:rsidRPr="002A2147">
              <w:rPr>
                <w:rFonts w:ascii="Times New Roman" w:hAnsi="Times New Roman" w:cs="Times New Roman"/>
                <w:iCs/>
                <w:sz w:val="20"/>
                <w:szCs w:val="20"/>
                <w:lang w:val="en-AU"/>
              </w:rPr>
              <w:t>tariff imposed by d on cif flow of c from s</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VCIF(s,d,c)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Cif value of c sent from s to d</w:t>
            </w:r>
          </w:p>
        </w:tc>
      </w:tr>
      <w:tr w:rsidR="00F30CA5" w:rsidRPr="005A4E5C" w:rsidTr="000F0298">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TX</w:t>
            </w:r>
            <w:r>
              <w:rPr>
                <w:rFonts w:ascii="Times New Roman" w:hAnsi="Times New Roman" w:cs="Times New Roman"/>
                <w:vertAlign w:val="subscript"/>
              </w:rPr>
              <w:t>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 xml:space="preserve">Power </w:t>
            </w:r>
            <w:r>
              <w:rPr>
                <w:rFonts w:ascii="Times New Roman" w:hAnsi="Times New Roman" w:cs="Times New Roman"/>
                <w:iCs/>
                <w:sz w:val="20"/>
                <w:szCs w:val="20"/>
                <w:lang w:val="en-AU"/>
              </w:rPr>
              <w:t xml:space="preserve">of </w:t>
            </w:r>
            <w:r w:rsidRPr="002A2147">
              <w:rPr>
                <w:rFonts w:ascii="Times New Roman" w:hAnsi="Times New Roman" w:cs="Times New Roman"/>
                <w:iCs/>
                <w:sz w:val="20"/>
                <w:szCs w:val="20"/>
                <w:lang w:val="en-AU"/>
              </w:rPr>
              <w:t>factory-door tax imposed by s on flow of c to d</w:t>
            </w:r>
          </w:p>
        </w:tc>
      </w:tr>
      <w:tr w:rsidR="00F30CA5" w:rsidRPr="005A4E5C" w:rsidTr="000F0298">
        <w:trPr>
          <w:trHeight w:val="205"/>
        </w:trPr>
        <w:tc>
          <w:tcPr>
            <w:tcW w:w="1985" w:type="dxa"/>
            <w:tcBorders>
              <w:top w:val="nil"/>
              <w:left w:val="nil"/>
              <w:bottom w:val="nil"/>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r>
              <w:rPr>
                <w:rFonts w:ascii="Times New Roman" w:hAnsi="Times New Roman" w:cs="Times New Roman"/>
              </w:rPr>
              <w:t>MARKETV(s,d,c)</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Market value of c flowing from s to d</w:t>
            </w:r>
          </w:p>
        </w:tc>
      </w:tr>
      <w:tr w:rsidR="00F30CA5" w:rsidRPr="005A4E5C" w:rsidTr="000F0298">
        <w:tc>
          <w:tcPr>
            <w:tcW w:w="1985" w:type="dxa"/>
            <w:tcBorders>
              <w:top w:val="nil"/>
              <w:left w:val="nil"/>
              <w:bottom w:val="nil"/>
              <w:right w:val="single" w:sz="18" w:space="0" w:color="595959" w:themeColor="text1" w:themeTint="A6"/>
            </w:tcBorders>
          </w:tcPr>
          <w:p w:rsidR="00F30CA5" w:rsidRPr="00690478" w:rsidRDefault="00F30CA5" w:rsidP="009D6E29">
            <w:pPr>
              <w:spacing w:after="0" w:line="240" w:lineRule="auto"/>
              <w:rPr>
                <w:rFonts w:ascii="Times New Roman" w:hAnsi="Times New Roman" w:cs="Times New Roman"/>
                <w:sz w:val="20"/>
                <w:szCs w:val="20"/>
                <w:vertAlign w:val="subscript"/>
              </w:rPr>
            </w:pPr>
            <w:r>
              <w:rPr>
                <w:rFonts w:ascii="Times New Roman" w:hAnsi="Times New Roman" w:cs="Times New Roman"/>
              </w:rPr>
              <w:t>W</w:t>
            </w:r>
            <w:r>
              <w:rPr>
                <w:rFonts w:ascii="Times New Roman" w:hAnsi="Times New Roman" w:cs="Times New Roman"/>
                <w:vertAlign w:val="subscript"/>
              </w:rPr>
              <w:t>s</w:t>
            </w:r>
          </w:p>
        </w:tc>
        <w:tc>
          <w:tcPr>
            <w:tcW w:w="6898" w:type="dxa"/>
            <w:gridSpan w:val="4"/>
            <w:tcBorders>
              <w:top w:val="nil"/>
              <w:left w:val="single" w:sz="18" w:space="0" w:color="595959" w:themeColor="text1" w:themeTint="A6"/>
              <w:bottom w:val="nil"/>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r w:rsidRPr="002A2147">
              <w:rPr>
                <w:rFonts w:ascii="Times New Roman" w:hAnsi="Times New Roman" w:cs="Times New Roman"/>
                <w:iCs/>
                <w:sz w:val="20"/>
                <w:szCs w:val="20"/>
                <w:lang w:val="en-AU"/>
              </w:rPr>
              <w:t>Wage rate in country s</w:t>
            </w:r>
          </w:p>
        </w:tc>
      </w:tr>
      <w:tr w:rsidR="00F30CA5" w:rsidRPr="005A4E5C" w:rsidTr="000F0298">
        <w:tc>
          <w:tcPr>
            <w:tcW w:w="1985" w:type="dxa"/>
            <w:tcBorders>
              <w:top w:val="nil"/>
              <w:left w:val="nil"/>
              <w:bottom w:val="single" w:sz="18" w:space="0" w:color="595959" w:themeColor="text1" w:themeTint="A6"/>
              <w:right w:val="single" w:sz="18" w:space="0" w:color="595959" w:themeColor="text1" w:themeTint="A6"/>
            </w:tcBorders>
          </w:tcPr>
          <w:p w:rsidR="00F30CA5" w:rsidRPr="00D30423" w:rsidRDefault="00F30CA5" w:rsidP="009D6E29">
            <w:pPr>
              <w:spacing w:after="0" w:line="240" w:lineRule="auto"/>
              <w:rPr>
                <w:rFonts w:ascii="Times New Roman" w:hAnsi="Times New Roman" w:cs="Times New Roman"/>
                <w:sz w:val="20"/>
                <w:szCs w:val="20"/>
              </w:rPr>
            </w:pPr>
          </w:p>
        </w:tc>
        <w:tc>
          <w:tcPr>
            <w:tcW w:w="6898" w:type="dxa"/>
            <w:gridSpan w:val="4"/>
            <w:tcBorders>
              <w:top w:val="nil"/>
              <w:left w:val="single" w:sz="18" w:space="0" w:color="595959" w:themeColor="text1" w:themeTint="A6"/>
              <w:bottom w:val="single" w:sz="18" w:space="0" w:color="595959" w:themeColor="text1" w:themeTint="A6"/>
              <w:right w:val="nil"/>
            </w:tcBorders>
            <w:shd w:val="clear" w:color="auto" w:fill="auto"/>
          </w:tcPr>
          <w:p w:rsidR="00F30CA5" w:rsidRPr="002A2147" w:rsidRDefault="00F30CA5" w:rsidP="009D6E29">
            <w:pPr>
              <w:tabs>
                <w:tab w:val="decimal" w:pos="546"/>
              </w:tabs>
              <w:spacing w:after="0" w:line="240" w:lineRule="auto"/>
              <w:rPr>
                <w:rFonts w:ascii="Times New Roman" w:hAnsi="Times New Roman" w:cs="Times New Roman"/>
                <w:sz w:val="20"/>
                <w:szCs w:val="20"/>
              </w:rPr>
            </w:pPr>
          </w:p>
        </w:tc>
      </w:tr>
    </w:tbl>
    <w:p w:rsidR="00F30CA5" w:rsidRDefault="00F30CA5" w:rsidP="00F30CA5">
      <w:pPr>
        <w:spacing w:before="120" w:after="0" w:line="240" w:lineRule="auto"/>
        <w:rPr>
          <w:rFonts w:ascii="Times New Roman" w:hAnsi="Times New Roman" w:cs="Times New Roman"/>
        </w:rPr>
      </w:pPr>
    </w:p>
    <w:p w:rsidR="00F30CA5" w:rsidRDefault="00F30CA5" w:rsidP="00F30CA5">
      <w:pPr>
        <w:spacing w:before="120" w:after="0" w:line="240" w:lineRule="auto"/>
        <w:rPr>
          <w:rFonts w:ascii="Times New Roman" w:hAnsi="Times New Roman" w:cs="Times New Roman"/>
        </w:rPr>
      </w:pPr>
    </w:p>
    <w:p w:rsidR="00A14BB6" w:rsidRDefault="009B0ED3" w:rsidP="00586BCF">
      <w:pPr>
        <w:spacing w:after="0"/>
        <w:jc w:val="both"/>
        <w:rPr>
          <w:rFonts w:ascii="Times New Roman" w:hAnsi="Times New Roman" w:cs="Times New Roman"/>
          <w:sz w:val="24"/>
          <w:szCs w:val="24"/>
        </w:rPr>
      </w:pPr>
      <w:r>
        <w:rPr>
          <w:rFonts w:ascii="Times New Roman" w:hAnsi="Times New Roman" w:cs="Times New Roman"/>
          <w:sz w:val="24"/>
          <w:szCs w:val="24"/>
        </w:rPr>
        <w:t>concepts, QCOUNT</w:t>
      </w:r>
      <w:r>
        <w:rPr>
          <w:rFonts w:ascii="Times New Roman" w:hAnsi="Times New Roman" w:cs="Times New Roman"/>
          <w:sz w:val="24"/>
          <w:szCs w:val="24"/>
          <w:vertAlign w:val="subscript"/>
        </w:rPr>
        <w:t>sd,c</w:t>
      </w:r>
      <w:r>
        <w:rPr>
          <w:rFonts w:ascii="Times New Roman" w:hAnsi="Times New Roman" w:cs="Times New Roman"/>
          <w:sz w:val="24"/>
          <w:szCs w:val="24"/>
        </w:rPr>
        <w:t xml:space="preserve"> and Q</w:t>
      </w:r>
      <w:r>
        <w:rPr>
          <w:rFonts w:ascii="Times New Roman" w:hAnsi="Times New Roman" w:cs="Times New Roman"/>
          <w:sz w:val="24"/>
          <w:szCs w:val="24"/>
          <w:vertAlign w:val="subscript"/>
        </w:rPr>
        <w:t>sd,c</w:t>
      </w:r>
      <w:r>
        <w:rPr>
          <w:rFonts w:ascii="Times New Roman" w:hAnsi="Times New Roman" w:cs="Times New Roman"/>
          <w:sz w:val="24"/>
          <w:szCs w:val="24"/>
        </w:rPr>
        <w:t>,</w:t>
      </w:r>
      <w:r w:rsidRPr="00061A77">
        <w:rPr>
          <w:rFonts w:ascii="Times New Roman" w:hAnsi="Times New Roman" w:cs="Times New Roman"/>
          <w:sz w:val="24"/>
          <w:szCs w:val="24"/>
        </w:rPr>
        <w:t xml:space="preserve"> </w:t>
      </w:r>
      <w:r w:rsidR="00A14BB6">
        <w:rPr>
          <w:rFonts w:ascii="Times New Roman" w:hAnsi="Times New Roman" w:cs="Times New Roman"/>
          <w:sz w:val="24"/>
          <w:szCs w:val="24"/>
        </w:rPr>
        <w:t xml:space="preserve">are related </w:t>
      </w:r>
      <w:r>
        <w:rPr>
          <w:rFonts w:ascii="Times New Roman" w:hAnsi="Times New Roman" w:cs="Times New Roman"/>
          <w:sz w:val="24"/>
          <w:szCs w:val="24"/>
        </w:rPr>
        <w:t xml:space="preserve">in (7.3) </w:t>
      </w:r>
      <w:r w:rsidR="00A14BB6">
        <w:rPr>
          <w:rFonts w:ascii="Times New Roman" w:hAnsi="Times New Roman" w:cs="Times New Roman"/>
          <w:sz w:val="24"/>
          <w:szCs w:val="24"/>
        </w:rPr>
        <w:t>by AAMel</w:t>
      </w:r>
      <w:r w:rsidR="00A14BB6">
        <w:rPr>
          <w:rFonts w:ascii="Times New Roman" w:hAnsi="Times New Roman" w:cs="Times New Roman"/>
          <w:sz w:val="24"/>
          <w:szCs w:val="24"/>
          <w:vertAlign w:val="subscript"/>
        </w:rPr>
        <w:t>sd,c</w:t>
      </w:r>
      <w:r w:rsidR="00A14BB6">
        <w:rPr>
          <w:rFonts w:ascii="Times New Roman" w:hAnsi="Times New Roman" w:cs="Times New Roman"/>
          <w:sz w:val="24"/>
          <w:szCs w:val="24"/>
        </w:rPr>
        <w:t xml:space="preserve">.  </w:t>
      </w:r>
      <w:r w:rsidR="00C62CF1">
        <w:rPr>
          <w:rFonts w:ascii="Times New Roman" w:hAnsi="Times New Roman" w:cs="Times New Roman"/>
          <w:sz w:val="24"/>
          <w:szCs w:val="24"/>
        </w:rPr>
        <w:t xml:space="preserve">This is </w:t>
      </w:r>
      <w:r w:rsidR="00A14BB6" w:rsidRPr="00061A77">
        <w:rPr>
          <w:rFonts w:ascii="Times New Roman" w:hAnsi="Times New Roman" w:cs="Times New Roman"/>
          <w:sz w:val="24"/>
          <w:szCs w:val="24"/>
        </w:rPr>
        <w:t>a taste change variable</w:t>
      </w:r>
      <w:r w:rsidR="00C62CF1">
        <w:rPr>
          <w:rFonts w:ascii="Times New Roman" w:hAnsi="Times New Roman" w:cs="Times New Roman"/>
          <w:sz w:val="24"/>
          <w:szCs w:val="24"/>
        </w:rPr>
        <w:t>.</w:t>
      </w:r>
      <w:r w:rsidR="00A14BB6" w:rsidRPr="00061A77">
        <w:rPr>
          <w:rFonts w:ascii="Times New Roman" w:hAnsi="Times New Roman" w:cs="Times New Roman"/>
          <w:sz w:val="24"/>
          <w:szCs w:val="24"/>
        </w:rPr>
        <w:t xml:space="preserve">  A</w:t>
      </w:r>
      <w:r w:rsidR="00A14BB6">
        <w:rPr>
          <w:rFonts w:ascii="Times New Roman" w:hAnsi="Times New Roman" w:cs="Times New Roman"/>
          <w:sz w:val="24"/>
          <w:szCs w:val="24"/>
        </w:rPr>
        <w:t>n</w:t>
      </w:r>
      <w:r w:rsidR="00A14BB6" w:rsidRPr="00061A77">
        <w:rPr>
          <w:rFonts w:ascii="Times New Roman" w:hAnsi="Times New Roman" w:cs="Times New Roman"/>
          <w:sz w:val="24"/>
          <w:szCs w:val="24"/>
        </w:rPr>
        <w:t xml:space="preserve"> </w:t>
      </w:r>
      <w:r w:rsidR="00A14BB6">
        <w:rPr>
          <w:rFonts w:ascii="Times New Roman" w:hAnsi="Times New Roman" w:cs="Times New Roman"/>
          <w:sz w:val="24"/>
          <w:szCs w:val="24"/>
        </w:rPr>
        <w:t>in</w:t>
      </w:r>
      <w:r w:rsidR="00A14BB6" w:rsidRPr="00061A77">
        <w:rPr>
          <w:rFonts w:ascii="Times New Roman" w:hAnsi="Times New Roman" w:cs="Times New Roman"/>
          <w:sz w:val="24"/>
          <w:szCs w:val="24"/>
        </w:rPr>
        <w:t>crease in A</w:t>
      </w:r>
      <w:r w:rsidR="00A14BB6">
        <w:rPr>
          <w:rFonts w:ascii="Times New Roman" w:hAnsi="Times New Roman" w:cs="Times New Roman"/>
          <w:sz w:val="24"/>
          <w:szCs w:val="24"/>
        </w:rPr>
        <w:t>AMEL</w:t>
      </w:r>
      <w:r w:rsidR="00C62CF1">
        <w:rPr>
          <w:rFonts w:ascii="Times New Roman" w:hAnsi="Times New Roman" w:cs="Times New Roman"/>
          <w:sz w:val="24"/>
          <w:szCs w:val="24"/>
          <w:vertAlign w:val="subscript"/>
        </w:rPr>
        <w:t>sd,c</w:t>
      </w:r>
      <w:r w:rsidR="00C62CF1">
        <w:rPr>
          <w:rFonts w:ascii="Times New Roman" w:hAnsi="Times New Roman" w:cs="Times New Roman"/>
          <w:sz w:val="24"/>
          <w:szCs w:val="24"/>
        </w:rPr>
        <w:t xml:space="preserve"> </w:t>
      </w:r>
      <w:r w:rsidR="00A14BB6" w:rsidRPr="00061A77">
        <w:rPr>
          <w:rFonts w:ascii="Times New Roman" w:hAnsi="Times New Roman" w:cs="Times New Roman"/>
          <w:sz w:val="24"/>
          <w:szCs w:val="24"/>
        </w:rPr>
        <w:t xml:space="preserve">means that household d is able to meet a given requirement for c </w:t>
      </w:r>
      <w:r w:rsidR="00C62CF1">
        <w:rPr>
          <w:rFonts w:ascii="Times New Roman" w:hAnsi="Times New Roman" w:cs="Times New Roman"/>
          <w:sz w:val="24"/>
          <w:szCs w:val="24"/>
        </w:rPr>
        <w:t>(Q</w:t>
      </w:r>
      <w:r w:rsidR="00C62CF1">
        <w:rPr>
          <w:rFonts w:ascii="Times New Roman" w:hAnsi="Times New Roman" w:cs="Times New Roman"/>
          <w:sz w:val="24"/>
          <w:szCs w:val="24"/>
          <w:vertAlign w:val="subscript"/>
        </w:rPr>
        <w:t>d,c</w:t>
      </w:r>
      <w:r w:rsidR="00C62CF1">
        <w:rPr>
          <w:rFonts w:ascii="Times New Roman" w:hAnsi="Times New Roman" w:cs="Times New Roman"/>
          <w:sz w:val="24"/>
          <w:szCs w:val="24"/>
        </w:rPr>
        <w:t xml:space="preserve">) </w:t>
      </w:r>
      <w:r w:rsidR="00A14BB6" w:rsidRPr="00061A77">
        <w:rPr>
          <w:rFonts w:ascii="Times New Roman" w:hAnsi="Times New Roman" w:cs="Times New Roman"/>
          <w:sz w:val="24"/>
          <w:szCs w:val="24"/>
        </w:rPr>
        <w:t xml:space="preserve">with less purchases of c from </w:t>
      </w:r>
      <w:r w:rsidR="00C62CF1">
        <w:rPr>
          <w:rFonts w:ascii="Times New Roman" w:hAnsi="Times New Roman" w:cs="Times New Roman"/>
          <w:sz w:val="24"/>
          <w:szCs w:val="24"/>
        </w:rPr>
        <w:t>s</w:t>
      </w:r>
      <w:r w:rsidR="00A14BB6" w:rsidRPr="00061A77">
        <w:rPr>
          <w:rFonts w:ascii="Times New Roman" w:hAnsi="Times New Roman" w:cs="Times New Roman"/>
          <w:sz w:val="24"/>
          <w:szCs w:val="24"/>
        </w:rPr>
        <w:t xml:space="preserve"> </w:t>
      </w:r>
      <w:r w:rsidR="00C62CF1">
        <w:rPr>
          <w:rFonts w:ascii="Times New Roman" w:hAnsi="Times New Roman" w:cs="Times New Roman"/>
          <w:sz w:val="24"/>
          <w:szCs w:val="24"/>
        </w:rPr>
        <w:t>(a lower value for QCOUNT</w:t>
      </w:r>
      <w:r w:rsidR="00C62CF1">
        <w:rPr>
          <w:rFonts w:ascii="Times New Roman" w:hAnsi="Times New Roman" w:cs="Times New Roman"/>
          <w:sz w:val="24"/>
          <w:szCs w:val="24"/>
          <w:vertAlign w:val="subscript"/>
        </w:rPr>
        <w:t>sd.c</w:t>
      </w:r>
      <w:r w:rsidR="00C62CF1">
        <w:rPr>
          <w:rFonts w:ascii="Times New Roman" w:hAnsi="Times New Roman" w:cs="Times New Roman"/>
          <w:sz w:val="24"/>
          <w:szCs w:val="24"/>
        </w:rPr>
        <w:t xml:space="preserve"> but the original value for Q</w:t>
      </w:r>
      <w:r w:rsidR="00C62CF1">
        <w:rPr>
          <w:rFonts w:ascii="Times New Roman" w:hAnsi="Times New Roman" w:cs="Times New Roman"/>
          <w:sz w:val="24"/>
          <w:szCs w:val="24"/>
          <w:vertAlign w:val="subscript"/>
        </w:rPr>
        <w:t>sd,c</w:t>
      </w:r>
      <w:r w:rsidR="00C62CF1">
        <w:rPr>
          <w:rFonts w:ascii="Times New Roman" w:hAnsi="Times New Roman" w:cs="Times New Roman"/>
          <w:sz w:val="24"/>
          <w:szCs w:val="24"/>
        </w:rPr>
        <w:t xml:space="preserve">) </w:t>
      </w:r>
      <w:r w:rsidR="00A14BB6" w:rsidRPr="00061A77">
        <w:rPr>
          <w:rFonts w:ascii="Times New Roman" w:hAnsi="Times New Roman" w:cs="Times New Roman"/>
          <w:sz w:val="24"/>
          <w:szCs w:val="24"/>
        </w:rPr>
        <w:t>while holding constant purchases of c from all other sources.  That is, a</w:t>
      </w:r>
      <w:r w:rsidR="00A14BB6">
        <w:rPr>
          <w:rFonts w:ascii="Times New Roman" w:hAnsi="Times New Roman" w:cs="Times New Roman"/>
          <w:sz w:val="24"/>
          <w:szCs w:val="24"/>
        </w:rPr>
        <w:t>n</w:t>
      </w:r>
      <w:r w:rsidR="00A14BB6" w:rsidRPr="00061A77">
        <w:rPr>
          <w:rFonts w:ascii="Times New Roman" w:hAnsi="Times New Roman" w:cs="Times New Roman"/>
          <w:sz w:val="24"/>
          <w:szCs w:val="24"/>
        </w:rPr>
        <w:t xml:space="preserve"> </w:t>
      </w:r>
      <w:r w:rsidR="00A14BB6">
        <w:rPr>
          <w:rFonts w:ascii="Times New Roman" w:hAnsi="Times New Roman" w:cs="Times New Roman"/>
          <w:sz w:val="24"/>
          <w:szCs w:val="24"/>
        </w:rPr>
        <w:t>in</w:t>
      </w:r>
      <w:r w:rsidR="00A14BB6" w:rsidRPr="00061A77">
        <w:rPr>
          <w:rFonts w:ascii="Times New Roman" w:hAnsi="Times New Roman" w:cs="Times New Roman"/>
          <w:sz w:val="24"/>
          <w:szCs w:val="24"/>
        </w:rPr>
        <w:t>crease A</w:t>
      </w:r>
      <w:r w:rsidR="00A14BB6">
        <w:rPr>
          <w:rFonts w:ascii="Times New Roman" w:hAnsi="Times New Roman" w:cs="Times New Roman"/>
          <w:sz w:val="24"/>
          <w:szCs w:val="24"/>
        </w:rPr>
        <w:t>AMEL</w:t>
      </w:r>
      <w:r w:rsidR="00C62CF1">
        <w:rPr>
          <w:rFonts w:ascii="Times New Roman" w:hAnsi="Times New Roman" w:cs="Times New Roman"/>
          <w:sz w:val="24"/>
          <w:szCs w:val="24"/>
          <w:vertAlign w:val="subscript"/>
        </w:rPr>
        <w:t>sd,c</w:t>
      </w:r>
      <w:r w:rsidR="00A14BB6" w:rsidRPr="00061A77">
        <w:rPr>
          <w:rFonts w:ascii="Times New Roman" w:hAnsi="Times New Roman" w:cs="Times New Roman"/>
          <w:sz w:val="24"/>
          <w:szCs w:val="24"/>
        </w:rPr>
        <w:t xml:space="preserve"> </w:t>
      </w:r>
      <w:r w:rsidR="00A14BB6">
        <w:rPr>
          <w:rFonts w:ascii="Times New Roman" w:hAnsi="Times New Roman" w:cs="Times New Roman"/>
          <w:sz w:val="24"/>
          <w:szCs w:val="24"/>
        </w:rPr>
        <w:t>simulates</w:t>
      </w:r>
      <w:r w:rsidR="00A14BB6" w:rsidRPr="00061A77">
        <w:rPr>
          <w:rFonts w:ascii="Times New Roman" w:hAnsi="Times New Roman" w:cs="Times New Roman"/>
          <w:sz w:val="24"/>
          <w:szCs w:val="24"/>
        </w:rPr>
        <w:t xml:space="preserve"> a (</w:t>
      </w:r>
      <w:r w:rsidR="00C62CF1">
        <w:rPr>
          <w:rFonts w:ascii="Times New Roman" w:hAnsi="Times New Roman" w:cs="Times New Roman"/>
          <w:sz w:val="24"/>
          <w:szCs w:val="24"/>
        </w:rPr>
        <w:t>s</w:t>
      </w:r>
      <w:r w:rsidR="00A14BB6">
        <w:rPr>
          <w:rFonts w:ascii="Times New Roman" w:hAnsi="Times New Roman" w:cs="Times New Roman"/>
          <w:sz w:val="24"/>
          <w:szCs w:val="24"/>
        </w:rPr>
        <w:t>,c</w:t>
      </w:r>
      <w:r w:rsidR="00A14BB6" w:rsidRPr="00061A77">
        <w:rPr>
          <w:rFonts w:ascii="Times New Roman" w:hAnsi="Times New Roman" w:cs="Times New Roman"/>
          <w:sz w:val="24"/>
          <w:szCs w:val="24"/>
        </w:rPr>
        <w:t xml:space="preserve">)-saving preference shift for household d.  In Armington models, preference shift variables and more generally input-saving technology variables are normally exogenous.  In moving from Armington to Melitz we will </w:t>
      </w:r>
      <w:r w:rsidR="00A14BB6">
        <w:rPr>
          <w:rFonts w:ascii="Times New Roman" w:hAnsi="Times New Roman" w:cs="Times New Roman"/>
          <w:sz w:val="24"/>
          <w:szCs w:val="24"/>
        </w:rPr>
        <w:t>add</w:t>
      </w:r>
      <w:r w:rsidR="002877AE">
        <w:rPr>
          <w:rFonts w:ascii="Times New Roman" w:hAnsi="Times New Roman" w:cs="Times New Roman"/>
          <w:sz w:val="24"/>
          <w:szCs w:val="24"/>
        </w:rPr>
        <w:t xml:space="preserve"> </w:t>
      </w:r>
      <w:r w:rsidR="00A14BB6" w:rsidRPr="00061A77">
        <w:rPr>
          <w:rFonts w:ascii="Times New Roman" w:hAnsi="Times New Roman" w:cs="Times New Roman"/>
          <w:sz w:val="24"/>
          <w:szCs w:val="24"/>
        </w:rPr>
        <w:t xml:space="preserve">equations that endogenize these variables to reflect the Meltiz specification of love of variety.  </w:t>
      </w:r>
      <w:r w:rsidR="00A14BB6">
        <w:rPr>
          <w:rFonts w:ascii="Times New Roman" w:hAnsi="Times New Roman" w:cs="Times New Roman"/>
          <w:sz w:val="24"/>
          <w:szCs w:val="24"/>
        </w:rPr>
        <w:t xml:space="preserve">To indicate this we have included the “Mel” designation in the taste-change variables.  </w:t>
      </w:r>
    </w:p>
    <w:p w:rsidR="00586BCF" w:rsidRPr="00061A77" w:rsidRDefault="00586BCF" w:rsidP="00230FB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230FBB">
        <w:rPr>
          <w:rFonts w:ascii="Times New Roman" w:hAnsi="Times New Roman" w:cs="Times New Roman"/>
          <w:sz w:val="24"/>
          <w:szCs w:val="24"/>
        </w:rPr>
        <w:t>(T7.</w:t>
      </w:r>
      <w:r w:rsidR="00FC25CE">
        <w:rPr>
          <w:rFonts w:ascii="Times New Roman" w:hAnsi="Times New Roman" w:cs="Times New Roman"/>
          <w:sz w:val="24"/>
          <w:szCs w:val="24"/>
        </w:rPr>
        <w:t>9</w:t>
      </w:r>
      <w:r w:rsidR="00230FBB">
        <w:rPr>
          <w:rFonts w:ascii="Times New Roman" w:hAnsi="Times New Roman" w:cs="Times New Roman"/>
          <w:sz w:val="24"/>
          <w:szCs w:val="24"/>
        </w:rPr>
        <w:t xml:space="preserve">) </w:t>
      </w:r>
      <w:r>
        <w:rPr>
          <w:rFonts w:ascii="Times New Roman" w:hAnsi="Times New Roman" w:cs="Times New Roman"/>
          <w:sz w:val="24"/>
          <w:szCs w:val="24"/>
        </w:rPr>
        <w:t xml:space="preserve">determines household d’s requirement for commodity c.  </w:t>
      </w:r>
      <w:r w:rsidRPr="00061A77">
        <w:rPr>
          <w:rFonts w:ascii="Times New Roman" w:hAnsi="Times New Roman" w:cs="Times New Roman"/>
          <w:sz w:val="24"/>
          <w:szCs w:val="24"/>
        </w:rPr>
        <w:t xml:space="preserve">Underlying this equation is </w:t>
      </w:r>
      <w:r>
        <w:rPr>
          <w:rFonts w:ascii="Times New Roman" w:hAnsi="Times New Roman" w:cs="Times New Roman"/>
          <w:sz w:val="24"/>
          <w:szCs w:val="24"/>
        </w:rPr>
        <w:t xml:space="preserve">a Cobb-Douglas utility maximization problem of </w:t>
      </w:r>
      <w:r w:rsidRPr="00061A77">
        <w:rPr>
          <w:rFonts w:ascii="Times New Roman" w:hAnsi="Times New Roman" w:cs="Times New Roman"/>
          <w:sz w:val="24"/>
          <w:szCs w:val="24"/>
        </w:rPr>
        <w:t xml:space="preserve">the form: </w:t>
      </w:r>
    </w:p>
    <w:p w:rsidR="00230FBB" w:rsidRPr="00061A77" w:rsidRDefault="00230FBB" w:rsidP="00230FBB">
      <w:pPr>
        <w:tabs>
          <w:tab w:val="left" w:pos="851"/>
          <w:tab w:val="right" w:pos="8789"/>
        </w:tabs>
        <w:spacing w:after="0"/>
        <w:jc w:val="both"/>
        <w:rPr>
          <w:rFonts w:ascii="Times New Roman" w:hAnsi="Times New Roman" w:cs="Times New Roman"/>
          <w:sz w:val="24"/>
          <w:szCs w:val="24"/>
        </w:rPr>
      </w:pPr>
      <w:r w:rsidRPr="00061A77">
        <w:rPr>
          <w:rFonts w:ascii="Times New Roman" w:hAnsi="Times New Roman" w:cs="Times New Roman"/>
          <w:sz w:val="24"/>
          <w:szCs w:val="24"/>
        </w:rPr>
        <w:tab/>
        <w:t xml:space="preserve">choose </w:t>
      </w:r>
      <w:r>
        <w:rPr>
          <w:rFonts w:ascii="Times New Roman" w:hAnsi="Times New Roman" w:cs="Times New Roman"/>
          <w:sz w:val="24"/>
          <w:szCs w:val="24"/>
        </w:rPr>
        <w:t>Q</w:t>
      </w:r>
      <w:r w:rsidR="00FC25CE">
        <w:rPr>
          <w:rFonts w:ascii="Times New Roman" w:hAnsi="Times New Roman" w:cs="Times New Roman"/>
          <w:sz w:val="24"/>
          <w:szCs w:val="24"/>
          <w:vertAlign w:val="subscript"/>
        </w:rPr>
        <w:t>d,c</w:t>
      </w:r>
      <w:r w:rsidRPr="00061A77">
        <w:rPr>
          <w:rFonts w:ascii="Times New Roman" w:hAnsi="Times New Roman" w:cs="Times New Roman"/>
          <w:sz w:val="24"/>
          <w:szCs w:val="24"/>
        </w:rPr>
        <w:t xml:space="preserve"> for all </w:t>
      </w:r>
      <w:r>
        <w:rPr>
          <w:rFonts w:ascii="Times New Roman" w:hAnsi="Times New Roman" w:cs="Times New Roman"/>
          <w:sz w:val="24"/>
          <w:szCs w:val="24"/>
        </w:rPr>
        <w:t>c</w:t>
      </w:r>
      <w:r w:rsidRPr="00061A77">
        <w:rPr>
          <w:rFonts w:ascii="Times New Roman" w:hAnsi="Times New Roman" w:cs="Times New Roman"/>
          <w:sz w:val="24"/>
          <w:szCs w:val="24"/>
        </w:rPr>
        <w:t xml:space="preserve"> to </w:t>
      </w:r>
      <w:r>
        <w:rPr>
          <w:rFonts w:ascii="Times New Roman" w:hAnsi="Times New Roman" w:cs="Times New Roman"/>
          <w:sz w:val="24"/>
          <w:szCs w:val="24"/>
        </w:rPr>
        <w:t>maximize</w:t>
      </w:r>
      <w:r w:rsidR="00FC25CE" w:rsidRPr="00061A77">
        <w:rPr>
          <w:rFonts w:ascii="Times New Roman" w:hAnsi="Times New Roman" w:cs="Times New Roman"/>
          <w:position w:val="-28"/>
          <w:sz w:val="24"/>
          <w:szCs w:val="24"/>
        </w:rPr>
        <w:object w:dxaOrig="1100" w:dyaOrig="540">
          <v:shape id="_x0000_i1090" type="#_x0000_t75" style="width:55pt;height:26pt" o:ole="">
            <v:imagedata r:id="rId138" o:title=""/>
          </v:shape>
          <o:OLEObject Type="Embed" ProgID="Equation.DSMT4" ShapeID="_x0000_i1090" DrawAspect="Content" ObjectID="_1585147748" r:id="rId139"/>
        </w:object>
      </w:r>
      <w:r>
        <w:rPr>
          <w:rFonts w:ascii="Times New Roman" w:hAnsi="Times New Roman" w:cs="Times New Roman"/>
          <w:sz w:val="24"/>
          <w:szCs w:val="24"/>
        </w:rPr>
        <w:t xml:space="preserve">  </w:t>
      </w:r>
      <w:r w:rsidRPr="00061A77">
        <w:rPr>
          <w:rFonts w:ascii="Times New Roman" w:hAnsi="Times New Roman" w:cs="Times New Roman"/>
          <w:sz w:val="24"/>
          <w:szCs w:val="24"/>
        </w:rPr>
        <w:t xml:space="preserve"> </w:t>
      </w:r>
      <w:r w:rsidRPr="00061A77">
        <w:rPr>
          <w:rFonts w:ascii="Times New Roman" w:hAnsi="Times New Roman" w:cs="Times New Roman"/>
          <w:position w:val="-4"/>
          <w:sz w:val="24"/>
          <w:szCs w:val="24"/>
        </w:rPr>
        <w:object w:dxaOrig="180" w:dyaOrig="279">
          <v:shape id="_x0000_i1091" type="#_x0000_t75" style="width:9pt;height:13pt" o:ole="">
            <v:imagedata r:id="rId140" o:title=""/>
          </v:shape>
          <o:OLEObject Type="Embed" ProgID="Equation.DSMT4" ShapeID="_x0000_i1091" DrawAspect="Content" ObjectID="_1585147749" r:id="rId141"/>
        </w:object>
      </w:r>
      <w:r>
        <w:rPr>
          <w:rFonts w:ascii="Times New Roman" w:hAnsi="Times New Roman" w:cs="Times New Roman"/>
          <w:sz w:val="24"/>
          <w:szCs w:val="24"/>
        </w:rPr>
        <w:t xml:space="preserve"> </w:t>
      </w:r>
      <w:r w:rsidRPr="00061A77">
        <w:rPr>
          <w:rFonts w:ascii="Times New Roman" w:hAnsi="Times New Roman" w:cs="Times New Roman"/>
          <w:sz w:val="24"/>
          <w:szCs w:val="24"/>
        </w:rPr>
        <w:t xml:space="preserve">  </w:t>
      </w:r>
      <w:r>
        <w:rPr>
          <w:rFonts w:ascii="Times New Roman" w:hAnsi="Times New Roman" w:cs="Times New Roman"/>
          <w:sz w:val="24"/>
          <w:szCs w:val="24"/>
        </w:rPr>
        <w:tab/>
      </w:r>
      <w:r w:rsidRPr="00061A77">
        <w:rPr>
          <w:rFonts w:ascii="Times New Roman" w:hAnsi="Times New Roman" w:cs="Times New Roman"/>
          <w:sz w:val="24"/>
          <w:szCs w:val="24"/>
        </w:rPr>
        <w:t>(</w:t>
      </w:r>
      <w:r>
        <w:rPr>
          <w:rFonts w:ascii="Times New Roman" w:hAnsi="Times New Roman" w:cs="Times New Roman"/>
          <w:sz w:val="24"/>
          <w:szCs w:val="24"/>
        </w:rPr>
        <w:t>7.</w:t>
      </w:r>
      <w:r w:rsidR="00FC25CE">
        <w:rPr>
          <w:rFonts w:ascii="Times New Roman" w:hAnsi="Times New Roman" w:cs="Times New Roman"/>
          <w:sz w:val="24"/>
          <w:szCs w:val="24"/>
        </w:rPr>
        <w:t>4</w:t>
      </w:r>
      <w:r w:rsidRPr="00061A77">
        <w:rPr>
          <w:rFonts w:ascii="Times New Roman" w:hAnsi="Times New Roman" w:cs="Times New Roman"/>
          <w:sz w:val="24"/>
          <w:szCs w:val="24"/>
        </w:rPr>
        <w:t>)</w:t>
      </w:r>
    </w:p>
    <w:p w:rsidR="00230FBB" w:rsidRDefault="00230FBB" w:rsidP="00C90FC3">
      <w:pPr>
        <w:tabs>
          <w:tab w:val="left" w:pos="851"/>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90FC3">
        <w:rPr>
          <w:rFonts w:ascii="Times New Roman" w:hAnsi="Times New Roman" w:cs="Times New Roman"/>
          <w:sz w:val="24"/>
          <w:szCs w:val="24"/>
        </w:rPr>
        <w:tab/>
      </w:r>
      <w:r>
        <w:rPr>
          <w:rFonts w:ascii="Times New Roman" w:hAnsi="Times New Roman" w:cs="Times New Roman"/>
          <w:sz w:val="24"/>
          <w:szCs w:val="24"/>
        </w:rPr>
        <w:t>s</w:t>
      </w:r>
      <w:r w:rsidRPr="00061A77">
        <w:rPr>
          <w:rFonts w:ascii="Times New Roman" w:hAnsi="Times New Roman" w:cs="Times New Roman"/>
          <w:sz w:val="24"/>
          <w:szCs w:val="24"/>
        </w:rPr>
        <w:t>ubject to</w:t>
      </w:r>
      <w:r w:rsidR="000029C2" w:rsidRPr="001E103B">
        <w:rPr>
          <w:rFonts w:ascii="Times New Roman" w:hAnsi="Times New Roman" w:cs="Times New Roman"/>
          <w:position w:val="-28"/>
          <w:sz w:val="24"/>
          <w:szCs w:val="24"/>
        </w:rPr>
        <w:object w:dxaOrig="2799" w:dyaOrig="540">
          <v:shape id="_x0000_i1092" type="#_x0000_t75" style="width:140pt;height:27pt" o:ole="">
            <v:imagedata r:id="rId142" o:title=""/>
          </v:shape>
          <o:OLEObject Type="Embed" ProgID="Equation.DSMT4" ShapeID="_x0000_i1092" DrawAspect="Content" ObjectID="_1585147750" r:id="rId143"/>
        </w:object>
      </w:r>
      <w:r>
        <w:rPr>
          <w:rFonts w:ascii="Times New Roman" w:hAnsi="Times New Roman" w:cs="Times New Roman"/>
          <w:sz w:val="24"/>
          <w:szCs w:val="24"/>
        </w:rPr>
        <w:t xml:space="preserve"> </w:t>
      </w:r>
      <w:r w:rsidR="00F03066">
        <w:rPr>
          <w:rFonts w:ascii="Times New Roman" w:hAnsi="Times New Roman" w:cs="Times New Roman"/>
          <w:sz w:val="24"/>
          <w:szCs w:val="24"/>
        </w:rPr>
        <w:t>,</w:t>
      </w:r>
      <w:r>
        <w:rPr>
          <w:rFonts w:ascii="Times New Roman" w:hAnsi="Times New Roman" w:cs="Times New Roman"/>
          <w:sz w:val="24"/>
          <w:szCs w:val="24"/>
        </w:rPr>
        <w:tab/>
        <w:t>(7.</w:t>
      </w:r>
      <w:r w:rsidR="00C90FC3">
        <w:rPr>
          <w:rFonts w:ascii="Times New Roman" w:hAnsi="Times New Roman" w:cs="Times New Roman"/>
          <w:sz w:val="24"/>
          <w:szCs w:val="24"/>
        </w:rPr>
        <w:t>5</w:t>
      </w:r>
      <w:r>
        <w:rPr>
          <w:rFonts w:ascii="Times New Roman" w:hAnsi="Times New Roman" w:cs="Times New Roman"/>
          <w:sz w:val="24"/>
          <w:szCs w:val="24"/>
        </w:rPr>
        <w:t>)</w:t>
      </w:r>
    </w:p>
    <w:p w:rsidR="00F03066" w:rsidRPr="00061A77" w:rsidRDefault="00F03066" w:rsidP="00F03066">
      <w:pPr>
        <w:tabs>
          <w:tab w:val="left" w:pos="851"/>
          <w:tab w:val="right" w:pos="8789"/>
        </w:tabs>
        <w:spacing w:after="0"/>
        <w:ind w:left="851"/>
        <w:jc w:val="both"/>
        <w:rPr>
          <w:rFonts w:ascii="Times New Roman" w:hAnsi="Times New Roman" w:cs="Times New Roman"/>
          <w:sz w:val="24"/>
          <w:szCs w:val="24"/>
        </w:rPr>
      </w:pPr>
      <w:r>
        <w:rPr>
          <w:rFonts w:ascii="Times New Roman" w:hAnsi="Times New Roman" w:cs="Times New Roman"/>
          <w:sz w:val="24"/>
          <w:szCs w:val="24"/>
        </w:rPr>
        <w:lastRenderedPageBreak/>
        <w:tab/>
        <w:t>where the MU(d,c)s are positive parameters satisfying .</w:t>
      </w:r>
      <w:r w:rsidRPr="00F03066">
        <w:rPr>
          <w:rFonts w:ascii="Times New Roman" w:hAnsi="Times New Roman" w:cs="Times New Roman"/>
          <w:position w:val="-16"/>
          <w:sz w:val="24"/>
          <w:szCs w:val="24"/>
        </w:rPr>
        <w:object w:dxaOrig="1640" w:dyaOrig="420">
          <v:shape id="_x0000_i1093" type="#_x0000_t75" style="width:82pt;height:21pt" o:ole="">
            <v:imagedata r:id="rId144" o:title=""/>
          </v:shape>
          <o:OLEObject Type="Embed" ProgID="Equation.DSMT4" ShapeID="_x0000_i1093" DrawAspect="Content" ObjectID="_1585147751" r:id="rId145"/>
        </w:objec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MU(d,c) is the share of household expenditure in country d devoted commodity c.  </w:t>
      </w:r>
    </w:p>
    <w:p w:rsidR="00586BCF" w:rsidRDefault="00586BCF" w:rsidP="006A07E8">
      <w:pPr>
        <w:spacing w:after="0"/>
        <w:jc w:val="both"/>
        <w:rPr>
          <w:rFonts w:ascii="Times New Roman" w:hAnsi="Times New Roman" w:cs="Times New Roman"/>
          <w:sz w:val="24"/>
          <w:szCs w:val="24"/>
        </w:rPr>
      </w:pPr>
      <w:r>
        <w:rPr>
          <w:rFonts w:ascii="Times New Roman" w:hAnsi="Times New Roman" w:cs="Times New Roman"/>
          <w:sz w:val="24"/>
          <w:szCs w:val="24"/>
        </w:rPr>
        <w:t>Normally, FMU</w:t>
      </w:r>
      <w:r w:rsidR="00175D3F">
        <w:rPr>
          <w:rFonts w:ascii="Times New Roman" w:hAnsi="Times New Roman" w:cs="Times New Roman"/>
          <w:sz w:val="24"/>
          <w:szCs w:val="24"/>
          <w:vertAlign w:val="subscript"/>
        </w:rPr>
        <w:t>d</w:t>
      </w:r>
      <w:r>
        <w:rPr>
          <w:rFonts w:ascii="Times New Roman" w:hAnsi="Times New Roman" w:cs="Times New Roman"/>
          <w:sz w:val="24"/>
          <w:szCs w:val="24"/>
        </w:rPr>
        <w:t xml:space="preserve"> is set on one.  In this case, household d spends the country’s entire GDP, a reasonable assumption for a model in which households are the only final demanders.  The inclusion of the variable FMU</w:t>
      </w:r>
      <w:r w:rsidR="00175D3F">
        <w:rPr>
          <w:rFonts w:ascii="Times New Roman" w:hAnsi="Times New Roman" w:cs="Times New Roman"/>
          <w:sz w:val="24"/>
          <w:szCs w:val="24"/>
          <w:vertAlign w:val="subscript"/>
        </w:rPr>
        <w:t>d</w:t>
      </w:r>
      <w:r>
        <w:rPr>
          <w:rFonts w:ascii="Times New Roman" w:hAnsi="Times New Roman" w:cs="Times New Roman"/>
          <w:sz w:val="24"/>
          <w:szCs w:val="24"/>
        </w:rPr>
        <w:t xml:space="preserve"> is convenient for handling Walras’ law: if we set FMU(“CNT1”) exogenously at unity thereby assuming that the first country consumes all its income, then the second country must also consume all its income meaning that FMU(“CNT2”) must be determined endogenously at unity. </w:t>
      </w:r>
    </w:p>
    <w:p w:rsidR="00586BCF" w:rsidRPr="00061A77" w:rsidRDefault="00586BCF"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230FBB">
        <w:rPr>
          <w:rFonts w:ascii="Times New Roman" w:hAnsi="Times New Roman" w:cs="Times New Roman"/>
          <w:sz w:val="24"/>
          <w:szCs w:val="24"/>
        </w:rPr>
        <w:t>(T7.</w:t>
      </w:r>
      <w:r w:rsidR="00C90FC3">
        <w:rPr>
          <w:rFonts w:ascii="Times New Roman" w:hAnsi="Times New Roman" w:cs="Times New Roman"/>
          <w:sz w:val="24"/>
          <w:szCs w:val="24"/>
        </w:rPr>
        <w:t>10</w:t>
      </w:r>
      <w:r w:rsidR="00230FBB">
        <w:rPr>
          <w:rFonts w:ascii="Times New Roman" w:hAnsi="Times New Roman" w:cs="Times New Roman"/>
          <w:sz w:val="24"/>
          <w:szCs w:val="24"/>
        </w:rPr>
        <w:t>)</w:t>
      </w:r>
      <w:r>
        <w:rPr>
          <w:rFonts w:ascii="Times New Roman" w:hAnsi="Times New Roman" w:cs="Times New Roman"/>
          <w:sz w:val="24"/>
          <w:szCs w:val="24"/>
        </w:rPr>
        <w:t xml:space="preserve"> specifies the percentage change in the demand for inputs (labor) to be used in the production of c in country s.  This is the percentage change in output less the percentage change in output per unit of input (productivity).  </w:t>
      </w:r>
    </w:p>
    <w:p w:rsidR="00586BCF" w:rsidRDefault="00586BCF"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230FBB">
        <w:rPr>
          <w:rFonts w:ascii="Times New Roman" w:hAnsi="Times New Roman" w:cs="Times New Roman"/>
          <w:sz w:val="24"/>
          <w:szCs w:val="24"/>
        </w:rPr>
        <w:t>(T7.1</w:t>
      </w:r>
      <w:r w:rsidR="00C90FC3">
        <w:rPr>
          <w:rFonts w:ascii="Times New Roman" w:hAnsi="Times New Roman" w:cs="Times New Roman"/>
          <w:sz w:val="24"/>
          <w:szCs w:val="24"/>
        </w:rPr>
        <w:t>1</w:t>
      </w:r>
      <w:r w:rsidR="00230FBB">
        <w:rPr>
          <w:rFonts w:ascii="Times New Roman" w:hAnsi="Times New Roman" w:cs="Times New Roman"/>
          <w:sz w:val="24"/>
          <w:szCs w:val="24"/>
        </w:rPr>
        <w:t>)</w:t>
      </w:r>
      <w:r>
        <w:rPr>
          <w:rFonts w:ascii="Times New Roman" w:hAnsi="Times New Roman" w:cs="Times New Roman"/>
          <w:sz w:val="24"/>
          <w:szCs w:val="24"/>
        </w:rPr>
        <w:t xml:space="preserve"> adds up demands for labor in country s across </w:t>
      </w:r>
      <w:r w:rsidR="00E32218">
        <w:rPr>
          <w:rFonts w:ascii="Times New Roman" w:hAnsi="Times New Roman" w:cs="Times New Roman"/>
          <w:sz w:val="24"/>
          <w:szCs w:val="24"/>
        </w:rPr>
        <w:t>industries (</w:t>
      </w:r>
      <w:r>
        <w:rPr>
          <w:rFonts w:ascii="Times New Roman" w:hAnsi="Times New Roman" w:cs="Times New Roman"/>
          <w:sz w:val="24"/>
          <w:szCs w:val="24"/>
        </w:rPr>
        <w:t>commoditie</w:t>
      </w:r>
      <w:r w:rsidR="007E40A5">
        <w:rPr>
          <w:rFonts w:ascii="Times New Roman" w:hAnsi="Times New Roman" w:cs="Times New Roman"/>
          <w:sz w:val="24"/>
          <w:szCs w:val="24"/>
        </w:rPr>
        <w:t>s</w:t>
      </w:r>
      <w:r w:rsidR="00E32218">
        <w:rPr>
          <w:rFonts w:ascii="Times New Roman" w:hAnsi="Times New Roman" w:cs="Times New Roman"/>
          <w:sz w:val="24"/>
          <w:szCs w:val="24"/>
        </w:rPr>
        <w:t>)</w:t>
      </w:r>
      <w:r>
        <w:rPr>
          <w:rFonts w:ascii="Times New Roman" w:hAnsi="Times New Roman" w:cs="Times New Roman"/>
          <w:sz w:val="24"/>
          <w:szCs w:val="24"/>
        </w:rPr>
        <w:t xml:space="preserve"> to determine total demand for labor in country s.  Total demand for labor in s is usually set exogenously in line with exogenous specification of labor supply.  </w:t>
      </w:r>
    </w:p>
    <w:p w:rsidR="00586BCF" w:rsidRDefault="00586BCF"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230FBB">
        <w:rPr>
          <w:rFonts w:ascii="Times New Roman" w:hAnsi="Times New Roman" w:cs="Times New Roman"/>
          <w:sz w:val="24"/>
          <w:szCs w:val="24"/>
        </w:rPr>
        <w:t>(T7.1</w:t>
      </w:r>
      <w:r w:rsidR="00C90FC3">
        <w:rPr>
          <w:rFonts w:ascii="Times New Roman" w:hAnsi="Times New Roman" w:cs="Times New Roman"/>
          <w:sz w:val="24"/>
          <w:szCs w:val="24"/>
        </w:rPr>
        <w:t>2</w:t>
      </w:r>
      <w:r w:rsidR="00230FBB">
        <w:rPr>
          <w:rFonts w:ascii="Times New Roman" w:hAnsi="Times New Roman" w:cs="Times New Roman"/>
          <w:sz w:val="24"/>
          <w:szCs w:val="24"/>
        </w:rPr>
        <w:t>)</w:t>
      </w:r>
      <w:r w:rsidR="00E32218">
        <w:rPr>
          <w:rFonts w:ascii="Times New Roman" w:hAnsi="Times New Roman" w:cs="Times New Roman"/>
          <w:sz w:val="24"/>
          <w:szCs w:val="24"/>
        </w:rPr>
        <w:t xml:space="preserve"> a</w:t>
      </w:r>
      <w:r>
        <w:rPr>
          <w:rFonts w:ascii="Times New Roman" w:hAnsi="Times New Roman" w:cs="Times New Roman"/>
          <w:sz w:val="24"/>
          <w:szCs w:val="24"/>
        </w:rPr>
        <w:t>dds up demands across destination countries d for commodity c produced in country s.  Notice that the coefficients used in this equation are factory values, FACTORYV(s,d</w:t>
      </w:r>
      <w:r w:rsidR="00E32218">
        <w:rPr>
          <w:rFonts w:ascii="Times New Roman" w:hAnsi="Times New Roman" w:cs="Times New Roman"/>
          <w:sz w:val="24"/>
          <w:szCs w:val="24"/>
        </w:rPr>
        <w:t>,c</w:t>
      </w:r>
      <w:r>
        <w:rPr>
          <w:rFonts w:ascii="Times New Roman" w:hAnsi="Times New Roman" w:cs="Times New Roman"/>
          <w:sz w:val="24"/>
          <w:szCs w:val="24"/>
        </w:rPr>
        <w:t>).  These values are quantities times factory prices.  Because factory prices are independent of destination d, factory values are proportional to quantities.  That is, if FACTORYV(s,d</w:t>
      </w:r>
      <w:r w:rsidR="00E32218">
        <w:rPr>
          <w:rFonts w:ascii="Times New Roman" w:hAnsi="Times New Roman" w:cs="Times New Roman"/>
          <w:sz w:val="24"/>
          <w:szCs w:val="24"/>
        </w:rPr>
        <w:t>,c</w:t>
      </w:r>
      <w:r>
        <w:rPr>
          <w:rFonts w:ascii="Times New Roman" w:hAnsi="Times New Roman" w:cs="Times New Roman"/>
          <w:sz w:val="24"/>
          <w:szCs w:val="24"/>
        </w:rPr>
        <w:t>) is twice FACTORYV(s,v</w:t>
      </w:r>
      <w:r w:rsidR="00E32218">
        <w:rPr>
          <w:rFonts w:ascii="Times New Roman" w:hAnsi="Times New Roman" w:cs="Times New Roman"/>
          <w:sz w:val="24"/>
          <w:szCs w:val="24"/>
        </w:rPr>
        <w:t>,c</w:t>
      </w:r>
      <w:r>
        <w:rPr>
          <w:rFonts w:ascii="Times New Roman" w:hAnsi="Times New Roman" w:cs="Times New Roman"/>
          <w:sz w:val="24"/>
          <w:szCs w:val="24"/>
        </w:rPr>
        <w:t xml:space="preserve">), then we know that twice as many widgets (commodity c) are sent from s to d as are sent from s to v.  </w:t>
      </w:r>
    </w:p>
    <w:p w:rsidR="00586BCF" w:rsidRDefault="00586BCF"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E32218">
        <w:rPr>
          <w:rFonts w:ascii="Times New Roman" w:hAnsi="Times New Roman" w:cs="Times New Roman"/>
          <w:sz w:val="24"/>
          <w:szCs w:val="24"/>
        </w:rPr>
        <w:t>(T7.</w:t>
      </w:r>
      <w:r w:rsidR="00C90FC3">
        <w:rPr>
          <w:rFonts w:ascii="Times New Roman" w:hAnsi="Times New Roman" w:cs="Times New Roman"/>
          <w:sz w:val="24"/>
          <w:szCs w:val="24"/>
        </w:rPr>
        <w:t>13</w:t>
      </w:r>
      <w:r w:rsidR="00E32218">
        <w:rPr>
          <w:rFonts w:ascii="Times New Roman" w:hAnsi="Times New Roman" w:cs="Times New Roman"/>
          <w:sz w:val="24"/>
          <w:szCs w:val="24"/>
        </w:rPr>
        <w:t>)</w:t>
      </w:r>
      <w:r>
        <w:rPr>
          <w:rFonts w:ascii="Times New Roman" w:hAnsi="Times New Roman" w:cs="Times New Roman"/>
          <w:sz w:val="24"/>
          <w:szCs w:val="24"/>
        </w:rPr>
        <w:t xml:space="preserve"> determines GDP for country d as factor income (labor) in country d plus indirect taxes collected by country d.  </w:t>
      </w:r>
    </w:p>
    <w:p w:rsidR="00E32218" w:rsidRDefault="00E32218"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Equation (T7.1</w:t>
      </w:r>
      <w:r w:rsidR="00C90FC3">
        <w:rPr>
          <w:rFonts w:ascii="Times New Roman" w:hAnsi="Times New Roman" w:cs="Times New Roman"/>
          <w:sz w:val="24"/>
          <w:szCs w:val="24"/>
        </w:rPr>
        <w:t>4</w:t>
      </w:r>
      <w:r>
        <w:rPr>
          <w:rFonts w:ascii="Times New Roman" w:hAnsi="Times New Roman" w:cs="Times New Roman"/>
          <w:sz w:val="24"/>
          <w:szCs w:val="24"/>
        </w:rPr>
        <w:t xml:space="preserve">) defines the change in the collection of tariff revenue by country d on the flow from s to d of commodity c.  This change version is derived from the levels equation: </w:t>
      </w:r>
    </w:p>
    <w:p w:rsidR="00E32218" w:rsidRDefault="00E32218" w:rsidP="006A07E8">
      <w:pPr>
        <w:tabs>
          <w:tab w:val="left" w:pos="567"/>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175D3F" w:rsidRPr="00C90FC3">
        <w:rPr>
          <w:rFonts w:ascii="Times New Roman" w:hAnsi="Times New Roman" w:cs="Times New Roman"/>
          <w:position w:val="-16"/>
          <w:sz w:val="24"/>
          <w:szCs w:val="24"/>
        </w:rPr>
        <w:object w:dxaOrig="3780" w:dyaOrig="440">
          <v:shape id="_x0000_i1094" type="#_x0000_t75" style="width:189pt;height:22pt" o:ole="">
            <v:imagedata r:id="rId146" o:title=""/>
          </v:shape>
          <o:OLEObject Type="Embed" ProgID="Equation.DSMT4" ShapeID="_x0000_i1094" DrawAspect="Content" ObjectID="_1585147752" r:id="rId147"/>
        </w:object>
      </w:r>
      <w:r>
        <w:rPr>
          <w:rFonts w:ascii="Times New Roman" w:hAnsi="Times New Roman" w:cs="Times New Roman"/>
          <w:sz w:val="24"/>
          <w:szCs w:val="24"/>
        </w:rPr>
        <w:t xml:space="preserve"> </w:t>
      </w:r>
      <w:r>
        <w:rPr>
          <w:rFonts w:ascii="Times New Roman" w:hAnsi="Times New Roman" w:cs="Times New Roman"/>
          <w:sz w:val="24"/>
          <w:szCs w:val="24"/>
        </w:rPr>
        <w:tab/>
        <w:t>(7.</w:t>
      </w:r>
      <w:r w:rsidR="00C90FC3">
        <w:rPr>
          <w:rFonts w:ascii="Times New Roman" w:hAnsi="Times New Roman" w:cs="Times New Roman"/>
          <w:sz w:val="24"/>
          <w:szCs w:val="24"/>
        </w:rPr>
        <w:t>6</w:t>
      </w:r>
      <w:r>
        <w:rPr>
          <w:rFonts w:ascii="Times New Roman" w:hAnsi="Times New Roman" w:cs="Times New Roman"/>
          <w:sz w:val="24"/>
          <w:szCs w:val="24"/>
        </w:rPr>
        <w:t>)</w:t>
      </w:r>
    </w:p>
    <w:p w:rsidR="00E32218" w:rsidRDefault="00E32218" w:rsidP="006A07E8">
      <w:pPr>
        <w:spacing w:after="0"/>
        <w:jc w:val="both"/>
        <w:rPr>
          <w:rFonts w:ascii="Times New Roman" w:hAnsi="Times New Roman" w:cs="Times New Roman"/>
          <w:sz w:val="24"/>
          <w:szCs w:val="24"/>
        </w:rPr>
      </w:pPr>
      <w:r>
        <w:rPr>
          <w:rFonts w:ascii="Times New Roman" w:hAnsi="Times New Roman" w:cs="Times New Roman"/>
          <w:sz w:val="24"/>
          <w:szCs w:val="24"/>
        </w:rPr>
        <w:t xml:space="preserve">where </w:t>
      </w:r>
    </w:p>
    <w:p w:rsidR="00E32218" w:rsidRDefault="00E32218" w:rsidP="006A07E8">
      <w:pPr>
        <w:tabs>
          <w:tab w:val="left" w:pos="567"/>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0029C2" w:rsidRPr="00175D3F">
        <w:rPr>
          <w:rFonts w:ascii="Times New Roman" w:hAnsi="Times New Roman" w:cs="Times New Roman"/>
          <w:position w:val="-14"/>
          <w:sz w:val="24"/>
          <w:szCs w:val="24"/>
        </w:rPr>
        <w:object w:dxaOrig="3640" w:dyaOrig="380">
          <v:shape id="_x0000_i1095" type="#_x0000_t75" style="width:182pt;height:19pt" o:ole="">
            <v:imagedata r:id="rId148" o:title=""/>
          </v:shape>
          <o:OLEObject Type="Embed" ProgID="Equation.DSMT4" ShapeID="_x0000_i1095" DrawAspect="Content" ObjectID="_1585147753" r:id="rId149"/>
        </w:object>
      </w:r>
      <w:r>
        <w:rPr>
          <w:rFonts w:ascii="Times New Roman" w:hAnsi="Times New Roman" w:cs="Times New Roman"/>
          <w:sz w:val="24"/>
          <w:szCs w:val="24"/>
        </w:rPr>
        <w:tab/>
        <w:t>(7.</w:t>
      </w:r>
      <w:r w:rsidR="00C90FC3">
        <w:rPr>
          <w:rFonts w:ascii="Times New Roman" w:hAnsi="Times New Roman" w:cs="Times New Roman"/>
          <w:sz w:val="24"/>
          <w:szCs w:val="24"/>
        </w:rPr>
        <w:t>7</w:t>
      </w:r>
      <w:r>
        <w:rPr>
          <w:rFonts w:ascii="Times New Roman" w:hAnsi="Times New Roman" w:cs="Times New Roman"/>
          <w:sz w:val="24"/>
          <w:szCs w:val="24"/>
        </w:rPr>
        <w:t>)</w:t>
      </w:r>
    </w:p>
    <w:p w:rsidR="00E32218" w:rsidRDefault="00E32218"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Equation (T7.1</w:t>
      </w:r>
      <w:r w:rsidR="00C90FC3">
        <w:rPr>
          <w:rFonts w:ascii="Times New Roman" w:hAnsi="Times New Roman" w:cs="Times New Roman"/>
          <w:sz w:val="24"/>
          <w:szCs w:val="24"/>
        </w:rPr>
        <w:t>5</w:t>
      </w:r>
      <w:r>
        <w:rPr>
          <w:rFonts w:ascii="Times New Roman" w:hAnsi="Times New Roman" w:cs="Times New Roman"/>
          <w:sz w:val="24"/>
          <w:szCs w:val="24"/>
        </w:rPr>
        <w:t xml:space="preserve">) defines the change in the collection of tax revenue by country s on the flow from s to d of commodity c, derived from the levels equation: </w:t>
      </w:r>
    </w:p>
    <w:p w:rsidR="00E32218" w:rsidRDefault="00E32218" w:rsidP="006A07E8">
      <w:pPr>
        <w:tabs>
          <w:tab w:val="left" w:pos="567"/>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175D3F" w:rsidRPr="00175D3F">
        <w:rPr>
          <w:rFonts w:ascii="Times New Roman" w:hAnsi="Times New Roman" w:cs="Times New Roman"/>
          <w:position w:val="-16"/>
          <w:sz w:val="24"/>
          <w:szCs w:val="24"/>
        </w:rPr>
        <w:object w:dxaOrig="4459" w:dyaOrig="440">
          <v:shape id="_x0000_i1096" type="#_x0000_t75" style="width:223pt;height:22pt" o:ole="">
            <v:imagedata r:id="rId150" o:title=""/>
          </v:shape>
          <o:OLEObject Type="Embed" ProgID="Equation.DSMT4" ShapeID="_x0000_i1096" DrawAspect="Content" ObjectID="_1585147754" r:id="rId151"/>
        </w:object>
      </w:r>
      <w:r>
        <w:rPr>
          <w:rFonts w:ascii="Times New Roman" w:hAnsi="Times New Roman" w:cs="Times New Roman"/>
          <w:sz w:val="24"/>
          <w:szCs w:val="24"/>
        </w:rPr>
        <w:t xml:space="preserve"> </w:t>
      </w:r>
      <w:r>
        <w:rPr>
          <w:rFonts w:ascii="Times New Roman" w:hAnsi="Times New Roman" w:cs="Times New Roman"/>
          <w:sz w:val="24"/>
          <w:szCs w:val="24"/>
        </w:rPr>
        <w:tab/>
        <w:t>(7.</w:t>
      </w:r>
      <w:r w:rsidR="00C90FC3">
        <w:rPr>
          <w:rFonts w:ascii="Times New Roman" w:hAnsi="Times New Roman" w:cs="Times New Roman"/>
          <w:sz w:val="24"/>
          <w:szCs w:val="24"/>
        </w:rPr>
        <w:t>8</w:t>
      </w:r>
      <w:r>
        <w:rPr>
          <w:rFonts w:ascii="Times New Roman" w:hAnsi="Times New Roman" w:cs="Times New Roman"/>
          <w:sz w:val="24"/>
          <w:szCs w:val="24"/>
        </w:rPr>
        <w:t>)</w:t>
      </w:r>
    </w:p>
    <w:p w:rsidR="00E32218" w:rsidRDefault="00E32218" w:rsidP="006A07E8">
      <w:pPr>
        <w:spacing w:after="0"/>
        <w:jc w:val="both"/>
        <w:rPr>
          <w:rFonts w:ascii="Times New Roman" w:hAnsi="Times New Roman" w:cs="Times New Roman"/>
          <w:sz w:val="24"/>
          <w:szCs w:val="24"/>
        </w:rPr>
      </w:pPr>
      <w:r>
        <w:rPr>
          <w:rFonts w:ascii="Times New Roman" w:hAnsi="Times New Roman" w:cs="Times New Roman"/>
          <w:sz w:val="24"/>
          <w:szCs w:val="24"/>
        </w:rPr>
        <w:t xml:space="preserve">where </w:t>
      </w:r>
    </w:p>
    <w:p w:rsidR="00E32218" w:rsidRDefault="00E32218" w:rsidP="006A07E8">
      <w:pPr>
        <w:tabs>
          <w:tab w:val="left" w:pos="567"/>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0029C2" w:rsidRPr="00175D3F">
        <w:rPr>
          <w:rFonts w:ascii="Times New Roman" w:hAnsi="Times New Roman" w:cs="Times New Roman"/>
          <w:position w:val="-14"/>
          <w:sz w:val="24"/>
          <w:szCs w:val="24"/>
        </w:rPr>
        <w:object w:dxaOrig="5140" w:dyaOrig="380">
          <v:shape id="_x0000_i1097" type="#_x0000_t75" style="width:255pt;height:19pt" o:ole="">
            <v:imagedata r:id="rId152" o:title=""/>
          </v:shape>
          <o:OLEObject Type="Embed" ProgID="Equation.DSMT4" ShapeID="_x0000_i1097" DrawAspect="Content" ObjectID="_1585147755" r:id="rId153"/>
        </w:object>
      </w:r>
      <w:r>
        <w:rPr>
          <w:rFonts w:ascii="Times New Roman" w:hAnsi="Times New Roman" w:cs="Times New Roman"/>
          <w:sz w:val="24"/>
          <w:szCs w:val="24"/>
        </w:rPr>
        <w:t xml:space="preserve">   .</w:t>
      </w:r>
      <w:r>
        <w:rPr>
          <w:rFonts w:ascii="Times New Roman" w:hAnsi="Times New Roman" w:cs="Times New Roman"/>
          <w:sz w:val="24"/>
          <w:szCs w:val="24"/>
        </w:rPr>
        <w:tab/>
        <w:t>(7.</w:t>
      </w:r>
      <w:r w:rsidR="00C90FC3">
        <w:rPr>
          <w:rFonts w:ascii="Times New Roman" w:hAnsi="Times New Roman" w:cs="Times New Roman"/>
          <w:sz w:val="24"/>
          <w:szCs w:val="24"/>
        </w:rPr>
        <w:t>9</w:t>
      </w:r>
      <w:r>
        <w:rPr>
          <w:rFonts w:ascii="Times New Roman" w:hAnsi="Times New Roman" w:cs="Times New Roman"/>
          <w:sz w:val="24"/>
          <w:szCs w:val="24"/>
        </w:rPr>
        <w:t>)</w:t>
      </w:r>
    </w:p>
    <w:p w:rsidR="00E32218" w:rsidRDefault="00E32218"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Equation (T7.1</w:t>
      </w:r>
      <w:r w:rsidR="00175D3F">
        <w:rPr>
          <w:rFonts w:ascii="Times New Roman" w:hAnsi="Times New Roman" w:cs="Times New Roman"/>
          <w:sz w:val="24"/>
          <w:szCs w:val="24"/>
        </w:rPr>
        <w:t>6</w:t>
      </w:r>
      <w:r>
        <w:rPr>
          <w:rFonts w:ascii="Times New Roman" w:hAnsi="Times New Roman" w:cs="Times New Roman"/>
          <w:sz w:val="24"/>
          <w:szCs w:val="24"/>
        </w:rPr>
        <w:t xml:space="preserve">) defines the average world-wide wage rate, avewage.  This variable is a convenient numeraire.  We set avewage exogenously to tie down absolute prices.   </w:t>
      </w:r>
    </w:p>
    <w:p w:rsidR="000029C2" w:rsidRDefault="000029C2"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Equations (T7.1) to (T7.16) </w:t>
      </w:r>
      <w:r w:rsidR="000031A8">
        <w:rPr>
          <w:rFonts w:ascii="Times New Roman" w:hAnsi="Times New Roman" w:cs="Times New Roman"/>
          <w:sz w:val="24"/>
          <w:szCs w:val="24"/>
        </w:rPr>
        <w:t xml:space="preserve">form the </w:t>
      </w:r>
      <w:r w:rsidR="001869D2">
        <w:rPr>
          <w:rFonts w:ascii="Times New Roman" w:hAnsi="Times New Roman" w:cs="Times New Roman"/>
          <w:sz w:val="24"/>
          <w:szCs w:val="24"/>
        </w:rPr>
        <w:t>Basic</w:t>
      </w:r>
      <w:r w:rsidR="000031A8">
        <w:rPr>
          <w:rFonts w:ascii="Times New Roman" w:hAnsi="Times New Roman" w:cs="Times New Roman"/>
          <w:sz w:val="24"/>
          <w:szCs w:val="24"/>
        </w:rPr>
        <w:t>Armington model.  As indicated in Table 7.2, in the standard closure for this model, tax rates, tariff rates, technology variables</w:t>
      </w:r>
      <w:r w:rsidR="00F03066">
        <w:rPr>
          <w:rFonts w:ascii="Times New Roman" w:hAnsi="Times New Roman" w:cs="Times New Roman"/>
          <w:sz w:val="24"/>
          <w:szCs w:val="24"/>
        </w:rPr>
        <w:t>,</w:t>
      </w:r>
      <w:r w:rsidR="000031A8">
        <w:rPr>
          <w:rFonts w:ascii="Times New Roman" w:hAnsi="Times New Roman" w:cs="Times New Roman"/>
          <w:sz w:val="24"/>
          <w:szCs w:val="24"/>
        </w:rPr>
        <w:t xml:space="preserve"> preference variables </w:t>
      </w:r>
      <w:r w:rsidR="00F03066">
        <w:rPr>
          <w:rFonts w:ascii="Times New Roman" w:hAnsi="Times New Roman" w:cs="Times New Roman"/>
          <w:sz w:val="24"/>
          <w:szCs w:val="24"/>
        </w:rPr>
        <w:t xml:space="preserve">and the average propensity to consume in all except one country </w:t>
      </w:r>
      <w:r w:rsidR="000031A8">
        <w:rPr>
          <w:rFonts w:ascii="Times New Roman" w:hAnsi="Times New Roman" w:cs="Times New Roman"/>
          <w:sz w:val="24"/>
          <w:szCs w:val="24"/>
        </w:rPr>
        <w:t xml:space="preserve">are exogenous.  </w:t>
      </w:r>
    </w:p>
    <w:p w:rsidR="00082CD3" w:rsidRDefault="00082CD3">
      <w:pPr>
        <w:spacing w:before="120" w:after="0" w:line="240" w:lineRule="auto"/>
        <w:rPr>
          <w:rFonts w:ascii="Times New Roman" w:hAnsi="Times New Roman" w:cs="Times New Roman"/>
          <w:b/>
          <w:bCs/>
          <w:iCs/>
          <w:sz w:val="28"/>
          <w:szCs w:val="28"/>
          <w:lang w:val="en-AU"/>
        </w:rPr>
      </w:pPr>
      <w:r>
        <w:rPr>
          <w:rFonts w:ascii="Times New Roman" w:hAnsi="Times New Roman" w:cs="Times New Roman"/>
          <w:b/>
          <w:bCs/>
          <w:iCs/>
          <w:sz w:val="28"/>
          <w:szCs w:val="28"/>
          <w:lang w:val="en-AU"/>
        </w:rPr>
        <w:br w:type="page"/>
      </w:r>
    </w:p>
    <w:p w:rsidR="000029C2" w:rsidRDefault="000029C2" w:rsidP="000029C2">
      <w:pPr>
        <w:spacing w:before="360" w:after="360" w:line="240" w:lineRule="auto"/>
        <w:rPr>
          <w:rFonts w:ascii="Times New Roman" w:hAnsi="Times New Roman" w:cs="Times New Roman"/>
          <w:b/>
          <w:sz w:val="24"/>
          <w:szCs w:val="24"/>
        </w:rPr>
      </w:pPr>
      <w:r>
        <w:rPr>
          <w:rFonts w:ascii="Times New Roman" w:hAnsi="Times New Roman" w:cs="Times New Roman"/>
          <w:b/>
          <w:bCs/>
          <w:iCs/>
          <w:sz w:val="28"/>
          <w:szCs w:val="28"/>
          <w:lang w:val="en-AU"/>
        </w:rPr>
        <w:lastRenderedPageBreak/>
        <w:t>7</w:t>
      </w:r>
      <w:r w:rsidRPr="001856A7">
        <w:rPr>
          <w:rFonts w:ascii="Times New Roman" w:hAnsi="Times New Roman" w:cs="Times New Roman"/>
          <w:b/>
          <w:bCs/>
          <w:iCs/>
          <w:sz w:val="28"/>
          <w:szCs w:val="28"/>
          <w:lang w:val="en-AU"/>
        </w:rPr>
        <w:t>.</w:t>
      </w:r>
      <w:r>
        <w:rPr>
          <w:rFonts w:ascii="Times New Roman" w:hAnsi="Times New Roman" w:cs="Times New Roman"/>
          <w:b/>
          <w:bCs/>
          <w:iCs/>
          <w:sz w:val="28"/>
          <w:szCs w:val="28"/>
          <w:lang w:val="en-AU"/>
        </w:rPr>
        <w:t>2</w:t>
      </w:r>
      <w:r w:rsidRPr="001856A7">
        <w:rPr>
          <w:rFonts w:ascii="Times New Roman" w:hAnsi="Times New Roman" w:cs="Times New Roman"/>
          <w:b/>
          <w:bCs/>
          <w:iCs/>
          <w:sz w:val="28"/>
          <w:szCs w:val="28"/>
          <w:lang w:val="en-AU"/>
        </w:rPr>
        <w:t xml:space="preserve">.  </w:t>
      </w:r>
      <w:r>
        <w:rPr>
          <w:rFonts w:ascii="Times New Roman" w:hAnsi="Times New Roman" w:cs="Times New Roman"/>
          <w:b/>
          <w:sz w:val="28"/>
          <w:szCs w:val="28"/>
        </w:rPr>
        <w:t xml:space="preserve">Forming the </w:t>
      </w:r>
      <w:r w:rsidR="001869D2">
        <w:rPr>
          <w:rFonts w:ascii="Times New Roman" w:hAnsi="Times New Roman" w:cs="Times New Roman"/>
          <w:b/>
          <w:sz w:val="28"/>
          <w:szCs w:val="28"/>
        </w:rPr>
        <w:t>BasicArmington-</w:t>
      </w:r>
      <w:r>
        <w:rPr>
          <w:rFonts w:ascii="Times New Roman" w:hAnsi="Times New Roman" w:cs="Times New Roman"/>
          <w:b/>
          <w:sz w:val="28"/>
          <w:szCs w:val="28"/>
        </w:rPr>
        <w:t>A2M system</w:t>
      </w:r>
    </w:p>
    <w:p w:rsidR="000029C2" w:rsidRPr="000029C2" w:rsidRDefault="00954FFF" w:rsidP="000029C2">
      <w:pPr>
        <w:spacing w:after="0"/>
        <w:jc w:val="both"/>
        <w:rPr>
          <w:rFonts w:ascii="Times New Roman" w:hAnsi="Times New Roman" w:cs="Times New Roman"/>
          <w:sz w:val="24"/>
          <w:szCs w:val="24"/>
        </w:rPr>
      </w:pPr>
      <w:r>
        <w:rPr>
          <w:rFonts w:ascii="Times New Roman" w:hAnsi="Times New Roman" w:cs="Times New Roman"/>
          <w:sz w:val="24"/>
          <w:szCs w:val="24"/>
        </w:rPr>
        <w:t>This section presents the equations that</w:t>
      </w:r>
      <w:r w:rsidR="001869D2">
        <w:rPr>
          <w:rFonts w:ascii="Times New Roman" w:hAnsi="Times New Roman" w:cs="Times New Roman"/>
          <w:sz w:val="24"/>
          <w:szCs w:val="24"/>
        </w:rPr>
        <w:t>,</w:t>
      </w:r>
      <w:r>
        <w:rPr>
          <w:rFonts w:ascii="Times New Roman" w:hAnsi="Times New Roman" w:cs="Times New Roman"/>
          <w:sz w:val="24"/>
          <w:szCs w:val="24"/>
        </w:rPr>
        <w:t xml:space="preserve"> when added to those of the </w:t>
      </w:r>
      <w:r w:rsidR="001869D2">
        <w:rPr>
          <w:rFonts w:ascii="Times New Roman" w:hAnsi="Times New Roman" w:cs="Times New Roman"/>
          <w:sz w:val="24"/>
          <w:szCs w:val="24"/>
        </w:rPr>
        <w:t>Basic</w:t>
      </w:r>
      <w:r>
        <w:rPr>
          <w:rFonts w:ascii="Times New Roman" w:hAnsi="Times New Roman" w:cs="Times New Roman"/>
          <w:sz w:val="24"/>
          <w:szCs w:val="24"/>
        </w:rPr>
        <w:t>Armington model</w:t>
      </w:r>
      <w:r w:rsidR="001869D2">
        <w:rPr>
          <w:rFonts w:ascii="Times New Roman" w:hAnsi="Times New Roman" w:cs="Times New Roman"/>
          <w:sz w:val="24"/>
          <w:szCs w:val="24"/>
        </w:rPr>
        <w:t xml:space="preserve">, </w:t>
      </w:r>
      <w:r w:rsidR="00B004BA">
        <w:rPr>
          <w:rFonts w:ascii="Times New Roman" w:hAnsi="Times New Roman" w:cs="Times New Roman"/>
          <w:sz w:val="24"/>
          <w:szCs w:val="24"/>
        </w:rPr>
        <w:t xml:space="preserve">complete the </w:t>
      </w:r>
      <w:r>
        <w:rPr>
          <w:rFonts w:ascii="Times New Roman" w:hAnsi="Times New Roman" w:cs="Times New Roman"/>
          <w:sz w:val="24"/>
          <w:szCs w:val="24"/>
        </w:rPr>
        <w:t xml:space="preserve">A2M system.  In describing these equations we show how the A2M system can be used to bring the </w:t>
      </w:r>
      <w:r w:rsidR="001869D2">
        <w:rPr>
          <w:rFonts w:ascii="Times New Roman" w:hAnsi="Times New Roman" w:cs="Times New Roman"/>
          <w:sz w:val="24"/>
          <w:szCs w:val="24"/>
        </w:rPr>
        <w:t>Basic</w:t>
      </w:r>
      <w:r>
        <w:rPr>
          <w:rFonts w:ascii="Times New Roman" w:hAnsi="Times New Roman" w:cs="Times New Roman"/>
          <w:sz w:val="24"/>
          <w:szCs w:val="24"/>
        </w:rPr>
        <w:t xml:space="preserve">Armington model into line with the Melitz model set out in equations (T2.1) - (T2.12) in Table 2.2 plus (5.1) – (5.4) in Chapter 5.  </w:t>
      </w:r>
    </w:p>
    <w:p w:rsidR="00F27505" w:rsidRPr="00F27505" w:rsidRDefault="00D42F54" w:rsidP="006A07E8">
      <w:pPr>
        <w:spacing w:before="120" w:after="120" w:line="240" w:lineRule="auto"/>
        <w:jc w:val="both"/>
        <w:rPr>
          <w:rFonts w:ascii="Times New Roman" w:hAnsi="Times New Roman" w:cs="Times New Roman"/>
          <w:b/>
          <w:i/>
          <w:sz w:val="24"/>
          <w:szCs w:val="24"/>
        </w:rPr>
      </w:pPr>
      <w:r>
        <w:rPr>
          <w:rFonts w:ascii="Times New Roman" w:hAnsi="Times New Roman" w:cs="Times New Roman"/>
          <w:b/>
          <w:i/>
          <w:sz w:val="24"/>
          <w:szCs w:val="24"/>
        </w:rPr>
        <w:t>E</w:t>
      </w:r>
      <w:r w:rsidR="00F27505" w:rsidRPr="00F27505">
        <w:rPr>
          <w:rFonts w:ascii="Times New Roman" w:hAnsi="Times New Roman" w:cs="Times New Roman"/>
          <w:b/>
          <w:i/>
          <w:sz w:val="24"/>
          <w:szCs w:val="24"/>
        </w:rPr>
        <w:t xml:space="preserve">quations </w:t>
      </w:r>
      <w:r w:rsidR="000029C2">
        <w:rPr>
          <w:rFonts w:ascii="Times New Roman" w:hAnsi="Times New Roman" w:cs="Times New Roman"/>
          <w:b/>
          <w:i/>
          <w:sz w:val="24"/>
          <w:szCs w:val="24"/>
        </w:rPr>
        <w:t>added to Armington to form the A2M system</w:t>
      </w:r>
      <w:r w:rsidR="003F2A3D">
        <w:rPr>
          <w:rFonts w:ascii="Times New Roman" w:hAnsi="Times New Roman" w:cs="Times New Roman"/>
          <w:b/>
          <w:i/>
          <w:sz w:val="24"/>
          <w:szCs w:val="24"/>
        </w:rPr>
        <w:t>: (T7.17) - (T7.25)</w:t>
      </w:r>
      <w:r w:rsidR="000029C2">
        <w:rPr>
          <w:rFonts w:ascii="Times New Roman" w:hAnsi="Times New Roman" w:cs="Times New Roman"/>
          <w:b/>
          <w:i/>
          <w:sz w:val="24"/>
          <w:szCs w:val="24"/>
        </w:rPr>
        <w:t xml:space="preserve"> in Table 7.1</w:t>
      </w:r>
    </w:p>
    <w:p w:rsidR="00C13683" w:rsidRDefault="00C13683" w:rsidP="006A07E8">
      <w:pPr>
        <w:spacing w:after="0"/>
        <w:jc w:val="both"/>
        <w:rPr>
          <w:rFonts w:ascii="Times New Roman" w:hAnsi="Times New Roman" w:cs="Times New Roman"/>
          <w:sz w:val="24"/>
          <w:szCs w:val="24"/>
        </w:rPr>
      </w:pPr>
      <w:r>
        <w:rPr>
          <w:rFonts w:ascii="Times New Roman" w:hAnsi="Times New Roman" w:cs="Times New Roman"/>
          <w:sz w:val="24"/>
          <w:szCs w:val="24"/>
        </w:rPr>
        <w:t>Equation (T7.17) links the Armington concept of quantity (QCOUNT</w:t>
      </w:r>
      <w:r>
        <w:rPr>
          <w:rFonts w:ascii="Times New Roman" w:hAnsi="Times New Roman" w:cs="Times New Roman"/>
          <w:sz w:val="24"/>
          <w:szCs w:val="24"/>
          <w:vertAlign w:val="subscript"/>
        </w:rPr>
        <w:t>sd.c</w:t>
      </w:r>
      <w:r>
        <w:rPr>
          <w:rFonts w:ascii="Times New Roman" w:hAnsi="Times New Roman" w:cs="Times New Roman"/>
          <w:sz w:val="24"/>
          <w:szCs w:val="24"/>
        </w:rPr>
        <w:t>) to Melitz variables: sales by the typical c-producing firm on the sd-link (</w:t>
      </w:r>
      <w:r w:rsidRPr="00C13683">
        <w:rPr>
          <w:rFonts w:ascii="Times New Roman" w:hAnsi="Times New Roman" w:cs="Times New Roman"/>
          <w:position w:val="-14"/>
          <w:sz w:val="24"/>
          <w:szCs w:val="24"/>
        </w:rPr>
        <w:object w:dxaOrig="560" w:dyaOrig="380">
          <v:shape id="_x0000_i1098" type="#_x0000_t75" style="width:28pt;height:19pt" o:ole="">
            <v:imagedata r:id="rId154" o:title=""/>
          </v:shape>
          <o:OLEObject Type="Embed" ProgID="Equation.DSMT4" ShapeID="_x0000_i1098" DrawAspect="Content" ObjectID="_1585147756" r:id="rId155"/>
        </w:object>
      </w:r>
      <w:r>
        <w:rPr>
          <w:rFonts w:ascii="Times New Roman" w:hAnsi="Times New Roman" w:cs="Times New Roman"/>
          <w:sz w:val="24"/>
          <w:szCs w:val="24"/>
        </w:rPr>
        <w:t>) and the number of c-firms on the sd-link (N</w:t>
      </w:r>
      <w:r>
        <w:rPr>
          <w:rFonts w:ascii="Times New Roman" w:hAnsi="Times New Roman" w:cs="Times New Roman"/>
          <w:sz w:val="24"/>
          <w:szCs w:val="24"/>
          <w:vertAlign w:val="subscript"/>
        </w:rPr>
        <w:t>sd,c</w:t>
      </w:r>
      <w:r>
        <w:rPr>
          <w:rFonts w:ascii="Times New Roman" w:hAnsi="Times New Roman" w:cs="Times New Roman"/>
          <w:sz w:val="24"/>
          <w:szCs w:val="24"/>
        </w:rPr>
        <w:t xml:space="preserve">). </w:t>
      </w:r>
    </w:p>
    <w:p w:rsidR="00F27505" w:rsidRDefault="00F27505" w:rsidP="006A07E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992C7D">
        <w:rPr>
          <w:rFonts w:ascii="Times New Roman" w:hAnsi="Times New Roman" w:cs="Times New Roman"/>
          <w:sz w:val="24"/>
          <w:szCs w:val="24"/>
        </w:rPr>
        <w:t>(T7.1</w:t>
      </w:r>
      <w:r w:rsidR="00C13683">
        <w:rPr>
          <w:rFonts w:ascii="Times New Roman" w:hAnsi="Times New Roman" w:cs="Times New Roman"/>
          <w:sz w:val="24"/>
          <w:szCs w:val="24"/>
        </w:rPr>
        <w:t>8</w:t>
      </w:r>
      <w:r w:rsidR="00992C7D">
        <w:rPr>
          <w:rFonts w:ascii="Times New Roman" w:hAnsi="Times New Roman" w:cs="Times New Roman"/>
          <w:sz w:val="24"/>
          <w:szCs w:val="24"/>
        </w:rPr>
        <w:t>)</w:t>
      </w:r>
      <w:r>
        <w:rPr>
          <w:rFonts w:ascii="Times New Roman" w:hAnsi="Times New Roman" w:cs="Times New Roman"/>
          <w:sz w:val="24"/>
          <w:szCs w:val="24"/>
        </w:rPr>
        <w:t xml:space="preserve"> allows us to endogenize the factory-door tax rates.  With the shift variable, ftxMel</w:t>
      </w:r>
      <w:r w:rsidR="00CE3061">
        <w:rPr>
          <w:rFonts w:ascii="Times New Roman" w:hAnsi="Times New Roman" w:cs="Times New Roman"/>
          <w:sz w:val="24"/>
          <w:szCs w:val="24"/>
          <w:vertAlign w:val="subscript"/>
        </w:rPr>
        <w:t>sd,c</w:t>
      </w:r>
      <w:r>
        <w:rPr>
          <w:rFonts w:ascii="Times New Roman" w:hAnsi="Times New Roman" w:cs="Times New Roman"/>
          <w:sz w:val="24"/>
          <w:szCs w:val="24"/>
        </w:rPr>
        <w:t xml:space="preserve"> set exogenously on zero,</w:t>
      </w:r>
      <w:r w:rsidR="00CE3061" w:rsidRPr="00CE3061">
        <w:rPr>
          <w:rFonts w:ascii="Times New Roman" w:hAnsi="Times New Roman" w:cs="Times New Roman"/>
          <w:sz w:val="24"/>
          <w:szCs w:val="24"/>
        </w:rPr>
        <w:t xml:space="preserve"> </w:t>
      </w:r>
      <w:r w:rsidR="00CE3061">
        <w:rPr>
          <w:rFonts w:ascii="Times New Roman" w:hAnsi="Times New Roman" w:cs="Times New Roman"/>
          <w:sz w:val="24"/>
          <w:szCs w:val="24"/>
        </w:rPr>
        <w:t>(T7.</w:t>
      </w:r>
      <w:r w:rsidR="00C13683">
        <w:rPr>
          <w:rFonts w:ascii="Times New Roman" w:hAnsi="Times New Roman" w:cs="Times New Roman"/>
          <w:sz w:val="24"/>
          <w:szCs w:val="24"/>
        </w:rPr>
        <w:t>18</w:t>
      </w:r>
      <w:r w:rsidR="00CE3061">
        <w:rPr>
          <w:rFonts w:ascii="Times New Roman" w:hAnsi="Times New Roman" w:cs="Times New Roman"/>
          <w:sz w:val="24"/>
          <w:szCs w:val="24"/>
        </w:rPr>
        <w:t>)</w:t>
      </w:r>
      <w:r>
        <w:rPr>
          <w:rFonts w:ascii="Times New Roman" w:hAnsi="Times New Roman" w:cs="Times New Roman"/>
          <w:sz w:val="24"/>
          <w:szCs w:val="24"/>
        </w:rPr>
        <w:t xml:space="preserve"> </w:t>
      </w:r>
      <w:r w:rsidR="000D13AE">
        <w:rPr>
          <w:rFonts w:ascii="Times New Roman" w:hAnsi="Times New Roman" w:cs="Times New Roman"/>
          <w:sz w:val="24"/>
          <w:szCs w:val="24"/>
        </w:rPr>
        <w:t>together</w:t>
      </w:r>
      <w:r>
        <w:rPr>
          <w:rFonts w:ascii="Times New Roman" w:hAnsi="Times New Roman" w:cs="Times New Roman"/>
          <w:sz w:val="24"/>
          <w:szCs w:val="24"/>
        </w:rPr>
        <w:t xml:space="preserve"> with </w:t>
      </w:r>
      <w:r w:rsidR="00CE3061">
        <w:rPr>
          <w:rFonts w:ascii="Times New Roman" w:hAnsi="Times New Roman" w:cs="Times New Roman"/>
          <w:sz w:val="24"/>
          <w:szCs w:val="24"/>
        </w:rPr>
        <w:t>(T7.1) and (T7.2)</w:t>
      </w:r>
      <w:r>
        <w:rPr>
          <w:rFonts w:ascii="Times New Roman" w:hAnsi="Times New Roman" w:cs="Times New Roman"/>
          <w:sz w:val="24"/>
          <w:szCs w:val="24"/>
        </w:rPr>
        <w:t xml:space="preserve"> implies</w:t>
      </w:r>
    </w:p>
    <w:p w:rsidR="00F27505" w:rsidRDefault="00F27505" w:rsidP="006A07E8">
      <w:pPr>
        <w:tabs>
          <w:tab w:val="left" w:pos="630"/>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F03066" w:rsidRPr="00CE3061">
        <w:rPr>
          <w:rFonts w:ascii="Times New Roman" w:hAnsi="Times New Roman" w:cs="Times New Roman"/>
          <w:position w:val="-14"/>
          <w:sz w:val="24"/>
          <w:szCs w:val="24"/>
        </w:rPr>
        <w:object w:dxaOrig="2360" w:dyaOrig="380">
          <v:shape id="_x0000_i1099" type="#_x0000_t75" style="width:118pt;height:19pt" o:ole="">
            <v:imagedata r:id="rId156" o:title=""/>
          </v:shape>
          <o:OLEObject Type="Embed" ProgID="Equation.DSMT4" ShapeID="_x0000_i1099" DrawAspect="Content" ObjectID="_1585147757" r:id="rId157"/>
        </w:object>
      </w:r>
      <w:r>
        <w:rPr>
          <w:rFonts w:ascii="Times New Roman" w:hAnsi="Times New Roman" w:cs="Times New Roman"/>
          <w:sz w:val="24"/>
          <w:szCs w:val="24"/>
        </w:rPr>
        <w:t xml:space="preserve">    .</w:t>
      </w:r>
      <w:r>
        <w:rPr>
          <w:rFonts w:ascii="Times New Roman" w:hAnsi="Times New Roman" w:cs="Times New Roman"/>
          <w:sz w:val="24"/>
          <w:szCs w:val="24"/>
        </w:rPr>
        <w:tab/>
        <w:t>(</w:t>
      </w:r>
      <w:r w:rsidR="00992C7D">
        <w:rPr>
          <w:rFonts w:ascii="Times New Roman" w:hAnsi="Times New Roman" w:cs="Times New Roman"/>
          <w:sz w:val="24"/>
          <w:szCs w:val="24"/>
        </w:rPr>
        <w:t>7.</w:t>
      </w:r>
      <w:r w:rsidR="003F2A3D">
        <w:rPr>
          <w:rFonts w:ascii="Times New Roman" w:hAnsi="Times New Roman" w:cs="Times New Roman"/>
          <w:sz w:val="24"/>
          <w:szCs w:val="24"/>
        </w:rPr>
        <w:t>10</w:t>
      </w:r>
      <w:r>
        <w:rPr>
          <w:rFonts w:ascii="Times New Roman" w:hAnsi="Times New Roman" w:cs="Times New Roman"/>
          <w:sz w:val="24"/>
          <w:szCs w:val="24"/>
        </w:rPr>
        <w:t>)</w:t>
      </w:r>
    </w:p>
    <w:p w:rsidR="00157751" w:rsidRDefault="00157751" w:rsidP="00157751">
      <w:pPr>
        <w:spacing w:after="0"/>
        <w:jc w:val="both"/>
        <w:rPr>
          <w:rFonts w:ascii="Times New Roman" w:hAnsi="Times New Roman" w:cs="Times New Roman"/>
          <w:sz w:val="24"/>
          <w:szCs w:val="24"/>
        </w:rPr>
      </w:pPr>
      <w:r>
        <w:rPr>
          <w:rFonts w:ascii="Times New Roman" w:hAnsi="Times New Roman" w:cs="Times New Roman"/>
          <w:sz w:val="24"/>
          <w:szCs w:val="24"/>
        </w:rPr>
        <w:t>In combination with (T7.</w:t>
      </w:r>
      <w:r w:rsidR="0025332A">
        <w:rPr>
          <w:rFonts w:ascii="Times New Roman" w:hAnsi="Times New Roman" w:cs="Times New Roman"/>
          <w:sz w:val="24"/>
          <w:szCs w:val="24"/>
        </w:rPr>
        <w:t>3</w:t>
      </w:r>
      <w:r>
        <w:rPr>
          <w:rFonts w:ascii="Times New Roman" w:hAnsi="Times New Roman" w:cs="Times New Roman"/>
          <w:sz w:val="24"/>
          <w:szCs w:val="24"/>
        </w:rPr>
        <w:t>), (T7.</w:t>
      </w:r>
      <w:r w:rsidR="0025332A">
        <w:rPr>
          <w:rFonts w:ascii="Times New Roman" w:hAnsi="Times New Roman" w:cs="Times New Roman"/>
          <w:sz w:val="24"/>
          <w:szCs w:val="24"/>
        </w:rPr>
        <w:t>4</w:t>
      </w:r>
      <w:r>
        <w:rPr>
          <w:rFonts w:ascii="Times New Roman" w:hAnsi="Times New Roman" w:cs="Times New Roman"/>
          <w:sz w:val="24"/>
          <w:szCs w:val="24"/>
        </w:rPr>
        <w:t>) and (T7.</w:t>
      </w:r>
      <w:r w:rsidR="0025332A">
        <w:rPr>
          <w:rFonts w:ascii="Times New Roman" w:hAnsi="Times New Roman" w:cs="Times New Roman"/>
          <w:sz w:val="24"/>
          <w:szCs w:val="24"/>
        </w:rPr>
        <w:t>5</w:t>
      </w:r>
      <w:r>
        <w:rPr>
          <w:rFonts w:ascii="Times New Roman" w:hAnsi="Times New Roman" w:cs="Times New Roman"/>
          <w:sz w:val="24"/>
          <w:szCs w:val="24"/>
        </w:rPr>
        <w:t xml:space="preserve">), equation (7.10) implies, as required in Melitz [see (T2.1) in Table 2.2], that </w:t>
      </w:r>
    </w:p>
    <w:p w:rsidR="00157751" w:rsidRDefault="00157751" w:rsidP="00157751">
      <w:pPr>
        <w:tabs>
          <w:tab w:val="left" w:pos="630"/>
          <w:tab w:val="right" w:pos="8789"/>
        </w:tabs>
        <w:spacing w:after="0"/>
        <w:jc w:val="both"/>
        <w:rPr>
          <w:rFonts w:ascii="Times New Roman" w:hAnsi="Times New Roman" w:cs="Times New Roman"/>
          <w:sz w:val="24"/>
          <w:szCs w:val="24"/>
        </w:rPr>
      </w:pPr>
      <w:r>
        <w:rPr>
          <w:rFonts w:ascii="Times New Roman" w:hAnsi="Times New Roman" w:cs="Times New Roman"/>
          <w:sz w:val="24"/>
          <w:szCs w:val="24"/>
        </w:rPr>
        <w:tab/>
      </w:r>
      <w:r w:rsidR="00F03066" w:rsidRPr="00CE3061">
        <w:rPr>
          <w:rFonts w:ascii="Times New Roman" w:hAnsi="Times New Roman" w:cs="Times New Roman"/>
          <w:position w:val="-14"/>
          <w:sz w:val="24"/>
          <w:szCs w:val="24"/>
        </w:rPr>
        <w:object w:dxaOrig="2420" w:dyaOrig="380">
          <v:shape id="_x0000_i1100" type="#_x0000_t75" style="width:120pt;height:19pt" o:ole="">
            <v:imagedata r:id="rId158" o:title=""/>
          </v:shape>
          <o:OLEObject Type="Embed" ProgID="Equation.DSMT4" ShapeID="_x0000_i1100" DrawAspect="Content" ObjectID="_1585147758" r:id="rId159"/>
        </w:object>
      </w:r>
      <w:r>
        <w:rPr>
          <w:rFonts w:ascii="Times New Roman" w:hAnsi="Times New Roman" w:cs="Times New Roman"/>
          <w:sz w:val="24"/>
          <w:szCs w:val="24"/>
        </w:rPr>
        <w:t xml:space="preserve">    .</w:t>
      </w:r>
      <w:r>
        <w:rPr>
          <w:rFonts w:ascii="Times New Roman" w:hAnsi="Times New Roman" w:cs="Times New Roman"/>
          <w:sz w:val="24"/>
          <w:szCs w:val="24"/>
        </w:rPr>
        <w:tab/>
        <w:t>(7.1</w:t>
      </w:r>
      <w:r w:rsidR="00810BA3">
        <w:rPr>
          <w:rFonts w:ascii="Times New Roman" w:hAnsi="Times New Roman" w:cs="Times New Roman"/>
          <w:sz w:val="24"/>
          <w:szCs w:val="24"/>
        </w:rPr>
        <w:t>1</w:t>
      </w:r>
      <w:r>
        <w:rPr>
          <w:rFonts w:ascii="Times New Roman" w:hAnsi="Times New Roman" w:cs="Times New Roman"/>
          <w:sz w:val="24"/>
          <w:szCs w:val="24"/>
        </w:rPr>
        <w:t>)</w:t>
      </w:r>
    </w:p>
    <w:p w:rsidR="005D5799" w:rsidRDefault="00F27505" w:rsidP="000D13AE">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CE3061">
        <w:rPr>
          <w:rFonts w:ascii="Times New Roman" w:hAnsi="Times New Roman" w:cs="Times New Roman"/>
          <w:sz w:val="24"/>
          <w:szCs w:val="24"/>
        </w:rPr>
        <w:t>(T7.1</w:t>
      </w:r>
      <w:r w:rsidR="00C13683">
        <w:rPr>
          <w:rFonts w:ascii="Times New Roman" w:hAnsi="Times New Roman" w:cs="Times New Roman"/>
          <w:sz w:val="24"/>
          <w:szCs w:val="24"/>
        </w:rPr>
        <w:t>9</w:t>
      </w:r>
      <w:r w:rsidR="00CE3061">
        <w:rPr>
          <w:rFonts w:ascii="Times New Roman" w:hAnsi="Times New Roman" w:cs="Times New Roman"/>
          <w:sz w:val="24"/>
          <w:szCs w:val="24"/>
        </w:rPr>
        <w:t xml:space="preserve">) </w:t>
      </w:r>
      <w:r>
        <w:rPr>
          <w:rFonts w:ascii="Times New Roman" w:hAnsi="Times New Roman" w:cs="Times New Roman"/>
          <w:sz w:val="24"/>
          <w:szCs w:val="24"/>
        </w:rPr>
        <w:t xml:space="preserve">allows us to endogenize preference variables.  </w:t>
      </w:r>
      <w:r w:rsidR="006D6023">
        <w:rPr>
          <w:rFonts w:ascii="Times New Roman" w:hAnsi="Times New Roman" w:cs="Times New Roman"/>
          <w:sz w:val="24"/>
          <w:szCs w:val="24"/>
        </w:rPr>
        <w:t>With the shift variable faaMel</w:t>
      </w:r>
      <w:r w:rsidR="006D6023">
        <w:rPr>
          <w:rFonts w:ascii="Times New Roman" w:hAnsi="Times New Roman" w:cs="Times New Roman"/>
          <w:sz w:val="24"/>
          <w:szCs w:val="24"/>
          <w:vertAlign w:val="subscript"/>
        </w:rPr>
        <w:t>sd,c</w:t>
      </w:r>
      <w:r w:rsidR="006D6023">
        <w:rPr>
          <w:rFonts w:ascii="Times New Roman" w:hAnsi="Times New Roman" w:cs="Times New Roman"/>
          <w:sz w:val="24"/>
          <w:szCs w:val="24"/>
        </w:rPr>
        <w:t xml:space="preserve"> set exogenously on zero, (T7.1</w:t>
      </w:r>
      <w:r w:rsidR="00C13683">
        <w:rPr>
          <w:rFonts w:ascii="Times New Roman" w:hAnsi="Times New Roman" w:cs="Times New Roman"/>
          <w:sz w:val="24"/>
          <w:szCs w:val="24"/>
        </w:rPr>
        <w:t>9) and</w:t>
      </w:r>
      <w:r w:rsidR="006D6023">
        <w:rPr>
          <w:rFonts w:ascii="Times New Roman" w:hAnsi="Times New Roman" w:cs="Times New Roman"/>
          <w:sz w:val="24"/>
          <w:szCs w:val="24"/>
        </w:rPr>
        <w:t xml:space="preserve"> (T7.</w:t>
      </w:r>
      <w:r w:rsidR="00C13683">
        <w:rPr>
          <w:rFonts w:ascii="Times New Roman" w:hAnsi="Times New Roman" w:cs="Times New Roman"/>
          <w:sz w:val="24"/>
          <w:szCs w:val="24"/>
        </w:rPr>
        <w:t>17</w:t>
      </w:r>
      <w:r w:rsidR="006D6023">
        <w:rPr>
          <w:rFonts w:ascii="Times New Roman" w:hAnsi="Times New Roman" w:cs="Times New Roman"/>
          <w:sz w:val="24"/>
          <w:szCs w:val="24"/>
        </w:rPr>
        <w:t xml:space="preserve">) </w:t>
      </w:r>
      <w:r w:rsidR="003F2A3D">
        <w:rPr>
          <w:rFonts w:ascii="Times New Roman" w:hAnsi="Times New Roman" w:cs="Times New Roman"/>
          <w:sz w:val="24"/>
          <w:szCs w:val="24"/>
        </w:rPr>
        <w:t xml:space="preserve">bring the Armington demand system for commodities distinguished by source, </w:t>
      </w:r>
      <w:r w:rsidR="00C13683">
        <w:rPr>
          <w:rFonts w:ascii="Times New Roman" w:hAnsi="Times New Roman" w:cs="Times New Roman"/>
          <w:sz w:val="24"/>
          <w:szCs w:val="24"/>
        </w:rPr>
        <w:t>(</w:t>
      </w:r>
      <w:r w:rsidR="003F2A3D">
        <w:rPr>
          <w:rFonts w:ascii="Times New Roman" w:hAnsi="Times New Roman" w:cs="Times New Roman"/>
          <w:sz w:val="24"/>
          <w:szCs w:val="24"/>
        </w:rPr>
        <w:t xml:space="preserve">T7.6) – (T7.8), into line with the Melitz specification in (T2.2) – (T2.4).  </w:t>
      </w:r>
      <w:r w:rsidR="000D13AE">
        <w:rPr>
          <w:rFonts w:ascii="Times New Roman" w:hAnsi="Times New Roman" w:cs="Times New Roman"/>
          <w:sz w:val="24"/>
          <w:szCs w:val="24"/>
        </w:rPr>
        <w:t>To demonstrate this we start b</w:t>
      </w:r>
      <w:r w:rsidR="005D5799">
        <w:rPr>
          <w:rFonts w:ascii="Times New Roman" w:hAnsi="Times New Roman" w:cs="Times New Roman"/>
          <w:sz w:val="24"/>
          <w:szCs w:val="24"/>
        </w:rPr>
        <w:t>y substituting from (T7.1</w:t>
      </w:r>
      <w:r w:rsidR="00EB5A88">
        <w:rPr>
          <w:rFonts w:ascii="Times New Roman" w:hAnsi="Times New Roman" w:cs="Times New Roman"/>
          <w:sz w:val="24"/>
          <w:szCs w:val="24"/>
        </w:rPr>
        <w:t>9</w:t>
      </w:r>
      <w:r w:rsidR="005D5799">
        <w:rPr>
          <w:rFonts w:ascii="Times New Roman" w:hAnsi="Times New Roman" w:cs="Times New Roman"/>
          <w:sz w:val="24"/>
          <w:szCs w:val="24"/>
        </w:rPr>
        <w:t>) and (T7.</w:t>
      </w:r>
      <w:r w:rsidR="00C13683">
        <w:rPr>
          <w:rFonts w:ascii="Times New Roman" w:hAnsi="Times New Roman" w:cs="Times New Roman"/>
          <w:sz w:val="24"/>
          <w:szCs w:val="24"/>
        </w:rPr>
        <w:t>1</w:t>
      </w:r>
      <w:r w:rsidR="00EB5A88">
        <w:rPr>
          <w:rFonts w:ascii="Times New Roman" w:hAnsi="Times New Roman" w:cs="Times New Roman"/>
          <w:sz w:val="24"/>
          <w:szCs w:val="24"/>
        </w:rPr>
        <w:t>7</w:t>
      </w:r>
      <w:r w:rsidR="005D5799">
        <w:rPr>
          <w:rFonts w:ascii="Times New Roman" w:hAnsi="Times New Roman" w:cs="Times New Roman"/>
          <w:sz w:val="24"/>
          <w:szCs w:val="24"/>
        </w:rPr>
        <w:t xml:space="preserve">) into (T7.6) </w:t>
      </w:r>
      <w:r w:rsidR="006C3551">
        <w:rPr>
          <w:rFonts w:ascii="Times New Roman" w:hAnsi="Times New Roman" w:cs="Times New Roman"/>
          <w:sz w:val="24"/>
          <w:szCs w:val="24"/>
        </w:rPr>
        <w:t>to</w:t>
      </w:r>
      <w:r w:rsidR="005D5799">
        <w:rPr>
          <w:rFonts w:ascii="Times New Roman" w:hAnsi="Times New Roman" w:cs="Times New Roman"/>
          <w:sz w:val="24"/>
          <w:szCs w:val="24"/>
        </w:rPr>
        <w:t xml:space="preserve"> obtain</w:t>
      </w:r>
    </w:p>
    <w:p w:rsidR="005D5799" w:rsidRPr="005D5799" w:rsidRDefault="005D5799" w:rsidP="005D5799">
      <w:pPr>
        <w:tabs>
          <w:tab w:val="left" w:pos="567"/>
          <w:tab w:val="right" w:pos="8789"/>
        </w:tabs>
        <w:spacing w:after="0"/>
        <w:rPr>
          <w:rFonts w:ascii="Times New Roman" w:hAnsi="Times New Roman" w:cs="Times New Roman"/>
          <w:sz w:val="24"/>
          <w:szCs w:val="24"/>
        </w:rPr>
      </w:pPr>
      <w:r w:rsidRPr="005D5799">
        <w:rPr>
          <w:rFonts w:ascii="Times New Roman" w:hAnsi="Times New Roman" w:cs="Times New Roman"/>
          <w:sz w:val="24"/>
          <w:szCs w:val="24"/>
        </w:rPr>
        <w:tab/>
      </w:r>
      <w:r w:rsidR="006C3551" w:rsidRPr="005D5799">
        <w:rPr>
          <w:rFonts w:ascii="Times New Roman" w:hAnsi="Times New Roman" w:cs="Times New Roman"/>
          <w:position w:val="-32"/>
          <w:sz w:val="24"/>
          <w:szCs w:val="24"/>
        </w:rPr>
        <w:object w:dxaOrig="6500" w:dyaOrig="760">
          <v:shape id="_x0000_i1101" type="#_x0000_t75" style="width:322pt;height:37pt" o:ole="">
            <v:imagedata r:id="rId160" o:title=""/>
          </v:shape>
          <o:OLEObject Type="Embed" ProgID="Equation.DSMT4" ShapeID="_x0000_i1101" DrawAspect="Content" ObjectID="_1585147759" r:id="rId161"/>
        </w:object>
      </w:r>
      <w:r w:rsidRPr="005D5799">
        <w:rPr>
          <w:rFonts w:ascii="Times New Roman" w:hAnsi="Times New Roman" w:cs="Times New Roman"/>
          <w:sz w:val="24"/>
          <w:szCs w:val="24"/>
        </w:rPr>
        <w:tab/>
        <w:t>(7.1</w:t>
      </w:r>
      <w:r w:rsidR="006C3551">
        <w:rPr>
          <w:rFonts w:ascii="Times New Roman" w:hAnsi="Times New Roman" w:cs="Times New Roman"/>
          <w:sz w:val="24"/>
          <w:szCs w:val="24"/>
        </w:rPr>
        <w:t>2</w:t>
      </w:r>
      <w:r w:rsidRPr="005D5799">
        <w:rPr>
          <w:rFonts w:ascii="Times New Roman" w:hAnsi="Times New Roman" w:cs="Times New Roman"/>
          <w:sz w:val="24"/>
          <w:szCs w:val="24"/>
        </w:rPr>
        <w:t>)</w:t>
      </w:r>
    </w:p>
    <w:p w:rsidR="005D5799" w:rsidRDefault="005D5799" w:rsidP="006A07E8">
      <w:pPr>
        <w:spacing w:after="0"/>
        <w:jc w:val="both"/>
        <w:rPr>
          <w:rFonts w:ascii="Times New Roman" w:hAnsi="Times New Roman" w:cs="Times New Roman"/>
          <w:sz w:val="24"/>
          <w:szCs w:val="24"/>
        </w:rPr>
      </w:pPr>
      <w:r>
        <w:rPr>
          <w:rFonts w:ascii="Times New Roman" w:hAnsi="Times New Roman" w:cs="Times New Roman"/>
          <w:sz w:val="24"/>
          <w:szCs w:val="24"/>
        </w:rPr>
        <w:t>The n’s drop ou</w:t>
      </w:r>
      <w:r w:rsidR="00EB5A88">
        <w:rPr>
          <w:rFonts w:ascii="Times New Roman" w:hAnsi="Times New Roman" w:cs="Times New Roman"/>
          <w:sz w:val="24"/>
          <w:szCs w:val="24"/>
        </w:rPr>
        <w:t>t</w:t>
      </w:r>
      <w:r>
        <w:rPr>
          <w:rFonts w:ascii="Times New Roman" w:hAnsi="Times New Roman" w:cs="Times New Roman"/>
          <w:sz w:val="24"/>
          <w:szCs w:val="24"/>
        </w:rPr>
        <w:t xml:space="preserve"> of (7.1</w:t>
      </w:r>
      <w:r w:rsidR="006C3551">
        <w:rPr>
          <w:rFonts w:ascii="Times New Roman" w:hAnsi="Times New Roman" w:cs="Times New Roman"/>
          <w:sz w:val="24"/>
          <w:szCs w:val="24"/>
        </w:rPr>
        <w:t>2</w:t>
      </w:r>
      <w:r>
        <w:rPr>
          <w:rFonts w:ascii="Times New Roman" w:hAnsi="Times New Roman" w:cs="Times New Roman"/>
          <w:sz w:val="24"/>
          <w:szCs w:val="24"/>
        </w:rPr>
        <w:t>) giving a percentage change version of (T2.3).</w:t>
      </w:r>
      <w:r w:rsidR="00C86237">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By substituting from (T7.1</w:t>
      </w:r>
      <w:r w:rsidR="00EB5A88">
        <w:rPr>
          <w:rFonts w:ascii="Times New Roman" w:hAnsi="Times New Roman" w:cs="Times New Roman"/>
          <w:sz w:val="24"/>
          <w:szCs w:val="24"/>
        </w:rPr>
        <w:t>9</w:t>
      </w:r>
      <w:r>
        <w:rPr>
          <w:rFonts w:ascii="Times New Roman" w:hAnsi="Times New Roman" w:cs="Times New Roman"/>
          <w:sz w:val="24"/>
          <w:szCs w:val="24"/>
        </w:rPr>
        <w:t xml:space="preserve">) into (T7.7) we obtain </w:t>
      </w:r>
    </w:p>
    <w:p w:rsidR="005D5799" w:rsidRPr="005D5799" w:rsidRDefault="005D5799" w:rsidP="006A07E8">
      <w:pPr>
        <w:tabs>
          <w:tab w:val="left" w:pos="567"/>
          <w:tab w:val="right" w:pos="8789"/>
        </w:tabs>
        <w:spacing w:after="0"/>
        <w:jc w:val="both"/>
        <w:rPr>
          <w:rFonts w:ascii="Times New Roman" w:hAnsi="Times New Roman" w:cs="Times New Roman"/>
          <w:sz w:val="24"/>
          <w:szCs w:val="24"/>
        </w:rPr>
      </w:pPr>
      <w:r w:rsidRPr="005D5799">
        <w:rPr>
          <w:rFonts w:ascii="Times New Roman" w:hAnsi="Times New Roman" w:cs="Times New Roman"/>
          <w:sz w:val="24"/>
          <w:szCs w:val="24"/>
        </w:rPr>
        <w:tab/>
      </w:r>
      <w:r w:rsidR="006C3551" w:rsidRPr="005D5799">
        <w:rPr>
          <w:rFonts w:ascii="Times New Roman" w:hAnsi="Times New Roman" w:cs="Times New Roman"/>
          <w:position w:val="-30"/>
          <w:sz w:val="20"/>
          <w:szCs w:val="20"/>
        </w:rPr>
        <w:object w:dxaOrig="4320" w:dyaOrig="720">
          <v:shape id="_x0000_i1102" type="#_x0000_t75" style="width:219pt;height:34pt" o:ole="">
            <v:imagedata r:id="rId162" o:title=""/>
          </v:shape>
          <o:OLEObject Type="Embed" ProgID="Equation.DSMT4" ShapeID="_x0000_i1102" DrawAspect="Content" ObjectID="_1585147760" r:id="rId163"/>
        </w:object>
      </w:r>
      <w:r w:rsidRPr="005D5799">
        <w:rPr>
          <w:rFonts w:ascii="Times New Roman" w:hAnsi="Times New Roman" w:cs="Times New Roman"/>
          <w:sz w:val="24"/>
          <w:szCs w:val="24"/>
        </w:rPr>
        <w:tab/>
        <w:t>(7.1</w:t>
      </w:r>
      <w:r w:rsidR="006C3551">
        <w:rPr>
          <w:rFonts w:ascii="Times New Roman" w:hAnsi="Times New Roman" w:cs="Times New Roman"/>
          <w:sz w:val="24"/>
          <w:szCs w:val="24"/>
        </w:rPr>
        <w:t>3</w:t>
      </w:r>
      <w:r w:rsidRPr="005D5799">
        <w:rPr>
          <w:rFonts w:ascii="Times New Roman" w:hAnsi="Times New Roman" w:cs="Times New Roman"/>
          <w:sz w:val="24"/>
          <w:szCs w:val="24"/>
        </w:rPr>
        <w:t>)</w:t>
      </w:r>
    </w:p>
    <w:p w:rsidR="00810ECF" w:rsidRPr="00EB5A88" w:rsidRDefault="005D5799" w:rsidP="006A07E8">
      <w:pPr>
        <w:spacing w:after="0"/>
        <w:jc w:val="both"/>
        <w:rPr>
          <w:rFonts w:ascii="Times New Roman" w:hAnsi="Times New Roman" w:cs="Times New Roman"/>
          <w:sz w:val="24"/>
          <w:szCs w:val="24"/>
        </w:rPr>
      </w:pPr>
      <w:r>
        <w:rPr>
          <w:rFonts w:ascii="Times New Roman" w:hAnsi="Times New Roman" w:cs="Times New Roman"/>
          <w:sz w:val="24"/>
          <w:szCs w:val="24"/>
        </w:rPr>
        <w:t>which is a percentage change version of (T2.2).</w:t>
      </w:r>
      <w:r w:rsidR="00EB5A88">
        <w:rPr>
          <w:rStyle w:val="FootnoteReference"/>
          <w:rFonts w:ascii="Times New Roman" w:hAnsi="Times New Roman" w:cs="Times New Roman"/>
          <w:sz w:val="24"/>
          <w:szCs w:val="24"/>
        </w:rPr>
        <w:footnoteReference w:id="5"/>
      </w:r>
      <w:r w:rsidR="00810ECF">
        <w:rPr>
          <w:rFonts w:ascii="Times New Roman" w:hAnsi="Times New Roman" w:cs="Times New Roman"/>
          <w:sz w:val="24"/>
          <w:szCs w:val="24"/>
        </w:rPr>
        <w:t xml:space="preserve">  By substituting from (T7.1</w:t>
      </w:r>
      <w:r w:rsidR="0025332A">
        <w:rPr>
          <w:rFonts w:ascii="Times New Roman" w:hAnsi="Times New Roman" w:cs="Times New Roman"/>
          <w:sz w:val="24"/>
          <w:szCs w:val="24"/>
        </w:rPr>
        <w:t>9</w:t>
      </w:r>
      <w:r w:rsidR="00810ECF">
        <w:rPr>
          <w:rFonts w:ascii="Times New Roman" w:hAnsi="Times New Roman" w:cs="Times New Roman"/>
          <w:sz w:val="24"/>
          <w:szCs w:val="24"/>
        </w:rPr>
        <w:t>) and (T7.</w:t>
      </w:r>
      <w:r w:rsidR="00EB5A88">
        <w:rPr>
          <w:rFonts w:ascii="Times New Roman" w:hAnsi="Times New Roman" w:cs="Times New Roman"/>
          <w:sz w:val="24"/>
          <w:szCs w:val="24"/>
        </w:rPr>
        <w:t>17</w:t>
      </w:r>
      <w:r w:rsidR="00810ECF">
        <w:rPr>
          <w:rFonts w:ascii="Times New Roman" w:hAnsi="Times New Roman" w:cs="Times New Roman"/>
          <w:sz w:val="24"/>
          <w:szCs w:val="24"/>
        </w:rPr>
        <w:t>) into (T7.8) we obtain</w:t>
      </w:r>
    </w:p>
    <w:p w:rsidR="00810ECF" w:rsidRPr="005D5799" w:rsidRDefault="00810ECF" w:rsidP="00810ECF">
      <w:pPr>
        <w:tabs>
          <w:tab w:val="left" w:pos="567"/>
          <w:tab w:val="right" w:pos="8789"/>
        </w:tabs>
        <w:spacing w:after="0"/>
        <w:rPr>
          <w:rFonts w:ascii="Times New Roman" w:hAnsi="Times New Roman" w:cs="Times New Roman"/>
          <w:sz w:val="24"/>
          <w:szCs w:val="24"/>
        </w:rPr>
      </w:pPr>
      <w:r w:rsidRPr="005D5799">
        <w:rPr>
          <w:rFonts w:ascii="Times New Roman" w:hAnsi="Times New Roman" w:cs="Times New Roman"/>
          <w:sz w:val="24"/>
          <w:szCs w:val="24"/>
        </w:rPr>
        <w:tab/>
      </w:r>
      <w:r w:rsidRPr="00810ECF">
        <w:rPr>
          <w:rFonts w:ascii="Times New Roman" w:hAnsi="Times New Roman" w:cs="Times New Roman"/>
          <w:position w:val="-28"/>
          <w:sz w:val="20"/>
          <w:szCs w:val="20"/>
        </w:rPr>
        <w:object w:dxaOrig="5260" w:dyaOrig="660">
          <v:shape id="_x0000_i1103" type="#_x0000_t75" style="width:262pt;height:34pt" o:ole="">
            <v:imagedata r:id="rId164" o:title=""/>
          </v:shape>
          <o:OLEObject Type="Embed" ProgID="Equation.DSMT4" ShapeID="_x0000_i1103" DrawAspect="Content" ObjectID="_1585147761" r:id="rId165"/>
        </w:object>
      </w:r>
      <w:r w:rsidRPr="005D5799">
        <w:rPr>
          <w:rFonts w:ascii="Times New Roman" w:hAnsi="Times New Roman" w:cs="Times New Roman"/>
          <w:sz w:val="24"/>
          <w:szCs w:val="24"/>
        </w:rPr>
        <w:tab/>
        <w:t>(7.1</w:t>
      </w:r>
      <w:r w:rsidR="003F67F0">
        <w:rPr>
          <w:rFonts w:ascii="Times New Roman" w:hAnsi="Times New Roman" w:cs="Times New Roman"/>
          <w:sz w:val="24"/>
          <w:szCs w:val="24"/>
        </w:rPr>
        <w:t>4</w:t>
      </w:r>
      <w:r w:rsidRPr="005D5799">
        <w:rPr>
          <w:rFonts w:ascii="Times New Roman" w:hAnsi="Times New Roman" w:cs="Times New Roman"/>
          <w:sz w:val="24"/>
          <w:szCs w:val="24"/>
        </w:rPr>
        <w:t>)</w:t>
      </w:r>
    </w:p>
    <w:p w:rsidR="00810ECF" w:rsidRDefault="00810ECF" w:rsidP="005D5799">
      <w:pPr>
        <w:spacing w:after="0"/>
        <w:rPr>
          <w:rFonts w:ascii="Times New Roman" w:hAnsi="Times New Roman" w:cs="Times New Roman"/>
          <w:sz w:val="24"/>
          <w:szCs w:val="24"/>
        </w:rPr>
      </w:pPr>
      <w:r>
        <w:rPr>
          <w:rFonts w:ascii="Times New Roman" w:hAnsi="Times New Roman" w:cs="Times New Roman"/>
          <w:sz w:val="24"/>
          <w:szCs w:val="24"/>
        </w:rPr>
        <w:t xml:space="preserve">This is a percentage change version of (T2.4).  </w:t>
      </w:r>
    </w:p>
    <w:p w:rsidR="00EF51A5" w:rsidRDefault="00F27505" w:rsidP="003F67F0">
      <w:pPr>
        <w:pStyle w:val="ListParagraph"/>
        <w:spacing w:after="0"/>
        <w:ind w:left="0" w:firstLine="284"/>
        <w:jc w:val="both"/>
        <w:rPr>
          <w:rFonts w:ascii="Times New Roman" w:hAnsi="Times New Roman" w:cs="Times New Roman"/>
          <w:sz w:val="24"/>
          <w:szCs w:val="24"/>
        </w:rPr>
      </w:pPr>
      <w:r>
        <w:rPr>
          <w:rFonts w:ascii="Times New Roman" w:hAnsi="Times New Roman" w:cs="Times New Roman"/>
          <w:sz w:val="24"/>
          <w:szCs w:val="24"/>
        </w:rPr>
        <w:t xml:space="preserve">Equation </w:t>
      </w:r>
      <w:r w:rsidR="00DA5E75">
        <w:rPr>
          <w:rFonts w:ascii="Times New Roman" w:hAnsi="Times New Roman" w:cs="Times New Roman"/>
          <w:sz w:val="24"/>
          <w:szCs w:val="24"/>
        </w:rPr>
        <w:t>(T7.</w:t>
      </w:r>
      <w:r w:rsidR="00656FBB">
        <w:rPr>
          <w:rFonts w:ascii="Times New Roman" w:hAnsi="Times New Roman" w:cs="Times New Roman"/>
          <w:sz w:val="24"/>
          <w:szCs w:val="24"/>
        </w:rPr>
        <w:t>20</w:t>
      </w:r>
      <w:r w:rsidR="00DA5E75">
        <w:rPr>
          <w:rFonts w:ascii="Times New Roman" w:hAnsi="Times New Roman" w:cs="Times New Roman"/>
          <w:sz w:val="24"/>
          <w:szCs w:val="24"/>
        </w:rPr>
        <w:t>)</w:t>
      </w:r>
      <w:r>
        <w:rPr>
          <w:rFonts w:ascii="Times New Roman" w:hAnsi="Times New Roman" w:cs="Times New Roman"/>
          <w:sz w:val="24"/>
          <w:szCs w:val="24"/>
        </w:rPr>
        <w:t xml:space="preserve"> is </w:t>
      </w:r>
      <w:r w:rsidR="003F67F0">
        <w:rPr>
          <w:rFonts w:ascii="Times New Roman" w:hAnsi="Times New Roman" w:cs="Times New Roman"/>
          <w:sz w:val="24"/>
          <w:szCs w:val="24"/>
        </w:rPr>
        <w:t xml:space="preserve">a percentage change version of </w:t>
      </w:r>
      <w:r>
        <w:rPr>
          <w:rFonts w:ascii="Times New Roman" w:hAnsi="Times New Roman" w:cs="Times New Roman"/>
          <w:sz w:val="24"/>
          <w:szCs w:val="24"/>
        </w:rPr>
        <w:t xml:space="preserve">the Melitz </w:t>
      </w:r>
      <w:r w:rsidR="003F67F0">
        <w:rPr>
          <w:rFonts w:ascii="Times New Roman" w:hAnsi="Times New Roman" w:cs="Times New Roman"/>
          <w:sz w:val="24"/>
          <w:szCs w:val="24"/>
        </w:rPr>
        <w:t xml:space="preserve">equation (T2.7).  </w:t>
      </w:r>
      <w:r w:rsidR="00D832DA">
        <w:rPr>
          <w:rFonts w:ascii="Times New Roman" w:hAnsi="Times New Roman" w:cs="Times New Roman"/>
          <w:sz w:val="24"/>
          <w:szCs w:val="24"/>
        </w:rPr>
        <w:t>The derivation of (T7.20) from (T2.7) can be found in Appendix 4.3 [see the derivation of (T4.6P)].</w:t>
      </w:r>
      <w:r w:rsidR="00D832DA">
        <w:rPr>
          <w:rStyle w:val="FootnoteReference"/>
          <w:rFonts w:ascii="Times New Roman" w:hAnsi="Times New Roman" w:cs="Times New Roman"/>
          <w:sz w:val="24"/>
          <w:szCs w:val="24"/>
        </w:rPr>
        <w:footnoteReference w:id="6"/>
      </w:r>
      <w:r w:rsidR="00D832DA">
        <w:rPr>
          <w:rFonts w:ascii="Times New Roman" w:hAnsi="Times New Roman" w:cs="Times New Roman"/>
          <w:sz w:val="24"/>
          <w:szCs w:val="24"/>
        </w:rPr>
        <w:t xml:space="preserve">  </w:t>
      </w:r>
      <w:r w:rsidR="00D832DA">
        <w:rPr>
          <w:rFonts w:ascii="Times New Roman" w:hAnsi="Times New Roman" w:cs="Times New Roman"/>
          <w:sz w:val="24"/>
          <w:szCs w:val="24"/>
        </w:rPr>
        <w:lastRenderedPageBreak/>
        <w:t xml:space="preserve">When (T7.20) </w:t>
      </w:r>
      <w:r>
        <w:rPr>
          <w:rFonts w:ascii="Times New Roman" w:hAnsi="Times New Roman" w:cs="Times New Roman"/>
          <w:sz w:val="24"/>
          <w:szCs w:val="24"/>
        </w:rPr>
        <w:t>is imposed by exogenizing its shift variable [</w:t>
      </w:r>
      <w:r w:rsidR="00DF3AC5" w:rsidRPr="00DF3AC5">
        <w:rPr>
          <w:rFonts w:ascii="Times New Roman" w:hAnsi="Times New Roman" w:cs="Times New Roman"/>
          <w:position w:val="-14"/>
          <w:sz w:val="24"/>
          <w:szCs w:val="24"/>
        </w:rPr>
        <w:object w:dxaOrig="560" w:dyaOrig="380">
          <v:shape id="_x0000_i1104" type="#_x0000_t75" style="width:28pt;height:19pt" o:ole="">
            <v:imagedata r:id="rId166" o:title=""/>
          </v:shape>
          <o:OLEObject Type="Embed" ProgID="Equation.DSMT4" ShapeID="_x0000_i1104" DrawAspect="Content" ObjectID="_1585147762" r:id="rId167"/>
        </w:object>
      </w:r>
      <w:r>
        <w:rPr>
          <w:rFonts w:ascii="Times New Roman" w:hAnsi="Times New Roman" w:cs="Times New Roman"/>
          <w:sz w:val="24"/>
          <w:szCs w:val="24"/>
        </w:rPr>
        <w:t>], we endogenize aoMel</w:t>
      </w:r>
      <w:r w:rsidR="00DA5E75">
        <w:rPr>
          <w:rFonts w:ascii="Times New Roman" w:hAnsi="Times New Roman" w:cs="Times New Roman"/>
          <w:sz w:val="24"/>
          <w:szCs w:val="24"/>
          <w:vertAlign w:val="subscript"/>
        </w:rPr>
        <w:t>s,c</w:t>
      </w:r>
      <w:r>
        <w:rPr>
          <w:rFonts w:ascii="Times New Roman" w:hAnsi="Times New Roman" w:cs="Times New Roman"/>
          <w:sz w:val="24"/>
          <w:szCs w:val="24"/>
        </w:rPr>
        <w:t xml:space="preserve"> appearing in equations </w:t>
      </w:r>
      <w:r w:rsidR="00DA5E75">
        <w:rPr>
          <w:rFonts w:ascii="Times New Roman" w:hAnsi="Times New Roman" w:cs="Times New Roman"/>
          <w:sz w:val="24"/>
          <w:szCs w:val="24"/>
        </w:rPr>
        <w:t xml:space="preserve">(T7.1) </w:t>
      </w:r>
      <w:r>
        <w:rPr>
          <w:rFonts w:ascii="Times New Roman" w:hAnsi="Times New Roman" w:cs="Times New Roman"/>
          <w:sz w:val="24"/>
          <w:szCs w:val="24"/>
        </w:rPr>
        <w:t xml:space="preserve">and </w:t>
      </w:r>
      <w:r w:rsidR="00DA5E75">
        <w:rPr>
          <w:rFonts w:ascii="Times New Roman" w:hAnsi="Times New Roman" w:cs="Times New Roman"/>
          <w:sz w:val="24"/>
          <w:szCs w:val="24"/>
        </w:rPr>
        <w:t>(T7.10)</w:t>
      </w:r>
      <w:r>
        <w:rPr>
          <w:rFonts w:ascii="Times New Roman" w:hAnsi="Times New Roman" w:cs="Times New Roman"/>
          <w:sz w:val="24"/>
          <w:szCs w:val="24"/>
        </w:rPr>
        <w:t xml:space="preserve">.  Thus, </w:t>
      </w:r>
      <w:r w:rsidR="00DA5E75">
        <w:rPr>
          <w:rFonts w:ascii="Times New Roman" w:hAnsi="Times New Roman" w:cs="Times New Roman"/>
          <w:sz w:val="24"/>
          <w:szCs w:val="24"/>
        </w:rPr>
        <w:t>(T7.</w:t>
      </w:r>
      <w:r w:rsidR="00656FBB">
        <w:rPr>
          <w:rFonts w:ascii="Times New Roman" w:hAnsi="Times New Roman" w:cs="Times New Roman"/>
          <w:sz w:val="24"/>
          <w:szCs w:val="24"/>
        </w:rPr>
        <w:t>20</w:t>
      </w:r>
      <w:r w:rsidR="00DA5E75">
        <w:rPr>
          <w:rFonts w:ascii="Times New Roman" w:hAnsi="Times New Roman" w:cs="Times New Roman"/>
          <w:sz w:val="24"/>
          <w:szCs w:val="24"/>
        </w:rPr>
        <w:t>)</w:t>
      </w:r>
      <w:r>
        <w:rPr>
          <w:rFonts w:ascii="Times New Roman" w:hAnsi="Times New Roman" w:cs="Times New Roman"/>
          <w:sz w:val="24"/>
          <w:szCs w:val="24"/>
        </w:rPr>
        <w:t xml:space="preserve"> introduces the Melitz determination of </w:t>
      </w:r>
      <w:r w:rsidR="00D832DA">
        <w:rPr>
          <w:rFonts w:ascii="Times New Roman" w:hAnsi="Times New Roman" w:cs="Times New Roman"/>
          <w:sz w:val="24"/>
          <w:szCs w:val="24"/>
        </w:rPr>
        <w:t xml:space="preserve">movements in the </w:t>
      </w:r>
      <w:r>
        <w:rPr>
          <w:rFonts w:ascii="Times New Roman" w:hAnsi="Times New Roman" w:cs="Times New Roman"/>
          <w:sz w:val="24"/>
          <w:szCs w:val="24"/>
        </w:rPr>
        <w:t xml:space="preserve">overall productivity of industry </w:t>
      </w:r>
      <w:r w:rsidR="00DA5E75">
        <w:rPr>
          <w:rFonts w:ascii="Times New Roman" w:hAnsi="Times New Roman" w:cs="Times New Roman"/>
          <w:sz w:val="24"/>
          <w:szCs w:val="24"/>
        </w:rPr>
        <w:t>s,</w:t>
      </w:r>
      <w:r>
        <w:rPr>
          <w:rFonts w:ascii="Times New Roman" w:hAnsi="Times New Roman" w:cs="Times New Roman"/>
          <w:sz w:val="24"/>
          <w:szCs w:val="24"/>
        </w:rPr>
        <w:t xml:space="preserve">c.  </w:t>
      </w:r>
      <w:r w:rsidR="00EF51A5">
        <w:rPr>
          <w:rFonts w:ascii="Times New Roman" w:hAnsi="Times New Roman" w:cs="Times New Roman"/>
          <w:sz w:val="24"/>
          <w:szCs w:val="24"/>
        </w:rPr>
        <w:t>With labor being the only input cost:</w:t>
      </w:r>
    </w:p>
    <w:p w:rsidR="00EF51A5" w:rsidRPr="00EF51A5" w:rsidRDefault="00EF51A5" w:rsidP="00EF51A5">
      <w:pPr>
        <w:pStyle w:val="ListParagraph"/>
        <w:tabs>
          <w:tab w:val="left" w:pos="851"/>
          <w:tab w:val="right" w:pos="8789"/>
        </w:tabs>
        <w:spacing w:after="0"/>
        <w:ind w:left="0"/>
        <w:jc w:val="both"/>
        <w:rPr>
          <w:rFonts w:ascii="Times New Roman" w:hAnsi="Times New Roman" w:cs="Times New Roman"/>
          <w:sz w:val="24"/>
          <w:szCs w:val="24"/>
        </w:rPr>
      </w:pPr>
      <w:r>
        <w:rPr>
          <w:rFonts w:ascii="Times New Roman" w:hAnsi="Times New Roman" w:cs="Times New Roman"/>
          <w:sz w:val="20"/>
          <w:szCs w:val="20"/>
        </w:rPr>
        <w:tab/>
      </w:r>
      <w:r w:rsidRPr="00EF51A5">
        <w:rPr>
          <w:rFonts w:ascii="Times New Roman" w:hAnsi="Times New Roman" w:cs="Times New Roman"/>
          <w:position w:val="-28"/>
          <w:sz w:val="20"/>
          <w:szCs w:val="20"/>
        </w:rPr>
        <w:object w:dxaOrig="3159" w:dyaOrig="540">
          <v:shape id="_x0000_i1105" type="#_x0000_t75" style="width:158pt;height:27pt" o:ole="">
            <v:imagedata r:id="rId168" o:title=""/>
          </v:shape>
          <o:OLEObject Type="Embed" ProgID="Equation.DSMT4" ShapeID="_x0000_i1105" DrawAspect="Content" ObjectID="_1585147763" r:id="rId169"/>
        </w:object>
      </w:r>
      <w:r>
        <w:rPr>
          <w:rFonts w:ascii="Times New Roman" w:hAnsi="Times New Roman" w:cs="Times New Roman"/>
          <w:sz w:val="20"/>
          <w:szCs w:val="20"/>
        </w:rPr>
        <w:tab/>
      </w:r>
      <w:r w:rsidRPr="00EF51A5">
        <w:rPr>
          <w:rFonts w:ascii="Times New Roman" w:hAnsi="Times New Roman" w:cs="Times New Roman"/>
          <w:sz w:val="24"/>
          <w:szCs w:val="24"/>
        </w:rPr>
        <w:t>(7.15)</w:t>
      </w:r>
    </w:p>
    <w:p w:rsidR="00D832DA" w:rsidRPr="006525F6" w:rsidRDefault="00EF51A5" w:rsidP="00EF51A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Using </w:t>
      </w:r>
      <w:r w:rsidR="00373763">
        <w:rPr>
          <w:rFonts w:ascii="Times New Roman" w:hAnsi="Times New Roman" w:cs="Times New Roman"/>
          <w:sz w:val="24"/>
          <w:szCs w:val="24"/>
        </w:rPr>
        <w:t>(T7.10), (T7.12)</w:t>
      </w:r>
      <w:r>
        <w:rPr>
          <w:rFonts w:ascii="Times New Roman" w:hAnsi="Times New Roman" w:cs="Times New Roman"/>
          <w:sz w:val="24"/>
          <w:szCs w:val="24"/>
        </w:rPr>
        <w:t>,</w:t>
      </w:r>
      <w:r w:rsidR="00373763">
        <w:rPr>
          <w:rFonts w:ascii="Times New Roman" w:hAnsi="Times New Roman" w:cs="Times New Roman"/>
          <w:sz w:val="24"/>
          <w:szCs w:val="24"/>
        </w:rPr>
        <w:t xml:space="preserve"> (T7.17) and (T7.20) </w:t>
      </w:r>
      <w:r>
        <w:rPr>
          <w:rFonts w:ascii="Times New Roman" w:hAnsi="Times New Roman" w:cs="Times New Roman"/>
          <w:sz w:val="24"/>
          <w:szCs w:val="24"/>
        </w:rPr>
        <w:t xml:space="preserve">together with (7.15), </w:t>
      </w:r>
      <w:r w:rsidR="006525F6">
        <w:rPr>
          <w:rFonts w:ascii="Times New Roman" w:hAnsi="Times New Roman" w:cs="Times New Roman"/>
          <w:sz w:val="24"/>
          <w:szCs w:val="24"/>
        </w:rPr>
        <w:t xml:space="preserve">we find that if </w:t>
      </w:r>
      <w:r w:rsidR="00DF3AC5" w:rsidRPr="00DF3AC5">
        <w:rPr>
          <w:rFonts w:ascii="Times New Roman" w:hAnsi="Times New Roman" w:cs="Times New Roman"/>
          <w:position w:val="-14"/>
          <w:sz w:val="24"/>
          <w:szCs w:val="24"/>
        </w:rPr>
        <w:object w:dxaOrig="560" w:dyaOrig="380">
          <v:shape id="_x0000_i1106" type="#_x0000_t75" style="width:28pt;height:19pt" o:ole="">
            <v:imagedata r:id="rId170" o:title=""/>
          </v:shape>
          <o:OLEObject Type="Embed" ProgID="Equation.DSMT4" ShapeID="_x0000_i1106" DrawAspect="Content" ObjectID="_1585147764" r:id="rId171"/>
        </w:object>
      </w:r>
      <w:r w:rsidR="006525F6">
        <w:rPr>
          <w:rFonts w:ascii="Times New Roman" w:hAnsi="Times New Roman" w:cs="Times New Roman"/>
          <w:sz w:val="24"/>
          <w:szCs w:val="24"/>
        </w:rPr>
        <w:t xml:space="preserve"> is exogenous on zero, then aoMel is endogenously determined according to </w:t>
      </w:r>
    </w:p>
    <w:p w:rsidR="00D832DA" w:rsidRPr="00EF51A5" w:rsidRDefault="00EF51A5" w:rsidP="00373763">
      <w:pPr>
        <w:pStyle w:val="ListParagraph"/>
        <w:spacing w:after="0"/>
        <w:ind w:left="0" w:firstLine="284"/>
        <w:jc w:val="both"/>
        <w:rPr>
          <w:rFonts w:ascii="Times New Roman" w:hAnsi="Times New Roman" w:cs="Times New Roman"/>
          <w:sz w:val="24"/>
          <w:szCs w:val="24"/>
        </w:rPr>
      </w:pPr>
      <w:r w:rsidRPr="0030459D">
        <w:rPr>
          <w:rFonts w:ascii="Times New Roman" w:hAnsi="Times New Roman" w:cs="Times New Roman"/>
          <w:position w:val="-106"/>
          <w:sz w:val="20"/>
          <w:szCs w:val="20"/>
        </w:rPr>
        <w:object w:dxaOrig="7820" w:dyaOrig="2240">
          <v:shape id="_x0000_i1107" type="#_x0000_t75" style="width:396pt;height:107pt" o:ole="">
            <v:imagedata r:id="rId172" o:title=""/>
          </v:shape>
          <o:OLEObject Type="Embed" ProgID="Equation.DSMT4" ShapeID="_x0000_i1107" DrawAspect="Content" ObjectID="_1585147765" r:id="rId173"/>
        </w:object>
      </w:r>
      <w:r w:rsidR="00373763" w:rsidRPr="00EF51A5">
        <w:rPr>
          <w:rFonts w:ascii="Times New Roman" w:hAnsi="Times New Roman" w:cs="Times New Roman"/>
          <w:sz w:val="24"/>
          <w:szCs w:val="24"/>
        </w:rPr>
        <w:t>(7.1</w:t>
      </w:r>
      <w:r w:rsidRPr="00EF51A5">
        <w:rPr>
          <w:rFonts w:ascii="Times New Roman" w:hAnsi="Times New Roman" w:cs="Times New Roman"/>
          <w:sz w:val="24"/>
          <w:szCs w:val="24"/>
        </w:rPr>
        <w:t>6)</w:t>
      </w:r>
    </w:p>
    <w:p w:rsidR="00F27505" w:rsidRDefault="00E514B0" w:rsidP="000E0BC4">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E</w:t>
      </w:r>
      <w:r w:rsidR="00F27505">
        <w:rPr>
          <w:rFonts w:ascii="Times New Roman" w:hAnsi="Times New Roman" w:cs="Times New Roman"/>
          <w:sz w:val="24"/>
          <w:szCs w:val="24"/>
        </w:rPr>
        <w:t xml:space="preserve">quation </w:t>
      </w:r>
      <w:r>
        <w:rPr>
          <w:rFonts w:ascii="Times New Roman" w:hAnsi="Times New Roman" w:cs="Times New Roman"/>
          <w:sz w:val="24"/>
          <w:szCs w:val="24"/>
        </w:rPr>
        <w:t>(T</w:t>
      </w:r>
      <w:r w:rsidR="006A07E8">
        <w:rPr>
          <w:rFonts w:ascii="Times New Roman" w:hAnsi="Times New Roman" w:cs="Times New Roman"/>
          <w:sz w:val="24"/>
          <w:szCs w:val="24"/>
        </w:rPr>
        <w:t>7</w:t>
      </w:r>
      <w:r>
        <w:rPr>
          <w:rFonts w:ascii="Times New Roman" w:hAnsi="Times New Roman" w:cs="Times New Roman"/>
          <w:sz w:val="24"/>
          <w:szCs w:val="24"/>
        </w:rPr>
        <w:t>.21)</w:t>
      </w:r>
      <w:r w:rsidR="00F27505">
        <w:rPr>
          <w:rFonts w:ascii="Times New Roman" w:hAnsi="Times New Roman" w:cs="Times New Roman"/>
          <w:sz w:val="24"/>
          <w:szCs w:val="24"/>
        </w:rPr>
        <w:t xml:space="preserve"> </w:t>
      </w:r>
      <w:r w:rsidR="00EF51A5">
        <w:rPr>
          <w:rFonts w:ascii="Times New Roman" w:hAnsi="Times New Roman" w:cs="Times New Roman"/>
          <w:sz w:val="24"/>
          <w:szCs w:val="24"/>
        </w:rPr>
        <w:t xml:space="preserve">to (T7.24) are the percentage change versions of the Melitz equations (T2.8), (T2.10), (T2.11) and (T2.12).  </w:t>
      </w:r>
    </w:p>
    <w:p w:rsidR="00D15919" w:rsidRDefault="002C7953" w:rsidP="002C7953">
      <w:pPr>
        <w:pStyle w:val="ListParagraph"/>
        <w:spacing w:after="0"/>
        <w:ind w:left="0" w:firstLine="284"/>
        <w:contextualSpacing w:val="0"/>
        <w:jc w:val="both"/>
        <w:rPr>
          <w:rFonts w:ascii="Times New Roman" w:hAnsi="Times New Roman" w:cs="Times New Roman"/>
          <w:sz w:val="24"/>
          <w:szCs w:val="24"/>
        </w:rPr>
      </w:pPr>
      <w:r w:rsidRPr="002C7953">
        <w:rPr>
          <w:rFonts w:ascii="Times New Roman" w:hAnsi="Times New Roman" w:cs="Times New Roman"/>
          <w:sz w:val="24"/>
          <w:szCs w:val="24"/>
        </w:rPr>
        <w:t>Equation (T7.25) specifies the total collection of factory-door taxes from firms in industry s,c [dcolrevx</w:t>
      </w:r>
      <w:r w:rsidRPr="002C7953">
        <w:rPr>
          <w:rFonts w:ascii="Times New Roman" w:hAnsi="Times New Roman" w:cs="Times New Roman"/>
          <w:sz w:val="24"/>
          <w:szCs w:val="24"/>
          <w:vertAlign w:val="subscript"/>
        </w:rPr>
        <w:t>s,c</w:t>
      </w:r>
      <w:r w:rsidRPr="002C7953">
        <w:rPr>
          <w:rFonts w:ascii="Times New Roman" w:hAnsi="Times New Roman" w:cs="Times New Roman"/>
          <w:sz w:val="24"/>
          <w:szCs w:val="24"/>
        </w:rPr>
        <w:t xml:space="preserve">].  Factory-door taxes (which can be positive or negative) are an artificial device </w:t>
      </w:r>
      <w:r w:rsidR="0033375A">
        <w:rPr>
          <w:rFonts w:ascii="Times New Roman" w:hAnsi="Times New Roman" w:cs="Times New Roman"/>
          <w:sz w:val="24"/>
          <w:szCs w:val="24"/>
        </w:rPr>
        <w:t xml:space="preserve">introduced as part of the preparation </w:t>
      </w:r>
      <w:r w:rsidR="00A04CAB">
        <w:rPr>
          <w:rFonts w:ascii="Times New Roman" w:hAnsi="Times New Roman" w:cs="Times New Roman"/>
          <w:sz w:val="24"/>
          <w:szCs w:val="24"/>
        </w:rPr>
        <w:t xml:space="preserve">of an Armington model for transition to Melitz.  The role of these taxes is to introduce </w:t>
      </w:r>
      <w:r w:rsidRPr="002C7953">
        <w:rPr>
          <w:rFonts w:ascii="Times New Roman" w:hAnsi="Times New Roman" w:cs="Times New Roman"/>
          <w:sz w:val="24"/>
          <w:szCs w:val="24"/>
        </w:rPr>
        <w:t xml:space="preserve">the Melitz specification </w:t>
      </w:r>
      <w:r w:rsidR="00A04CAB" w:rsidRPr="002C7953">
        <w:rPr>
          <w:rFonts w:ascii="Times New Roman" w:hAnsi="Times New Roman" w:cs="Times New Roman"/>
          <w:sz w:val="24"/>
          <w:szCs w:val="24"/>
        </w:rPr>
        <w:t xml:space="preserve">of destination prices </w:t>
      </w:r>
      <w:r w:rsidRPr="002C7953">
        <w:rPr>
          <w:rFonts w:ascii="Times New Roman" w:hAnsi="Times New Roman" w:cs="Times New Roman"/>
          <w:sz w:val="24"/>
          <w:szCs w:val="24"/>
        </w:rPr>
        <w:t xml:space="preserve">in an Armington framework.  Totaled across destinations, we require </w:t>
      </w:r>
      <w:r w:rsidR="00A04CAB">
        <w:rPr>
          <w:rFonts w:ascii="Times New Roman" w:hAnsi="Times New Roman" w:cs="Times New Roman"/>
          <w:sz w:val="24"/>
          <w:szCs w:val="24"/>
        </w:rPr>
        <w:t xml:space="preserve">the collection of </w:t>
      </w:r>
      <w:r w:rsidRPr="002C7953">
        <w:rPr>
          <w:rFonts w:ascii="Times New Roman" w:hAnsi="Times New Roman" w:cs="Times New Roman"/>
          <w:sz w:val="24"/>
          <w:szCs w:val="24"/>
        </w:rPr>
        <w:t>these taxes for each industry s,c to be zero</w:t>
      </w:r>
      <w:r>
        <w:rPr>
          <w:rFonts w:ascii="Times New Roman" w:hAnsi="Times New Roman" w:cs="Times New Roman"/>
          <w:sz w:val="24"/>
          <w:szCs w:val="24"/>
        </w:rPr>
        <w:t xml:space="preserve"> in the initial database</w:t>
      </w:r>
      <w:r w:rsidR="00D15919">
        <w:rPr>
          <w:rFonts w:ascii="Times New Roman" w:hAnsi="Times New Roman" w:cs="Times New Roman"/>
          <w:sz w:val="24"/>
          <w:szCs w:val="24"/>
        </w:rPr>
        <w:t>, ensuring that:</w:t>
      </w:r>
    </w:p>
    <w:p w:rsidR="00D15919" w:rsidRPr="002C7953" w:rsidRDefault="00D15919" w:rsidP="00D15919">
      <w:pPr>
        <w:tabs>
          <w:tab w:val="left" w:pos="630"/>
          <w:tab w:val="right" w:pos="8820"/>
        </w:tabs>
        <w:spacing w:after="0" w:line="240" w:lineRule="auto"/>
        <w:jc w:val="both"/>
        <w:rPr>
          <w:rFonts w:ascii="Times New Roman" w:hAnsi="Times New Roman" w:cs="Times New Roman"/>
          <w:sz w:val="24"/>
          <w:szCs w:val="24"/>
        </w:rPr>
      </w:pPr>
      <w:r w:rsidRPr="002C7953">
        <w:rPr>
          <w:rFonts w:ascii="Times New Roman" w:hAnsi="Times New Roman" w:cs="Times New Roman"/>
          <w:sz w:val="24"/>
          <w:szCs w:val="24"/>
        </w:rPr>
        <w:tab/>
      </w:r>
      <w:r w:rsidRPr="002C7953">
        <w:rPr>
          <w:rFonts w:ascii="Times New Roman" w:hAnsi="Times New Roman" w:cs="Times New Roman"/>
          <w:position w:val="-28"/>
          <w:sz w:val="24"/>
          <w:szCs w:val="24"/>
        </w:rPr>
        <w:object w:dxaOrig="5660" w:dyaOrig="540">
          <v:shape id="_x0000_i1108" type="#_x0000_t75" style="width:284pt;height:27pt" o:ole="">
            <v:imagedata r:id="rId174" o:title=""/>
          </v:shape>
          <o:OLEObject Type="Embed" ProgID="Equation.DSMT4" ShapeID="_x0000_i1108" DrawAspect="Content" ObjectID="_1585147766" r:id="rId175"/>
        </w:object>
      </w:r>
      <w:r w:rsidRPr="002C7953">
        <w:rPr>
          <w:rFonts w:ascii="Times New Roman" w:hAnsi="Times New Roman" w:cs="Times New Roman"/>
          <w:sz w:val="24"/>
          <w:szCs w:val="24"/>
        </w:rPr>
        <w:t xml:space="preserve">    .</w:t>
      </w:r>
      <w:r w:rsidRPr="002C7953">
        <w:rPr>
          <w:rFonts w:ascii="Times New Roman" w:hAnsi="Times New Roman" w:cs="Times New Roman"/>
          <w:sz w:val="24"/>
          <w:szCs w:val="24"/>
        </w:rPr>
        <w:tab/>
        <w:t>(7.1</w:t>
      </w:r>
      <w:r w:rsidR="000E0BC4">
        <w:rPr>
          <w:rFonts w:ascii="Times New Roman" w:hAnsi="Times New Roman" w:cs="Times New Roman"/>
          <w:sz w:val="24"/>
          <w:szCs w:val="24"/>
        </w:rPr>
        <w:t>7</w:t>
      </w:r>
      <w:r w:rsidRPr="002C7953">
        <w:rPr>
          <w:rFonts w:ascii="Times New Roman" w:hAnsi="Times New Roman" w:cs="Times New Roman"/>
          <w:sz w:val="24"/>
          <w:szCs w:val="24"/>
        </w:rPr>
        <w:t>)</w:t>
      </w:r>
    </w:p>
    <w:p w:rsidR="000E0BC4" w:rsidRDefault="002C7953" w:rsidP="00A04CAB">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We also require the ability to keep tax collections on zero.  This can be done by exogenizing </w:t>
      </w:r>
      <w:r w:rsidR="00D15919">
        <w:rPr>
          <w:rFonts w:ascii="Times New Roman" w:hAnsi="Times New Roman" w:cs="Times New Roman"/>
          <w:sz w:val="24"/>
          <w:szCs w:val="24"/>
        </w:rPr>
        <w:t>dcolrevx</w:t>
      </w:r>
      <w:r w:rsidR="00D15919">
        <w:rPr>
          <w:rFonts w:ascii="Times New Roman" w:hAnsi="Times New Roman" w:cs="Times New Roman"/>
          <w:sz w:val="24"/>
          <w:szCs w:val="24"/>
          <w:vertAlign w:val="subscript"/>
        </w:rPr>
        <w:t>s,c</w:t>
      </w:r>
      <w:r w:rsidRPr="002C7953">
        <w:rPr>
          <w:rFonts w:ascii="Times New Roman" w:hAnsi="Times New Roman" w:cs="Times New Roman"/>
          <w:sz w:val="24"/>
          <w:szCs w:val="24"/>
        </w:rPr>
        <w:t xml:space="preserve"> </w:t>
      </w:r>
      <w:r w:rsidR="00D15919">
        <w:rPr>
          <w:rFonts w:ascii="Times New Roman" w:hAnsi="Times New Roman" w:cs="Times New Roman"/>
          <w:sz w:val="24"/>
          <w:szCs w:val="24"/>
        </w:rPr>
        <w:t xml:space="preserve">on zero change.  </w:t>
      </w:r>
    </w:p>
    <w:p w:rsidR="00B004BA" w:rsidRPr="00B004BA" w:rsidRDefault="000E0BC4" w:rsidP="000E0BC4">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With dcolrevx</w:t>
      </w:r>
      <w:r>
        <w:rPr>
          <w:rFonts w:ascii="Times New Roman" w:hAnsi="Times New Roman" w:cs="Times New Roman"/>
          <w:sz w:val="24"/>
          <w:szCs w:val="24"/>
          <w:vertAlign w:val="subscript"/>
        </w:rPr>
        <w:t>s,c</w:t>
      </w:r>
      <w:r w:rsidR="00C204FF">
        <w:rPr>
          <w:rFonts w:ascii="Times New Roman" w:hAnsi="Times New Roman" w:cs="Times New Roman"/>
          <w:sz w:val="24"/>
          <w:szCs w:val="24"/>
          <w:vertAlign w:val="subscript"/>
        </w:rPr>
        <w:t xml:space="preserve">, </w:t>
      </w:r>
      <w:r w:rsidR="00C204FF" w:rsidRPr="00C204FF">
        <w:rPr>
          <w:rFonts w:ascii="Times New Roman" w:hAnsi="Times New Roman" w:cs="Times New Roman"/>
          <w:sz w:val="24"/>
          <w:szCs w:val="24"/>
        </w:rPr>
        <w:t>ftxMel</w:t>
      </w:r>
      <w:r w:rsidR="00C204FF">
        <w:rPr>
          <w:rFonts w:ascii="Times New Roman" w:hAnsi="Times New Roman" w:cs="Times New Roman"/>
          <w:sz w:val="24"/>
          <w:szCs w:val="24"/>
          <w:vertAlign w:val="subscript"/>
        </w:rPr>
        <w:t>sd,c</w:t>
      </w:r>
      <w:r w:rsidR="00C204FF">
        <w:rPr>
          <w:rFonts w:ascii="Times New Roman" w:hAnsi="Times New Roman" w:cs="Times New Roman"/>
          <w:sz w:val="24"/>
          <w:szCs w:val="24"/>
        </w:rPr>
        <w:t xml:space="preserve"> and </w:t>
      </w:r>
      <w:r w:rsidR="00C204FF" w:rsidRPr="00C204FF">
        <w:rPr>
          <w:rFonts w:ascii="Times New Roman" w:hAnsi="Times New Roman" w:cs="Times New Roman"/>
          <w:position w:val="-14"/>
          <w:sz w:val="24"/>
          <w:szCs w:val="24"/>
        </w:rPr>
        <w:object w:dxaOrig="560" w:dyaOrig="380">
          <v:shape id="_x0000_i1109" type="#_x0000_t75" style="width:28pt;height:19pt" o:ole="">
            <v:imagedata r:id="rId176" o:title=""/>
          </v:shape>
          <o:OLEObject Type="Embed" ProgID="Equation.DSMT4" ShapeID="_x0000_i1109" DrawAspect="Content" ObjectID="_1585147767" r:id="rId177"/>
        </w:object>
      </w:r>
      <w:r w:rsidR="00C204FF">
        <w:rPr>
          <w:rFonts w:ascii="Times New Roman" w:hAnsi="Times New Roman" w:cs="Times New Roman"/>
          <w:sz w:val="24"/>
          <w:szCs w:val="24"/>
        </w:rPr>
        <w:t xml:space="preserve"> set e</w:t>
      </w:r>
      <w:r>
        <w:rPr>
          <w:rFonts w:ascii="Times New Roman" w:hAnsi="Times New Roman" w:cs="Times New Roman"/>
          <w:sz w:val="24"/>
          <w:szCs w:val="24"/>
        </w:rPr>
        <w:t>xogenously on zero, (T7.25) imposes the zero</w:t>
      </w:r>
      <w:r w:rsidR="00C204FF">
        <w:rPr>
          <w:rFonts w:ascii="Times New Roman" w:hAnsi="Times New Roman" w:cs="Times New Roman"/>
          <w:sz w:val="24"/>
          <w:szCs w:val="24"/>
        </w:rPr>
        <w:t>-</w:t>
      </w:r>
      <w:r>
        <w:rPr>
          <w:rFonts w:ascii="Times New Roman" w:hAnsi="Times New Roman" w:cs="Times New Roman"/>
          <w:sz w:val="24"/>
          <w:szCs w:val="24"/>
        </w:rPr>
        <w:t>profit condition for industry s,c in accordance with the Melitz equations (</w:t>
      </w:r>
      <w:r w:rsidR="0026171C">
        <w:rPr>
          <w:rFonts w:ascii="Times New Roman" w:hAnsi="Times New Roman" w:cs="Times New Roman"/>
          <w:sz w:val="24"/>
          <w:szCs w:val="24"/>
        </w:rPr>
        <w:t xml:space="preserve">T2.5), (T2.6) and (T2.9). </w:t>
      </w:r>
      <w:r w:rsidR="00B004BA">
        <w:rPr>
          <w:rFonts w:ascii="Times New Roman" w:hAnsi="Times New Roman" w:cs="Times New Roman"/>
          <w:sz w:val="24"/>
          <w:szCs w:val="24"/>
        </w:rPr>
        <w:t xml:space="preserve"> Corresponding to the exogenization of dcolrevx</w:t>
      </w:r>
      <w:r w:rsidR="00B004BA">
        <w:rPr>
          <w:rFonts w:ascii="Times New Roman" w:hAnsi="Times New Roman" w:cs="Times New Roman"/>
          <w:sz w:val="24"/>
          <w:szCs w:val="24"/>
          <w:vertAlign w:val="subscript"/>
        </w:rPr>
        <w:t>s,c</w:t>
      </w:r>
      <w:r w:rsidR="00B004BA">
        <w:rPr>
          <w:rFonts w:ascii="Times New Roman" w:hAnsi="Times New Roman" w:cs="Times New Roman"/>
          <w:sz w:val="24"/>
          <w:szCs w:val="24"/>
        </w:rPr>
        <w:t xml:space="preserve"> is endogenization of n</w:t>
      </w:r>
      <w:r w:rsidR="00B004BA">
        <w:rPr>
          <w:rFonts w:ascii="Times New Roman" w:hAnsi="Times New Roman" w:cs="Times New Roman"/>
          <w:sz w:val="24"/>
          <w:szCs w:val="24"/>
          <w:vertAlign w:val="subscript"/>
        </w:rPr>
        <w:t>s,c</w:t>
      </w:r>
      <w:r w:rsidR="00B004BA">
        <w:rPr>
          <w:rFonts w:ascii="Times New Roman" w:hAnsi="Times New Roman" w:cs="Times New Roman"/>
          <w:sz w:val="24"/>
          <w:szCs w:val="24"/>
        </w:rPr>
        <w:t xml:space="preserve">: under Melitz assumptions the number of firms in industry s,c adjusts to maintain zero profits in response to shocks to tariffs or other exogenous variables.  </w:t>
      </w:r>
    </w:p>
    <w:p w:rsidR="000E0BC4" w:rsidRDefault="00E35D66" w:rsidP="00FD5CA4">
      <w:pPr>
        <w:pStyle w:val="ListParagraph"/>
        <w:spacing w:after="0"/>
        <w:ind w:left="0" w:firstLine="284"/>
        <w:contextualSpacing w:val="0"/>
        <w:jc w:val="both"/>
        <w:rPr>
          <w:rFonts w:ascii="Times New Roman" w:hAnsi="Times New Roman" w:cs="Times New Roman"/>
          <w:sz w:val="24"/>
          <w:szCs w:val="24"/>
        </w:rPr>
      </w:pPr>
      <w:r w:rsidRPr="00E35D66">
        <w:rPr>
          <w:rFonts w:ascii="Times New Roman" w:hAnsi="Times New Roman" w:cs="Times New Roman"/>
          <w:sz w:val="24"/>
          <w:szCs w:val="24"/>
        </w:rPr>
        <w:t>To demonstrate that setting dcolrevx</w:t>
      </w:r>
      <w:r w:rsidRPr="00E35D66">
        <w:rPr>
          <w:rFonts w:ascii="Times New Roman" w:hAnsi="Times New Roman" w:cs="Times New Roman"/>
          <w:sz w:val="24"/>
          <w:szCs w:val="24"/>
          <w:vertAlign w:val="subscript"/>
        </w:rPr>
        <w:t xml:space="preserve">s,c, </w:t>
      </w:r>
      <w:r w:rsidRPr="00E35D66">
        <w:rPr>
          <w:rFonts w:ascii="Times New Roman" w:hAnsi="Times New Roman" w:cs="Times New Roman"/>
          <w:sz w:val="24"/>
          <w:szCs w:val="24"/>
        </w:rPr>
        <w:t>ftxMel</w:t>
      </w:r>
      <w:r w:rsidRPr="00E35D66">
        <w:rPr>
          <w:rFonts w:ascii="Times New Roman" w:hAnsi="Times New Roman" w:cs="Times New Roman"/>
          <w:sz w:val="24"/>
          <w:szCs w:val="24"/>
          <w:vertAlign w:val="subscript"/>
        </w:rPr>
        <w:t>sd,c</w:t>
      </w:r>
      <w:r w:rsidRPr="00E35D66">
        <w:rPr>
          <w:rFonts w:ascii="Times New Roman" w:hAnsi="Times New Roman" w:cs="Times New Roman"/>
          <w:sz w:val="24"/>
          <w:szCs w:val="24"/>
        </w:rPr>
        <w:t xml:space="preserve"> and </w:t>
      </w:r>
      <w:r w:rsidRPr="00E35D66">
        <w:rPr>
          <w:rFonts w:ascii="Times New Roman" w:hAnsi="Times New Roman" w:cs="Times New Roman"/>
          <w:position w:val="-14"/>
          <w:sz w:val="24"/>
          <w:szCs w:val="24"/>
        </w:rPr>
        <w:object w:dxaOrig="560" w:dyaOrig="380">
          <v:shape id="_x0000_i1110" type="#_x0000_t75" style="width:28pt;height:19pt" o:ole="">
            <v:imagedata r:id="rId176" o:title=""/>
          </v:shape>
          <o:OLEObject Type="Embed" ProgID="Equation.DSMT4" ShapeID="_x0000_i1110" DrawAspect="Content" ObjectID="_1585147768" r:id="rId178"/>
        </w:object>
      </w:r>
      <w:r w:rsidRPr="00E35D66">
        <w:rPr>
          <w:rFonts w:ascii="Times New Roman" w:hAnsi="Times New Roman" w:cs="Times New Roman"/>
          <w:sz w:val="24"/>
          <w:szCs w:val="24"/>
        </w:rPr>
        <w:t xml:space="preserve"> exogenously on zero imposes Melitz specification of zero-profits, </w:t>
      </w:r>
      <w:r>
        <w:rPr>
          <w:rFonts w:ascii="Times New Roman" w:hAnsi="Times New Roman" w:cs="Times New Roman"/>
          <w:sz w:val="24"/>
          <w:szCs w:val="24"/>
        </w:rPr>
        <w:t>we</w:t>
      </w:r>
      <w:r w:rsidR="001B047A">
        <w:rPr>
          <w:rFonts w:ascii="Times New Roman" w:hAnsi="Times New Roman" w:cs="Times New Roman"/>
          <w:sz w:val="24"/>
          <w:szCs w:val="24"/>
        </w:rPr>
        <w:t xml:space="preserve"> substitute from (T7.17), (T7.18) and (T7.1) into </w:t>
      </w:r>
      <w:r w:rsidR="00A53FF7">
        <w:rPr>
          <w:rFonts w:ascii="Times New Roman" w:hAnsi="Times New Roman" w:cs="Times New Roman"/>
          <w:sz w:val="24"/>
          <w:szCs w:val="24"/>
        </w:rPr>
        <w:t>(T7.15).  This gives</w:t>
      </w:r>
    </w:p>
    <w:p w:rsidR="00A53FF7" w:rsidRDefault="00C86237" w:rsidP="00A53FF7">
      <w:pPr>
        <w:tabs>
          <w:tab w:val="right" w:pos="8789"/>
        </w:tabs>
        <w:rPr>
          <w:rFonts w:ascii="Times New Roman" w:hAnsi="Times New Roman" w:cs="Times New Roman"/>
          <w:sz w:val="24"/>
          <w:szCs w:val="24"/>
        </w:rPr>
      </w:pPr>
      <w:r w:rsidRPr="00A53FF7">
        <w:rPr>
          <w:rFonts w:ascii="Times New Roman" w:hAnsi="Times New Roman" w:cs="Times New Roman"/>
          <w:position w:val="-38"/>
          <w:sz w:val="28"/>
          <w:szCs w:val="28"/>
        </w:rPr>
        <w:object w:dxaOrig="6940" w:dyaOrig="880">
          <v:shape id="_x0000_i1111" type="#_x0000_t75" style="width:347pt;height:44pt" o:ole="">
            <v:imagedata r:id="rId179" o:title=""/>
          </v:shape>
          <o:OLEObject Type="Embed" ProgID="Equation.DSMT4" ShapeID="_x0000_i1111" DrawAspect="Content" ObjectID="_1585147769" r:id="rId180"/>
        </w:object>
      </w:r>
      <w:r w:rsidR="00A53FF7" w:rsidRPr="00A53FF7">
        <w:rPr>
          <w:rFonts w:ascii="Times New Roman" w:hAnsi="Times New Roman" w:cs="Times New Roman"/>
          <w:sz w:val="28"/>
          <w:szCs w:val="28"/>
        </w:rPr>
        <w:tab/>
      </w:r>
      <w:r w:rsidR="00A53FF7" w:rsidRPr="00A53FF7">
        <w:rPr>
          <w:rFonts w:ascii="Times New Roman" w:hAnsi="Times New Roman" w:cs="Times New Roman"/>
          <w:sz w:val="24"/>
          <w:szCs w:val="24"/>
        </w:rPr>
        <w:t>(7.</w:t>
      </w:r>
      <w:r w:rsidR="00E35D66">
        <w:rPr>
          <w:rFonts w:ascii="Times New Roman" w:hAnsi="Times New Roman" w:cs="Times New Roman"/>
          <w:sz w:val="24"/>
          <w:szCs w:val="24"/>
        </w:rPr>
        <w:t>18</w:t>
      </w:r>
      <w:r w:rsidR="00A53FF7" w:rsidRPr="00A53FF7">
        <w:rPr>
          <w:rFonts w:ascii="Times New Roman" w:hAnsi="Times New Roman" w:cs="Times New Roman"/>
          <w:sz w:val="24"/>
          <w:szCs w:val="24"/>
        </w:rPr>
        <w:t>)</w:t>
      </w:r>
    </w:p>
    <w:p w:rsidR="00A53FF7" w:rsidRDefault="00A53FF7" w:rsidP="00842B17">
      <w:pPr>
        <w:tabs>
          <w:tab w:val="right" w:pos="8789"/>
        </w:tabs>
        <w:jc w:val="both"/>
        <w:rPr>
          <w:rFonts w:ascii="Times New Roman" w:hAnsi="Times New Roman" w:cs="Times New Roman"/>
          <w:sz w:val="24"/>
          <w:szCs w:val="24"/>
        </w:rPr>
      </w:pPr>
      <w:r>
        <w:rPr>
          <w:rFonts w:ascii="Times New Roman" w:hAnsi="Times New Roman" w:cs="Times New Roman"/>
          <w:sz w:val="24"/>
          <w:szCs w:val="24"/>
        </w:rPr>
        <w:t>Next, we add over d on both sides of (7.</w:t>
      </w:r>
      <w:r w:rsidR="00C86237">
        <w:rPr>
          <w:rFonts w:ascii="Times New Roman" w:hAnsi="Times New Roman" w:cs="Times New Roman"/>
          <w:sz w:val="24"/>
          <w:szCs w:val="24"/>
        </w:rPr>
        <w:t>18</w:t>
      </w:r>
      <w:r>
        <w:rPr>
          <w:rFonts w:ascii="Times New Roman" w:hAnsi="Times New Roman" w:cs="Times New Roman"/>
          <w:sz w:val="24"/>
          <w:szCs w:val="24"/>
        </w:rPr>
        <w:t>)</w:t>
      </w:r>
      <w:r w:rsidR="00FD5CA4">
        <w:rPr>
          <w:rFonts w:ascii="Times New Roman" w:hAnsi="Times New Roman" w:cs="Times New Roman"/>
          <w:sz w:val="24"/>
          <w:szCs w:val="24"/>
        </w:rPr>
        <w:t xml:space="preserve">.  </w:t>
      </w:r>
      <w:r w:rsidR="00E35D66">
        <w:rPr>
          <w:rFonts w:ascii="Times New Roman" w:hAnsi="Times New Roman" w:cs="Times New Roman"/>
          <w:sz w:val="24"/>
          <w:szCs w:val="24"/>
        </w:rPr>
        <w:t>The</w:t>
      </w:r>
      <w:r w:rsidR="00FD5CA4">
        <w:rPr>
          <w:rFonts w:ascii="Times New Roman" w:hAnsi="Times New Roman" w:cs="Times New Roman"/>
          <w:sz w:val="24"/>
          <w:szCs w:val="24"/>
        </w:rPr>
        <w:t xml:space="preserve"> resulting left</w:t>
      </w:r>
      <w:r w:rsidR="00E35D66">
        <w:rPr>
          <w:rFonts w:ascii="Times New Roman" w:hAnsi="Times New Roman" w:cs="Times New Roman"/>
          <w:sz w:val="24"/>
          <w:szCs w:val="24"/>
        </w:rPr>
        <w:t xml:space="preserve"> </w:t>
      </w:r>
      <w:r w:rsidR="00FD5CA4">
        <w:rPr>
          <w:rFonts w:ascii="Times New Roman" w:hAnsi="Times New Roman" w:cs="Times New Roman"/>
          <w:sz w:val="24"/>
          <w:szCs w:val="24"/>
        </w:rPr>
        <w:t xml:space="preserve">hand side is zero.  </w:t>
      </w:r>
      <w:r w:rsidR="00E35D66">
        <w:rPr>
          <w:rFonts w:ascii="Times New Roman" w:hAnsi="Times New Roman" w:cs="Times New Roman"/>
          <w:sz w:val="24"/>
          <w:szCs w:val="24"/>
        </w:rPr>
        <w:t xml:space="preserve">This follows from (7.25) and the assumption that </w:t>
      </w:r>
      <w:r w:rsidR="00E35D66" w:rsidRPr="00E35D66">
        <w:rPr>
          <w:rFonts w:ascii="Times New Roman" w:hAnsi="Times New Roman" w:cs="Times New Roman"/>
          <w:sz w:val="24"/>
          <w:szCs w:val="24"/>
        </w:rPr>
        <w:t>dcolrevx</w:t>
      </w:r>
      <w:r w:rsidR="00E35D66" w:rsidRPr="00E35D66">
        <w:rPr>
          <w:rFonts w:ascii="Times New Roman" w:hAnsi="Times New Roman" w:cs="Times New Roman"/>
          <w:sz w:val="24"/>
          <w:szCs w:val="24"/>
          <w:vertAlign w:val="subscript"/>
        </w:rPr>
        <w:t>s,c,</w:t>
      </w:r>
      <w:r w:rsidR="00E35D66">
        <w:rPr>
          <w:rFonts w:ascii="Times New Roman" w:hAnsi="Times New Roman" w:cs="Times New Roman"/>
          <w:sz w:val="24"/>
          <w:szCs w:val="24"/>
        </w:rPr>
        <w:t xml:space="preserve"> is zero.</w:t>
      </w:r>
      <w:r>
        <w:rPr>
          <w:rFonts w:ascii="Times New Roman" w:hAnsi="Times New Roman" w:cs="Times New Roman"/>
          <w:sz w:val="24"/>
          <w:szCs w:val="24"/>
        </w:rPr>
        <w:t xml:space="preserve">  </w:t>
      </w:r>
      <w:r w:rsidR="00E35D66">
        <w:rPr>
          <w:rFonts w:ascii="Times New Roman" w:hAnsi="Times New Roman" w:cs="Times New Roman"/>
          <w:sz w:val="24"/>
          <w:szCs w:val="24"/>
        </w:rPr>
        <w:t xml:space="preserve">On the right hand side we replace </w:t>
      </w:r>
      <w:r w:rsidR="00E35D66" w:rsidRPr="00A53FF7">
        <w:rPr>
          <w:rFonts w:ascii="Times New Roman" w:hAnsi="Times New Roman" w:cs="Times New Roman"/>
          <w:position w:val="-14"/>
          <w:sz w:val="24"/>
          <w:szCs w:val="24"/>
        </w:rPr>
        <w:object w:dxaOrig="2799" w:dyaOrig="380">
          <v:shape id="_x0000_i1112" type="#_x0000_t75" style="width:140pt;height:19pt" o:ole="">
            <v:imagedata r:id="rId181" o:title=""/>
          </v:shape>
          <o:OLEObject Type="Embed" ProgID="Equation.DSMT4" ShapeID="_x0000_i1112" DrawAspect="Content" ObjectID="_1585147770" r:id="rId182"/>
        </w:object>
      </w:r>
      <w:r w:rsidR="001730BD">
        <w:rPr>
          <w:rFonts w:ascii="Times New Roman" w:hAnsi="Times New Roman" w:cs="Times New Roman"/>
          <w:sz w:val="24"/>
          <w:szCs w:val="24"/>
        </w:rPr>
        <w:t xml:space="preserve"> </w:t>
      </w:r>
      <w:r w:rsidR="00E35D66">
        <w:rPr>
          <w:rFonts w:ascii="Times New Roman" w:hAnsi="Times New Roman" w:cs="Times New Roman"/>
          <w:sz w:val="24"/>
          <w:szCs w:val="24"/>
        </w:rPr>
        <w:t xml:space="preserve">by </w:t>
      </w:r>
      <w:r w:rsidR="00FD5CA4" w:rsidRPr="00A53FF7">
        <w:rPr>
          <w:rFonts w:ascii="Times New Roman" w:hAnsi="Times New Roman" w:cs="Times New Roman"/>
          <w:position w:val="-10"/>
          <w:sz w:val="24"/>
          <w:szCs w:val="24"/>
        </w:rPr>
        <w:object w:dxaOrig="1920" w:dyaOrig="320">
          <v:shape id="_x0000_i1113" type="#_x0000_t75" style="width:96pt;height:16pt" o:ole="">
            <v:imagedata r:id="rId183" o:title=""/>
          </v:shape>
          <o:OLEObject Type="Embed" ProgID="Equation.DSMT4" ShapeID="_x0000_i1113" DrawAspect="Content" ObjectID="_1585147771" r:id="rId184"/>
        </w:object>
      </w:r>
      <w:r w:rsidR="00E35D66">
        <w:rPr>
          <w:rFonts w:ascii="Times New Roman" w:hAnsi="Times New Roman" w:cs="Times New Roman"/>
          <w:sz w:val="24"/>
          <w:szCs w:val="24"/>
        </w:rPr>
        <w:t xml:space="preserve"> and use </w:t>
      </w:r>
      <w:r w:rsidR="00FD5CA4">
        <w:rPr>
          <w:rFonts w:ascii="Times New Roman" w:hAnsi="Times New Roman" w:cs="Times New Roman"/>
          <w:sz w:val="24"/>
          <w:szCs w:val="24"/>
        </w:rPr>
        <w:t>(7.16) to eliminate aoMel</w:t>
      </w:r>
      <w:r w:rsidR="00FD5CA4">
        <w:rPr>
          <w:rFonts w:ascii="Times New Roman" w:hAnsi="Times New Roman" w:cs="Times New Roman"/>
          <w:sz w:val="24"/>
          <w:szCs w:val="24"/>
          <w:vertAlign w:val="subscript"/>
        </w:rPr>
        <w:t>s,c</w:t>
      </w:r>
      <w:r w:rsidR="00E35D66">
        <w:rPr>
          <w:rFonts w:ascii="Times New Roman" w:hAnsi="Times New Roman" w:cs="Times New Roman"/>
          <w:sz w:val="24"/>
          <w:szCs w:val="24"/>
        </w:rPr>
        <w:t>.  After making simplifications we reach:</w:t>
      </w:r>
    </w:p>
    <w:p w:rsidR="00A53FF7" w:rsidRPr="002C7953" w:rsidRDefault="00A53FF7" w:rsidP="00842B17">
      <w:pPr>
        <w:tabs>
          <w:tab w:val="left" w:pos="630"/>
          <w:tab w:val="right" w:pos="8820"/>
        </w:tabs>
        <w:spacing w:after="0" w:line="240" w:lineRule="auto"/>
        <w:jc w:val="both"/>
        <w:rPr>
          <w:rFonts w:ascii="Times New Roman" w:hAnsi="Times New Roman" w:cs="Times New Roman"/>
          <w:sz w:val="24"/>
          <w:szCs w:val="24"/>
        </w:rPr>
      </w:pPr>
      <w:r w:rsidRPr="002C7953">
        <w:rPr>
          <w:rFonts w:ascii="Times New Roman" w:hAnsi="Times New Roman" w:cs="Times New Roman"/>
          <w:sz w:val="24"/>
          <w:szCs w:val="24"/>
        </w:rPr>
        <w:lastRenderedPageBreak/>
        <w:tab/>
        <w:t xml:space="preserve">    </w:t>
      </w:r>
      <w:r w:rsidRPr="00255D79">
        <w:rPr>
          <w:rFonts w:ascii="Times New Roman" w:hAnsi="Times New Roman" w:cs="Times New Roman"/>
          <w:position w:val="-96"/>
          <w:sz w:val="24"/>
          <w:szCs w:val="24"/>
        </w:rPr>
        <w:object w:dxaOrig="6120" w:dyaOrig="2020">
          <v:shape id="_x0000_i1114" type="#_x0000_t75" style="width:306pt;height:101pt" o:ole="">
            <v:imagedata r:id="rId185" o:title=""/>
          </v:shape>
          <o:OLEObject Type="Embed" ProgID="Equation.DSMT4" ShapeID="_x0000_i1114" DrawAspect="Content" ObjectID="_1585147772" r:id="rId186"/>
        </w:object>
      </w:r>
      <w:r>
        <w:rPr>
          <w:rFonts w:ascii="Times New Roman" w:hAnsi="Times New Roman" w:cs="Times New Roman"/>
          <w:sz w:val="24"/>
          <w:szCs w:val="24"/>
        </w:rPr>
        <w:t xml:space="preserve"> </w:t>
      </w:r>
      <w:r w:rsidRPr="002C7953">
        <w:rPr>
          <w:rFonts w:ascii="Times New Roman" w:hAnsi="Times New Roman" w:cs="Times New Roman"/>
          <w:sz w:val="24"/>
          <w:szCs w:val="24"/>
        </w:rPr>
        <w:t>.</w:t>
      </w:r>
      <w:r w:rsidRPr="002C7953">
        <w:rPr>
          <w:rFonts w:ascii="Times New Roman" w:hAnsi="Times New Roman" w:cs="Times New Roman"/>
          <w:sz w:val="24"/>
          <w:szCs w:val="24"/>
        </w:rPr>
        <w:tab/>
        <w:t>(</w:t>
      </w:r>
      <w:r>
        <w:rPr>
          <w:rFonts w:ascii="Times New Roman" w:hAnsi="Times New Roman" w:cs="Times New Roman"/>
          <w:sz w:val="24"/>
          <w:szCs w:val="24"/>
        </w:rPr>
        <w:t>7.</w:t>
      </w:r>
      <w:r w:rsidR="00E35D66">
        <w:rPr>
          <w:rFonts w:ascii="Times New Roman" w:hAnsi="Times New Roman" w:cs="Times New Roman"/>
          <w:sz w:val="24"/>
          <w:szCs w:val="24"/>
        </w:rPr>
        <w:t>19</w:t>
      </w:r>
      <w:r w:rsidRPr="002C7953">
        <w:rPr>
          <w:rFonts w:ascii="Times New Roman" w:hAnsi="Times New Roman" w:cs="Times New Roman"/>
          <w:sz w:val="24"/>
          <w:szCs w:val="24"/>
        </w:rPr>
        <w:t>)</w:t>
      </w:r>
    </w:p>
    <w:p w:rsidR="005A519D" w:rsidRDefault="005A519D" w:rsidP="00842B17">
      <w:pPr>
        <w:tabs>
          <w:tab w:val="right" w:pos="8789"/>
        </w:tabs>
        <w:jc w:val="both"/>
        <w:rPr>
          <w:rFonts w:ascii="Times New Roman" w:hAnsi="Times New Roman" w:cs="Times New Roman"/>
          <w:sz w:val="24"/>
          <w:szCs w:val="24"/>
        </w:rPr>
      </w:pPr>
      <w:r>
        <w:rPr>
          <w:rFonts w:ascii="Times New Roman" w:hAnsi="Times New Roman" w:cs="Times New Roman"/>
          <w:sz w:val="24"/>
          <w:szCs w:val="24"/>
        </w:rPr>
        <w:t xml:space="preserve">Equation (7.19) is a percentage change version of the Melitz zero-profit condition for industry s,c.  </w:t>
      </w:r>
      <w:r w:rsidRPr="005A519D">
        <w:rPr>
          <w:rFonts w:ascii="Times New Roman" w:hAnsi="Times New Roman" w:cs="Times New Roman"/>
          <w:sz w:val="24"/>
          <w:szCs w:val="24"/>
        </w:rPr>
        <w:t>Th</w:t>
      </w:r>
      <w:r>
        <w:rPr>
          <w:rFonts w:ascii="Times New Roman" w:hAnsi="Times New Roman" w:cs="Times New Roman"/>
          <w:sz w:val="24"/>
          <w:szCs w:val="24"/>
        </w:rPr>
        <w:t xml:space="preserve">is was demonstrated in </w:t>
      </w:r>
      <w:r w:rsidRPr="005A519D">
        <w:rPr>
          <w:rFonts w:ascii="Times New Roman" w:hAnsi="Times New Roman" w:cs="Times New Roman"/>
          <w:sz w:val="24"/>
          <w:szCs w:val="24"/>
        </w:rPr>
        <w:t>Appendix 4.3</w:t>
      </w:r>
      <w:r>
        <w:rPr>
          <w:rFonts w:ascii="Times New Roman" w:hAnsi="Times New Roman" w:cs="Times New Roman"/>
          <w:sz w:val="24"/>
          <w:szCs w:val="24"/>
        </w:rPr>
        <w:t xml:space="preserve"> where we </w:t>
      </w:r>
      <w:r w:rsidRPr="005A519D">
        <w:rPr>
          <w:rFonts w:ascii="Times New Roman" w:hAnsi="Times New Roman" w:cs="Times New Roman"/>
          <w:sz w:val="24"/>
          <w:szCs w:val="24"/>
        </w:rPr>
        <w:t>deriv</w:t>
      </w:r>
      <w:r>
        <w:rPr>
          <w:rFonts w:ascii="Times New Roman" w:hAnsi="Times New Roman" w:cs="Times New Roman"/>
          <w:sz w:val="24"/>
          <w:szCs w:val="24"/>
        </w:rPr>
        <w:t xml:space="preserve">ed </w:t>
      </w:r>
      <w:r w:rsidRPr="005A519D">
        <w:rPr>
          <w:rFonts w:ascii="Times New Roman" w:hAnsi="Times New Roman" w:cs="Times New Roman"/>
          <w:sz w:val="24"/>
          <w:szCs w:val="24"/>
        </w:rPr>
        <w:t>(T4.5P)</w:t>
      </w:r>
      <w:r>
        <w:rPr>
          <w:rFonts w:ascii="Times New Roman" w:hAnsi="Times New Roman" w:cs="Times New Roman"/>
          <w:sz w:val="24"/>
          <w:szCs w:val="24"/>
        </w:rPr>
        <w:t xml:space="preserve"> as the percentage change version of the zero-profit condition.  All that is required to see that (7.19) is the same as (T4.5P) is an adjustment of notation.  In (7.19) </w:t>
      </w:r>
      <w:r w:rsidRPr="005A519D">
        <w:rPr>
          <w:rFonts w:ascii="Times New Roman" w:hAnsi="Times New Roman" w:cs="Times New Roman"/>
          <w:sz w:val="24"/>
          <w:szCs w:val="24"/>
        </w:rPr>
        <w:t xml:space="preserve">we denote the market value of the sd,c flow as MARKETV(s,d,c), whereas in </w:t>
      </w:r>
      <w:r>
        <w:rPr>
          <w:rFonts w:ascii="Times New Roman" w:hAnsi="Times New Roman" w:cs="Times New Roman"/>
          <w:sz w:val="24"/>
          <w:szCs w:val="24"/>
        </w:rPr>
        <w:t xml:space="preserve">(T4.5P) </w:t>
      </w:r>
      <w:r w:rsidRPr="005A519D">
        <w:rPr>
          <w:rFonts w:ascii="Times New Roman" w:hAnsi="Times New Roman" w:cs="Times New Roman"/>
          <w:sz w:val="24"/>
          <w:szCs w:val="24"/>
        </w:rPr>
        <w:t>it was V(s,d)/T</w:t>
      </w:r>
      <w:r w:rsidRPr="005A519D">
        <w:rPr>
          <w:rFonts w:ascii="Times New Roman" w:hAnsi="Times New Roman" w:cs="Times New Roman"/>
          <w:sz w:val="24"/>
          <w:szCs w:val="24"/>
          <w:vertAlign w:val="subscript"/>
        </w:rPr>
        <w:t>sd</w:t>
      </w:r>
      <w:r w:rsidRPr="005A519D">
        <w:rPr>
          <w:rFonts w:ascii="Times New Roman" w:hAnsi="Times New Roman" w:cs="Times New Roman"/>
          <w:sz w:val="24"/>
          <w:szCs w:val="24"/>
        </w:rPr>
        <w:t>.  In (T4</w:t>
      </w:r>
      <w:r w:rsidR="00DF3AC5">
        <w:rPr>
          <w:rFonts w:ascii="Times New Roman" w:hAnsi="Times New Roman" w:cs="Times New Roman"/>
          <w:sz w:val="24"/>
          <w:szCs w:val="24"/>
        </w:rPr>
        <w:t>.</w:t>
      </w:r>
      <w:r w:rsidRPr="005A519D">
        <w:rPr>
          <w:rFonts w:ascii="Times New Roman" w:hAnsi="Times New Roman" w:cs="Times New Roman"/>
          <w:sz w:val="24"/>
          <w:szCs w:val="24"/>
        </w:rPr>
        <w:t xml:space="preserve">5P) we eliminated </w:t>
      </w:r>
      <w:r w:rsidRPr="005A519D">
        <w:rPr>
          <w:rFonts w:ascii="Times New Roman" w:hAnsi="Times New Roman" w:cs="Times New Roman"/>
          <w:sz w:val="24"/>
          <w:szCs w:val="24"/>
        </w:rPr>
        <w:sym w:font="Symbol" w:char="F061"/>
      </w:r>
      <w:r w:rsidRPr="005A519D">
        <w:rPr>
          <w:rFonts w:ascii="Times New Roman" w:hAnsi="Times New Roman" w:cs="Times New Roman"/>
          <w:sz w:val="24"/>
          <w:szCs w:val="24"/>
        </w:rPr>
        <w:t xml:space="preserve"> in favor of </w:t>
      </w:r>
      <w:r w:rsidRPr="005A519D">
        <w:rPr>
          <w:rFonts w:ascii="Times New Roman" w:hAnsi="Times New Roman" w:cs="Times New Roman"/>
          <w:sz w:val="24"/>
          <w:szCs w:val="24"/>
        </w:rPr>
        <w:sym w:font="Symbol" w:char="F062"/>
      </w:r>
      <w:r w:rsidRPr="005A519D">
        <w:rPr>
          <w:rFonts w:ascii="Times New Roman" w:hAnsi="Times New Roman" w:cs="Times New Roman"/>
          <w:sz w:val="24"/>
          <w:szCs w:val="24"/>
        </w:rPr>
        <w:t xml:space="preserve"> by using (A2.1.7).  In (7.19), we retain </w:t>
      </w:r>
      <w:r w:rsidRPr="005A519D">
        <w:rPr>
          <w:rFonts w:ascii="Times New Roman" w:hAnsi="Times New Roman" w:cs="Times New Roman"/>
          <w:sz w:val="24"/>
          <w:szCs w:val="24"/>
        </w:rPr>
        <w:sym w:font="Symbol" w:char="F061"/>
      </w:r>
      <w:r w:rsidRPr="005A519D">
        <w:rPr>
          <w:rFonts w:ascii="Times New Roman" w:hAnsi="Times New Roman" w:cs="Times New Roman"/>
          <w:sz w:val="24"/>
          <w:szCs w:val="24"/>
        </w:rPr>
        <w:t xml:space="preserve">.  Finally, in the first term on the RHS of (7.19) we use </w:t>
      </w:r>
      <w:r w:rsidRPr="005A519D">
        <w:rPr>
          <w:rFonts w:ascii="Times New Roman" w:hAnsi="Times New Roman" w:cs="Times New Roman"/>
          <w:position w:val="-14"/>
          <w:sz w:val="24"/>
          <w:szCs w:val="24"/>
        </w:rPr>
        <w:object w:dxaOrig="1160" w:dyaOrig="380">
          <v:shape id="_x0000_i1115" type="#_x0000_t75" style="width:58pt;height:19pt" o:ole="">
            <v:imagedata r:id="rId187" o:title=""/>
          </v:shape>
          <o:OLEObject Type="Embed" ProgID="Equation.DSMT4" ShapeID="_x0000_i1115" DrawAspect="Content" ObjectID="_1585147773" r:id="rId188"/>
        </w:object>
      </w:r>
      <w:r w:rsidRPr="005A519D">
        <w:rPr>
          <w:rFonts w:ascii="Times New Roman" w:hAnsi="Times New Roman" w:cs="Times New Roman"/>
          <w:sz w:val="24"/>
          <w:szCs w:val="24"/>
        </w:rPr>
        <w:t xml:space="preserve"> instead of </w:t>
      </w:r>
      <w:r w:rsidRPr="005A519D">
        <w:rPr>
          <w:rFonts w:ascii="Times New Roman" w:hAnsi="Times New Roman" w:cs="Times New Roman"/>
          <w:position w:val="-14"/>
          <w:sz w:val="24"/>
          <w:szCs w:val="24"/>
        </w:rPr>
        <w:object w:dxaOrig="1219" w:dyaOrig="380">
          <v:shape id="_x0000_i1116" type="#_x0000_t75" style="width:61pt;height:19pt" o:ole="">
            <v:imagedata r:id="rId189" o:title=""/>
          </v:shape>
          <o:OLEObject Type="Embed" ProgID="Equation.DSMT4" ShapeID="_x0000_i1116" DrawAspect="Content" ObjectID="_1585147774" r:id="rId190"/>
        </w:object>
      </w:r>
      <w:r w:rsidRPr="005A519D">
        <w:rPr>
          <w:rFonts w:ascii="Times New Roman" w:hAnsi="Times New Roman" w:cs="Times New Roman"/>
          <w:sz w:val="24"/>
          <w:szCs w:val="24"/>
        </w:rPr>
        <w:t xml:space="preserve">.  The equivalence of these two terms follows from </w:t>
      </w:r>
      <w:r>
        <w:rPr>
          <w:rFonts w:ascii="Times New Roman" w:hAnsi="Times New Roman" w:cs="Times New Roman"/>
          <w:sz w:val="24"/>
          <w:szCs w:val="24"/>
        </w:rPr>
        <w:t>(</w:t>
      </w:r>
      <w:r w:rsidRPr="005A519D">
        <w:rPr>
          <w:rFonts w:ascii="Times New Roman" w:hAnsi="Times New Roman" w:cs="Times New Roman"/>
          <w:sz w:val="24"/>
          <w:szCs w:val="24"/>
        </w:rPr>
        <w:t>T7.1) to (T7.5) and (T7.18) with ftxMel</w:t>
      </w:r>
      <w:r w:rsidRPr="005A519D">
        <w:rPr>
          <w:rFonts w:ascii="Times New Roman" w:hAnsi="Times New Roman" w:cs="Times New Roman"/>
          <w:sz w:val="24"/>
          <w:szCs w:val="24"/>
          <w:vertAlign w:val="subscript"/>
        </w:rPr>
        <w:t>sd,c</w:t>
      </w:r>
      <w:r w:rsidRPr="005A519D">
        <w:rPr>
          <w:rFonts w:ascii="Times New Roman" w:hAnsi="Times New Roman" w:cs="Times New Roman"/>
          <w:sz w:val="24"/>
          <w:szCs w:val="24"/>
        </w:rPr>
        <w:t xml:space="preserve"> set exogenously on zero.</w:t>
      </w:r>
      <w:r>
        <w:rPr>
          <w:rFonts w:ascii="Times New Roman" w:hAnsi="Times New Roman" w:cs="Times New Roman"/>
        </w:rPr>
        <w:t xml:space="preserve"> </w:t>
      </w:r>
      <w:r>
        <w:rPr>
          <w:rFonts w:ascii="Times New Roman" w:hAnsi="Times New Roman" w:cs="Times New Roman"/>
          <w:sz w:val="24"/>
          <w:szCs w:val="24"/>
        </w:rPr>
        <w:t xml:space="preserve"> </w:t>
      </w:r>
    </w:p>
    <w:p w:rsidR="000F108B" w:rsidRDefault="00CD27AE" w:rsidP="00842B17">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ab/>
        <w:t xml:space="preserve">The beginning of this section set the task of describing how equations (T7.17) to (T7.25) </w:t>
      </w:r>
      <w:r w:rsidR="000F108B">
        <w:rPr>
          <w:rFonts w:ascii="Times New Roman" w:hAnsi="Times New Roman" w:cs="Times New Roman"/>
          <w:sz w:val="24"/>
          <w:szCs w:val="24"/>
        </w:rPr>
        <w:t xml:space="preserve">which complete the A2M system </w:t>
      </w:r>
      <w:r>
        <w:rPr>
          <w:rFonts w:ascii="Times New Roman" w:hAnsi="Times New Roman" w:cs="Times New Roman"/>
          <w:sz w:val="24"/>
          <w:szCs w:val="24"/>
        </w:rPr>
        <w:t>can be used to convert t</w:t>
      </w:r>
      <w:r w:rsidR="000F108B">
        <w:rPr>
          <w:rFonts w:ascii="Times New Roman" w:hAnsi="Times New Roman" w:cs="Times New Roman"/>
          <w:sz w:val="24"/>
          <w:szCs w:val="24"/>
        </w:rPr>
        <w:t xml:space="preserve">he </w:t>
      </w:r>
      <w:r w:rsidR="001869D2">
        <w:rPr>
          <w:rFonts w:ascii="Times New Roman" w:hAnsi="Times New Roman" w:cs="Times New Roman"/>
          <w:sz w:val="24"/>
          <w:szCs w:val="24"/>
        </w:rPr>
        <w:t>Basic</w:t>
      </w:r>
      <w:r w:rsidR="000F108B">
        <w:rPr>
          <w:rFonts w:ascii="Times New Roman" w:hAnsi="Times New Roman" w:cs="Times New Roman"/>
          <w:sz w:val="24"/>
          <w:szCs w:val="24"/>
        </w:rPr>
        <w:t>Arm</w:t>
      </w:r>
      <w:r>
        <w:rPr>
          <w:rFonts w:ascii="Times New Roman" w:hAnsi="Times New Roman" w:cs="Times New Roman"/>
          <w:sz w:val="24"/>
          <w:szCs w:val="24"/>
        </w:rPr>
        <w:t xml:space="preserve">ington model into the Melitz model </w:t>
      </w:r>
      <w:r w:rsidRPr="00CD27AE">
        <w:rPr>
          <w:rFonts w:ascii="Times New Roman" w:hAnsi="Times New Roman" w:cs="Times New Roman"/>
          <w:sz w:val="24"/>
          <w:szCs w:val="24"/>
        </w:rPr>
        <w:t>set out</w:t>
      </w:r>
      <w:r>
        <w:rPr>
          <w:rFonts w:ascii="Times New Roman" w:hAnsi="Times New Roman" w:cs="Times New Roman"/>
          <w:sz w:val="24"/>
          <w:szCs w:val="24"/>
        </w:rPr>
        <w:t xml:space="preserve"> in equations (T2.1) - (T2.12)</w:t>
      </w:r>
      <w:r w:rsidRPr="00CD27AE">
        <w:rPr>
          <w:rFonts w:ascii="Times New Roman" w:hAnsi="Times New Roman" w:cs="Times New Roman"/>
          <w:sz w:val="24"/>
          <w:szCs w:val="24"/>
        </w:rPr>
        <w:t xml:space="preserve"> plus (5.1) </w:t>
      </w:r>
      <w:r>
        <w:rPr>
          <w:rFonts w:ascii="Times New Roman" w:hAnsi="Times New Roman" w:cs="Times New Roman"/>
          <w:sz w:val="24"/>
          <w:szCs w:val="24"/>
        </w:rPr>
        <w:t>-</w:t>
      </w:r>
      <w:r w:rsidRPr="00CD27AE">
        <w:rPr>
          <w:rFonts w:ascii="Times New Roman" w:hAnsi="Times New Roman" w:cs="Times New Roman"/>
          <w:sz w:val="24"/>
          <w:szCs w:val="24"/>
        </w:rPr>
        <w:t xml:space="preserve"> (5.4)</w:t>
      </w:r>
      <w:r>
        <w:rPr>
          <w:rFonts w:ascii="Times New Roman" w:hAnsi="Times New Roman" w:cs="Times New Roman"/>
          <w:sz w:val="24"/>
          <w:szCs w:val="24"/>
        </w:rPr>
        <w:t>.  We have now completed the task with respect to (T2.1) - (T2.12).  What about (5.1) – (5.4)?  In combination with other equations in Table 7.1, equation (T7.14) is a percentage change version of (5.1).  With dcolrevx</w:t>
      </w:r>
      <w:r>
        <w:rPr>
          <w:rFonts w:ascii="Times New Roman" w:hAnsi="Times New Roman" w:cs="Times New Roman"/>
          <w:sz w:val="24"/>
          <w:szCs w:val="24"/>
          <w:vertAlign w:val="subscript"/>
        </w:rPr>
        <w:t>s,c</w:t>
      </w:r>
      <w:r>
        <w:rPr>
          <w:rFonts w:ascii="Times New Roman" w:hAnsi="Times New Roman" w:cs="Times New Roman"/>
          <w:sz w:val="24"/>
          <w:szCs w:val="24"/>
        </w:rPr>
        <w:t xml:space="preserve"> set exogenously on zero for all s and c, equation (T7.13) is a percentage change version of (5.3).  Equations (T7.11) and (T7.9) are p</w:t>
      </w:r>
      <w:r w:rsidR="000F108B">
        <w:rPr>
          <w:rFonts w:ascii="Times New Roman" w:hAnsi="Times New Roman" w:cs="Times New Roman"/>
          <w:sz w:val="24"/>
          <w:szCs w:val="24"/>
        </w:rPr>
        <w:t>er</w:t>
      </w:r>
      <w:r>
        <w:rPr>
          <w:rFonts w:ascii="Times New Roman" w:hAnsi="Times New Roman" w:cs="Times New Roman"/>
          <w:sz w:val="24"/>
          <w:szCs w:val="24"/>
        </w:rPr>
        <w:t xml:space="preserve">centage change versions of </w:t>
      </w:r>
      <w:r w:rsidR="000F108B">
        <w:rPr>
          <w:rFonts w:ascii="Times New Roman" w:hAnsi="Times New Roman" w:cs="Times New Roman"/>
          <w:sz w:val="24"/>
          <w:szCs w:val="24"/>
        </w:rPr>
        <w:t>(</w:t>
      </w:r>
      <w:r>
        <w:rPr>
          <w:rFonts w:ascii="Times New Roman" w:hAnsi="Times New Roman" w:cs="Times New Roman"/>
          <w:sz w:val="24"/>
          <w:szCs w:val="24"/>
        </w:rPr>
        <w:t>5.2</w:t>
      </w:r>
      <w:r w:rsidR="000F108B">
        <w:rPr>
          <w:rFonts w:ascii="Times New Roman" w:hAnsi="Times New Roman" w:cs="Times New Roman"/>
          <w:sz w:val="24"/>
          <w:szCs w:val="24"/>
        </w:rPr>
        <w:t>)</w:t>
      </w:r>
      <w:r>
        <w:rPr>
          <w:rFonts w:ascii="Times New Roman" w:hAnsi="Times New Roman" w:cs="Times New Roman"/>
          <w:sz w:val="24"/>
          <w:szCs w:val="24"/>
        </w:rPr>
        <w:t xml:space="preserve"> and </w:t>
      </w:r>
      <w:r w:rsidR="000F108B">
        <w:rPr>
          <w:rFonts w:ascii="Times New Roman" w:hAnsi="Times New Roman" w:cs="Times New Roman"/>
          <w:sz w:val="24"/>
          <w:szCs w:val="24"/>
        </w:rPr>
        <w:t>(</w:t>
      </w:r>
      <w:r>
        <w:rPr>
          <w:rFonts w:ascii="Times New Roman" w:hAnsi="Times New Roman" w:cs="Times New Roman"/>
          <w:sz w:val="24"/>
          <w:szCs w:val="24"/>
        </w:rPr>
        <w:t>5.4</w:t>
      </w:r>
      <w:r w:rsidR="000F108B">
        <w:rPr>
          <w:rFonts w:ascii="Times New Roman" w:hAnsi="Times New Roman" w:cs="Times New Roman"/>
          <w:sz w:val="24"/>
          <w:szCs w:val="24"/>
        </w:rPr>
        <w:t>)</w:t>
      </w:r>
      <w:r>
        <w:rPr>
          <w:rFonts w:ascii="Times New Roman" w:hAnsi="Times New Roman" w:cs="Times New Roman"/>
          <w:sz w:val="24"/>
          <w:szCs w:val="24"/>
        </w:rPr>
        <w:t xml:space="preserve">.  </w:t>
      </w:r>
    </w:p>
    <w:p w:rsidR="000F108B" w:rsidRPr="00B97691" w:rsidRDefault="000F108B" w:rsidP="00842B17">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ab/>
        <w:t>Table 7.2 shows the Melitz closure of the A2M system.  As can be seen from the table, in moving from the Armington closure to the Melitz closure, we exogenize dcolrevx</w:t>
      </w:r>
      <w:r>
        <w:rPr>
          <w:rFonts w:ascii="Times New Roman" w:hAnsi="Times New Roman" w:cs="Times New Roman"/>
          <w:sz w:val="24"/>
          <w:szCs w:val="24"/>
          <w:vertAlign w:val="subscript"/>
        </w:rPr>
        <w:t>s,c</w:t>
      </w:r>
      <w:r>
        <w:rPr>
          <w:rFonts w:ascii="Times New Roman" w:hAnsi="Times New Roman" w:cs="Times New Roman"/>
          <w:sz w:val="24"/>
          <w:szCs w:val="24"/>
        </w:rPr>
        <w:t xml:space="preserve"> together with the shift variables in (T7.18), (T7.19) and (T7.20).  </w:t>
      </w:r>
      <w:r w:rsidR="00B97691">
        <w:rPr>
          <w:rFonts w:ascii="Times New Roman" w:hAnsi="Times New Roman" w:cs="Times New Roman"/>
          <w:sz w:val="24"/>
          <w:szCs w:val="24"/>
        </w:rPr>
        <w:t>Correspondingly, we endogenize movements in the number of firms in each industry (n</w:t>
      </w:r>
      <w:r w:rsidR="00B97691">
        <w:rPr>
          <w:rFonts w:ascii="Times New Roman" w:hAnsi="Times New Roman" w:cs="Times New Roman"/>
          <w:sz w:val="24"/>
          <w:szCs w:val="24"/>
          <w:vertAlign w:val="subscript"/>
        </w:rPr>
        <w:t>s,c</w:t>
      </w:r>
      <w:r w:rsidR="00B97691">
        <w:rPr>
          <w:rFonts w:ascii="Times New Roman" w:hAnsi="Times New Roman" w:cs="Times New Roman"/>
          <w:sz w:val="24"/>
          <w:szCs w:val="24"/>
        </w:rPr>
        <w:t>), productivity in each industry (aoMel</w:t>
      </w:r>
      <w:r w:rsidR="00B97691">
        <w:rPr>
          <w:rFonts w:ascii="Times New Roman" w:hAnsi="Times New Roman" w:cs="Times New Roman"/>
          <w:sz w:val="24"/>
          <w:szCs w:val="24"/>
          <w:vertAlign w:val="subscript"/>
        </w:rPr>
        <w:t>s,c</w:t>
      </w:r>
      <w:r w:rsidR="00B97691">
        <w:rPr>
          <w:rFonts w:ascii="Times New Roman" w:hAnsi="Times New Roman" w:cs="Times New Roman"/>
          <w:sz w:val="24"/>
          <w:szCs w:val="24"/>
        </w:rPr>
        <w:t>), household preferences over sources (aaMel</w:t>
      </w:r>
      <w:r w:rsidR="00B97691">
        <w:rPr>
          <w:rFonts w:ascii="Times New Roman" w:hAnsi="Times New Roman" w:cs="Times New Roman"/>
          <w:sz w:val="24"/>
          <w:szCs w:val="24"/>
          <w:vertAlign w:val="subscript"/>
        </w:rPr>
        <w:t>sd,c</w:t>
      </w:r>
      <w:r w:rsidR="00B97691">
        <w:rPr>
          <w:rFonts w:ascii="Times New Roman" w:hAnsi="Times New Roman" w:cs="Times New Roman"/>
          <w:sz w:val="24"/>
          <w:szCs w:val="24"/>
        </w:rPr>
        <w:t>) and factory-door tax rates (txMel</w:t>
      </w:r>
      <w:r w:rsidR="00B97691">
        <w:rPr>
          <w:rFonts w:ascii="Times New Roman" w:hAnsi="Times New Roman" w:cs="Times New Roman"/>
          <w:sz w:val="24"/>
          <w:szCs w:val="24"/>
          <w:vertAlign w:val="subscript"/>
        </w:rPr>
        <w:t>sd,c</w:t>
      </w:r>
      <w:r w:rsidR="00B97691">
        <w:rPr>
          <w:rFonts w:ascii="Times New Roman" w:hAnsi="Times New Roman" w:cs="Times New Roman"/>
          <w:sz w:val="24"/>
          <w:szCs w:val="24"/>
        </w:rPr>
        <w:t>).  This last endogenization allows movements in destination-specific productivity variables (</w:t>
      </w:r>
      <w:r w:rsidR="00B97691" w:rsidRPr="00B97691">
        <w:rPr>
          <w:rFonts w:ascii="Times New Roman" w:hAnsi="Times New Roman" w:cs="Times New Roman"/>
          <w:position w:val="-14"/>
          <w:sz w:val="24"/>
          <w:szCs w:val="24"/>
        </w:rPr>
        <w:object w:dxaOrig="499" w:dyaOrig="380">
          <v:shape id="_x0000_i1117" type="#_x0000_t75" style="width:25pt;height:19pt" o:ole="">
            <v:imagedata r:id="rId191" o:title=""/>
          </v:shape>
          <o:OLEObject Type="Embed" ProgID="Equation.DSMT4" ShapeID="_x0000_i1117" DrawAspect="Content" ObjectID="_1585147775" r:id="rId192"/>
        </w:object>
      </w:r>
      <w:r w:rsidR="00B97691">
        <w:rPr>
          <w:rFonts w:ascii="Times New Roman" w:hAnsi="Times New Roman" w:cs="Times New Roman"/>
          <w:sz w:val="24"/>
          <w:szCs w:val="24"/>
        </w:rPr>
        <w:t xml:space="preserve">) to affect market prices in accordance with Melitz theory.  </w:t>
      </w:r>
    </w:p>
    <w:p w:rsidR="00842B17" w:rsidRDefault="00842B17" w:rsidP="00842B17">
      <w:pPr>
        <w:spacing w:before="360" w:after="360" w:line="240" w:lineRule="auto"/>
        <w:rPr>
          <w:rFonts w:ascii="Times New Roman" w:hAnsi="Times New Roman" w:cs="Times New Roman"/>
          <w:b/>
          <w:sz w:val="24"/>
          <w:szCs w:val="24"/>
        </w:rPr>
      </w:pPr>
      <w:r>
        <w:rPr>
          <w:rFonts w:ascii="Times New Roman" w:hAnsi="Times New Roman" w:cs="Times New Roman"/>
          <w:b/>
          <w:bCs/>
          <w:iCs/>
          <w:sz w:val="28"/>
          <w:szCs w:val="28"/>
          <w:lang w:val="en-AU"/>
        </w:rPr>
        <w:t>7</w:t>
      </w:r>
      <w:r w:rsidRPr="001856A7">
        <w:rPr>
          <w:rFonts w:ascii="Times New Roman" w:hAnsi="Times New Roman" w:cs="Times New Roman"/>
          <w:b/>
          <w:bCs/>
          <w:iCs/>
          <w:sz w:val="28"/>
          <w:szCs w:val="28"/>
          <w:lang w:val="en-AU"/>
        </w:rPr>
        <w:t>.</w:t>
      </w:r>
      <w:r>
        <w:rPr>
          <w:rFonts w:ascii="Times New Roman" w:hAnsi="Times New Roman" w:cs="Times New Roman"/>
          <w:b/>
          <w:bCs/>
          <w:iCs/>
          <w:sz w:val="28"/>
          <w:szCs w:val="28"/>
          <w:lang w:val="en-AU"/>
        </w:rPr>
        <w:t>3</w:t>
      </w:r>
      <w:r w:rsidRPr="001856A7">
        <w:rPr>
          <w:rFonts w:ascii="Times New Roman" w:hAnsi="Times New Roman" w:cs="Times New Roman"/>
          <w:b/>
          <w:bCs/>
          <w:iCs/>
          <w:sz w:val="28"/>
          <w:szCs w:val="28"/>
          <w:lang w:val="en-AU"/>
        </w:rPr>
        <w:t xml:space="preserve">.  </w:t>
      </w:r>
      <w:r w:rsidR="00E74449">
        <w:rPr>
          <w:rFonts w:ascii="Times New Roman" w:hAnsi="Times New Roman" w:cs="Times New Roman"/>
          <w:b/>
          <w:sz w:val="28"/>
          <w:szCs w:val="28"/>
        </w:rPr>
        <w:t xml:space="preserve">Data for </w:t>
      </w:r>
      <w:r>
        <w:rPr>
          <w:rFonts w:ascii="Times New Roman" w:hAnsi="Times New Roman" w:cs="Times New Roman"/>
          <w:b/>
          <w:sz w:val="28"/>
          <w:szCs w:val="28"/>
        </w:rPr>
        <w:t xml:space="preserve">the </w:t>
      </w:r>
      <w:r w:rsidR="009C69D3">
        <w:rPr>
          <w:rFonts w:ascii="Times New Roman" w:hAnsi="Times New Roman" w:cs="Times New Roman"/>
          <w:b/>
          <w:sz w:val="28"/>
          <w:szCs w:val="28"/>
        </w:rPr>
        <w:t>BasicArmington-</w:t>
      </w:r>
      <w:r>
        <w:rPr>
          <w:rFonts w:ascii="Times New Roman" w:hAnsi="Times New Roman" w:cs="Times New Roman"/>
          <w:b/>
          <w:sz w:val="28"/>
          <w:szCs w:val="28"/>
        </w:rPr>
        <w:t>A2M system</w:t>
      </w:r>
    </w:p>
    <w:p w:rsidR="00DD10D4" w:rsidRDefault="00DD10D4" w:rsidP="00DD10D4">
      <w:pPr>
        <w:spacing w:before="360" w:after="360" w:line="240" w:lineRule="auto"/>
        <w:rPr>
          <w:rFonts w:ascii="Times New Roman" w:hAnsi="Times New Roman" w:cs="Times New Roman"/>
          <w:b/>
          <w:sz w:val="24"/>
          <w:szCs w:val="24"/>
        </w:rPr>
      </w:pPr>
      <w:r>
        <w:rPr>
          <w:rFonts w:ascii="Times New Roman" w:hAnsi="Times New Roman" w:cs="Times New Roman"/>
          <w:b/>
          <w:bCs/>
          <w:iCs/>
          <w:sz w:val="28"/>
          <w:szCs w:val="28"/>
          <w:lang w:val="en-AU"/>
        </w:rPr>
        <w:t>7</w:t>
      </w:r>
      <w:r w:rsidRPr="001856A7">
        <w:rPr>
          <w:rFonts w:ascii="Times New Roman" w:hAnsi="Times New Roman" w:cs="Times New Roman"/>
          <w:b/>
          <w:bCs/>
          <w:iCs/>
          <w:sz w:val="28"/>
          <w:szCs w:val="28"/>
          <w:lang w:val="en-AU"/>
        </w:rPr>
        <w:t>.</w:t>
      </w:r>
      <w:r>
        <w:rPr>
          <w:rFonts w:ascii="Times New Roman" w:hAnsi="Times New Roman" w:cs="Times New Roman"/>
          <w:b/>
          <w:bCs/>
          <w:iCs/>
          <w:sz w:val="28"/>
          <w:szCs w:val="28"/>
          <w:lang w:val="en-AU"/>
        </w:rPr>
        <w:t>4</w:t>
      </w:r>
      <w:r w:rsidRPr="001856A7">
        <w:rPr>
          <w:rFonts w:ascii="Times New Roman" w:hAnsi="Times New Roman" w:cs="Times New Roman"/>
          <w:b/>
          <w:bCs/>
          <w:iCs/>
          <w:sz w:val="28"/>
          <w:szCs w:val="28"/>
          <w:lang w:val="en-AU"/>
        </w:rPr>
        <w:t xml:space="preserve">.  </w:t>
      </w:r>
      <w:r>
        <w:rPr>
          <w:rFonts w:ascii="Times New Roman" w:hAnsi="Times New Roman" w:cs="Times New Roman"/>
          <w:b/>
          <w:sz w:val="28"/>
          <w:szCs w:val="28"/>
        </w:rPr>
        <w:t xml:space="preserve">Illustrative simulations with the </w:t>
      </w:r>
      <w:r w:rsidR="009C69D3">
        <w:rPr>
          <w:rFonts w:ascii="Times New Roman" w:hAnsi="Times New Roman" w:cs="Times New Roman"/>
          <w:b/>
          <w:sz w:val="28"/>
          <w:szCs w:val="28"/>
        </w:rPr>
        <w:t>BasicArmington-</w:t>
      </w:r>
      <w:r>
        <w:rPr>
          <w:rFonts w:ascii="Times New Roman" w:hAnsi="Times New Roman" w:cs="Times New Roman"/>
          <w:b/>
          <w:sz w:val="28"/>
          <w:szCs w:val="28"/>
        </w:rPr>
        <w:t>A2M system</w:t>
      </w:r>
    </w:p>
    <w:p w:rsidR="00A86F9C" w:rsidRDefault="00A86F9C" w:rsidP="00A86F9C">
      <w:pPr>
        <w:spacing w:before="360" w:after="360" w:line="240" w:lineRule="auto"/>
        <w:rPr>
          <w:rFonts w:ascii="Times New Roman" w:hAnsi="Times New Roman" w:cs="Times New Roman"/>
          <w:b/>
          <w:sz w:val="28"/>
          <w:szCs w:val="28"/>
        </w:rPr>
      </w:pPr>
      <w:r>
        <w:rPr>
          <w:rFonts w:ascii="Times New Roman" w:hAnsi="Times New Roman" w:cs="Times New Roman"/>
          <w:b/>
          <w:bCs/>
          <w:iCs/>
          <w:sz w:val="28"/>
          <w:szCs w:val="28"/>
          <w:lang w:val="en-AU"/>
        </w:rPr>
        <w:t>7</w:t>
      </w:r>
      <w:r w:rsidRPr="001856A7">
        <w:rPr>
          <w:rFonts w:ascii="Times New Roman" w:hAnsi="Times New Roman" w:cs="Times New Roman"/>
          <w:b/>
          <w:bCs/>
          <w:iCs/>
          <w:sz w:val="28"/>
          <w:szCs w:val="28"/>
          <w:lang w:val="en-AU"/>
        </w:rPr>
        <w:t>.</w:t>
      </w:r>
      <w:r>
        <w:rPr>
          <w:rFonts w:ascii="Times New Roman" w:hAnsi="Times New Roman" w:cs="Times New Roman"/>
          <w:b/>
          <w:bCs/>
          <w:iCs/>
          <w:sz w:val="28"/>
          <w:szCs w:val="28"/>
          <w:lang w:val="en-AU"/>
        </w:rPr>
        <w:t>5</w:t>
      </w:r>
      <w:r w:rsidRPr="001856A7">
        <w:rPr>
          <w:rFonts w:ascii="Times New Roman" w:hAnsi="Times New Roman" w:cs="Times New Roman"/>
          <w:b/>
          <w:bCs/>
          <w:iCs/>
          <w:sz w:val="28"/>
          <w:szCs w:val="28"/>
          <w:lang w:val="en-AU"/>
        </w:rPr>
        <w:t xml:space="preserve">.  </w:t>
      </w:r>
      <w:r>
        <w:rPr>
          <w:rFonts w:ascii="Times New Roman" w:hAnsi="Times New Roman" w:cs="Times New Roman"/>
          <w:b/>
          <w:sz w:val="28"/>
          <w:szCs w:val="28"/>
        </w:rPr>
        <w:t>Converting the GTAP model to Melitz: the GTAP-A2M system</w:t>
      </w:r>
    </w:p>
    <w:p w:rsidR="00835997" w:rsidRDefault="000A7E9D"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This section describes the application of our A2M</w:t>
      </w:r>
      <w:r w:rsidR="006561A1">
        <w:rPr>
          <w:rFonts w:ascii="Times New Roman" w:hAnsi="Times New Roman" w:cs="Times New Roman"/>
          <w:sz w:val="24"/>
          <w:szCs w:val="24"/>
        </w:rPr>
        <w:t xml:space="preserve"> method to create a GTAP model in which industries can be treated as either Armington or Melitz.  The GEMPACK code for this Melitz-enhanced version of GTAP </w:t>
      </w:r>
      <w:r>
        <w:rPr>
          <w:rFonts w:ascii="Times New Roman" w:hAnsi="Times New Roman" w:cs="Times New Roman"/>
          <w:sz w:val="24"/>
          <w:szCs w:val="24"/>
        </w:rPr>
        <w:t xml:space="preserve">can be downloaded from </w:t>
      </w:r>
      <w:r w:rsidR="009B0E9B">
        <w:rPr>
          <w:rFonts w:ascii="Times New Roman" w:hAnsi="Times New Roman" w:cs="Times New Roman"/>
          <w:sz w:val="24"/>
          <w:szCs w:val="24"/>
        </w:rPr>
        <w:t>(see Springer book)</w:t>
      </w:r>
      <w:r w:rsidR="006561A1">
        <w:rPr>
          <w:rFonts w:ascii="Times New Roman" w:hAnsi="Times New Roman" w:cs="Times New Roman"/>
          <w:sz w:val="24"/>
          <w:szCs w:val="24"/>
        </w:rPr>
        <w:t xml:space="preserve">.  Readers can follow the changes </w:t>
      </w:r>
      <w:r>
        <w:rPr>
          <w:rFonts w:ascii="Times New Roman" w:hAnsi="Times New Roman" w:cs="Times New Roman"/>
          <w:sz w:val="24"/>
          <w:szCs w:val="24"/>
        </w:rPr>
        <w:t xml:space="preserve">and additions </w:t>
      </w:r>
      <w:r w:rsidR="006561A1">
        <w:rPr>
          <w:rFonts w:ascii="Times New Roman" w:hAnsi="Times New Roman" w:cs="Times New Roman"/>
          <w:sz w:val="24"/>
          <w:szCs w:val="24"/>
        </w:rPr>
        <w:t xml:space="preserve">we made to the </w:t>
      </w:r>
      <w:r>
        <w:rPr>
          <w:rFonts w:ascii="Times New Roman" w:hAnsi="Times New Roman" w:cs="Times New Roman"/>
          <w:sz w:val="24"/>
          <w:szCs w:val="24"/>
        </w:rPr>
        <w:t xml:space="preserve">original GTAP </w:t>
      </w:r>
      <w:r w:rsidR="002C0687">
        <w:rPr>
          <w:rFonts w:ascii="Times New Roman" w:hAnsi="Times New Roman" w:cs="Times New Roman"/>
          <w:sz w:val="24"/>
          <w:szCs w:val="24"/>
        </w:rPr>
        <w:t xml:space="preserve">code </w:t>
      </w:r>
      <w:r w:rsidR="006561A1">
        <w:rPr>
          <w:rFonts w:ascii="Times New Roman" w:hAnsi="Times New Roman" w:cs="Times New Roman"/>
          <w:sz w:val="24"/>
          <w:szCs w:val="24"/>
        </w:rPr>
        <w:t xml:space="preserve">by looking at notes </w:t>
      </w:r>
      <w:r>
        <w:rPr>
          <w:rFonts w:ascii="Times New Roman" w:hAnsi="Times New Roman" w:cs="Times New Roman"/>
          <w:sz w:val="24"/>
          <w:szCs w:val="24"/>
        </w:rPr>
        <w:t xml:space="preserve">in the code </w:t>
      </w:r>
      <w:r w:rsidR="006561A1">
        <w:rPr>
          <w:rFonts w:ascii="Times New Roman" w:hAnsi="Times New Roman" w:cs="Times New Roman"/>
          <w:sz w:val="24"/>
          <w:szCs w:val="24"/>
        </w:rPr>
        <w:lastRenderedPageBreak/>
        <w:t>marked with our initial</w:t>
      </w:r>
      <w:r w:rsidR="002C0687">
        <w:rPr>
          <w:rFonts w:ascii="Times New Roman" w:hAnsi="Times New Roman" w:cs="Times New Roman"/>
          <w:sz w:val="24"/>
          <w:szCs w:val="24"/>
        </w:rPr>
        <w:t>s,</w:t>
      </w:r>
      <w:r w:rsidR="006561A1">
        <w:rPr>
          <w:rFonts w:ascii="Times New Roman" w:hAnsi="Times New Roman" w:cs="Times New Roman"/>
          <w:sz w:val="24"/>
          <w:szCs w:val="24"/>
        </w:rPr>
        <w:t xml:space="preserve"> </w:t>
      </w:r>
      <w:r w:rsidR="002C0687">
        <w:rPr>
          <w:rFonts w:ascii="Times New Roman" w:hAnsi="Times New Roman" w:cs="Times New Roman"/>
          <w:sz w:val="24"/>
          <w:szCs w:val="24"/>
        </w:rPr>
        <w:t>PD</w:t>
      </w:r>
      <w:r>
        <w:rPr>
          <w:rFonts w:ascii="Times New Roman" w:hAnsi="Times New Roman" w:cs="Times New Roman"/>
          <w:sz w:val="24"/>
          <w:szCs w:val="24"/>
        </w:rPr>
        <w:t>MJ</w:t>
      </w:r>
      <w:r w:rsidR="002C0687">
        <w:rPr>
          <w:rFonts w:ascii="Times New Roman" w:hAnsi="Times New Roman" w:cs="Times New Roman"/>
          <w:sz w:val="24"/>
          <w:szCs w:val="24"/>
        </w:rPr>
        <w:t xml:space="preserve">MR.  </w:t>
      </w:r>
      <w:r>
        <w:rPr>
          <w:rFonts w:ascii="Times New Roman" w:hAnsi="Times New Roman" w:cs="Times New Roman"/>
          <w:sz w:val="24"/>
          <w:szCs w:val="24"/>
        </w:rPr>
        <w:t xml:space="preserve">We created the </w:t>
      </w:r>
      <w:r w:rsidR="002C0687">
        <w:rPr>
          <w:rFonts w:ascii="Times New Roman" w:hAnsi="Times New Roman" w:cs="Times New Roman"/>
          <w:sz w:val="24"/>
          <w:szCs w:val="24"/>
        </w:rPr>
        <w:t xml:space="preserve">Melitz-enhanced version of GTAP </w:t>
      </w:r>
      <w:r>
        <w:rPr>
          <w:rFonts w:ascii="Times New Roman" w:hAnsi="Times New Roman" w:cs="Times New Roman"/>
          <w:sz w:val="24"/>
          <w:szCs w:val="24"/>
        </w:rPr>
        <w:t>in five steps.</w:t>
      </w:r>
      <w:r w:rsidR="006561A1">
        <w:rPr>
          <w:rFonts w:ascii="Times New Roman" w:hAnsi="Times New Roman" w:cs="Times New Roman"/>
          <w:sz w:val="24"/>
          <w:szCs w:val="24"/>
        </w:rPr>
        <w:t xml:space="preserve">  </w:t>
      </w:r>
    </w:p>
    <w:p w:rsidR="006561A1" w:rsidRDefault="006561A1" w:rsidP="00E63D5A">
      <w:pPr>
        <w:pStyle w:val="ListParagraph"/>
        <w:spacing w:after="0"/>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t>Step 1.  Downloaded GTAP model</w:t>
      </w:r>
    </w:p>
    <w:p w:rsidR="006561A1" w:rsidRDefault="006561A1"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We downloaded from the GTAP website the standard GTAP model, version 6.2.  </w:t>
      </w:r>
      <w:r w:rsidR="00B43A7A">
        <w:rPr>
          <w:rFonts w:ascii="Times New Roman" w:hAnsi="Times New Roman" w:cs="Times New Roman"/>
          <w:sz w:val="24"/>
          <w:szCs w:val="24"/>
        </w:rPr>
        <w:t xml:space="preserve">This is a large Armington model frequently used in policy analysis.  </w:t>
      </w:r>
      <w:r>
        <w:rPr>
          <w:rFonts w:ascii="Times New Roman" w:hAnsi="Times New Roman" w:cs="Times New Roman"/>
          <w:sz w:val="24"/>
          <w:szCs w:val="24"/>
        </w:rPr>
        <w:t xml:space="preserve">We ran test simulations </w:t>
      </w:r>
      <w:r w:rsidR="00B43A7A">
        <w:rPr>
          <w:rFonts w:ascii="Times New Roman" w:hAnsi="Times New Roman" w:cs="Times New Roman"/>
          <w:sz w:val="24"/>
          <w:szCs w:val="24"/>
        </w:rPr>
        <w:t xml:space="preserve">using </w:t>
      </w:r>
      <w:r>
        <w:rPr>
          <w:rFonts w:ascii="Times New Roman" w:hAnsi="Times New Roman" w:cs="Times New Roman"/>
          <w:sz w:val="24"/>
          <w:szCs w:val="24"/>
        </w:rPr>
        <w:t>the 57</w:t>
      </w:r>
      <w:r w:rsidR="00B43A7A">
        <w:rPr>
          <w:rFonts w:ascii="Times New Roman" w:hAnsi="Times New Roman" w:cs="Times New Roman"/>
          <w:sz w:val="24"/>
          <w:szCs w:val="24"/>
        </w:rPr>
        <w:t>-</w:t>
      </w:r>
      <w:r>
        <w:rPr>
          <w:rFonts w:ascii="Times New Roman" w:hAnsi="Times New Roman" w:cs="Times New Roman"/>
          <w:sz w:val="24"/>
          <w:szCs w:val="24"/>
        </w:rPr>
        <w:t>commodity by 10</w:t>
      </w:r>
      <w:r w:rsidR="00B43A7A">
        <w:rPr>
          <w:rFonts w:ascii="Times New Roman" w:hAnsi="Times New Roman" w:cs="Times New Roman"/>
          <w:sz w:val="24"/>
          <w:szCs w:val="24"/>
        </w:rPr>
        <w:t>-</w:t>
      </w:r>
      <w:r>
        <w:rPr>
          <w:rFonts w:ascii="Times New Roman" w:hAnsi="Times New Roman" w:cs="Times New Roman"/>
          <w:sz w:val="24"/>
          <w:szCs w:val="24"/>
        </w:rPr>
        <w:t xml:space="preserve">region database.  </w:t>
      </w:r>
    </w:p>
    <w:p w:rsidR="006561A1" w:rsidRDefault="006561A1" w:rsidP="00E63D5A">
      <w:pPr>
        <w:pStyle w:val="ListParagraph"/>
        <w:spacing w:after="0"/>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Step 2.  </w:t>
      </w:r>
      <w:r w:rsidR="002C0687">
        <w:rPr>
          <w:rFonts w:ascii="Times New Roman" w:hAnsi="Times New Roman" w:cs="Times New Roman"/>
          <w:b/>
          <w:i/>
          <w:sz w:val="24"/>
          <w:szCs w:val="24"/>
        </w:rPr>
        <w:t>Preliminary modifications of parameters and flow data</w:t>
      </w:r>
      <w:r w:rsidR="00EC08B5">
        <w:rPr>
          <w:rFonts w:ascii="Times New Roman" w:hAnsi="Times New Roman" w:cs="Times New Roman"/>
          <w:b/>
          <w:i/>
          <w:sz w:val="24"/>
          <w:szCs w:val="24"/>
        </w:rPr>
        <w:t xml:space="preserve"> </w:t>
      </w:r>
    </w:p>
    <w:p w:rsidR="006E74A0" w:rsidRDefault="002C0687"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In s</w:t>
      </w:r>
      <w:r w:rsidR="006561A1">
        <w:rPr>
          <w:rFonts w:ascii="Times New Roman" w:hAnsi="Times New Roman" w:cs="Times New Roman"/>
          <w:sz w:val="24"/>
          <w:szCs w:val="24"/>
        </w:rPr>
        <w:t>tandard GTAP</w:t>
      </w:r>
      <w:r w:rsidR="00EC08B5">
        <w:rPr>
          <w:rFonts w:ascii="Times New Roman" w:hAnsi="Times New Roman" w:cs="Times New Roman"/>
          <w:sz w:val="24"/>
          <w:szCs w:val="24"/>
        </w:rPr>
        <w:t>,</w:t>
      </w:r>
      <w:r w:rsidR="006561A1">
        <w:rPr>
          <w:rFonts w:ascii="Times New Roman" w:hAnsi="Times New Roman" w:cs="Times New Roman"/>
          <w:sz w:val="24"/>
          <w:szCs w:val="24"/>
        </w:rPr>
        <w:t xml:space="preserve"> </w:t>
      </w:r>
      <w:r w:rsidR="00EC08B5">
        <w:rPr>
          <w:rFonts w:ascii="Times New Roman" w:hAnsi="Times New Roman" w:cs="Times New Roman"/>
          <w:sz w:val="24"/>
          <w:szCs w:val="24"/>
        </w:rPr>
        <w:t>user requirements for good i are specified via nested CES functions.  In the top nest</w:t>
      </w:r>
      <w:r w:rsidR="00B43A7A">
        <w:rPr>
          <w:rFonts w:ascii="Times New Roman" w:hAnsi="Times New Roman" w:cs="Times New Roman"/>
          <w:sz w:val="24"/>
          <w:szCs w:val="24"/>
        </w:rPr>
        <w:t>,</w:t>
      </w:r>
      <w:r w:rsidR="00EC08B5">
        <w:rPr>
          <w:rFonts w:ascii="Times New Roman" w:hAnsi="Times New Roman" w:cs="Times New Roman"/>
          <w:sz w:val="24"/>
          <w:szCs w:val="24"/>
        </w:rPr>
        <w:t xml:space="preserve"> substitution between domestic </w:t>
      </w:r>
      <w:r w:rsidR="00D669CE">
        <w:rPr>
          <w:rFonts w:ascii="Times New Roman" w:hAnsi="Times New Roman" w:cs="Times New Roman"/>
          <w:sz w:val="24"/>
          <w:szCs w:val="24"/>
        </w:rPr>
        <w:t xml:space="preserve">commodity </w:t>
      </w:r>
      <w:r w:rsidR="00EC08B5">
        <w:rPr>
          <w:rFonts w:ascii="Times New Roman" w:hAnsi="Times New Roman" w:cs="Times New Roman"/>
          <w:sz w:val="24"/>
          <w:szCs w:val="24"/>
        </w:rPr>
        <w:t xml:space="preserve">i and a composite imported i is specified with a substitution elasticity of ESUBD(i).  In the lower nest, composite imports are formed from imports distinguished by source region.  Substitution </w:t>
      </w:r>
      <w:r w:rsidR="00B43A7A">
        <w:rPr>
          <w:rFonts w:ascii="Times New Roman" w:hAnsi="Times New Roman" w:cs="Times New Roman"/>
          <w:sz w:val="24"/>
          <w:szCs w:val="24"/>
        </w:rPr>
        <w:t xml:space="preserve">between imports by source </w:t>
      </w:r>
      <w:r w:rsidR="00EC08B5">
        <w:rPr>
          <w:rFonts w:ascii="Times New Roman" w:hAnsi="Times New Roman" w:cs="Times New Roman"/>
          <w:sz w:val="24"/>
          <w:szCs w:val="24"/>
        </w:rPr>
        <w:t>is specified by a CES function with elasticity ESUBM(i).  In standard GTAP it is assumed that ESUBM(i)  is twice ESUBD(i).  For Melitz</w:t>
      </w:r>
      <w:r w:rsidR="003E506E">
        <w:rPr>
          <w:rFonts w:ascii="Times New Roman" w:hAnsi="Times New Roman" w:cs="Times New Roman"/>
          <w:sz w:val="24"/>
          <w:szCs w:val="24"/>
        </w:rPr>
        <w:t>,</w:t>
      </w:r>
      <w:r w:rsidR="00EC08B5">
        <w:rPr>
          <w:rFonts w:ascii="Times New Roman" w:hAnsi="Times New Roman" w:cs="Times New Roman"/>
          <w:sz w:val="24"/>
          <w:szCs w:val="24"/>
        </w:rPr>
        <w:t xml:space="preserve"> requirements for </w:t>
      </w:r>
      <w:r w:rsidR="00D669CE">
        <w:rPr>
          <w:rFonts w:ascii="Times New Roman" w:hAnsi="Times New Roman" w:cs="Times New Roman"/>
          <w:sz w:val="24"/>
          <w:szCs w:val="24"/>
        </w:rPr>
        <w:t>commodity</w:t>
      </w:r>
      <w:r w:rsidR="00EC08B5">
        <w:rPr>
          <w:rFonts w:ascii="Times New Roman" w:hAnsi="Times New Roman" w:cs="Times New Roman"/>
          <w:sz w:val="24"/>
          <w:szCs w:val="24"/>
        </w:rPr>
        <w:t xml:space="preserve"> i are specified </w:t>
      </w:r>
      <w:r w:rsidR="003E506E">
        <w:rPr>
          <w:rFonts w:ascii="Times New Roman" w:hAnsi="Times New Roman" w:cs="Times New Roman"/>
          <w:sz w:val="24"/>
          <w:szCs w:val="24"/>
        </w:rPr>
        <w:t>by</w:t>
      </w:r>
      <w:r w:rsidR="00EC08B5">
        <w:rPr>
          <w:rFonts w:ascii="Times New Roman" w:hAnsi="Times New Roman" w:cs="Times New Roman"/>
          <w:sz w:val="24"/>
          <w:szCs w:val="24"/>
        </w:rPr>
        <w:t xml:space="preserve"> unnested CES functions.  </w:t>
      </w:r>
      <w:r w:rsidR="00B656A8">
        <w:rPr>
          <w:rFonts w:ascii="Times New Roman" w:hAnsi="Times New Roman" w:cs="Times New Roman"/>
          <w:sz w:val="24"/>
          <w:szCs w:val="24"/>
        </w:rPr>
        <w:t xml:space="preserve">Unnested functions are equivalent to nested functions if the substitution elasticities have the same value in each nest.  In preparation for Melitz, we </w:t>
      </w:r>
      <w:r>
        <w:rPr>
          <w:rFonts w:ascii="Times New Roman" w:hAnsi="Times New Roman" w:cs="Times New Roman"/>
          <w:sz w:val="24"/>
          <w:szCs w:val="24"/>
        </w:rPr>
        <w:t xml:space="preserve">reset ESUBM(i) to be the same as ESUBD(i).  </w:t>
      </w:r>
      <w:r w:rsidR="00B656A8">
        <w:rPr>
          <w:rFonts w:ascii="Times New Roman" w:hAnsi="Times New Roman" w:cs="Times New Roman"/>
          <w:sz w:val="24"/>
          <w:szCs w:val="24"/>
        </w:rPr>
        <w:t xml:space="preserve">This left us with elasticity values for some commodities that are too low for a Melitz model in which substitution elasticities should be substantially greater than one.  Consequently we reset ESUBD(i) at 2.5 for all i for which the standard GTAP value is less than 2.5.  </w:t>
      </w:r>
    </w:p>
    <w:p w:rsidR="006561A1" w:rsidRDefault="007D6701" w:rsidP="00B43A7A">
      <w:pPr>
        <w:pStyle w:val="ListParagraph"/>
        <w:tabs>
          <w:tab w:val="left" w:pos="284"/>
        </w:tabs>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In standard GTAP, diagonal trade flows, VXMD(i,r,r), are not necessarily zero.  This gives us the awkward idea that there are exports from region r to itself, separate from domestic flows from r to r denoted in GTAP by VMD(i,r).  Non-zero diagonal trade flows are an outcome of regional aggregation, but they add complexity to modelling, especially in the context of Melitz.  We formed a new database simply by </w:t>
      </w:r>
      <w:r w:rsidR="00AA4926">
        <w:rPr>
          <w:rFonts w:ascii="Times New Roman" w:hAnsi="Times New Roman" w:cs="Times New Roman"/>
          <w:sz w:val="24"/>
          <w:szCs w:val="24"/>
        </w:rPr>
        <w:t xml:space="preserve">adding the diagonal trade flows VXMD(i,r,r) to VMD(i,r) and then zeroing out VXMD(i,r,r).  This does not upset database balancing conditions.  </w:t>
      </w:r>
    </w:p>
    <w:p w:rsidR="003826FC" w:rsidRDefault="003826FC" w:rsidP="00E63D5A">
      <w:pPr>
        <w:pStyle w:val="ListParagraph"/>
        <w:spacing w:after="0"/>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Step 3.  Preliminary modifications of the GTAP theory </w:t>
      </w:r>
    </w:p>
    <w:p w:rsidR="00CD186C" w:rsidRDefault="003826FC"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Standard GTAP includes the variable ams(i,r,s) that allows for input-augmenting technical change in </w:t>
      </w:r>
      <w:r w:rsidR="00DB707D">
        <w:rPr>
          <w:rFonts w:ascii="Times New Roman" w:hAnsi="Times New Roman" w:cs="Times New Roman"/>
          <w:sz w:val="24"/>
          <w:szCs w:val="24"/>
        </w:rPr>
        <w:t>region</w:t>
      </w:r>
      <w:r>
        <w:rPr>
          <w:rFonts w:ascii="Times New Roman" w:hAnsi="Times New Roman" w:cs="Times New Roman"/>
          <w:sz w:val="24"/>
          <w:szCs w:val="24"/>
        </w:rPr>
        <w:t xml:space="preserve"> s associated with the use of commodity i imported from </w:t>
      </w:r>
      <w:r w:rsidR="00DB707D">
        <w:rPr>
          <w:rFonts w:ascii="Times New Roman" w:hAnsi="Times New Roman" w:cs="Times New Roman"/>
          <w:sz w:val="24"/>
          <w:szCs w:val="24"/>
        </w:rPr>
        <w:t>region</w:t>
      </w:r>
      <w:r>
        <w:rPr>
          <w:rFonts w:ascii="Times New Roman" w:hAnsi="Times New Roman" w:cs="Times New Roman"/>
          <w:sz w:val="24"/>
          <w:szCs w:val="24"/>
        </w:rPr>
        <w:t xml:space="preserve"> r.  Surprisingly</w:t>
      </w:r>
      <w:r w:rsidR="00491858">
        <w:rPr>
          <w:rFonts w:ascii="Times New Roman" w:hAnsi="Times New Roman" w:cs="Times New Roman"/>
          <w:sz w:val="24"/>
          <w:szCs w:val="24"/>
        </w:rPr>
        <w:t>,</w:t>
      </w:r>
      <w:r>
        <w:rPr>
          <w:rFonts w:ascii="Times New Roman" w:hAnsi="Times New Roman" w:cs="Times New Roman"/>
          <w:sz w:val="24"/>
          <w:szCs w:val="24"/>
        </w:rPr>
        <w:t xml:space="preserve"> there is no corresponding variable for input-augment</w:t>
      </w:r>
      <w:r w:rsidR="00496891">
        <w:rPr>
          <w:rFonts w:ascii="Times New Roman" w:hAnsi="Times New Roman" w:cs="Times New Roman"/>
          <w:sz w:val="24"/>
          <w:szCs w:val="24"/>
        </w:rPr>
        <w:t>ing</w:t>
      </w:r>
      <w:r>
        <w:rPr>
          <w:rFonts w:ascii="Times New Roman" w:hAnsi="Times New Roman" w:cs="Times New Roman"/>
          <w:sz w:val="24"/>
          <w:szCs w:val="24"/>
        </w:rPr>
        <w:t xml:space="preserve"> technical change in </w:t>
      </w:r>
      <w:r w:rsidR="00DB707D">
        <w:rPr>
          <w:rFonts w:ascii="Times New Roman" w:hAnsi="Times New Roman" w:cs="Times New Roman"/>
          <w:sz w:val="24"/>
          <w:szCs w:val="24"/>
        </w:rPr>
        <w:t>region</w:t>
      </w:r>
      <w:r>
        <w:rPr>
          <w:rFonts w:ascii="Times New Roman" w:hAnsi="Times New Roman" w:cs="Times New Roman"/>
          <w:sz w:val="24"/>
          <w:szCs w:val="24"/>
        </w:rPr>
        <w:t xml:space="preserve"> s associated with the use of commodity i produced in s.  </w:t>
      </w:r>
      <w:r w:rsidR="00B43A7A">
        <w:rPr>
          <w:rFonts w:ascii="Times New Roman" w:hAnsi="Times New Roman" w:cs="Times New Roman"/>
          <w:sz w:val="24"/>
          <w:szCs w:val="24"/>
        </w:rPr>
        <w:t>W</w:t>
      </w:r>
      <w:r>
        <w:rPr>
          <w:rFonts w:ascii="Times New Roman" w:hAnsi="Times New Roman" w:cs="Times New Roman"/>
          <w:sz w:val="24"/>
          <w:szCs w:val="24"/>
        </w:rPr>
        <w:t>e added such a variable.  In keeping with G</w:t>
      </w:r>
      <w:r w:rsidR="00496891">
        <w:rPr>
          <w:rFonts w:ascii="Times New Roman" w:hAnsi="Times New Roman" w:cs="Times New Roman"/>
          <w:sz w:val="24"/>
          <w:szCs w:val="24"/>
        </w:rPr>
        <w:t>TAP</w:t>
      </w:r>
      <w:r>
        <w:rPr>
          <w:rFonts w:ascii="Times New Roman" w:hAnsi="Times New Roman" w:cs="Times New Roman"/>
          <w:sz w:val="24"/>
          <w:szCs w:val="24"/>
        </w:rPr>
        <w:t xml:space="preserve"> notation this variable is ads(i,s).  Without this new variable, it would not be possible to </w:t>
      </w:r>
      <w:r w:rsidR="00CD186C">
        <w:rPr>
          <w:rFonts w:ascii="Times New Roman" w:hAnsi="Times New Roman" w:cs="Times New Roman"/>
          <w:sz w:val="24"/>
          <w:szCs w:val="24"/>
        </w:rPr>
        <w:t xml:space="preserve">follow the method we have devised for implementing </w:t>
      </w:r>
      <w:r w:rsidR="003E506E">
        <w:rPr>
          <w:rFonts w:ascii="Times New Roman" w:hAnsi="Times New Roman" w:cs="Times New Roman"/>
          <w:sz w:val="24"/>
          <w:szCs w:val="24"/>
        </w:rPr>
        <w:t xml:space="preserve">the </w:t>
      </w:r>
      <w:r w:rsidR="00CD186C">
        <w:rPr>
          <w:rFonts w:ascii="Times New Roman" w:hAnsi="Times New Roman" w:cs="Times New Roman"/>
          <w:sz w:val="24"/>
          <w:szCs w:val="24"/>
        </w:rPr>
        <w:t xml:space="preserve">Melitz love-of-variety specification. </w:t>
      </w:r>
    </w:p>
    <w:p w:rsidR="003826FC" w:rsidRDefault="00B43A7A" w:rsidP="00B43A7A">
      <w:pPr>
        <w:pStyle w:val="ListParagraph"/>
        <w:tabs>
          <w:tab w:val="left" w:pos="284"/>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CD186C">
        <w:rPr>
          <w:rFonts w:ascii="Times New Roman" w:hAnsi="Times New Roman" w:cs="Times New Roman"/>
          <w:sz w:val="24"/>
          <w:szCs w:val="24"/>
        </w:rPr>
        <w:t xml:space="preserve">The cost of transporting a unit of commodity i between regions r and s is specified in GTAP as being independent of the price of the commodity.  This means that changes in costs in </w:t>
      </w:r>
      <w:r w:rsidR="00DB707D">
        <w:rPr>
          <w:rFonts w:ascii="Times New Roman" w:hAnsi="Times New Roman" w:cs="Times New Roman"/>
          <w:sz w:val="24"/>
          <w:szCs w:val="24"/>
        </w:rPr>
        <w:t>region</w:t>
      </w:r>
      <w:r w:rsidR="00CD186C">
        <w:rPr>
          <w:rFonts w:ascii="Times New Roman" w:hAnsi="Times New Roman" w:cs="Times New Roman"/>
          <w:sz w:val="24"/>
          <w:szCs w:val="24"/>
        </w:rPr>
        <w:t xml:space="preserve"> r can cause differences in the percentage changes in the fob price of i exported from r to s and the cif price of i imported by s from r.  Melitz theory requires equal percentage changes in fob and corresponding cif prices.  </w:t>
      </w:r>
      <w:r>
        <w:rPr>
          <w:rFonts w:ascii="Times New Roman" w:hAnsi="Times New Roman" w:cs="Times New Roman"/>
          <w:sz w:val="24"/>
          <w:szCs w:val="24"/>
        </w:rPr>
        <w:t>W</w:t>
      </w:r>
      <w:r w:rsidR="00CD186C">
        <w:rPr>
          <w:rFonts w:ascii="Times New Roman" w:hAnsi="Times New Roman" w:cs="Times New Roman"/>
          <w:sz w:val="24"/>
          <w:szCs w:val="24"/>
        </w:rPr>
        <w:t>e added equations</w:t>
      </w:r>
      <w:r w:rsidR="0030572A">
        <w:rPr>
          <w:rFonts w:ascii="Times New Roman" w:hAnsi="Times New Roman" w:cs="Times New Roman"/>
          <w:sz w:val="24"/>
          <w:szCs w:val="24"/>
        </w:rPr>
        <w:t xml:space="preserve"> to GTAP </w:t>
      </w:r>
      <w:r w:rsidR="00CD186C">
        <w:rPr>
          <w:rFonts w:ascii="Times New Roman" w:hAnsi="Times New Roman" w:cs="Times New Roman"/>
          <w:sz w:val="24"/>
          <w:szCs w:val="24"/>
        </w:rPr>
        <w:t xml:space="preserve">that allow international transport costs to be </w:t>
      </w:r>
      <w:r w:rsidR="00CD186C">
        <w:rPr>
          <w:rFonts w:ascii="Times New Roman" w:hAnsi="Times New Roman" w:cs="Times New Roman"/>
          <w:i/>
          <w:sz w:val="24"/>
          <w:szCs w:val="24"/>
        </w:rPr>
        <w:t xml:space="preserve">ad </w:t>
      </w:r>
      <w:r w:rsidR="00CD186C" w:rsidRPr="00CD186C">
        <w:rPr>
          <w:rFonts w:ascii="Times New Roman" w:hAnsi="Times New Roman" w:cs="Times New Roman"/>
          <w:i/>
          <w:sz w:val="24"/>
          <w:szCs w:val="24"/>
        </w:rPr>
        <w:t>valorem</w:t>
      </w:r>
      <w:r w:rsidR="00CD186C">
        <w:rPr>
          <w:rFonts w:ascii="Times New Roman" w:hAnsi="Times New Roman" w:cs="Times New Roman"/>
          <w:sz w:val="24"/>
          <w:szCs w:val="24"/>
        </w:rPr>
        <w:t xml:space="preserve"> on fob values.  </w:t>
      </w:r>
      <w:r w:rsidR="00864D08">
        <w:rPr>
          <w:rFonts w:ascii="Times New Roman" w:hAnsi="Times New Roman" w:cs="Times New Roman"/>
          <w:sz w:val="24"/>
          <w:szCs w:val="24"/>
        </w:rPr>
        <w:t xml:space="preserve">Under this specification, </w:t>
      </w:r>
      <w:r w:rsidR="00CD186C">
        <w:rPr>
          <w:rFonts w:ascii="Times New Roman" w:hAnsi="Times New Roman" w:cs="Times New Roman"/>
          <w:sz w:val="24"/>
          <w:szCs w:val="24"/>
        </w:rPr>
        <w:t xml:space="preserve">fob and cif prices </w:t>
      </w:r>
      <w:r w:rsidR="00864D08">
        <w:rPr>
          <w:rFonts w:ascii="Times New Roman" w:hAnsi="Times New Roman" w:cs="Times New Roman"/>
          <w:sz w:val="24"/>
          <w:szCs w:val="24"/>
        </w:rPr>
        <w:t>can</w:t>
      </w:r>
      <w:r w:rsidR="00CD186C">
        <w:rPr>
          <w:rFonts w:ascii="Times New Roman" w:hAnsi="Times New Roman" w:cs="Times New Roman"/>
          <w:sz w:val="24"/>
          <w:szCs w:val="24"/>
        </w:rPr>
        <w:t xml:space="preserve"> move together.  </w:t>
      </w:r>
    </w:p>
    <w:p w:rsidR="00892923" w:rsidRDefault="00491858" w:rsidP="00491858">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In preparation for Melitz, we added new tax and technology variables [txMel(i,r,s) and aoMel(i,r)] to GTAP.  The new taxes are charged just beyond the factory door.  We include these taxes in market prices.  Their special feature is that they are destination specific.  Thus, market prices which are now denoted by pmarket(i,r,s) become destination specific.  In standard GTAP, market prices are denoted by pm(i,r).  We retain this variable but now refer to </w:t>
      </w:r>
      <w:r>
        <w:rPr>
          <w:rFonts w:ascii="Times New Roman" w:hAnsi="Times New Roman" w:cs="Times New Roman"/>
          <w:sz w:val="24"/>
          <w:szCs w:val="24"/>
        </w:rPr>
        <w:lastRenderedPageBreak/>
        <w:t xml:space="preserve">it as the factory price of i produced in r.  The factory price is determined by costs in the factory including production taxes.  Factory prices do not vary with destination.  If the powers of the newly included factory-door taxes are set at one, then there is no substantive change from standard GTAP, no difference between market prices and factory prices.  </w:t>
      </w:r>
    </w:p>
    <w:p w:rsidR="00184E6E" w:rsidRDefault="00491858" w:rsidP="00491858">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The new technology variable</w:t>
      </w:r>
      <w:r w:rsidR="00103B1D">
        <w:rPr>
          <w:rFonts w:ascii="Times New Roman" w:hAnsi="Times New Roman" w:cs="Times New Roman"/>
          <w:sz w:val="24"/>
          <w:szCs w:val="24"/>
        </w:rPr>
        <w:t>,</w:t>
      </w:r>
      <w:r>
        <w:rPr>
          <w:rFonts w:ascii="Times New Roman" w:hAnsi="Times New Roman" w:cs="Times New Roman"/>
          <w:sz w:val="24"/>
          <w:szCs w:val="24"/>
        </w:rPr>
        <w:t xml:space="preserve"> aoMel(i,r)</w:t>
      </w:r>
      <w:r w:rsidR="00103B1D">
        <w:rPr>
          <w:rFonts w:ascii="Times New Roman" w:hAnsi="Times New Roman" w:cs="Times New Roman"/>
          <w:sz w:val="24"/>
          <w:szCs w:val="24"/>
        </w:rPr>
        <w:t>,</w:t>
      </w:r>
      <w:r>
        <w:rPr>
          <w:rFonts w:ascii="Times New Roman" w:hAnsi="Times New Roman" w:cs="Times New Roman"/>
          <w:sz w:val="24"/>
          <w:szCs w:val="24"/>
        </w:rPr>
        <w:t xml:space="preserve"> is an additional all-input</w:t>
      </w:r>
      <w:r w:rsidR="00103B1D">
        <w:rPr>
          <w:rFonts w:ascii="Times New Roman" w:hAnsi="Times New Roman" w:cs="Times New Roman"/>
          <w:sz w:val="24"/>
          <w:szCs w:val="24"/>
        </w:rPr>
        <w:t>-</w:t>
      </w:r>
      <w:r>
        <w:rPr>
          <w:rFonts w:ascii="Times New Roman" w:hAnsi="Times New Roman" w:cs="Times New Roman"/>
          <w:sz w:val="24"/>
          <w:szCs w:val="24"/>
        </w:rPr>
        <w:t xml:space="preserve">saving </w:t>
      </w:r>
      <w:r w:rsidR="00103B1D">
        <w:rPr>
          <w:rFonts w:ascii="Times New Roman" w:hAnsi="Times New Roman" w:cs="Times New Roman"/>
          <w:sz w:val="24"/>
          <w:szCs w:val="24"/>
        </w:rPr>
        <w:t>technical change in industry i and country r.</w:t>
      </w:r>
      <w:r w:rsidR="00103B1D">
        <w:rPr>
          <w:rStyle w:val="FootnoteReference"/>
          <w:rFonts w:ascii="Times New Roman" w:hAnsi="Times New Roman" w:cs="Times New Roman"/>
          <w:sz w:val="24"/>
          <w:szCs w:val="24"/>
        </w:rPr>
        <w:footnoteReference w:id="7"/>
      </w:r>
      <w:r w:rsidR="00103B1D">
        <w:rPr>
          <w:rFonts w:ascii="Times New Roman" w:hAnsi="Times New Roman" w:cs="Times New Roman"/>
          <w:sz w:val="24"/>
          <w:szCs w:val="24"/>
        </w:rPr>
        <w:t xml:space="preserve">  For Armington this is an additional exogenous variable.  For Melitz it is endogenously determined according to the Melitz specification of changes in industry productivity.  We define a new cost variable for industry i,r, pbundle(i,r) as </w:t>
      </w:r>
      <w:r w:rsidR="00184E6E">
        <w:rPr>
          <w:rFonts w:ascii="Times New Roman" w:hAnsi="Times New Roman" w:cs="Times New Roman"/>
          <w:sz w:val="24"/>
          <w:szCs w:val="24"/>
        </w:rPr>
        <w:t xml:space="preserve">the factory price, pm(i,r), excluding the effects of aoMel(i,r).  </w:t>
      </w:r>
      <w:r w:rsidR="00785E7A">
        <w:rPr>
          <w:rFonts w:ascii="Times New Roman" w:hAnsi="Times New Roman" w:cs="Times New Roman"/>
          <w:sz w:val="24"/>
          <w:szCs w:val="24"/>
        </w:rPr>
        <w:t xml:space="preserve">This new variable plays the role in the GTAP-A2M system </w:t>
      </w:r>
      <w:r w:rsidR="00010C7E">
        <w:rPr>
          <w:rFonts w:ascii="Times New Roman" w:hAnsi="Times New Roman" w:cs="Times New Roman"/>
          <w:sz w:val="24"/>
          <w:szCs w:val="24"/>
        </w:rPr>
        <w:t>of</w:t>
      </w:r>
      <w:r w:rsidR="00785E7A">
        <w:rPr>
          <w:rFonts w:ascii="Times New Roman" w:hAnsi="Times New Roman" w:cs="Times New Roman"/>
          <w:sz w:val="24"/>
          <w:szCs w:val="24"/>
        </w:rPr>
        <w:t xml:space="preserve"> w</w:t>
      </w:r>
      <w:r w:rsidR="002A668C">
        <w:rPr>
          <w:rFonts w:ascii="Times New Roman" w:hAnsi="Times New Roman" w:cs="Times New Roman"/>
          <w:sz w:val="24"/>
          <w:szCs w:val="24"/>
          <w:vertAlign w:val="subscript"/>
        </w:rPr>
        <w:t>r</w:t>
      </w:r>
      <w:r w:rsidR="00785E7A">
        <w:rPr>
          <w:rFonts w:ascii="Times New Roman" w:hAnsi="Times New Roman" w:cs="Times New Roman"/>
          <w:sz w:val="24"/>
          <w:szCs w:val="24"/>
        </w:rPr>
        <w:t xml:space="preserve"> </w:t>
      </w:r>
      <w:r w:rsidR="00892923">
        <w:rPr>
          <w:rFonts w:ascii="Times New Roman" w:hAnsi="Times New Roman" w:cs="Times New Roman"/>
          <w:sz w:val="24"/>
          <w:szCs w:val="24"/>
        </w:rPr>
        <w:t xml:space="preserve">in the BasicArmington-A2M system.  </w:t>
      </w:r>
      <w:r w:rsidR="00010C7E">
        <w:rPr>
          <w:rFonts w:ascii="Times New Roman" w:hAnsi="Times New Roman" w:cs="Times New Roman"/>
          <w:sz w:val="24"/>
          <w:szCs w:val="24"/>
        </w:rPr>
        <w:t xml:space="preserve">The variable pbundle(i,r) is the percentage change in the cost of a bundle of inputs used in industry i,r.  The variable aoMel(i,r) affects the number of such bundles required by industry i,r per unit of output.  </w:t>
      </w:r>
      <w:r w:rsidR="00637248">
        <w:rPr>
          <w:rFonts w:ascii="Times New Roman" w:hAnsi="Times New Roman" w:cs="Times New Roman"/>
          <w:sz w:val="24"/>
          <w:szCs w:val="24"/>
        </w:rPr>
        <w:t>As in BasicArmington-A2M, we assume in GTAP-A2M that current production and setup costs for industry i,r, have the same input mix.</w:t>
      </w:r>
      <w:r w:rsidR="00010C7E">
        <w:rPr>
          <w:rStyle w:val="FootnoteReference"/>
          <w:rFonts w:ascii="Times New Roman" w:hAnsi="Times New Roman" w:cs="Times New Roman"/>
          <w:sz w:val="24"/>
          <w:szCs w:val="24"/>
        </w:rPr>
        <w:footnoteReference w:id="8"/>
      </w:r>
      <w:r w:rsidR="00637248">
        <w:rPr>
          <w:rFonts w:ascii="Times New Roman" w:hAnsi="Times New Roman" w:cs="Times New Roman"/>
          <w:sz w:val="24"/>
          <w:szCs w:val="24"/>
        </w:rPr>
        <w:t xml:space="preserve">  This contrasts with GTAP-Het created by Akgul </w:t>
      </w:r>
      <w:r w:rsidR="00637248">
        <w:rPr>
          <w:rFonts w:ascii="Times New Roman" w:hAnsi="Times New Roman" w:cs="Times New Roman"/>
          <w:i/>
          <w:sz w:val="24"/>
          <w:szCs w:val="24"/>
        </w:rPr>
        <w:t>et al.</w:t>
      </w:r>
      <w:r w:rsidR="00637248">
        <w:rPr>
          <w:rFonts w:ascii="Times New Roman" w:hAnsi="Times New Roman" w:cs="Times New Roman"/>
          <w:sz w:val="24"/>
          <w:szCs w:val="24"/>
        </w:rPr>
        <w:t xml:space="preserve"> (2016) in which setup costs use only primary factors whereas current production </w:t>
      </w:r>
      <w:r w:rsidR="00010C7E">
        <w:rPr>
          <w:rFonts w:ascii="Times New Roman" w:hAnsi="Times New Roman" w:cs="Times New Roman"/>
          <w:sz w:val="24"/>
          <w:szCs w:val="24"/>
        </w:rPr>
        <w:t xml:space="preserve">uses both primary factors and intermediate inputs.  </w:t>
      </w:r>
    </w:p>
    <w:p w:rsidR="00D849C5" w:rsidRPr="00D849C5" w:rsidRDefault="0030572A" w:rsidP="0030572A">
      <w:pPr>
        <w:pStyle w:val="ListParagraph"/>
        <w:tabs>
          <w:tab w:val="left" w:pos="284"/>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D849C5">
        <w:rPr>
          <w:rFonts w:ascii="Times New Roman" w:hAnsi="Times New Roman" w:cs="Times New Roman"/>
          <w:sz w:val="24"/>
          <w:szCs w:val="24"/>
        </w:rPr>
        <w:t xml:space="preserve">The final preliminary modification </w:t>
      </w:r>
      <w:r w:rsidR="00217BF6">
        <w:rPr>
          <w:rFonts w:ascii="Times New Roman" w:hAnsi="Times New Roman" w:cs="Times New Roman"/>
          <w:sz w:val="24"/>
          <w:szCs w:val="24"/>
        </w:rPr>
        <w:t>is</w:t>
      </w:r>
      <w:r w:rsidR="00D849C5">
        <w:rPr>
          <w:rFonts w:ascii="Times New Roman" w:hAnsi="Times New Roman" w:cs="Times New Roman"/>
          <w:sz w:val="24"/>
          <w:szCs w:val="24"/>
        </w:rPr>
        <w:t xml:space="preserve"> the addition to the standard GTAP code of equations that we find helpful in interpreting results and setting closures.  These equations d</w:t>
      </w:r>
      <w:r w:rsidR="00D849C5" w:rsidRPr="00D849C5">
        <w:rPr>
          <w:rFonts w:ascii="Times New Roman" w:hAnsi="Times New Roman" w:cs="Times New Roman"/>
          <w:iCs/>
          <w:sz w:val="24"/>
          <w:szCs w:val="24"/>
        </w:rPr>
        <w:t>efin</w:t>
      </w:r>
      <w:r w:rsidR="00D849C5">
        <w:rPr>
          <w:rFonts w:ascii="Times New Roman" w:hAnsi="Times New Roman" w:cs="Times New Roman"/>
          <w:iCs/>
          <w:sz w:val="24"/>
          <w:szCs w:val="24"/>
        </w:rPr>
        <w:t>e</w:t>
      </w:r>
      <w:r w:rsidR="00D41491">
        <w:rPr>
          <w:rFonts w:ascii="Times New Roman" w:hAnsi="Times New Roman" w:cs="Times New Roman"/>
          <w:iCs/>
          <w:sz w:val="24"/>
          <w:szCs w:val="24"/>
        </w:rPr>
        <w:t>:</w:t>
      </w:r>
      <w:r w:rsidR="00D849C5">
        <w:rPr>
          <w:rFonts w:ascii="Times New Roman" w:hAnsi="Times New Roman" w:cs="Times New Roman"/>
          <w:iCs/>
          <w:sz w:val="24"/>
          <w:szCs w:val="24"/>
        </w:rPr>
        <w:t xml:space="preserve"> e</w:t>
      </w:r>
      <w:r w:rsidR="00D849C5" w:rsidRPr="00D849C5">
        <w:rPr>
          <w:rFonts w:ascii="Times New Roman" w:hAnsi="Times New Roman" w:cs="Times New Roman"/>
          <w:iCs/>
          <w:sz w:val="24"/>
          <w:szCs w:val="24"/>
        </w:rPr>
        <w:t xml:space="preserve">xpenditure-side aggregates </w:t>
      </w:r>
      <w:r w:rsidR="00D41491">
        <w:rPr>
          <w:rFonts w:ascii="Times New Roman" w:hAnsi="Times New Roman" w:cs="Times New Roman"/>
          <w:iCs/>
          <w:sz w:val="24"/>
          <w:szCs w:val="24"/>
        </w:rPr>
        <w:t xml:space="preserve">for each region </w:t>
      </w:r>
      <w:r w:rsidR="00D849C5" w:rsidRPr="00D849C5">
        <w:rPr>
          <w:rFonts w:ascii="Times New Roman" w:hAnsi="Times New Roman" w:cs="Times New Roman"/>
          <w:iCs/>
          <w:sz w:val="24"/>
          <w:szCs w:val="24"/>
        </w:rPr>
        <w:t>in real terms (C,</w:t>
      </w:r>
      <w:r w:rsidR="00D849C5">
        <w:rPr>
          <w:rFonts w:ascii="Times New Roman" w:hAnsi="Times New Roman" w:cs="Times New Roman"/>
          <w:iCs/>
          <w:sz w:val="24"/>
          <w:szCs w:val="24"/>
        </w:rPr>
        <w:t xml:space="preserve"> </w:t>
      </w:r>
      <w:r w:rsidR="00D849C5" w:rsidRPr="00D849C5">
        <w:rPr>
          <w:rFonts w:ascii="Times New Roman" w:hAnsi="Times New Roman" w:cs="Times New Roman"/>
          <w:iCs/>
          <w:sz w:val="24"/>
          <w:szCs w:val="24"/>
        </w:rPr>
        <w:t>I,</w:t>
      </w:r>
      <w:r w:rsidR="00D849C5">
        <w:rPr>
          <w:rFonts w:ascii="Times New Roman" w:hAnsi="Times New Roman" w:cs="Times New Roman"/>
          <w:iCs/>
          <w:sz w:val="24"/>
          <w:szCs w:val="24"/>
        </w:rPr>
        <w:t xml:space="preserve"> </w:t>
      </w:r>
      <w:r w:rsidR="00D849C5" w:rsidRPr="00D849C5">
        <w:rPr>
          <w:rFonts w:ascii="Times New Roman" w:hAnsi="Times New Roman" w:cs="Times New Roman"/>
          <w:iCs/>
          <w:sz w:val="24"/>
          <w:szCs w:val="24"/>
        </w:rPr>
        <w:t>G,</w:t>
      </w:r>
      <w:r w:rsidR="00D849C5">
        <w:rPr>
          <w:rFonts w:ascii="Times New Roman" w:hAnsi="Times New Roman" w:cs="Times New Roman"/>
          <w:iCs/>
          <w:sz w:val="24"/>
          <w:szCs w:val="24"/>
        </w:rPr>
        <w:t xml:space="preserve"> </w:t>
      </w:r>
      <w:r w:rsidR="00D849C5" w:rsidRPr="00D849C5">
        <w:rPr>
          <w:rFonts w:ascii="Times New Roman" w:hAnsi="Times New Roman" w:cs="Times New Roman"/>
          <w:iCs/>
          <w:sz w:val="24"/>
          <w:szCs w:val="24"/>
        </w:rPr>
        <w:t>X &amp; M)</w:t>
      </w:r>
      <w:r w:rsidR="00D41491">
        <w:rPr>
          <w:rFonts w:ascii="Times New Roman" w:hAnsi="Times New Roman" w:cs="Times New Roman"/>
          <w:iCs/>
          <w:sz w:val="24"/>
          <w:szCs w:val="24"/>
        </w:rPr>
        <w:t>;</w:t>
      </w:r>
      <w:r w:rsidR="00D849C5" w:rsidRPr="00D849C5">
        <w:rPr>
          <w:rFonts w:ascii="Times New Roman" w:hAnsi="Times New Roman" w:cs="Times New Roman"/>
          <w:iCs/>
          <w:sz w:val="24"/>
          <w:szCs w:val="24"/>
        </w:rPr>
        <w:t xml:space="preserve"> </w:t>
      </w:r>
      <w:r w:rsidR="00D41491">
        <w:rPr>
          <w:rFonts w:ascii="Times New Roman" w:hAnsi="Times New Roman" w:cs="Times New Roman"/>
          <w:iCs/>
          <w:sz w:val="24"/>
          <w:szCs w:val="24"/>
        </w:rPr>
        <w:t xml:space="preserve">real </w:t>
      </w:r>
      <w:r w:rsidR="00D849C5" w:rsidRPr="00D849C5">
        <w:rPr>
          <w:rFonts w:ascii="Times New Roman" w:hAnsi="Times New Roman" w:cs="Times New Roman"/>
          <w:iCs/>
          <w:sz w:val="24"/>
          <w:szCs w:val="24"/>
        </w:rPr>
        <w:t xml:space="preserve">GDP </w:t>
      </w:r>
      <w:r w:rsidR="00D41491">
        <w:rPr>
          <w:rFonts w:ascii="Times New Roman" w:hAnsi="Times New Roman" w:cs="Times New Roman"/>
          <w:iCs/>
          <w:sz w:val="24"/>
          <w:szCs w:val="24"/>
        </w:rPr>
        <w:t xml:space="preserve">by region </w:t>
      </w:r>
      <w:r w:rsidR="00D849C5" w:rsidRPr="00D849C5">
        <w:rPr>
          <w:rFonts w:ascii="Times New Roman" w:hAnsi="Times New Roman" w:cs="Times New Roman"/>
          <w:iCs/>
          <w:sz w:val="24"/>
          <w:szCs w:val="24"/>
        </w:rPr>
        <w:t>from the income side including our factory-door taxes</w:t>
      </w:r>
      <w:r w:rsidR="00D41491">
        <w:rPr>
          <w:rFonts w:ascii="Times New Roman" w:hAnsi="Times New Roman" w:cs="Times New Roman"/>
          <w:iCs/>
          <w:sz w:val="24"/>
          <w:szCs w:val="24"/>
        </w:rPr>
        <w:t xml:space="preserve">; imports by commodity and importing region but undifferentiated by source region; world GDP; and world consumption.  </w:t>
      </w:r>
      <w:r w:rsidR="00D849C5">
        <w:rPr>
          <w:rFonts w:ascii="Times New Roman" w:hAnsi="Times New Roman" w:cs="Times New Roman"/>
          <w:iCs/>
          <w:sz w:val="24"/>
          <w:szCs w:val="24"/>
        </w:rPr>
        <w:t xml:space="preserve">We also set up a </w:t>
      </w:r>
      <w:r w:rsidR="00D849C5" w:rsidRPr="00D849C5">
        <w:rPr>
          <w:rFonts w:ascii="Times New Roman" w:hAnsi="Times New Roman" w:cs="Times New Roman"/>
          <w:iCs/>
          <w:sz w:val="24"/>
          <w:szCs w:val="24"/>
        </w:rPr>
        <w:t>decomposition of private consumption</w:t>
      </w:r>
      <w:r w:rsidR="00D41491">
        <w:rPr>
          <w:rFonts w:ascii="Times New Roman" w:hAnsi="Times New Roman" w:cs="Times New Roman"/>
          <w:iCs/>
          <w:sz w:val="24"/>
          <w:szCs w:val="24"/>
        </w:rPr>
        <w:t xml:space="preserve"> for each region</w:t>
      </w:r>
      <w:r w:rsidR="00D849C5" w:rsidRPr="00D849C5">
        <w:rPr>
          <w:rFonts w:ascii="Times New Roman" w:hAnsi="Times New Roman" w:cs="Times New Roman"/>
          <w:iCs/>
          <w:sz w:val="24"/>
          <w:szCs w:val="24"/>
        </w:rPr>
        <w:t xml:space="preserve">. This is a legitimate decomposition of welfare when consumption is a legitimate measure of welfare.  Consumption measures welfare when we exogenize the balance of trade, investment and government expenditure.  </w:t>
      </w:r>
      <w:r w:rsidR="00D849C5">
        <w:rPr>
          <w:rFonts w:ascii="Times New Roman" w:hAnsi="Times New Roman" w:cs="Times New Roman"/>
          <w:iCs/>
          <w:sz w:val="24"/>
          <w:szCs w:val="24"/>
        </w:rPr>
        <w:t>Our</w:t>
      </w:r>
      <w:r w:rsidR="00D849C5" w:rsidRPr="00D849C5">
        <w:rPr>
          <w:rFonts w:ascii="Times New Roman" w:hAnsi="Times New Roman" w:cs="Times New Roman"/>
          <w:iCs/>
          <w:sz w:val="24"/>
          <w:szCs w:val="24"/>
        </w:rPr>
        <w:t xml:space="preserve"> </w:t>
      </w:r>
      <w:r w:rsidR="00D849C5">
        <w:rPr>
          <w:rFonts w:ascii="Times New Roman" w:hAnsi="Times New Roman" w:cs="Times New Roman"/>
          <w:iCs/>
          <w:sz w:val="24"/>
          <w:szCs w:val="24"/>
        </w:rPr>
        <w:t xml:space="preserve">private-consumption decomposition </w:t>
      </w:r>
      <w:r w:rsidR="00D849C5" w:rsidRPr="00D849C5">
        <w:rPr>
          <w:rFonts w:ascii="Times New Roman" w:hAnsi="Times New Roman" w:cs="Times New Roman"/>
          <w:iCs/>
          <w:sz w:val="24"/>
          <w:szCs w:val="24"/>
        </w:rPr>
        <w:t xml:space="preserve">is an alternative to GTAP welfare measures </w:t>
      </w:r>
      <w:r w:rsidR="00D849C5">
        <w:rPr>
          <w:rFonts w:ascii="Times New Roman" w:hAnsi="Times New Roman" w:cs="Times New Roman"/>
          <w:iCs/>
          <w:sz w:val="24"/>
          <w:szCs w:val="24"/>
        </w:rPr>
        <w:t xml:space="preserve">and decompositions </w:t>
      </w:r>
      <w:r w:rsidR="00D849C5" w:rsidRPr="00D849C5">
        <w:rPr>
          <w:rFonts w:ascii="Times New Roman" w:hAnsi="Times New Roman" w:cs="Times New Roman"/>
          <w:iCs/>
          <w:sz w:val="24"/>
          <w:szCs w:val="24"/>
        </w:rPr>
        <w:t xml:space="preserve">which are retained in the model.  Our reason for including </w:t>
      </w:r>
      <w:r w:rsidR="00D849C5">
        <w:rPr>
          <w:rFonts w:ascii="Times New Roman" w:hAnsi="Times New Roman" w:cs="Times New Roman"/>
          <w:iCs/>
          <w:sz w:val="24"/>
          <w:szCs w:val="24"/>
        </w:rPr>
        <w:t>an</w:t>
      </w:r>
      <w:r w:rsidR="00D849C5" w:rsidRPr="00D849C5">
        <w:rPr>
          <w:rFonts w:ascii="Times New Roman" w:hAnsi="Times New Roman" w:cs="Times New Roman"/>
          <w:iCs/>
          <w:sz w:val="24"/>
          <w:szCs w:val="24"/>
        </w:rPr>
        <w:t xml:space="preserve"> additional </w:t>
      </w:r>
      <w:r w:rsidR="00D849C5">
        <w:rPr>
          <w:rFonts w:ascii="Times New Roman" w:hAnsi="Times New Roman" w:cs="Times New Roman"/>
          <w:iCs/>
          <w:sz w:val="24"/>
          <w:szCs w:val="24"/>
        </w:rPr>
        <w:t>decomposition</w:t>
      </w:r>
      <w:r w:rsidR="00D849C5" w:rsidRPr="00D849C5">
        <w:rPr>
          <w:rFonts w:ascii="Times New Roman" w:hAnsi="Times New Roman" w:cs="Times New Roman"/>
          <w:iCs/>
          <w:sz w:val="24"/>
          <w:szCs w:val="24"/>
        </w:rPr>
        <w:t xml:space="preserve"> is that we are more familiar with it than with the GTAP </w:t>
      </w:r>
      <w:r w:rsidR="00D849C5">
        <w:rPr>
          <w:rFonts w:ascii="Times New Roman" w:hAnsi="Times New Roman" w:cs="Times New Roman"/>
          <w:iCs/>
          <w:sz w:val="24"/>
          <w:szCs w:val="24"/>
        </w:rPr>
        <w:t>m</w:t>
      </w:r>
      <w:r w:rsidR="00D849C5" w:rsidRPr="00D849C5">
        <w:rPr>
          <w:rFonts w:ascii="Times New Roman" w:hAnsi="Times New Roman" w:cs="Times New Roman"/>
          <w:iCs/>
          <w:sz w:val="24"/>
          <w:szCs w:val="24"/>
        </w:rPr>
        <w:t xml:space="preserve">easures of equivalent variation and other welfare variables. </w:t>
      </w:r>
    </w:p>
    <w:p w:rsidR="00864D08" w:rsidRDefault="00864D08" w:rsidP="00E63D5A">
      <w:pPr>
        <w:pStyle w:val="ListParagraph"/>
        <w:spacing w:after="0"/>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Step 4.  Adding the Melitz equations </w:t>
      </w:r>
    </w:p>
    <w:p w:rsidR="00A12BB2" w:rsidRDefault="00864D08"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None of the modifications described in steps 2 and 3 </w:t>
      </w:r>
      <w:r w:rsidR="00A12BB2">
        <w:rPr>
          <w:rFonts w:ascii="Times New Roman" w:hAnsi="Times New Roman" w:cs="Times New Roman"/>
          <w:sz w:val="24"/>
          <w:szCs w:val="24"/>
        </w:rPr>
        <w:t>is</w:t>
      </w:r>
      <w:r>
        <w:rPr>
          <w:rFonts w:ascii="Times New Roman" w:hAnsi="Times New Roman" w:cs="Times New Roman"/>
          <w:sz w:val="24"/>
          <w:szCs w:val="24"/>
        </w:rPr>
        <w:t xml:space="preserve"> fundamental.  Their implementation still leaves us with an Armington model, only slightly changed from the original model.  In this step we add </w:t>
      </w:r>
      <w:r w:rsidR="00A12BB2">
        <w:rPr>
          <w:rFonts w:ascii="Times New Roman" w:hAnsi="Times New Roman" w:cs="Times New Roman"/>
          <w:sz w:val="24"/>
          <w:szCs w:val="24"/>
        </w:rPr>
        <w:t xml:space="preserve">Melitz equations and data modifications which allow us to implement a distinctly different model.  These additions are given in the GEMPACK code under the heading Melitz additions, found towards the end of </w:t>
      </w:r>
      <w:r w:rsidR="0030572A">
        <w:rPr>
          <w:rFonts w:ascii="Times New Roman" w:hAnsi="Times New Roman" w:cs="Times New Roman"/>
          <w:sz w:val="24"/>
          <w:szCs w:val="24"/>
        </w:rPr>
        <w:t xml:space="preserve">our Melitz-enhanced GTAP code.  </w:t>
      </w:r>
      <w:r w:rsidR="00A12BB2">
        <w:rPr>
          <w:rFonts w:ascii="Times New Roman" w:hAnsi="Times New Roman" w:cs="Times New Roman"/>
          <w:sz w:val="24"/>
          <w:szCs w:val="24"/>
        </w:rPr>
        <w:t xml:space="preserve">  </w:t>
      </w:r>
    </w:p>
    <w:p w:rsidR="004C3DE7" w:rsidRDefault="0030572A" w:rsidP="0030572A">
      <w:pPr>
        <w:pStyle w:val="ListParagraph"/>
        <w:tabs>
          <w:tab w:val="left" w:pos="284"/>
        </w:tabs>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A12BB2">
        <w:rPr>
          <w:rFonts w:ascii="Times New Roman" w:hAnsi="Times New Roman" w:cs="Times New Roman"/>
          <w:sz w:val="24"/>
          <w:szCs w:val="24"/>
        </w:rPr>
        <w:t xml:space="preserve">Apart from the notation, readers who have worked through the </w:t>
      </w:r>
      <w:r w:rsidR="00D43536">
        <w:rPr>
          <w:rFonts w:ascii="Times New Roman" w:hAnsi="Times New Roman" w:cs="Times New Roman"/>
          <w:sz w:val="24"/>
          <w:szCs w:val="24"/>
        </w:rPr>
        <w:t xml:space="preserve">A2M system for </w:t>
      </w:r>
      <w:r w:rsidR="001869D2">
        <w:rPr>
          <w:rFonts w:ascii="Times New Roman" w:hAnsi="Times New Roman" w:cs="Times New Roman"/>
          <w:sz w:val="24"/>
          <w:szCs w:val="24"/>
        </w:rPr>
        <w:t>Basic</w:t>
      </w:r>
      <w:r w:rsidR="00A12BB2">
        <w:rPr>
          <w:rFonts w:ascii="Times New Roman" w:hAnsi="Times New Roman" w:cs="Times New Roman"/>
          <w:sz w:val="24"/>
          <w:szCs w:val="24"/>
        </w:rPr>
        <w:t xml:space="preserve">Armington will be able to follow the Melitz additions without difficulty.  Notes </w:t>
      </w:r>
      <w:r w:rsidR="00217BF6">
        <w:rPr>
          <w:rFonts w:ascii="Times New Roman" w:hAnsi="Times New Roman" w:cs="Times New Roman"/>
          <w:sz w:val="24"/>
          <w:szCs w:val="24"/>
        </w:rPr>
        <w:t xml:space="preserve">in </w:t>
      </w:r>
      <w:r w:rsidR="006760B9">
        <w:rPr>
          <w:rFonts w:ascii="Times New Roman" w:hAnsi="Times New Roman" w:cs="Times New Roman"/>
          <w:sz w:val="24"/>
          <w:szCs w:val="24"/>
        </w:rPr>
        <w:t xml:space="preserve">our downloadable GTAP </w:t>
      </w:r>
      <w:r w:rsidR="00217BF6">
        <w:rPr>
          <w:rFonts w:ascii="Times New Roman" w:hAnsi="Times New Roman" w:cs="Times New Roman"/>
          <w:sz w:val="24"/>
          <w:szCs w:val="24"/>
        </w:rPr>
        <w:t xml:space="preserve">code </w:t>
      </w:r>
      <w:r w:rsidR="00A12BB2">
        <w:rPr>
          <w:rFonts w:ascii="Times New Roman" w:hAnsi="Times New Roman" w:cs="Times New Roman"/>
          <w:sz w:val="24"/>
          <w:szCs w:val="24"/>
        </w:rPr>
        <w:t xml:space="preserve">point to the corresponding parts </w:t>
      </w:r>
      <w:r w:rsidR="006760B9">
        <w:rPr>
          <w:rFonts w:ascii="Times New Roman" w:hAnsi="Times New Roman" w:cs="Times New Roman"/>
          <w:sz w:val="24"/>
          <w:szCs w:val="24"/>
        </w:rPr>
        <w:t>in</w:t>
      </w:r>
      <w:r w:rsidR="00A12BB2">
        <w:rPr>
          <w:rFonts w:ascii="Times New Roman" w:hAnsi="Times New Roman" w:cs="Times New Roman"/>
          <w:sz w:val="24"/>
          <w:szCs w:val="24"/>
        </w:rPr>
        <w:t xml:space="preserve"> the </w:t>
      </w:r>
      <w:r w:rsidR="00D43536">
        <w:rPr>
          <w:rFonts w:ascii="Times New Roman" w:hAnsi="Times New Roman" w:cs="Times New Roman"/>
          <w:sz w:val="24"/>
          <w:szCs w:val="24"/>
        </w:rPr>
        <w:t xml:space="preserve">A2M </w:t>
      </w:r>
      <w:r w:rsidR="00A12BB2">
        <w:rPr>
          <w:rFonts w:ascii="Times New Roman" w:hAnsi="Times New Roman" w:cs="Times New Roman"/>
          <w:sz w:val="24"/>
          <w:szCs w:val="24"/>
        </w:rPr>
        <w:t xml:space="preserve">code </w:t>
      </w:r>
      <w:r w:rsidR="00217BF6">
        <w:rPr>
          <w:rFonts w:ascii="Times New Roman" w:hAnsi="Times New Roman" w:cs="Times New Roman"/>
          <w:sz w:val="24"/>
          <w:szCs w:val="24"/>
        </w:rPr>
        <w:t xml:space="preserve">in Appendix </w:t>
      </w:r>
      <w:r w:rsidR="00D43536">
        <w:rPr>
          <w:rFonts w:ascii="Times New Roman" w:hAnsi="Times New Roman" w:cs="Times New Roman"/>
          <w:sz w:val="24"/>
          <w:szCs w:val="24"/>
        </w:rPr>
        <w:t>7.</w:t>
      </w:r>
      <w:r w:rsidR="00217BF6">
        <w:rPr>
          <w:rFonts w:ascii="Times New Roman" w:hAnsi="Times New Roman" w:cs="Times New Roman"/>
          <w:sz w:val="24"/>
          <w:szCs w:val="24"/>
        </w:rPr>
        <w:t>1</w:t>
      </w:r>
      <w:r w:rsidR="00A12BB2">
        <w:rPr>
          <w:rFonts w:ascii="Times New Roman" w:hAnsi="Times New Roman" w:cs="Times New Roman"/>
          <w:sz w:val="24"/>
          <w:szCs w:val="24"/>
        </w:rPr>
        <w:t>.  Unfortunately</w:t>
      </w:r>
      <w:r w:rsidR="006760B9">
        <w:rPr>
          <w:rFonts w:ascii="Times New Roman" w:hAnsi="Times New Roman" w:cs="Times New Roman"/>
          <w:sz w:val="24"/>
          <w:szCs w:val="24"/>
        </w:rPr>
        <w:t>,</w:t>
      </w:r>
      <w:r w:rsidR="00A12BB2">
        <w:rPr>
          <w:rFonts w:ascii="Times New Roman" w:hAnsi="Times New Roman" w:cs="Times New Roman"/>
          <w:sz w:val="24"/>
          <w:szCs w:val="24"/>
        </w:rPr>
        <w:t xml:space="preserve"> unavoidable notational complexity is caused by the GTAP convention of using separate </w:t>
      </w:r>
      <w:r w:rsidR="00682795">
        <w:rPr>
          <w:rFonts w:ascii="Times New Roman" w:hAnsi="Times New Roman" w:cs="Times New Roman"/>
          <w:sz w:val="24"/>
          <w:szCs w:val="24"/>
        </w:rPr>
        <w:t xml:space="preserve">variables and coefficients to identify flows of commodities between regions and within regions, e.g. VXMD(i,r,s) and VMD(i,r). </w:t>
      </w:r>
      <w:r w:rsidR="00A12BB2">
        <w:rPr>
          <w:rFonts w:ascii="Times New Roman" w:hAnsi="Times New Roman" w:cs="Times New Roman"/>
          <w:sz w:val="24"/>
          <w:szCs w:val="24"/>
        </w:rPr>
        <w:t xml:space="preserve"> </w:t>
      </w:r>
    </w:p>
    <w:p w:rsidR="004C3DE7" w:rsidRDefault="004C3DE7" w:rsidP="00E63D5A">
      <w:pPr>
        <w:pStyle w:val="ListParagraph"/>
        <w:spacing w:after="0"/>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lastRenderedPageBreak/>
        <w:t>Step 5.  Closures</w:t>
      </w:r>
    </w:p>
    <w:p w:rsidR="00DF4B91" w:rsidRDefault="004C3DE7"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As with the </w:t>
      </w:r>
      <w:r w:rsidR="00491858">
        <w:rPr>
          <w:rFonts w:ascii="Times New Roman" w:hAnsi="Times New Roman" w:cs="Times New Roman"/>
          <w:sz w:val="24"/>
          <w:szCs w:val="24"/>
        </w:rPr>
        <w:t>Basic</w:t>
      </w:r>
      <w:r>
        <w:rPr>
          <w:rFonts w:ascii="Times New Roman" w:hAnsi="Times New Roman" w:cs="Times New Roman"/>
          <w:sz w:val="24"/>
          <w:szCs w:val="24"/>
        </w:rPr>
        <w:t>Armington model, the conversion of GTAP to Melitz is completed by closure changes that turn on the Melitz specifications of</w:t>
      </w:r>
      <w:r w:rsidR="006760B9">
        <w:rPr>
          <w:rFonts w:ascii="Times New Roman" w:hAnsi="Times New Roman" w:cs="Times New Roman"/>
          <w:sz w:val="24"/>
          <w:szCs w:val="24"/>
        </w:rPr>
        <w:t xml:space="preserve">: destination-specific pricing (endogenization of txMel); </w:t>
      </w:r>
      <w:r>
        <w:rPr>
          <w:rFonts w:ascii="Times New Roman" w:hAnsi="Times New Roman" w:cs="Times New Roman"/>
          <w:sz w:val="24"/>
          <w:szCs w:val="24"/>
        </w:rPr>
        <w:t>average productivity in industries</w:t>
      </w:r>
      <w:r w:rsidR="006760B9">
        <w:rPr>
          <w:rFonts w:ascii="Times New Roman" w:hAnsi="Times New Roman" w:cs="Times New Roman"/>
          <w:sz w:val="24"/>
          <w:szCs w:val="24"/>
        </w:rPr>
        <w:t xml:space="preserve"> (endogenization of aoMel); love of variety (endogenization of aaMel); and number of firms in each industry and country (endo</w:t>
      </w:r>
      <w:r w:rsidR="00CF0034">
        <w:rPr>
          <w:rFonts w:ascii="Times New Roman" w:hAnsi="Times New Roman" w:cs="Times New Roman"/>
          <w:sz w:val="24"/>
          <w:szCs w:val="24"/>
        </w:rPr>
        <w:t xml:space="preserve">genization of n).  </w:t>
      </w:r>
      <w:r>
        <w:rPr>
          <w:rFonts w:ascii="Times New Roman" w:hAnsi="Times New Roman" w:cs="Times New Roman"/>
          <w:sz w:val="24"/>
          <w:szCs w:val="24"/>
        </w:rPr>
        <w:t xml:space="preserve">An Armington closure for standard GTAP and the swaps necessary to convert a particular industry, “Wap”, from Armington to Melitz are shown in </w:t>
      </w:r>
      <w:r w:rsidR="00CF0034">
        <w:rPr>
          <w:rFonts w:ascii="Times New Roman" w:hAnsi="Times New Roman" w:cs="Times New Roman"/>
          <w:sz w:val="24"/>
          <w:szCs w:val="24"/>
        </w:rPr>
        <w:t>our annotated downloadable GTAP files</w:t>
      </w:r>
      <w:r>
        <w:rPr>
          <w:rFonts w:ascii="Times New Roman" w:hAnsi="Times New Roman" w:cs="Times New Roman"/>
          <w:sz w:val="24"/>
          <w:szCs w:val="24"/>
        </w:rPr>
        <w:t xml:space="preserve">.  </w:t>
      </w:r>
    </w:p>
    <w:p w:rsidR="00DF4B91" w:rsidRPr="003A1674" w:rsidRDefault="003A1674" w:rsidP="00B73782">
      <w:pPr>
        <w:spacing w:before="360" w:after="360" w:line="240" w:lineRule="auto"/>
        <w:jc w:val="both"/>
        <w:rPr>
          <w:rFonts w:ascii="Times New Roman" w:hAnsi="Times New Roman" w:cs="Times New Roman"/>
          <w:b/>
          <w:sz w:val="28"/>
          <w:szCs w:val="28"/>
        </w:rPr>
      </w:pPr>
      <w:r w:rsidRPr="003A1674">
        <w:rPr>
          <w:rFonts w:ascii="Times New Roman" w:hAnsi="Times New Roman" w:cs="Times New Roman"/>
          <w:b/>
          <w:sz w:val="28"/>
          <w:szCs w:val="28"/>
        </w:rPr>
        <w:t>7.</w:t>
      </w:r>
      <w:r w:rsidR="00DF4B91" w:rsidRPr="003A1674">
        <w:rPr>
          <w:rFonts w:ascii="Times New Roman" w:hAnsi="Times New Roman" w:cs="Times New Roman"/>
          <w:b/>
          <w:sz w:val="28"/>
          <w:szCs w:val="28"/>
        </w:rPr>
        <w:t xml:space="preserve">6.  Illustrative results from </w:t>
      </w:r>
      <w:r w:rsidR="002A668C">
        <w:rPr>
          <w:rFonts w:ascii="Times New Roman" w:hAnsi="Times New Roman" w:cs="Times New Roman"/>
          <w:b/>
          <w:sz w:val="28"/>
          <w:szCs w:val="28"/>
        </w:rPr>
        <w:t xml:space="preserve">the </w:t>
      </w:r>
      <w:r w:rsidR="00D41491" w:rsidRPr="003A1674">
        <w:rPr>
          <w:rFonts w:ascii="Times New Roman" w:hAnsi="Times New Roman" w:cs="Times New Roman"/>
          <w:b/>
          <w:sz w:val="28"/>
          <w:szCs w:val="28"/>
        </w:rPr>
        <w:t>GTAP</w:t>
      </w:r>
      <w:r w:rsidR="002A668C">
        <w:rPr>
          <w:rFonts w:ascii="Times New Roman" w:hAnsi="Times New Roman" w:cs="Times New Roman"/>
          <w:b/>
          <w:sz w:val="28"/>
          <w:szCs w:val="28"/>
        </w:rPr>
        <w:t>-A2M system</w:t>
      </w:r>
    </w:p>
    <w:p w:rsidR="009B0E9B" w:rsidRDefault="00AE1FC6" w:rsidP="009B0E9B">
      <w:pPr>
        <w:pStyle w:val="FootnoteTex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Tables </w:t>
      </w:r>
      <w:r w:rsidR="000B02FF">
        <w:rPr>
          <w:rFonts w:ascii="Times New Roman" w:hAnsi="Times New Roman" w:cs="Times New Roman"/>
          <w:sz w:val="24"/>
          <w:szCs w:val="24"/>
        </w:rPr>
        <w:t>7.</w:t>
      </w:r>
      <w:r>
        <w:rPr>
          <w:rFonts w:ascii="Times New Roman" w:hAnsi="Times New Roman" w:cs="Times New Roman"/>
          <w:sz w:val="24"/>
          <w:szCs w:val="24"/>
        </w:rPr>
        <w:t xml:space="preserve">5 and </w:t>
      </w:r>
      <w:r w:rsidR="000B02FF">
        <w:rPr>
          <w:rFonts w:ascii="Times New Roman" w:hAnsi="Times New Roman" w:cs="Times New Roman"/>
          <w:sz w:val="24"/>
          <w:szCs w:val="24"/>
        </w:rPr>
        <w:t>7.</w:t>
      </w:r>
      <w:r>
        <w:rPr>
          <w:rFonts w:ascii="Times New Roman" w:hAnsi="Times New Roman" w:cs="Times New Roman"/>
          <w:sz w:val="24"/>
          <w:szCs w:val="24"/>
        </w:rPr>
        <w:t>6 provide illustrative results from our 10</w:t>
      </w:r>
      <w:r w:rsidR="001869D2">
        <w:rPr>
          <w:rFonts w:ascii="Times New Roman" w:hAnsi="Times New Roman" w:cs="Times New Roman"/>
          <w:sz w:val="24"/>
          <w:szCs w:val="24"/>
        </w:rPr>
        <w:t>-</w:t>
      </w:r>
      <w:r>
        <w:rPr>
          <w:rFonts w:ascii="Times New Roman" w:hAnsi="Times New Roman" w:cs="Times New Roman"/>
          <w:sz w:val="24"/>
          <w:szCs w:val="24"/>
        </w:rPr>
        <w:t>region 57</w:t>
      </w:r>
      <w:r w:rsidR="001869D2">
        <w:rPr>
          <w:rFonts w:ascii="Times New Roman" w:hAnsi="Times New Roman" w:cs="Times New Roman"/>
          <w:sz w:val="24"/>
          <w:szCs w:val="24"/>
        </w:rPr>
        <w:t>-</w:t>
      </w:r>
      <w:r>
        <w:rPr>
          <w:rFonts w:ascii="Times New Roman" w:hAnsi="Times New Roman" w:cs="Times New Roman"/>
          <w:sz w:val="24"/>
          <w:szCs w:val="24"/>
        </w:rPr>
        <w:t xml:space="preserve">commodity </w:t>
      </w:r>
      <w:r w:rsidR="002A668C">
        <w:rPr>
          <w:rFonts w:ascii="Times New Roman" w:hAnsi="Times New Roman" w:cs="Times New Roman"/>
          <w:sz w:val="24"/>
          <w:szCs w:val="24"/>
        </w:rPr>
        <w:t>GTAP-A2M system</w:t>
      </w:r>
      <w:r>
        <w:rPr>
          <w:rFonts w:ascii="Times New Roman" w:hAnsi="Times New Roman" w:cs="Times New Roman"/>
          <w:sz w:val="24"/>
          <w:szCs w:val="24"/>
        </w:rPr>
        <w:t xml:space="preserve">.  </w:t>
      </w:r>
      <w:r w:rsidR="00FA4CE7">
        <w:rPr>
          <w:rFonts w:ascii="Times New Roman" w:hAnsi="Times New Roman" w:cs="Times New Roman"/>
          <w:sz w:val="24"/>
          <w:szCs w:val="24"/>
        </w:rPr>
        <w:t xml:space="preserve">The tables show </w:t>
      </w:r>
      <w:r w:rsidR="00003EF0">
        <w:rPr>
          <w:rFonts w:ascii="Times New Roman" w:hAnsi="Times New Roman" w:cs="Times New Roman"/>
          <w:sz w:val="24"/>
          <w:szCs w:val="24"/>
        </w:rPr>
        <w:t xml:space="preserve">the percentage effects on private consumption in the 10 regions of </w:t>
      </w:r>
      <w:r w:rsidR="00FA4CE7">
        <w:rPr>
          <w:rFonts w:ascii="Times New Roman" w:hAnsi="Times New Roman" w:cs="Times New Roman"/>
          <w:sz w:val="24"/>
          <w:szCs w:val="24"/>
        </w:rPr>
        <w:t xml:space="preserve">an increase of 10 per cent in the power of the tariffs on all imports to North America of wearing </w:t>
      </w:r>
      <w:r w:rsidR="009B0E9B">
        <w:rPr>
          <w:rFonts w:ascii="Times New Roman" w:hAnsi="Times New Roman" w:cs="Times New Roman"/>
          <w:sz w:val="24"/>
          <w:szCs w:val="24"/>
        </w:rPr>
        <w:t>apparel (Wap</w:t>
      </w:r>
      <w:r w:rsidR="009B0E9B" w:rsidRPr="00652CD6">
        <w:rPr>
          <w:rFonts w:ascii="Times New Roman" w:hAnsi="Times New Roman" w:cs="Times New Roman"/>
          <w:sz w:val="24"/>
          <w:szCs w:val="24"/>
        </w:rPr>
        <w:t>), f</w:t>
      </w:r>
      <w:r w:rsidR="009B0E9B" w:rsidRPr="00652CD6">
        <w:rPr>
          <w:rFonts w:ascii="Times New Roman" w:hAnsi="Times New Roman" w:cs="Times New Roman"/>
          <w:sz w:val="24"/>
          <w:szCs w:val="24"/>
          <w:lang w:val="en-AU"/>
        </w:rPr>
        <w:t>rom an average tariff rate of 9.89 per cent to 20.88 percent [ =100*(1.0989*1.10 – 1)].</w:t>
      </w:r>
      <w:r w:rsidR="009B0E9B">
        <w:rPr>
          <w:rFonts w:ascii="Times New Roman" w:hAnsi="Times New Roman" w:cs="Times New Roman"/>
          <w:sz w:val="24"/>
          <w:szCs w:val="24"/>
          <w:lang w:val="en-AU"/>
        </w:rPr>
        <w:t xml:space="preserve">  </w:t>
      </w:r>
      <w:r w:rsidR="009B0E9B">
        <w:rPr>
          <w:rFonts w:ascii="Times New Roman" w:hAnsi="Times New Roman" w:cs="Times New Roman"/>
          <w:sz w:val="24"/>
          <w:szCs w:val="24"/>
        </w:rPr>
        <w:t xml:space="preserve">In Table 7.5, Wap is modeled as a Melitz industry while all other industries are Armington.  In Table 7.6, all industries are Armington.  In both simulations, private consumption is a legitimate measure of welfare: we hold constant the balance of trade, aggregate investment and public expenditure in all regions.  </w:t>
      </w:r>
    </w:p>
    <w:p w:rsidR="009B0E9B" w:rsidRDefault="009B0E9B" w:rsidP="009B0E9B">
      <w:pPr>
        <w:pStyle w:val="ListParagraph"/>
        <w:spacing w:after="0"/>
        <w:ind w:left="0" w:firstLine="284"/>
        <w:contextualSpacing w:val="0"/>
        <w:jc w:val="both"/>
        <w:rPr>
          <w:rFonts w:ascii="Times New Roman" w:hAnsi="Times New Roman" w:cs="Times New Roman"/>
          <w:sz w:val="24"/>
          <w:szCs w:val="24"/>
          <w:lang w:val="en-AU"/>
        </w:rPr>
      </w:pPr>
      <w:r>
        <w:rPr>
          <w:rFonts w:ascii="Times New Roman" w:hAnsi="Times New Roman" w:cs="Times New Roman"/>
          <w:sz w:val="24"/>
          <w:szCs w:val="24"/>
        </w:rPr>
        <w:t>The tables show a decomposition of the welfare results into five contributing factors.  The theoretical structure of the decomposition is similar to that in Table 7.4.</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However, unlike BasicArmington, GTAP has many genuine indirect taxes besides tariffs.  Consequently, an extra factor is required in Tables 7.5 and 7.6 to account for the welfare effects of changes in tax-carrying flows apart from the directly affected flow of imports of Wap into NAmerica.  </w:t>
      </w:r>
      <w:r w:rsidRPr="00915FF9">
        <w:rPr>
          <w:rFonts w:ascii="Times New Roman" w:hAnsi="Times New Roman" w:cs="Times New Roman"/>
          <w:sz w:val="24"/>
          <w:szCs w:val="24"/>
          <w:lang w:val="en-AU"/>
        </w:rPr>
        <w:t xml:space="preserve">The </w:t>
      </w:r>
      <w:r>
        <w:rPr>
          <w:rFonts w:ascii="Times New Roman" w:hAnsi="Times New Roman" w:cs="Times New Roman"/>
          <w:sz w:val="24"/>
          <w:szCs w:val="24"/>
          <w:lang w:val="en-AU"/>
        </w:rPr>
        <w:t xml:space="preserve">details of the </w:t>
      </w:r>
      <w:r w:rsidRPr="00915FF9">
        <w:rPr>
          <w:rFonts w:ascii="Times New Roman" w:hAnsi="Times New Roman" w:cs="Times New Roman"/>
          <w:sz w:val="24"/>
          <w:szCs w:val="24"/>
          <w:lang w:val="en-AU"/>
        </w:rPr>
        <w:t xml:space="preserve">decomposition </w:t>
      </w:r>
      <w:r>
        <w:rPr>
          <w:rFonts w:ascii="Times New Roman" w:hAnsi="Times New Roman" w:cs="Times New Roman"/>
          <w:sz w:val="24"/>
          <w:szCs w:val="24"/>
          <w:lang w:val="en-AU"/>
        </w:rPr>
        <w:t xml:space="preserve">can be seen in the downloadable code referenced at the start of section 7.5. </w:t>
      </w:r>
    </w:p>
    <w:p w:rsidR="009B0E9B" w:rsidRPr="0009537C" w:rsidRDefault="009B0E9B" w:rsidP="009B0E9B">
      <w:pPr>
        <w:pStyle w:val="ListParagraph"/>
        <w:spacing w:after="0"/>
        <w:ind w:left="0" w:firstLine="284"/>
        <w:contextualSpacing w:val="0"/>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Comparison of the first columns in Tables 7.5 and 7.6 shows that Melitz and Armington identify the same regions as the main winners and losers. NAmerica, the region that imposes the Wap tariff, gains 0.1037 per cent in welfare in the Melitz simulation and 0.0193 per cent in the Armington simulation. SEAsia loses 0.7892 per cent under Melitz and 0.3414 per cent under Armington while SouthAsia loses 0.3870 and 0.1442 per cent.  As can be seen in Table 7.7, these latter two regions have the greatest reliance on Wap exports to NAmerica.  SEAsia’s exports of Wap to NAmerica expressed as a percentage of SEAsia’s total private consumption (welfare) is 2.57.  The corresponding percentage for SouthAsia is 1.20.  Figure 7.1 shows that Melitz assumptions generally accentuate Armington results.  The main welfare losing regions lose more under Melitz than under Armington and the winning regions win more. </w:t>
      </w:r>
      <w:r w:rsidRPr="00915FF9">
        <w:rPr>
          <w:rFonts w:ascii="Times New Roman" w:hAnsi="Times New Roman" w:cs="Times New Roman"/>
          <w:sz w:val="24"/>
          <w:szCs w:val="24"/>
          <w:lang w:val="en-AU"/>
        </w:rPr>
        <w:t xml:space="preserve"> </w:t>
      </w:r>
    </w:p>
    <w:p w:rsidR="00863457" w:rsidRDefault="00863457" w:rsidP="00863457">
      <w:pPr>
        <w:pStyle w:val="FootnoteText"/>
        <w:spacing w:line="276" w:lineRule="auto"/>
        <w:jc w:val="both"/>
        <w:rPr>
          <w:rFonts w:ascii="Times New Roman" w:hAnsi="Times New Roman" w:cs="Times New Roman"/>
          <w:sz w:val="24"/>
          <w:szCs w:val="24"/>
        </w:rPr>
        <w:sectPr w:rsidR="00863457" w:rsidSect="00B1634E">
          <w:footerReference w:type="default" r:id="rId193"/>
          <w:pgSz w:w="11906" w:h="16838"/>
          <w:pgMar w:top="1440" w:right="1440" w:bottom="1440" w:left="1440" w:header="708" w:footer="708" w:gutter="0"/>
          <w:cols w:space="708"/>
          <w:docGrid w:linePitch="360"/>
        </w:sectPr>
      </w:pPr>
    </w:p>
    <w:p w:rsidR="00863457" w:rsidRDefault="00863457" w:rsidP="00863457">
      <w:pPr>
        <w:spacing w:before="120" w:after="0" w:line="240" w:lineRule="auto"/>
        <w:jc w:val="center"/>
        <w:rPr>
          <w:rFonts w:ascii="Times New Roman" w:hAnsi="Times New Roman" w:cs="Times New Roman"/>
          <w:b/>
          <w:i/>
          <w:sz w:val="24"/>
          <w:szCs w:val="24"/>
        </w:rPr>
      </w:pPr>
      <w:r w:rsidRPr="00DB707D">
        <w:rPr>
          <w:rFonts w:ascii="Times New Roman" w:hAnsi="Times New Roman" w:cs="Times New Roman"/>
          <w:b/>
          <w:i/>
          <w:sz w:val="24"/>
          <w:szCs w:val="24"/>
        </w:rPr>
        <w:lastRenderedPageBreak/>
        <w:t xml:space="preserve">Table </w:t>
      </w:r>
      <w:r>
        <w:rPr>
          <w:rFonts w:ascii="Times New Roman" w:hAnsi="Times New Roman" w:cs="Times New Roman"/>
          <w:b/>
          <w:i/>
          <w:sz w:val="24"/>
          <w:szCs w:val="24"/>
        </w:rPr>
        <w:t>7.5</w:t>
      </w:r>
      <w:r w:rsidRPr="00DB707D">
        <w:rPr>
          <w:rFonts w:ascii="Times New Roman" w:hAnsi="Times New Roman" w:cs="Times New Roman"/>
          <w:b/>
          <w:i/>
          <w:sz w:val="24"/>
          <w:szCs w:val="24"/>
        </w:rPr>
        <w:t xml:space="preserve">: </w:t>
      </w:r>
      <w:r>
        <w:rPr>
          <w:rFonts w:ascii="Times New Roman" w:hAnsi="Times New Roman" w:cs="Times New Roman"/>
          <w:b/>
          <w:i/>
          <w:sz w:val="24"/>
          <w:szCs w:val="24"/>
        </w:rPr>
        <w:t xml:space="preserve">A decomposition of the effects on private consumption (welfare) of a 10 per cent increase in the power of the tariff </w:t>
      </w:r>
    </w:p>
    <w:p w:rsidR="00863457" w:rsidRPr="00DB707D" w:rsidRDefault="00863457" w:rsidP="0086345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on Wearing apparel (Wap) into North America: Melitz assumptions </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448"/>
        <w:gridCol w:w="1417"/>
        <w:gridCol w:w="1417"/>
        <w:gridCol w:w="1417"/>
        <w:gridCol w:w="1417"/>
        <w:gridCol w:w="1417"/>
        <w:gridCol w:w="1417"/>
      </w:tblGrid>
      <w:tr w:rsidR="00863457" w:rsidTr="00EB27BA">
        <w:tc>
          <w:tcPr>
            <w:tcW w:w="1450" w:type="dxa"/>
            <w:tcBorders>
              <w:top w:val="single" w:sz="18" w:space="0" w:color="595959" w:themeColor="text1" w:themeTint="A6"/>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p>
        </w:tc>
        <w:tc>
          <w:tcPr>
            <w:tcW w:w="1448"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rPr>
                <w:rFonts w:ascii="Times New Roman" w:hAnsi="Times New Roman" w:cs="Times New Roman"/>
                <w:color w:val="000000"/>
                <w:sz w:val="18"/>
                <w:szCs w:val="18"/>
              </w:rPr>
            </w:pPr>
            <w:r w:rsidRPr="002C7333">
              <w:rPr>
                <w:rFonts w:ascii="Times New Roman" w:hAnsi="Times New Roman" w:cs="Times New Roman"/>
                <w:i/>
                <w:color w:val="000000"/>
                <w:sz w:val="18"/>
                <w:szCs w:val="18"/>
              </w:rPr>
              <w:t>Percentage effect on</w:t>
            </w:r>
            <w:r>
              <w:rPr>
                <w:rFonts w:ascii="Times New Roman" w:hAnsi="Times New Roman" w:cs="Times New Roman"/>
                <w:color w:val="000000"/>
                <w:sz w:val="18"/>
                <w:szCs w:val="18"/>
              </w:rPr>
              <w:t>:</w:t>
            </w:r>
          </w:p>
        </w:tc>
        <w:tc>
          <w:tcPr>
            <w:tcW w:w="7085" w:type="dxa"/>
            <w:gridSpan w:val="5"/>
            <w:tcBorders>
              <w:top w:val="single" w:sz="18" w:space="0" w:color="595959" w:themeColor="text1" w:themeTint="A6"/>
              <w:left w:val="single" w:sz="18" w:space="0" w:color="595959" w:themeColor="text1" w:themeTint="A6"/>
              <w:bottom w:val="single" w:sz="18" w:space="0" w:color="595959" w:themeColor="text1" w:themeTint="A6"/>
            </w:tcBorders>
          </w:tcPr>
          <w:p w:rsidR="00863457" w:rsidRPr="002C7333" w:rsidRDefault="00863457" w:rsidP="00EB27BA">
            <w:pPr>
              <w:spacing w:after="0" w:line="240" w:lineRule="auto"/>
              <w:jc w:val="center"/>
              <w:rPr>
                <w:rFonts w:ascii="Times New Roman" w:hAnsi="Times New Roman" w:cs="Times New Roman"/>
                <w:i/>
                <w:color w:val="000000"/>
                <w:sz w:val="18"/>
                <w:szCs w:val="18"/>
              </w:rPr>
            </w:pPr>
            <w:r>
              <w:rPr>
                <w:rFonts w:ascii="Times New Roman" w:hAnsi="Times New Roman" w:cs="Times New Roman"/>
                <w:i/>
                <w:color w:val="000000"/>
                <w:sz w:val="18"/>
                <w:szCs w:val="18"/>
              </w:rPr>
              <w:t>Percentage point contributions from:</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vAlign w:val="center"/>
          </w:tcPr>
          <w:p w:rsidR="00863457" w:rsidRPr="002C7333" w:rsidRDefault="00863457" w:rsidP="00EB27BA">
            <w:pPr>
              <w:spacing w:after="0" w:line="240" w:lineRule="auto"/>
              <w:jc w:val="center"/>
              <w:rPr>
                <w:rFonts w:ascii="Times New Roman" w:hAnsi="Times New Roman" w:cs="Times New Roman"/>
                <w:i/>
                <w:color w:val="000000"/>
                <w:sz w:val="18"/>
                <w:szCs w:val="18"/>
              </w:rPr>
            </w:pPr>
          </w:p>
        </w:tc>
      </w:tr>
      <w:tr w:rsidR="00863457" w:rsidTr="00EB27BA">
        <w:tc>
          <w:tcPr>
            <w:tcW w:w="1450" w:type="dxa"/>
            <w:tcBorders>
              <w:top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ind w:left="-18"/>
              <w:rPr>
                <w:rFonts w:ascii="Times New Roman" w:hAnsi="Times New Roman" w:cs="Times New Roman"/>
                <w:color w:val="000000"/>
                <w:sz w:val="18"/>
                <w:szCs w:val="18"/>
              </w:rPr>
            </w:pPr>
            <w:r>
              <w:rPr>
                <w:rFonts w:ascii="Times New Roman" w:hAnsi="Times New Roman" w:cs="Times New Roman"/>
                <w:color w:val="000000"/>
                <w:sz w:val="18"/>
                <w:szCs w:val="18"/>
              </w:rPr>
              <w:t>Region</w:t>
            </w:r>
          </w:p>
        </w:tc>
        <w:tc>
          <w:tcPr>
            <w:tcW w:w="1448"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Private consumption, welfare</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tcPr>
          <w:p w:rsidR="00863457" w:rsidRDefault="00863457" w:rsidP="00EB27BA">
            <w:pPr>
              <w:spacing w:after="0" w:line="240" w:lineRule="auto"/>
              <w:rPr>
                <w:rFonts w:ascii="Times New Roman" w:hAnsi="Times New Roman" w:cs="Times New Roman"/>
                <w:color w:val="000000"/>
                <w:sz w:val="18"/>
                <w:szCs w:val="18"/>
              </w:rPr>
            </w:pPr>
          </w:p>
          <w:p w:rsidR="00863457"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Direct tax-carrying flow</w:t>
            </w:r>
          </w:p>
        </w:tc>
        <w:tc>
          <w:tcPr>
            <w:tcW w:w="1417" w:type="dxa"/>
            <w:tcBorders>
              <w:top w:val="single" w:sz="18" w:space="0" w:color="595959" w:themeColor="text1" w:themeTint="A6"/>
              <w:bottom w:val="single" w:sz="18" w:space="0" w:color="595959" w:themeColor="text1" w:themeTint="A6"/>
            </w:tcBorders>
          </w:tcPr>
          <w:p w:rsidR="00863457" w:rsidRDefault="00863457" w:rsidP="00EB27BA">
            <w:pPr>
              <w:spacing w:after="0" w:line="240" w:lineRule="auto"/>
              <w:rPr>
                <w:rFonts w:ascii="Times New Roman" w:hAnsi="Times New Roman" w:cs="Times New Roman"/>
                <w:color w:val="000000"/>
                <w:sz w:val="18"/>
                <w:szCs w:val="18"/>
              </w:rPr>
            </w:pPr>
          </w:p>
          <w:p w:rsidR="00863457"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Other tax-carrying flows</w:t>
            </w:r>
          </w:p>
        </w:tc>
        <w:tc>
          <w:tcPr>
            <w:tcW w:w="1417" w:type="dxa"/>
            <w:tcBorders>
              <w:top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Traditional terms of trade</w:t>
            </w:r>
          </w:p>
        </w:tc>
        <w:tc>
          <w:tcPr>
            <w:tcW w:w="1417" w:type="dxa"/>
            <w:tcBorders>
              <w:top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Extra Melitz terms of trade</w:t>
            </w:r>
          </w:p>
        </w:tc>
        <w:tc>
          <w:tcPr>
            <w:tcW w:w="1417" w:type="dxa"/>
            <w:tcBorders>
              <w:top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Extra Melitz efficiency</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Scale effect</w:t>
            </w:r>
          </w:p>
        </w:tc>
      </w:tr>
      <w:tr w:rsidR="00863457" w:rsidTr="00EB27BA">
        <w:tc>
          <w:tcPr>
            <w:tcW w:w="1450" w:type="dxa"/>
            <w:tcBorders>
              <w:top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1 Oceania</w:t>
            </w:r>
          </w:p>
        </w:tc>
        <w:tc>
          <w:tcPr>
            <w:tcW w:w="1448" w:type="dxa"/>
            <w:tcBorders>
              <w:top w:val="single" w:sz="18" w:space="0" w:color="595959" w:themeColor="text1" w:themeTint="A6"/>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line="240" w:lineRule="auto"/>
              <w:rPr>
                <w:rFonts w:ascii="Times New Roman" w:hAnsi="Times New Roman" w:cs="Times New Roman"/>
                <w:color w:val="000000"/>
                <w:sz w:val="18"/>
                <w:szCs w:val="18"/>
                <w:lang w:val="en-AU"/>
              </w:rPr>
            </w:pPr>
            <w:r w:rsidRPr="00092074">
              <w:rPr>
                <w:rFonts w:ascii="Times New Roman" w:hAnsi="Times New Roman" w:cs="Times New Roman"/>
                <w:color w:val="000000"/>
                <w:sz w:val="18"/>
                <w:szCs w:val="18"/>
              </w:rPr>
              <w:t>-0.0065</w:t>
            </w:r>
          </w:p>
        </w:tc>
        <w:tc>
          <w:tcPr>
            <w:tcW w:w="1417" w:type="dxa"/>
            <w:tcBorders>
              <w:top w:val="single" w:sz="18" w:space="0" w:color="595959" w:themeColor="text1" w:themeTint="A6"/>
              <w:left w:val="single" w:sz="18" w:space="0" w:color="595959" w:themeColor="text1" w:themeTint="A6"/>
            </w:tcBorders>
            <w:vAlign w:val="bottom"/>
          </w:tcPr>
          <w:p w:rsidR="00863457" w:rsidRPr="002216CF" w:rsidRDefault="00863457" w:rsidP="00EB27BA">
            <w:pPr>
              <w:tabs>
                <w:tab w:val="decimal" w:pos="352"/>
              </w:tabs>
              <w:spacing w:after="0" w:line="240" w:lineRule="auto"/>
              <w:rPr>
                <w:rFonts w:ascii="Times New Roman" w:hAnsi="Times New Roman" w:cs="Times New Roman"/>
                <w:color w:val="000000"/>
                <w:sz w:val="18"/>
                <w:szCs w:val="18"/>
                <w:lang w:val="en-AU"/>
              </w:rPr>
            </w:pPr>
            <w:r w:rsidRPr="002216CF">
              <w:rPr>
                <w:rFonts w:ascii="Times New Roman" w:hAnsi="Times New Roman" w:cs="Times New Roman"/>
                <w:color w:val="000000"/>
                <w:sz w:val="18"/>
                <w:szCs w:val="18"/>
              </w:rPr>
              <w:t>0.0000</w:t>
            </w:r>
          </w:p>
        </w:tc>
        <w:tc>
          <w:tcPr>
            <w:tcW w:w="1417" w:type="dxa"/>
            <w:tcBorders>
              <w:top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-0.0044</w:t>
            </w:r>
          </w:p>
        </w:tc>
        <w:tc>
          <w:tcPr>
            <w:tcW w:w="1417" w:type="dxa"/>
            <w:tcBorders>
              <w:top w:val="single" w:sz="18" w:space="0" w:color="595959" w:themeColor="text1" w:themeTint="A6"/>
            </w:tcBorders>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lang w:val="en-AU"/>
              </w:rPr>
            </w:pPr>
            <w:r w:rsidRPr="005174E3">
              <w:rPr>
                <w:rFonts w:ascii="Times New Roman" w:hAnsi="Times New Roman" w:cs="Times New Roman"/>
                <w:color w:val="000000"/>
                <w:sz w:val="18"/>
                <w:szCs w:val="18"/>
              </w:rPr>
              <w:t>-0.0131</w:t>
            </w:r>
          </w:p>
        </w:tc>
        <w:tc>
          <w:tcPr>
            <w:tcW w:w="1417" w:type="dxa"/>
            <w:tcBorders>
              <w:top w:val="single" w:sz="18" w:space="0" w:color="595959" w:themeColor="text1" w:themeTint="A6"/>
            </w:tcBorders>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0.002</w:t>
            </w:r>
            <w:r>
              <w:rPr>
                <w:rFonts w:ascii="Times New Roman" w:hAnsi="Times New Roman" w:cs="Times New Roman"/>
                <w:color w:val="000000"/>
                <w:sz w:val="18"/>
                <w:szCs w:val="18"/>
              </w:rPr>
              <w:t>0</w:t>
            </w:r>
          </w:p>
        </w:tc>
        <w:tc>
          <w:tcPr>
            <w:tcW w:w="1417" w:type="dxa"/>
            <w:tcBorders>
              <w:top w:val="single" w:sz="18" w:space="0" w:color="595959" w:themeColor="text1" w:themeTint="A6"/>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0.0091</w:t>
            </w:r>
          </w:p>
        </w:tc>
        <w:tc>
          <w:tcPr>
            <w:tcW w:w="1417" w:type="dxa"/>
            <w:tcBorders>
              <w:top w:val="single" w:sz="18" w:space="0" w:color="595959" w:themeColor="text1" w:themeTint="A6"/>
              <w:left w:val="single" w:sz="18" w:space="0" w:color="595959" w:themeColor="text1" w:themeTint="A6"/>
            </w:tcBorders>
            <w:vAlign w:val="bottom"/>
          </w:tcPr>
          <w:p w:rsidR="00863457" w:rsidRPr="002216CF" w:rsidRDefault="00863457" w:rsidP="00EB27BA">
            <w:pPr>
              <w:tabs>
                <w:tab w:val="decimal" w:pos="352"/>
              </w:tabs>
              <w:spacing w:after="0" w:line="240" w:lineRule="auto"/>
              <w:rPr>
                <w:rFonts w:ascii="Times New Roman" w:hAnsi="Times New Roman" w:cs="Times New Roman"/>
                <w:color w:val="000000"/>
                <w:sz w:val="18"/>
                <w:szCs w:val="18"/>
                <w:lang w:val="en-AU"/>
              </w:rPr>
            </w:pPr>
            <w:r w:rsidRPr="002216CF">
              <w:rPr>
                <w:rFonts w:ascii="Times New Roman" w:hAnsi="Times New Roman" w:cs="Times New Roman"/>
                <w:color w:val="000000"/>
                <w:sz w:val="18"/>
                <w:szCs w:val="18"/>
              </w:rPr>
              <w:t>0.0084</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2 EastAsia</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-0.1073</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-0.0301</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-0.0157</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0.0203</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-0.0818</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-0.0528</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3 SEAsia</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-0.7892</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-0.0760</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0.0565</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0.1165</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-0.8861</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-0.8818</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4 SouthAsia</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-0.3870</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-0.0764</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0.2178</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0.0426</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-0.5711</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-0.5514</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5 NAmerica</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0.1037</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-0.0429</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-0.0014</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0.0089</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-0.0262</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0.1653</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0.1525</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6 LatinAmer</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-0.1669</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-0.0145</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-0.0256</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0.0347</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-0.1615</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-0.1613</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7 EU_25</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0.0186</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-0.0030</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-0.0172</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0.0022</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0.0367</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0.0332</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Pr>
                <w:rFonts w:ascii="Times New Roman" w:hAnsi="Times New Roman" w:cs="Times New Roman"/>
                <w:color w:val="000000"/>
                <w:sz w:val="18"/>
                <w:szCs w:val="18"/>
              </w:rPr>
              <w:t>8 MidEastNAfr</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-0.1635</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-0.0078</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-0.0679</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0.0343</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-0.1220</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-0.1228</w:t>
            </w:r>
          </w:p>
        </w:tc>
      </w:tr>
      <w:tr w:rsidR="00863457"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9 S</w:t>
            </w:r>
            <w:r>
              <w:rPr>
                <w:rFonts w:ascii="Times New Roman" w:hAnsi="Times New Roman" w:cs="Times New Roman"/>
                <w:color w:val="000000"/>
                <w:sz w:val="18"/>
                <w:szCs w:val="18"/>
              </w:rPr>
              <w:t>ubSah</w:t>
            </w:r>
            <w:r w:rsidRPr="00DB707D">
              <w:rPr>
                <w:rFonts w:ascii="Times New Roman" w:hAnsi="Times New Roman" w:cs="Times New Roman"/>
                <w:color w:val="000000"/>
                <w:sz w:val="18"/>
                <w:szCs w:val="18"/>
              </w:rPr>
              <w:t>A</w:t>
            </w:r>
            <w:r>
              <w:rPr>
                <w:rFonts w:ascii="Times New Roman" w:hAnsi="Times New Roman" w:cs="Times New Roman"/>
                <w:color w:val="000000"/>
                <w:sz w:val="18"/>
                <w:szCs w:val="18"/>
              </w:rPr>
              <w:t>fr</w:t>
            </w:r>
          </w:p>
        </w:tc>
        <w:tc>
          <w:tcPr>
            <w:tcW w:w="1448" w:type="dxa"/>
            <w:tcBorders>
              <w:left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-0.0842</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-0.0152</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-0.0392</w:t>
            </w:r>
          </w:p>
        </w:tc>
        <w:tc>
          <w:tcPr>
            <w:tcW w:w="1417" w:type="dxa"/>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0.0227</w:t>
            </w:r>
          </w:p>
        </w:tc>
        <w:tc>
          <w:tcPr>
            <w:tcW w:w="1417" w:type="dxa"/>
            <w:tcBorders>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-0.0523</w:t>
            </w:r>
          </w:p>
        </w:tc>
        <w:tc>
          <w:tcPr>
            <w:tcW w:w="1417" w:type="dxa"/>
            <w:tcBorders>
              <w:lef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-0.0529</w:t>
            </w:r>
          </w:p>
        </w:tc>
      </w:tr>
      <w:tr w:rsidR="00863457" w:rsidTr="00EB27BA">
        <w:tc>
          <w:tcPr>
            <w:tcW w:w="1450" w:type="dxa"/>
            <w:tcBorders>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10 RestofWorld</w:t>
            </w:r>
          </w:p>
        </w:tc>
        <w:tc>
          <w:tcPr>
            <w:tcW w:w="1448" w:type="dxa"/>
            <w:tcBorders>
              <w:left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092074" w:rsidRDefault="00863457" w:rsidP="00EB27BA">
            <w:pPr>
              <w:tabs>
                <w:tab w:val="decimal" w:pos="352"/>
              </w:tabs>
              <w:spacing w:after="0"/>
              <w:rPr>
                <w:rFonts w:ascii="Times New Roman" w:hAnsi="Times New Roman" w:cs="Times New Roman"/>
                <w:color w:val="000000"/>
                <w:sz w:val="18"/>
                <w:szCs w:val="18"/>
              </w:rPr>
            </w:pPr>
            <w:r w:rsidRPr="00092074">
              <w:rPr>
                <w:rFonts w:ascii="Times New Roman" w:hAnsi="Times New Roman" w:cs="Times New Roman"/>
                <w:color w:val="000000"/>
                <w:sz w:val="18"/>
                <w:szCs w:val="18"/>
              </w:rPr>
              <w:t>-0.0760</w:t>
            </w:r>
          </w:p>
        </w:tc>
        <w:tc>
          <w:tcPr>
            <w:tcW w:w="1417" w:type="dxa"/>
            <w:tcBorders>
              <w:left w:val="single" w:sz="18" w:space="0" w:color="595959" w:themeColor="text1" w:themeTint="A6"/>
              <w:bottom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0.0000</w:t>
            </w:r>
          </w:p>
        </w:tc>
        <w:tc>
          <w:tcPr>
            <w:tcW w:w="1417" w:type="dxa"/>
            <w:tcBorders>
              <w:bottom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-0.0060</w:t>
            </w:r>
          </w:p>
        </w:tc>
        <w:tc>
          <w:tcPr>
            <w:tcW w:w="1417" w:type="dxa"/>
            <w:tcBorders>
              <w:bottom w:val="single" w:sz="18" w:space="0" w:color="595959" w:themeColor="text1" w:themeTint="A6"/>
            </w:tcBorders>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-0.0151</w:t>
            </w:r>
          </w:p>
        </w:tc>
        <w:tc>
          <w:tcPr>
            <w:tcW w:w="1417" w:type="dxa"/>
            <w:tcBorders>
              <w:bottom w:val="single" w:sz="18" w:space="0" w:color="595959" w:themeColor="text1" w:themeTint="A6"/>
            </w:tcBorders>
            <w:vAlign w:val="center"/>
          </w:tcPr>
          <w:p w:rsidR="00863457" w:rsidRPr="005174E3" w:rsidRDefault="00863457" w:rsidP="00EB27BA">
            <w:pPr>
              <w:tabs>
                <w:tab w:val="decimal" w:pos="317"/>
              </w:tabs>
              <w:spacing w:after="0" w:line="240" w:lineRule="auto"/>
              <w:rPr>
                <w:rFonts w:ascii="Times New Roman" w:hAnsi="Times New Roman" w:cs="Times New Roman"/>
                <w:color w:val="000000"/>
                <w:sz w:val="18"/>
                <w:szCs w:val="18"/>
              </w:rPr>
            </w:pPr>
            <w:r w:rsidRPr="005174E3">
              <w:rPr>
                <w:rFonts w:ascii="Times New Roman" w:hAnsi="Times New Roman" w:cs="Times New Roman"/>
                <w:color w:val="000000"/>
                <w:sz w:val="18"/>
                <w:szCs w:val="18"/>
              </w:rPr>
              <w:t>0.0115</w:t>
            </w:r>
          </w:p>
        </w:tc>
        <w:tc>
          <w:tcPr>
            <w:tcW w:w="1417" w:type="dxa"/>
            <w:tcBorders>
              <w:bottom w:val="single" w:sz="18" w:space="0" w:color="595959" w:themeColor="text1" w:themeTint="A6"/>
              <w:right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-0.0663</w:t>
            </w:r>
          </w:p>
        </w:tc>
        <w:tc>
          <w:tcPr>
            <w:tcW w:w="1417" w:type="dxa"/>
            <w:tcBorders>
              <w:left w:val="single" w:sz="18" w:space="0" w:color="595959" w:themeColor="text1" w:themeTint="A6"/>
              <w:bottom w:val="single" w:sz="18" w:space="0" w:color="595959" w:themeColor="text1" w:themeTint="A6"/>
            </w:tcBorders>
            <w:vAlign w:val="bottom"/>
          </w:tcPr>
          <w:p w:rsidR="00863457" w:rsidRPr="002216CF" w:rsidRDefault="00863457" w:rsidP="00EB27BA">
            <w:pPr>
              <w:tabs>
                <w:tab w:val="decimal" w:pos="352"/>
              </w:tabs>
              <w:spacing w:after="0"/>
              <w:rPr>
                <w:rFonts w:ascii="Times New Roman" w:hAnsi="Times New Roman" w:cs="Times New Roman"/>
                <w:color w:val="000000"/>
                <w:sz w:val="18"/>
                <w:szCs w:val="18"/>
              </w:rPr>
            </w:pPr>
            <w:r w:rsidRPr="002216CF">
              <w:rPr>
                <w:rFonts w:ascii="Times New Roman" w:hAnsi="Times New Roman" w:cs="Times New Roman"/>
                <w:color w:val="000000"/>
                <w:sz w:val="18"/>
                <w:szCs w:val="18"/>
              </w:rPr>
              <w:t>-0.0611</w:t>
            </w:r>
          </w:p>
        </w:tc>
      </w:tr>
    </w:tbl>
    <w:p w:rsidR="00863457" w:rsidRDefault="00863457" w:rsidP="00863457">
      <w:pPr>
        <w:spacing w:before="120" w:after="0" w:line="240" w:lineRule="auto"/>
        <w:jc w:val="center"/>
        <w:rPr>
          <w:rFonts w:ascii="Times New Roman" w:hAnsi="Times New Roman" w:cs="Times New Roman"/>
          <w:b/>
          <w:i/>
          <w:sz w:val="24"/>
          <w:szCs w:val="24"/>
        </w:rPr>
      </w:pPr>
      <w:r w:rsidRPr="00DB707D">
        <w:rPr>
          <w:rFonts w:ascii="Times New Roman" w:hAnsi="Times New Roman" w:cs="Times New Roman"/>
          <w:b/>
          <w:i/>
          <w:sz w:val="24"/>
          <w:szCs w:val="24"/>
        </w:rPr>
        <w:t xml:space="preserve">Table </w:t>
      </w:r>
      <w:r>
        <w:rPr>
          <w:rFonts w:ascii="Times New Roman" w:hAnsi="Times New Roman" w:cs="Times New Roman"/>
          <w:b/>
          <w:i/>
          <w:sz w:val="24"/>
          <w:szCs w:val="24"/>
        </w:rPr>
        <w:t>7.6</w:t>
      </w:r>
      <w:r w:rsidRPr="00DB707D">
        <w:rPr>
          <w:rFonts w:ascii="Times New Roman" w:hAnsi="Times New Roman" w:cs="Times New Roman"/>
          <w:b/>
          <w:i/>
          <w:sz w:val="24"/>
          <w:szCs w:val="24"/>
        </w:rPr>
        <w:t xml:space="preserve">: </w:t>
      </w:r>
      <w:r>
        <w:rPr>
          <w:rFonts w:ascii="Times New Roman" w:hAnsi="Times New Roman" w:cs="Times New Roman"/>
          <w:b/>
          <w:i/>
          <w:sz w:val="24"/>
          <w:szCs w:val="24"/>
        </w:rPr>
        <w:t xml:space="preserve">A decomposition of the effects on private consumption (welfare) of a 10 per cent increase in the power of the tariff </w:t>
      </w:r>
    </w:p>
    <w:p w:rsidR="00863457" w:rsidRDefault="00863457" w:rsidP="0086345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on Wearing apparel (Wap) into North America: Armington assumptions </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448"/>
        <w:gridCol w:w="1417"/>
        <w:gridCol w:w="1417"/>
        <w:gridCol w:w="1417"/>
        <w:gridCol w:w="1417"/>
        <w:gridCol w:w="1417"/>
        <w:gridCol w:w="1417"/>
      </w:tblGrid>
      <w:tr w:rsidR="00863457" w:rsidRPr="002C7333" w:rsidTr="00EB27BA">
        <w:tc>
          <w:tcPr>
            <w:tcW w:w="1450" w:type="dxa"/>
            <w:tcBorders>
              <w:top w:val="single" w:sz="18" w:space="0" w:color="595959" w:themeColor="text1" w:themeTint="A6"/>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p>
        </w:tc>
        <w:tc>
          <w:tcPr>
            <w:tcW w:w="1448"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rPr>
                <w:rFonts w:ascii="Times New Roman" w:hAnsi="Times New Roman" w:cs="Times New Roman"/>
                <w:color w:val="000000"/>
                <w:sz w:val="18"/>
                <w:szCs w:val="18"/>
              </w:rPr>
            </w:pPr>
            <w:r w:rsidRPr="002C7333">
              <w:rPr>
                <w:rFonts w:ascii="Times New Roman" w:hAnsi="Times New Roman" w:cs="Times New Roman"/>
                <w:i/>
                <w:color w:val="000000"/>
                <w:sz w:val="18"/>
                <w:szCs w:val="18"/>
              </w:rPr>
              <w:t>Percentage effect on</w:t>
            </w:r>
            <w:r>
              <w:rPr>
                <w:rFonts w:ascii="Times New Roman" w:hAnsi="Times New Roman" w:cs="Times New Roman"/>
                <w:color w:val="000000"/>
                <w:sz w:val="18"/>
                <w:szCs w:val="18"/>
              </w:rPr>
              <w:t>:</w:t>
            </w:r>
          </w:p>
        </w:tc>
        <w:tc>
          <w:tcPr>
            <w:tcW w:w="7085" w:type="dxa"/>
            <w:gridSpan w:val="5"/>
            <w:tcBorders>
              <w:top w:val="single" w:sz="18" w:space="0" w:color="595959" w:themeColor="text1" w:themeTint="A6"/>
              <w:left w:val="single" w:sz="18" w:space="0" w:color="595959" w:themeColor="text1" w:themeTint="A6"/>
              <w:bottom w:val="single" w:sz="18" w:space="0" w:color="595959" w:themeColor="text1" w:themeTint="A6"/>
            </w:tcBorders>
          </w:tcPr>
          <w:p w:rsidR="00863457" w:rsidRPr="002C7333" w:rsidRDefault="00863457" w:rsidP="00EB27BA">
            <w:pPr>
              <w:spacing w:after="0" w:line="240" w:lineRule="auto"/>
              <w:jc w:val="center"/>
              <w:rPr>
                <w:rFonts w:ascii="Times New Roman" w:hAnsi="Times New Roman" w:cs="Times New Roman"/>
                <w:i/>
                <w:color w:val="000000"/>
                <w:sz w:val="18"/>
                <w:szCs w:val="18"/>
              </w:rPr>
            </w:pPr>
            <w:r>
              <w:rPr>
                <w:rFonts w:ascii="Times New Roman" w:hAnsi="Times New Roman" w:cs="Times New Roman"/>
                <w:i/>
                <w:color w:val="000000"/>
                <w:sz w:val="18"/>
                <w:szCs w:val="18"/>
              </w:rPr>
              <w:t>Percentage point contributions from:</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vAlign w:val="center"/>
          </w:tcPr>
          <w:p w:rsidR="00863457" w:rsidRPr="002C7333" w:rsidRDefault="00863457" w:rsidP="00EB27BA">
            <w:pPr>
              <w:spacing w:after="0" w:line="240" w:lineRule="auto"/>
              <w:jc w:val="center"/>
              <w:rPr>
                <w:rFonts w:ascii="Times New Roman" w:hAnsi="Times New Roman" w:cs="Times New Roman"/>
                <w:i/>
                <w:color w:val="000000"/>
                <w:sz w:val="18"/>
                <w:szCs w:val="18"/>
              </w:rPr>
            </w:pPr>
          </w:p>
        </w:tc>
      </w:tr>
      <w:tr w:rsidR="00863457" w:rsidRPr="00DB707D" w:rsidTr="00EB27BA">
        <w:tc>
          <w:tcPr>
            <w:tcW w:w="1450" w:type="dxa"/>
            <w:tcBorders>
              <w:top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ind w:left="-18"/>
              <w:rPr>
                <w:rFonts w:ascii="Times New Roman" w:hAnsi="Times New Roman" w:cs="Times New Roman"/>
                <w:color w:val="000000"/>
                <w:sz w:val="18"/>
                <w:szCs w:val="18"/>
              </w:rPr>
            </w:pPr>
            <w:r>
              <w:rPr>
                <w:rFonts w:ascii="Times New Roman" w:hAnsi="Times New Roman" w:cs="Times New Roman"/>
                <w:color w:val="000000"/>
                <w:sz w:val="18"/>
                <w:szCs w:val="18"/>
              </w:rPr>
              <w:t>Region</w:t>
            </w:r>
          </w:p>
        </w:tc>
        <w:tc>
          <w:tcPr>
            <w:tcW w:w="1448" w:type="dxa"/>
            <w:tc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Private consumption, welfare</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tcPr>
          <w:p w:rsidR="00863457" w:rsidRDefault="00863457" w:rsidP="00EB27BA">
            <w:pPr>
              <w:spacing w:after="0" w:line="240" w:lineRule="auto"/>
              <w:rPr>
                <w:rFonts w:ascii="Times New Roman" w:hAnsi="Times New Roman" w:cs="Times New Roman"/>
                <w:color w:val="000000"/>
                <w:sz w:val="18"/>
                <w:szCs w:val="18"/>
              </w:rPr>
            </w:pPr>
          </w:p>
          <w:p w:rsidR="00863457"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Direct tax-carrying flow</w:t>
            </w:r>
          </w:p>
        </w:tc>
        <w:tc>
          <w:tcPr>
            <w:tcW w:w="1417" w:type="dxa"/>
            <w:tcBorders>
              <w:top w:val="single" w:sz="18" w:space="0" w:color="595959" w:themeColor="text1" w:themeTint="A6"/>
              <w:bottom w:val="single" w:sz="18" w:space="0" w:color="595959" w:themeColor="text1" w:themeTint="A6"/>
            </w:tcBorders>
          </w:tcPr>
          <w:p w:rsidR="00863457" w:rsidRDefault="00863457" w:rsidP="00EB27BA">
            <w:pPr>
              <w:spacing w:after="0" w:line="240" w:lineRule="auto"/>
              <w:rPr>
                <w:rFonts w:ascii="Times New Roman" w:hAnsi="Times New Roman" w:cs="Times New Roman"/>
                <w:color w:val="000000"/>
                <w:sz w:val="18"/>
                <w:szCs w:val="18"/>
              </w:rPr>
            </w:pPr>
          </w:p>
          <w:p w:rsidR="00863457"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Other tax-carrying flows</w:t>
            </w:r>
          </w:p>
        </w:tc>
        <w:tc>
          <w:tcPr>
            <w:tcW w:w="1417" w:type="dxa"/>
            <w:tcBorders>
              <w:top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Traditional terms of trade</w:t>
            </w:r>
          </w:p>
        </w:tc>
        <w:tc>
          <w:tcPr>
            <w:tcW w:w="1417" w:type="dxa"/>
            <w:tcBorders>
              <w:top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Extra Melitz terms of trade</w:t>
            </w:r>
          </w:p>
        </w:tc>
        <w:tc>
          <w:tcPr>
            <w:tcW w:w="1417" w:type="dxa"/>
            <w:tcBorders>
              <w:top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Extra Melitz efficiency</w:t>
            </w:r>
          </w:p>
        </w:tc>
        <w:tc>
          <w:tcPr>
            <w:tcW w:w="1417" w:type="dxa"/>
            <w:tcBorders>
              <w:top w:val="single" w:sz="18" w:space="0" w:color="595959" w:themeColor="text1" w:themeTint="A6"/>
              <w:left w:val="single" w:sz="18" w:space="0" w:color="595959" w:themeColor="text1" w:themeTint="A6"/>
              <w:bottom w:val="single" w:sz="18" w:space="0" w:color="595959" w:themeColor="text1" w:themeTint="A6"/>
            </w:tcBorders>
            <w:vAlign w:val="bottom"/>
          </w:tcPr>
          <w:p w:rsidR="00863457" w:rsidRPr="00DB707D" w:rsidRDefault="00863457" w:rsidP="00EB27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Scale effect</w:t>
            </w:r>
          </w:p>
        </w:tc>
      </w:tr>
      <w:tr w:rsidR="00863457" w:rsidRPr="002216CF" w:rsidTr="00EB27BA">
        <w:tc>
          <w:tcPr>
            <w:tcW w:w="1450" w:type="dxa"/>
            <w:tcBorders>
              <w:top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1 Oceania</w:t>
            </w:r>
          </w:p>
        </w:tc>
        <w:tc>
          <w:tcPr>
            <w:tcW w:w="1448" w:type="dxa"/>
            <w:tcBorders>
              <w:top w:val="single" w:sz="18" w:space="0" w:color="595959" w:themeColor="text1" w:themeTint="A6"/>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line="240" w:lineRule="auto"/>
              <w:rPr>
                <w:rFonts w:ascii="Times New Roman" w:hAnsi="Times New Roman" w:cs="Times New Roman"/>
                <w:color w:val="000000"/>
                <w:sz w:val="18"/>
                <w:szCs w:val="18"/>
                <w:lang w:val="en-AU"/>
              </w:rPr>
            </w:pPr>
            <w:r w:rsidRPr="00D470A9">
              <w:rPr>
                <w:rFonts w:ascii="Times New Roman" w:hAnsi="Times New Roman" w:cs="Times New Roman"/>
                <w:color w:val="000000"/>
                <w:sz w:val="18"/>
                <w:szCs w:val="18"/>
              </w:rPr>
              <w:t>0.0006</w:t>
            </w:r>
          </w:p>
        </w:tc>
        <w:tc>
          <w:tcPr>
            <w:tcW w:w="1417" w:type="dxa"/>
            <w:tcBorders>
              <w:top w:val="single" w:sz="18" w:space="0" w:color="595959" w:themeColor="text1" w:themeTint="A6"/>
              <w:left w:val="single" w:sz="18" w:space="0" w:color="595959" w:themeColor="text1" w:themeTint="A6"/>
            </w:tcBorders>
            <w:vAlign w:val="bottom"/>
          </w:tcPr>
          <w:p w:rsidR="00863457" w:rsidRPr="00D470A9" w:rsidRDefault="00863457" w:rsidP="00EB27BA">
            <w:pPr>
              <w:tabs>
                <w:tab w:val="decimal" w:pos="352"/>
              </w:tabs>
              <w:spacing w:after="0" w:line="240" w:lineRule="auto"/>
              <w:rPr>
                <w:rFonts w:ascii="Times New Roman" w:hAnsi="Times New Roman" w:cs="Times New Roman"/>
                <w:color w:val="000000"/>
                <w:sz w:val="18"/>
                <w:szCs w:val="18"/>
                <w:lang w:val="en-AU"/>
              </w:rPr>
            </w:pPr>
            <w:r w:rsidRPr="00D470A9">
              <w:rPr>
                <w:rFonts w:ascii="Times New Roman" w:hAnsi="Times New Roman" w:cs="Times New Roman"/>
                <w:color w:val="000000"/>
                <w:sz w:val="18"/>
                <w:szCs w:val="18"/>
              </w:rPr>
              <w:t>0.0000</w:t>
            </w:r>
          </w:p>
        </w:tc>
        <w:tc>
          <w:tcPr>
            <w:tcW w:w="1417" w:type="dxa"/>
            <w:tcBorders>
              <w:top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0.0015</w:t>
            </w:r>
          </w:p>
        </w:tc>
        <w:tc>
          <w:tcPr>
            <w:tcW w:w="1417" w:type="dxa"/>
            <w:tcBorders>
              <w:top w:val="single" w:sz="18" w:space="0" w:color="595959" w:themeColor="text1" w:themeTint="A6"/>
            </w:tcBorders>
            <w:vAlign w:val="bottom"/>
          </w:tcPr>
          <w:p w:rsidR="00863457" w:rsidRPr="00D470A9" w:rsidRDefault="00863457" w:rsidP="00EB27BA">
            <w:pPr>
              <w:tabs>
                <w:tab w:val="decimal" w:pos="352"/>
              </w:tabs>
              <w:spacing w:after="0" w:line="240" w:lineRule="auto"/>
              <w:rPr>
                <w:rFonts w:ascii="Times New Roman" w:hAnsi="Times New Roman" w:cs="Times New Roman"/>
                <w:color w:val="000000"/>
                <w:sz w:val="18"/>
                <w:szCs w:val="18"/>
                <w:lang w:val="en-AU"/>
              </w:rPr>
            </w:pPr>
            <w:r w:rsidRPr="00D470A9">
              <w:rPr>
                <w:rFonts w:ascii="Times New Roman" w:hAnsi="Times New Roman" w:cs="Times New Roman"/>
                <w:color w:val="000000"/>
                <w:sz w:val="18"/>
                <w:szCs w:val="18"/>
              </w:rPr>
              <w:t>-0.0009</w:t>
            </w:r>
          </w:p>
        </w:tc>
        <w:tc>
          <w:tcPr>
            <w:tcW w:w="1417" w:type="dxa"/>
            <w:tcBorders>
              <w:top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top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top w:val="single" w:sz="18" w:space="0" w:color="595959" w:themeColor="text1" w:themeTint="A6"/>
              <w:left w:val="single" w:sz="18" w:space="0" w:color="595959" w:themeColor="text1" w:themeTint="A6"/>
            </w:tcBorders>
            <w:vAlign w:val="bottom"/>
          </w:tcPr>
          <w:p w:rsidR="00863457" w:rsidRPr="00D470A9" w:rsidRDefault="00863457" w:rsidP="00EB27BA">
            <w:pPr>
              <w:tabs>
                <w:tab w:val="decimal" w:pos="352"/>
              </w:tabs>
              <w:spacing w:after="0" w:line="240" w:lineRule="auto"/>
              <w:rPr>
                <w:rFonts w:ascii="Times New Roman" w:hAnsi="Times New Roman" w:cs="Times New Roman"/>
                <w:color w:val="000000"/>
                <w:sz w:val="18"/>
                <w:szCs w:val="18"/>
                <w:lang w:val="en-AU"/>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2 EastAsia</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-0.1210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-0.0709</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-0.0501</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3 SEAsia</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-0.3414</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-0.0524</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-0.2891</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4 SouthAsia</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-0.1442</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-0.0482</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-0.0960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5 NAmerica</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0.0193</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-0.0416</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0.0057</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0.0551</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6 LatinAmer</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-0.0903</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-0.0188</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-0.0715</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7 EU_25</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0.0036</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0.0028</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0.0009</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8 M</w:t>
            </w:r>
            <w:r>
              <w:rPr>
                <w:rFonts w:ascii="Times New Roman" w:hAnsi="Times New Roman" w:cs="Times New Roman"/>
                <w:color w:val="000000"/>
                <w:sz w:val="18"/>
                <w:szCs w:val="18"/>
              </w:rPr>
              <w:t>idEastNAfr</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-0.0702</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-0.0089</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-0.0613</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9 S</w:t>
            </w:r>
            <w:r>
              <w:rPr>
                <w:rFonts w:ascii="Times New Roman" w:hAnsi="Times New Roman" w:cs="Times New Roman"/>
                <w:color w:val="000000"/>
                <w:sz w:val="18"/>
                <w:szCs w:val="18"/>
              </w:rPr>
              <w:t>ub</w:t>
            </w:r>
            <w:r w:rsidRPr="00DB707D">
              <w:rPr>
                <w:rFonts w:ascii="Times New Roman" w:hAnsi="Times New Roman" w:cs="Times New Roman"/>
                <w:color w:val="000000"/>
                <w:sz w:val="18"/>
                <w:szCs w:val="18"/>
              </w:rPr>
              <w:t>S</w:t>
            </w:r>
            <w:r>
              <w:rPr>
                <w:rFonts w:ascii="Times New Roman" w:hAnsi="Times New Roman" w:cs="Times New Roman"/>
                <w:color w:val="000000"/>
                <w:sz w:val="18"/>
                <w:szCs w:val="18"/>
              </w:rPr>
              <w:t>ah</w:t>
            </w:r>
            <w:r w:rsidRPr="00DB707D">
              <w:rPr>
                <w:rFonts w:ascii="Times New Roman" w:hAnsi="Times New Roman" w:cs="Times New Roman"/>
                <w:color w:val="000000"/>
                <w:sz w:val="18"/>
                <w:szCs w:val="18"/>
              </w:rPr>
              <w:t>A</w:t>
            </w:r>
            <w:r>
              <w:rPr>
                <w:rFonts w:ascii="Times New Roman" w:hAnsi="Times New Roman" w:cs="Times New Roman"/>
                <w:color w:val="000000"/>
                <w:sz w:val="18"/>
                <w:szCs w:val="18"/>
              </w:rPr>
              <w:t>fr</w:t>
            </w:r>
          </w:p>
        </w:tc>
        <w:tc>
          <w:tcPr>
            <w:tcW w:w="1448" w:type="dxa"/>
            <w:tcBorders>
              <w:left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-0.0452</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-0.0093</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-0.0359</w:t>
            </w:r>
          </w:p>
        </w:tc>
        <w:tc>
          <w:tcPr>
            <w:tcW w:w="1417" w:type="dxa"/>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r w:rsidR="00863457" w:rsidRPr="002216CF" w:rsidTr="00EB27BA">
        <w:tc>
          <w:tcPr>
            <w:tcW w:w="1450" w:type="dxa"/>
            <w:tcBorders>
              <w:bottom w:val="single" w:sz="18" w:space="0" w:color="595959" w:themeColor="text1" w:themeTint="A6"/>
              <w:right w:val="single" w:sz="18" w:space="0" w:color="595959" w:themeColor="text1" w:themeTint="A6"/>
            </w:tcBorders>
            <w:vAlign w:val="center"/>
          </w:tcPr>
          <w:p w:rsidR="00863457" w:rsidRPr="00DB707D" w:rsidRDefault="00863457" w:rsidP="00EB27BA">
            <w:pPr>
              <w:spacing w:after="0" w:line="240" w:lineRule="auto"/>
              <w:ind w:left="-18"/>
              <w:rPr>
                <w:rFonts w:ascii="Times New Roman" w:hAnsi="Times New Roman" w:cs="Times New Roman"/>
                <w:color w:val="000000"/>
                <w:sz w:val="18"/>
                <w:szCs w:val="18"/>
              </w:rPr>
            </w:pPr>
            <w:r w:rsidRPr="00DB707D">
              <w:rPr>
                <w:rFonts w:ascii="Times New Roman" w:hAnsi="Times New Roman" w:cs="Times New Roman"/>
                <w:color w:val="000000"/>
                <w:sz w:val="18"/>
                <w:szCs w:val="18"/>
              </w:rPr>
              <w:t>10 RestofWorld</w:t>
            </w:r>
          </w:p>
        </w:tc>
        <w:tc>
          <w:tcPr>
            <w:tcW w:w="1448" w:type="dxa"/>
            <w:tcBorders>
              <w:left w:val="single" w:sz="18" w:space="0" w:color="595959" w:themeColor="text1" w:themeTint="A6"/>
              <w:bottom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-0.0326</w:t>
            </w:r>
          </w:p>
        </w:tc>
        <w:tc>
          <w:tcPr>
            <w:tcW w:w="1417" w:type="dxa"/>
            <w:tcBorders>
              <w:left w:val="single" w:sz="18" w:space="0" w:color="595959" w:themeColor="text1" w:themeTint="A6"/>
              <w:bottom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bottom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-0.0094</w:t>
            </w:r>
          </w:p>
        </w:tc>
        <w:tc>
          <w:tcPr>
            <w:tcW w:w="1417" w:type="dxa"/>
            <w:tcBorders>
              <w:bottom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-0.0232</w:t>
            </w:r>
          </w:p>
        </w:tc>
        <w:tc>
          <w:tcPr>
            <w:tcW w:w="1417" w:type="dxa"/>
            <w:tcBorders>
              <w:bottom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bottom w:val="single" w:sz="18" w:space="0" w:color="595959" w:themeColor="text1" w:themeTint="A6"/>
              <w:right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c>
          <w:tcPr>
            <w:tcW w:w="1417" w:type="dxa"/>
            <w:tcBorders>
              <w:left w:val="single" w:sz="18" w:space="0" w:color="595959" w:themeColor="text1" w:themeTint="A6"/>
              <w:bottom w:val="single" w:sz="18" w:space="0" w:color="595959" w:themeColor="text1" w:themeTint="A6"/>
            </w:tcBorders>
            <w:vAlign w:val="bottom"/>
          </w:tcPr>
          <w:p w:rsidR="00863457" w:rsidRPr="00D470A9" w:rsidRDefault="00863457" w:rsidP="00EB27BA">
            <w:pPr>
              <w:tabs>
                <w:tab w:val="decimal" w:pos="352"/>
              </w:tabs>
              <w:spacing w:after="0"/>
              <w:rPr>
                <w:rFonts w:ascii="Times New Roman" w:hAnsi="Times New Roman" w:cs="Times New Roman"/>
                <w:color w:val="000000"/>
                <w:sz w:val="18"/>
                <w:szCs w:val="18"/>
              </w:rPr>
            </w:pPr>
            <w:r w:rsidRPr="00D470A9">
              <w:rPr>
                <w:rFonts w:ascii="Times New Roman" w:hAnsi="Times New Roman" w:cs="Times New Roman"/>
                <w:color w:val="000000"/>
                <w:sz w:val="18"/>
                <w:szCs w:val="18"/>
              </w:rPr>
              <w:t>0.0000</w:t>
            </w:r>
          </w:p>
        </w:tc>
      </w:tr>
    </w:tbl>
    <w:p w:rsidR="00863457" w:rsidRDefault="00863457" w:rsidP="00863457">
      <w:pPr>
        <w:pStyle w:val="FootnoteText"/>
        <w:spacing w:line="276" w:lineRule="auto"/>
        <w:jc w:val="both"/>
        <w:rPr>
          <w:rFonts w:ascii="Times New Roman" w:hAnsi="Times New Roman" w:cs="Times New Roman"/>
          <w:sz w:val="24"/>
          <w:szCs w:val="24"/>
        </w:rPr>
      </w:pPr>
    </w:p>
    <w:p w:rsidR="00863457" w:rsidRDefault="00863457" w:rsidP="00863457">
      <w:pPr>
        <w:pStyle w:val="FootnoteText"/>
        <w:spacing w:line="276" w:lineRule="auto"/>
        <w:jc w:val="both"/>
        <w:rPr>
          <w:rFonts w:ascii="Times New Roman" w:hAnsi="Times New Roman" w:cs="Times New Roman"/>
          <w:sz w:val="24"/>
          <w:szCs w:val="24"/>
        </w:rPr>
        <w:sectPr w:rsidR="00863457" w:rsidSect="00863457">
          <w:pgSz w:w="16838" w:h="11906" w:orient="landscape"/>
          <w:pgMar w:top="1440" w:right="1440" w:bottom="1440" w:left="1440" w:header="708" w:footer="708" w:gutter="0"/>
          <w:cols w:space="708"/>
          <w:docGrid w:linePitch="360"/>
        </w:sectPr>
      </w:pPr>
    </w:p>
    <w:p w:rsidR="008317AA" w:rsidRDefault="008317AA" w:rsidP="008317AA">
      <w:pPr>
        <w:pStyle w:val="ListParagraph"/>
        <w:spacing w:after="0"/>
        <w:ind w:left="0" w:firstLine="284"/>
        <w:contextualSpacing w:val="0"/>
        <w:jc w:val="both"/>
        <w:rPr>
          <w:rFonts w:ascii="Times New Roman" w:hAnsi="Times New Roman" w:cs="Times New Roman"/>
          <w:sz w:val="24"/>
          <w:szCs w:val="24"/>
          <w:lang w:val="en-AU"/>
        </w:rPr>
      </w:pPr>
      <w:r>
        <w:rPr>
          <w:rFonts w:ascii="Times New Roman" w:hAnsi="Times New Roman" w:cs="Times New Roman"/>
          <w:sz w:val="24"/>
          <w:szCs w:val="24"/>
          <w:lang w:val="en-AU"/>
        </w:rPr>
        <w:lastRenderedPageBreak/>
        <w:t>To help us understand these and other features of Tables 7.5 and 7.6 we start by explaining the decomposition results column by column.  This enables us to locate the mechanisms that underlie the results and differences in their operation under Armington and Melitz.  But understanding why, under Melitz and Armington, the various mechanisms operate differently and are more or less favourable for some regions than for others does not give us a complete description of the results.  After describing the columns individually, we provide a framework for understanding the</w:t>
      </w:r>
      <w:r w:rsidR="0069174A">
        <w:rPr>
          <w:rFonts w:ascii="Times New Roman" w:hAnsi="Times New Roman" w:cs="Times New Roman"/>
          <w:sz w:val="24"/>
          <w:szCs w:val="24"/>
          <w:lang w:val="en-AU"/>
        </w:rPr>
        <w:t xml:space="preserve"> difference </w:t>
      </w:r>
      <w:r w:rsidR="00832FFA">
        <w:rPr>
          <w:rFonts w:ascii="Times New Roman" w:hAnsi="Times New Roman" w:cs="Times New Roman"/>
          <w:sz w:val="24"/>
          <w:szCs w:val="24"/>
          <w:lang w:val="en-AU"/>
        </w:rPr>
        <w:t>between</w:t>
      </w:r>
      <w:r w:rsidR="0069174A">
        <w:rPr>
          <w:rFonts w:ascii="Times New Roman" w:hAnsi="Times New Roman" w:cs="Times New Roman"/>
          <w:sz w:val="24"/>
          <w:szCs w:val="24"/>
          <w:lang w:val="en-AU"/>
        </w:rPr>
        <w:t xml:space="preserve"> Melitz and Armington in the </w:t>
      </w:r>
      <w:r>
        <w:rPr>
          <w:rFonts w:ascii="Times New Roman" w:hAnsi="Times New Roman" w:cs="Times New Roman"/>
          <w:sz w:val="24"/>
          <w:szCs w:val="24"/>
          <w:lang w:val="en-AU"/>
        </w:rPr>
        <w:t>net</w:t>
      </w:r>
      <w:r w:rsidR="0069174A">
        <w:rPr>
          <w:rFonts w:ascii="Times New Roman" w:hAnsi="Times New Roman" w:cs="Times New Roman"/>
          <w:sz w:val="24"/>
          <w:szCs w:val="24"/>
          <w:lang w:val="en-AU"/>
        </w:rPr>
        <w:t xml:space="preserve"> welfare </w:t>
      </w:r>
      <w:r>
        <w:rPr>
          <w:rFonts w:ascii="Times New Roman" w:hAnsi="Times New Roman" w:cs="Times New Roman"/>
          <w:sz w:val="24"/>
          <w:szCs w:val="24"/>
          <w:lang w:val="en-AU"/>
        </w:rPr>
        <w:t xml:space="preserve">outcome </w:t>
      </w:r>
      <w:r w:rsidR="00F41753">
        <w:rPr>
          <w:rFonts w:ascii="Times New Roman" w:hAnsi="Times New Roman" w:cs="Times New Roman"/>
          <w:sz w:val="24"/>
          <w:szCs w:val="24"/>
          <w:lang w:val="en-AU"/>
        </w:rPr>
        <w:t xml:space="preserve">(the addition across the columns) </w:t>
      </w:r>
      <w:r>
        <w:rPr>
          <w:rFonts w:ascii="Times New Roman" w:hAnsi="Times New Roman" w:cs="Times New Roman"/>
          <w:sz w:val="24"/>
          <w:szCs w:val="24"/>
          <w:lang w:val="en-AU"/>
        </w:rPr>
        <w:t xml:space="preserve">for each region.  </w:t>
      </w:r>
      <w:r w:rsidR="0069174A">
        <w:rPr>
          <w:rFonts w:ascii="Times New Roman" w:hAnsi="Times New Roman" w:cs="Times New Roman"/>
          <w:sz w:val="24"/>
          <w:szCs w:val="24"/>
          <w:lang w:val="en-AU"/>
        </w:rPr>
        <w:t>We focus on SEAsia, SouthAsia and NAmerica.</w:t>
      </w:r>
    </w:p>
    <w:p w:rsidR="008317AA" w:rsidRPr="008317AA" w:rsidRDefault="008317AA" w:rsidP="008317AA">
      <w:pPr>
        <w:pStyle w:val="ListParagraph"/>
        <w:spacing w:after="0"/>
        <w:ind w:left="0"/>
        <w:contextualSpacing w:val="0"/>
        <w:jc w:val="both"/>
        <w:rPr>
          <w:rFonts w:ascii="Times New Roman" w:hAnsi="Times New Roman" w:cs="Times New Roman"/>
          <w:b/>
          <w:i/>
          <w:sz w:val="24"/>
          <w:szCs w:val="24"/>
          <w:lang w:val="en-AU"/>
        </w:rPr>
      </w:pPr>
      <w:r w:rsidRPr="008317AA">
        <w:rPr>
          <w:rFonts w:ascii="Times New Roman" w:hAnsi="Times New Roman" w:cs="Times New Roman"/>
          <w:b/>
          <w:i/>
          <w:sz w:val="24"/>
          <w:szCs w:val="24"/>
          <w:lang w:val="en-AU"/>
        </w:rPr>
        <w:t>Decomposition result</w:t>
      </w:r>
      <w:r>
        <w:rPr>
          <w:rFonts w:ascii="Times New Roman" w:hAnsi="Times New Roman" w:cs="Times New Roman"/>
          <w:b/>
          <w:i/>
          <w:sz w:val="24"/>
          <w:szCs w:val="24"/>
          <w:lang w:val="en-AU"/>
        </w:rPr>
        <w:t>s</w:t>
      </w:r>
      <w:r w:rsidRPr="008317AA">
        <w:rPr>
          <w:rFonts w:ascii="Times New Roman" w:hAnsi="Times New Roman" w:cs="Times New Roman"/>
          <w:b/>
          <w:i/>
          <w:sz w:val="24"/>
          <w:szCs w:val="24"/>
          <w:lang w:val="en-AU"/>
        </w:rPr>
        <w:t xml:space="preserve"> </w:t>
      </w:r>
      <w:r>
        <w:rPr>
          <w:rFonts w:ascii="Times New Roman" w:hAnsi="Times New Roman" w:cs="Times New Roman"/>
          <w:b/>
          <w:i/>
          <w:sz w:val="24"/>
          <w:szCs w:val="24"/>
          <w:lang w:val="en-AU"/>
        </w:rPr>
        <w:t xml:space="preserve">in Tables 7.5 and 7.6, </w:t>
      </w:r>
      <w:r w:rsidRPr="008317AA">
        <w:rPr>
          <w:rFonts w:ascii="Times New Roman" w:hAnsi="Times New Roman" w:cs="Times New Roman"/>
          <w:b/>
          <w:i/>
          <w:sz w:val="24"/>
          <w:szCs w:val="24"/>
          <w:lang w:val="en-AU"/>
        </w:rPr>
        <w:t>column by column</w:t>
      </w:r>
    </w:p>
    <w:p w:rsidR="0072377F" w:rsidRDefault="008317AA" w:rsidP="008317A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lang w:val="en-AU"/>
        </w:rPr>
        <w:t xml:space="preserve">The first decomposition column in Tables 7.5 and 7.6 gives the welfare contributions of changes in Direct tax-carrying flows.  </w:t>
      </w:r>
      <w:r w:rsidR="00D470A9">
        <w:rPr>
          <w:rFonts w:ascii="Times New Roman" w:hAnsi="Times New Roman" w:cs="Times New Roman"/>
          <w:sz w:val="24"/>
          <w:szCs w:val="24"/>
          <w:lang w:val="en-AU"/>
        </w:rPr>
        <w:t>The contraction of NAmerian Wap imports causes a loss of 0.0429 per cent in NAmerican welfare under Melitz and 0.04</w:t>
      </w:r>
      <w:r w:rsidR="00E16B0F">
        <w:rPr>
          <w:rFonts w:ascii="Times New Roman" w:hAnsi="Times New Roman" w:cs="Times New Roman"/>
          <w:sz w:val="24"/>
          <w:szCs w:val="24"/>
          <w:lang w:val="en-AU"/>
        </w:rPr>
        <w:t>1</w:t>
      </w:r>
      <w:r w:rsidR="00D470A9">
        <w:rPr>
          <w:rFonts w:ascii="Times New Roman" w:hAnsi="Times New Roman" w:cs="Times New Roman"/>
          <w:sz w:val="24"/>
          <w:szCs w:val="24"/>
          <w:lang w:val="en-AU"/>
        </w:rPr>
        <w:t xml:space="preserve">6 per cent under Armington.  </w:t>
      </w:r>
      <w:r w:rsidR="00E16B0F" w:rsidRPr="000E3963">
        <w:rPr>
          <w:rFonts w:ascii="Times New Roman" w:hAnsi="Times New Roman" w:cs="Times New Roman"/>
          <w:sz w:val="24"/>
          <w:szCs w:val="24"/>
        </w:rPr>
        <w:t xml:space="preserve">Looking at detailed results </w:t>
      </w:r>
      <w:r w:rsidR="00E16B0F">
        <w:rPr>
          <w:rFonts w:ascii="Times New Roman" w:hAnsi="Times New Roman" w:cs="Times New Roman"/>
          <w:sz w:val="24"/>
          <w:szCs w:val="24"/>
        </w:rPr>
        <w:t xml:space="preserve">(not presented here) </w:t>
      </w:r>
      <w:r w:rsidR="00E16B0F" w:rsidRPr="000E3963">
        <w:rPr>
          <w:rFonts w:ascii="Times New Roman" w:hAnsi="Times New Roman" w:cs="Times New Roman"/>
          <w:sz w:val="24"/>
          <w:szCs w:val="24"/>
        </w:rPr>
        <w:t xml:space="preserve">from the two simulations, we find that the </w:t>
      </w:r>
      <w:r w:rsidR="00E16B0F">
        <w:rPr>
          <w:rFonts w:ascii="Times New Roman" w:hAnsi="Times New Roman" w:cs="Times New Roman"/>
          <w:sz w:val="24"/>
          <w:szCs w:val="24"/>
        </w:rPr>
        <w:t xml:space="preserve">tariff increase by NAmerica reduces their Wap imports by 44 per cent.  That these decreases are the same in the two simulations is not an accident.  As explained </w:t>
      </w:r>
      <w:r w:rsidR="00E16B0F" w:rsidRPr="00E16B0F">
        <w:rPr>
          <w:rFonts w:ascii="Times New Roman" w:hAnsi="Times New Roman" w:cs="Times New Roman"/>
          <w:sz w:val="24"/>
          <w:szCs w:val="24"/>
        </w:rPr>
        <w:t xml:space="preserve">in </w:t>
      </w:r>
      <w:r w:rsidR="00E16B0F">
        <w:rPr>
          <w:rFonts w:ascii="Times New Roman" w:hAnsi="Times New Roman" w:cs="Times New Roman"/>
          <w:sz w:val="24"/>
          <w:szCs w:val="24"/>
        </w:rPr>
        <w:t>section</w:t>
      </w:r>
      <w:r w:rsidR="00E16B0F" w:rsidRPr="00E16B0F">
        <w:rPr>
          <w:rFonts w:ascii="Times New Roman" w:hAnsi="Times New Roman" w:cs="Times New Roman"/>
          <w:sz w:val="24"/>
          <w:szCs w:val="24"/>
        </w:rPr>
        <w:t xml:space="preserve"> </w:t>
      </w:r>
      <w:r w:rsidR="00E16B0F">
        <w:rPr>
          <w:rFonts w:ascii="Times New Roman" w:hAnsi="Times New Roman" w:cs="Times New Roman"/>
          <w:sz w:val="24"/>
          <w:szCs w:val="24"/>
        </w:rPr>
        <w:t>6.</w:t>
      </w:r>
      <w:r w:rsidR="00E16B0F" w:rsidRPr="00E16B0F">
        <w:rPr>
          <w:rFonts w:ascii="Times New Roman" w:hAnsi="Times New Roman" w:cs="Times New Roman"/>
          <w:sz w:val="24"/>
          <w:szCs w:val="24"/>
        </w:rPr>
        <w:t>5</w:t>
      </w:r>
      <w:r w:rsidR="00E16B0F">
        <w:rPr>
          <w:rFonts w:ascii="Times New Roman" w:hAnsi="Times New Roman" w:cs="Times New Roman"/>
          <w:sz w:val="24"/>
          <w:szCs w:val="24"/>
        </w:rPr>
        <w:t>, to improve comparability of Armington and Melitz simulations we should set substitution elasticit</w:t>
      </w:r>
      <w:r w:rsidR="00E00439">
        <w:rPr>
          <w:rFonts w:ascii="Times New Roman" w:hAnsi="Times New Roman" w:cs="Times New Roman"/>
          <w:sz w:val="24"/>
          <w:szCs w:val="24"/>
        </w:rPr>
        <w:t>ies</w:t>
      </w:r>
      <w:r w:rsidR="00E16B0F">
        <w:rPr>
          <w:rFonts w:ascii="Times New Roman" w:hAnsi="Times New Roman" w:cs="Times New Roman"/>
          <w:sz w:val="24"/>
          <w:szCs w:val="24"/>
        </w:rPr>
        <w:t xml:space="preserve"> in </w:t>
      </w:r>
      <w:r w:rsidR="00E00439">
        <w:rPr>
          <w:rFonts w:ascii="Times New Roman" w:hAnsi="Times New Roman" w:cs="Times New Roman"/>
          <w:sz w:val="24"/>
          <w:szCs w:val="24"/>
        </w:rPr>
        <w:t xml:space="preserve">the two models </w:t>
      </w:r>
      <w:r w:rsidR="00E16B0F">
        <w:rPr>
          <w:rFonts w:ascii="Times New Roman" w:hAnsi="Times New Roman" w:cs="Times New Roman"/>
          <w:sz w:val="24"/>
          <w:szCs w:val="24"/>
        </w:rPr>
        <w:t xml:space="preserve">so that the elasticity of demand for imports with respect to tariff changes is approximately the same.  In the current application, we achieved comparability by setting the import/domestic substitution elasticity in Armington at 9.5, whereas the </w:t>
      </w:r>
      <w:r w:rsidR="00E00439">
        <w:rPr>
          <w:rFonts w:ascii="Times New Roman" w:hAnsi="Times New Roman" w:cs="Times New Roman"/>
          <w:sz w:val="24"/>
          <w:szCs w:val="24"/>
        </w:rPr>
        <w:t>corresponding</w:t>
      </w:r>
      <w:r w:rsidR="00E16B0F">
        <w:rPr>
          <w:rFonts w:ascii="Times New Roman" w:hAnsi="Times New Roman" w:cs="Times New Roman"/>
          <w:sz w:val="24"/>
          <w:szCs w:val="24"/>
        </w:rPr>
        <w:t xml:space="preserve"> parameter </w:t>
      </w:r>
      <w:r w:rsidR="00E00439">
        <w:rPr>
          <w:rFonts w:ascii="Times New Roman" w:hAnsi="Times New Roman" w:cs="Times New Roman"/>
          <w:sz w:val="24"/>
          <w:szCs w:val="24"/>
        </w:rPr>
        <w:t xml:space="preserve">for Melitz </w:t>
      </w:r>
      <w:r w:rsidR="00E16B0F">
        <w:rPr>
          <w:rFonts w:ascii="Times New Roman" w:hAnsi="Times New Roman" w:cs="Times New Roman"/>
          <w:sz w:val="24"/>
          <w:szCs w:val="24"/>
        </w:rPr>
        <w:t xml:space="preserve">(the variety substitution elasticity) was set at 2.5.  </w:t>
      </w:r>
      <w:r w:rsidR="0072377F">
        <w:rPr>
          <w:rFonts w:ascii="Times New Roman" w:hAnsi="Times New Roman" w:cs="Times New Roman"/>
          <w:sz w:val="24"/>
          <w:szCs w:val="24"/>
        </w:rPr>
        <w:t>The NAmerican column of Table 7.8 implies that Wap imports are about 0.6 per cent of NAmerican private consumption</w:t>
      </w:r>
      <w:r w:rsidR="00E9160C">
        <w:rPr>
          <w:rFonts w:ascii="Times New Roman" w:hAnsi="Times New Roman" w:cs="Times New Roman"/>
          <w:sz w:val="24"/>
          <w:szCs w:val="24"/>
        </w:rPr>
        <w:t xml:space="preserve"> (=1.67-1.08)</w:t>
      </w:r>
      <w:r w:rsidR="0072377F">
        <w:rPr>
          <w:rFonts w:ascii="Times New Roman" w:hAnsi="Times New Roman" w:cs="Times New Roman"/>
          <w:sz w:val="24"/>
          <w:szCs w:val="24"/>
        </w:rPr>
        <w:t xml:space="preserve">.  </w:t>
      </w:r>
      <w:r w:rsidR="00E16B0F">
        <w:rPr>
          <w:rFonts w:ascii="Times New Roman" w:hAnsi="Times New Roman" w:cs="Times New Roman"/>
          <w:sz w:val="24"/>
          <w:szCs w:val="24"/>
        </w:rPr>
        <w:t xml:space="preserve">As illustrated in Figure </w:t>
      </w:r>
      <w:r w:rsidR="00E00439">
        <w:rPr>
          <w:rFonts w:ascii="Times New Roman" w:hAnsi="Times New Roman" w:cs="Times New Roman"/>
          <w:sz w:val="24"/>
          <w:szCs w:val="24"/>
        </w:rPr>
        <w:t>7.2</w:t>
      </w:r>
      <w:r w:rsidR="00E16B0F">
        <w:rPr>
          <w:rFonts w:ascii="Times New Roman" w:hAnsi="Times New Roman" w:cs="Times New Roman"/>
          <w:sz w:val="24"/>
          <w:szCs w:val="24"/>
        </w:rPr>
        <w:t xml:space="preserve">, with the NAmerican Wap tariff rate moving from </w:t>
      </w:r>
      <w:r w:rsidR="00E00439">
        <w:rPr>
          <w:rFonts w:ascii="Times New Roman" w:hAnsi="Times New Roman" w:cs="Times New Roman"/>
          <w:sz w:val="24"/>
          <w:szCs w:val="24"/>
        </w:rPr>
        <w:t>9.89 per cent to 20.88 per cent</w:t>
      </w:r>
      <w:r w:rsidR="0072377F">
        <w:rPr>
          <w:rFonts w:ascii="Times New Roman" w:hAnsi="Times New Roman" w:cs="Times New Roman"/>
          <w:sz w:val="24"/>
          <w:szCs w:val="24"/>
        </w:rPr>
        <w:t xml:space="preserve"> </w:t>
      </w:r>
      <w:r w:rsidR="00E16B0F">
        <w:rPr>
          <w:rFonts w:ascii="Times New Roman" w:hAnsi="Times New Roman" w:cs="Times New Roman"/>
          <w:sz w:val="24"/>
          <w:szCs w:val="24"/>
        </w:rPr>
        <w:t xml:space="preserve">and with imports falling by </w:t>
      </w:r>
      <w:r w:rsidR="00E00439">
        <w:rPr>
          <w:rFonts w:ascii="Times New Roman" w:hAnsi="Times New Roman" w:cs="Times New Roman"/>
          <w:sz w:val="24"/>
          <w:szCs w:val="24"/>
        </w:rPr>
        <w:t>4</w:t>
      </w:r>
      <w:r w:rsidR="00E16B0F">
        <w:rPr>
          <w:rFonts w:ascii="Times New Roman" w:hAnsi="Times New Roman" w:cs="Times New Roman"/>
          <w:sz w:val="24"/>
          <w:szCs w:val="24"/>
        </w:rPr>
        <w:t xml:space="preserve">4 per cent, the </w:t>
      </w:r>
      <w:r w:rsidR="0003702F">
        <w:rPr>
          <w:rFonts w:ascii="Times New Roman" w:hAnsi="Times New Roman" w:cs="Times New Roman"/>
          <w:sz w:val="24"/>
          <w:szCs w:val="24"/>
        </w:rPr>
        <w:t>D</w:t>
      </w:r>
      <w:r w:rsidR="00E00439">
        <w:rPr>
          <w:rFonts w:ascii="Times New Roman" w:hAnsi="Times New Roman" w:cs="Times New Roman"/>
          <w:sz w:val="24"/>
          <w:szCs w:val="24"/>
        </w:rPr>
        <w:t xml:space="preserve">irect </w:t>
      </w:r>
      <w:r w:rsidR="00E16B0F">
        <w:rPr>
          <w:rFonts w:ascii="Times New Roman" w:hAnsi="Times New Roman" w:cs="Times New Roman"/>
          <w:sz w:val="24"/>
          <w:szCs w:val="24"/>
        </w:rPr>
        <w:t>tax</w:t>
      </w:r>
      <w:r w:rsidR="00E00439">
        <w:rPr>
          <w:rFonts w:ascii="Times New Roman" w:hAnsi="Times New Roman" w:cs="Times New Roman"/>
          <w:sz w:val="24"/>
          <w:szCs w:val="24"/>
        </w:rPr>
        <w:t>-carrying flow</w:t>
      </w:r>
      <w:r w:rsidR="00E16B0F">
        <w:rPr>
          <w:rFonts w:ascii="Times New Roman" w:hAnsi="Times New Roman" w:cs="Times New Roman"/>
          <w:sz w:val="24"/>
          <w:szCs w:val="24"/>
        </w:rPr>
        <w:t xml:space="preserve"> effect must be about -0.0</w:t>
      </w:r>
      <w:r w:rsidR="00E00439">
        <w:rPr>
          <w:rFonts w:ascii="Times New Roman" w:hAnsi="Times New Roman" w:cs="Times New Roman"/>
          <w:sz w:val="24"/>
          <w:szCs w:val="24"/>
        </w:rPr>
        <w:t>4</w:t>
      </w:r>
      <w:r w:rsidR="0072377F">
        <w:rPr>
          <w:rFonts w:ascii="Times New Roman" w:hAnsi="Times New Roman" w:cs="Times New Roman"/>
          <w:sz w:val="24"/>
          <w:szCs w:val="24"/>
        </w:rPr>
        <w:t>2</w:t>
      </w:r>
      <w:r w:rsidR="00E16B0F">
        <w:rPr>
          <w:rFonts w:ascii="Times New Roman" w:hAnsi="Times New Roman" w:cs="Times New Roman"/>
          <w:sz w:val="24"/>
          <w:szCs w:val="24"/>
        </w:rPr>
        <w:t xml:space="preserve"> per cent under either Melitz or Armington assumptions.  </w:t>
      </w:r>
    </w:p>
    <w:p w:rsidR="006104DE" w:rsidRDefault="002A668C" w:rsidP="00915FF9">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In the second decomposition column of Tables 7.5 and 7.6 we see that c</w:t>
      </w:r>
      <w:r w:rsidR="00861AE7">
        <w:rPr>
          <w:rFonts w:ascii="Times New Roman" w:hAnsi="Times New Roman" w:cs="Times New Roman"/>
          <w:sz w:val="24"/>
          <w:szCs w:val="24"/>
        </w:rPr>
        <w:t>ontributio</w:t>
      </w:r>
      <w:r>
        <w:rPr>
          <w:rFonts w:ascii="Times New Roman" w:hAnsi="Times New Roman" w:cs="Times New Roman"/>
          <w:sz w:val="24"/>
          <w:szCs w:val="24"/>
        </w:rPr>
        <w:t>ns of Other tax-carrying flows</w:t>
      </w:r>
      <w:r w:rsidR="00861AE7">
        <w:rPr>
          <w:rFonts w:ascii="Times New Roman" w:hAnsi="Times New Roman" w:cs="Times New Roman"/>
          <w:sz w:val="24"/>
          <w:szCs w:val="24"/>
        </w:rPr>
        <w:t xml:space="preserve"> are larger negatives for SEAsia and SouthAsia under Melitz than under Armington, (-0.0760 compared with -0.0524 for SEAsia and -0.0764 compared with -0.0482 for SouthAsia).</w:t>
      </w:r>
      <w:r w:rsidR="00484D7C">
        <w:rPr>
          <w:rFonts w:ascii="Times New Roman" w:hAnsi="Times New Roman" w:cs="Times New Roman"/>
          <w:sz w:val="24"/>
          <w:szCs w:val="24"/>
        </w:rPr>
        <w:t xml:space="preserve">  Other tax-carrying flows tend to make a negative contribution when there is a general contraction in consumption.  For SEAsia and SouthAsia</w:t>
      </w:r>
      <w:r w:rsidR="006104DE">
        <w:rPr>
          <w:rFonts w:ascii="Times New Roman" w:hAnsi="Times New Roman" w:cs="Times New Roman"/>
          <w:sz w:val="24"/>
          <w:szCs w:val="24"/>
        </w:rPr>
        <w:t>,</w:t>
      </w:r>
      <w:r w:rsidR="00484D7C">
        <w:rPr>
          <w:rFonts w:ascii="Times New Roman" w:hAnsi="Times New Roman" w:cs="Times New Roman"/>
          <w:sz w:val="24"/>
          <w:szCs w:val="24"/>
        </w:rPr>
        <w:t xml:space="preserve"> </w:t>
      </w:r>
      <w:r w:rsidR="006104DE">
        <w:rPr>
          <w:rFonts w:ascii="Times New Roman" w:hAnsi="Times New Roman" w:cs="Times New Roman"/>
          <w:sz w:val="24"/>
          <w:szCs w:val="24"/>
        </w:rPr>
        <w:t xml:space="preserve">the </w:t>
      </w:r>
      <w:r w:rsidR="00484D7C">
        <w:rPr>
          <w:rFonts w:ascii="Times New Roman" w:hAnsi="Times New Roman" w:cs="Times New Roman"/>
          <w:sz w:val="24"/>
          <w:szCs w:val="24"/>
        </w:rPr>
        <w:t>larger negative contributions under Melitz than under Armington are a reflection of the larger general contraction</w:t>
      </w:r>
      <w:r w:rsidR="006104DE">
        <w:rPr>
          <w:rFonts w:ascii="Times New Roman" w:hAnsi="Times New Roman" w:cs="Times New Roman"/>
          <w:sz w:val="24"/>
          <w:szCs w:val="24"/>
        </w:rPr>
        <w:t>s</w:t>
      </w:r>
      <w:r w:rsidR="00484D7C">
        <w:rPr>
          <w:rFonts w:ascii="Times New Roman" w:hAnsi="Times New Roman" w:cs="Times New Roman"/>
          <w:sz w:val="24"/>
          <w:szCs w:val="24"/>
        </w:rPr>
        <w:t xml:space="preserve"> in consumption in these two regions under Melitz than under Armington.  </w:t>
      </w:r>
      <w:r w:rsidR="006104DE">
        <w:rPr>
          <w:rFonts w:ascii="Times New Roman" w:hAnsi="Times New Roman" w:cs="Times New Roman"/>
          <w:sz w:val="24"/>
          <w:szCs w:val="24"/>
        </w:rPr>
        <w:t>However, differences between the Other tax-carrying-flow contributions explain only 0.0236 percentage points (=0.0760 - 0.0524) of the total welfare difference for SEAsia of 0.4478 per cent (=0.7892 - 0.3414) and only 0.0282 percentage points (=0.0764 - 0.0482) of the total welfare difference for S</w:t>
      </w:r>
      <w:r w:rsidR="00162076">
        <w:rPr>
          <w:rFonts w:ascii="Times New Roman" w:hAnsi="Times New Roman" w:cs="Times New Roman"/>
          <w:sz w:val="24"/>
          <w:szCs w:val="24"/>
        </w:rPr>
        <w:t>outhAsia</w:t>
      </w:r>
      <w:r w:rsidR="006104DE">
        <w:rPr>
          <w:rFonts w:ascii="Times New Roman" w:hAnsi="Times New Roman" w:cs="Times New Roman"/>
          <w:sz w:val="24"/>
          <w:szCs w:val="24"/>
        </w:rPr>
        <w:t xml:space="preserve"> of 0.</w:t>
      </w:r>
      <w:r w:rsidR="00162076">
        <w:rPr>
          <w:rFonts w:ascii="Times New Roman" w:hAnsi="Times New Roman" w:cs="Times New Roman"/>
          <w:sz w:val="24"/>
          <w:szCs w:val="24"/>
        </w:rPr>
        <w:t>2</w:t>
      </w:r>
      <w:r w:rsidR="006104DE">
        <w:rPr>
          <w:rFonts w:ascii="Times New Roman" w:hAnsi="Times New Roman" w:cs="Times New Roman"/>
          <w:sz w:val="24"/>
          <w:szCs w:val="24"/>
        </w:rPr>
        <w:t>4</w:t>
      </w:r>
      <w:r w:rsidR="00162076">
        <w:rPr>
          <w:rFonts w:ascii="Times New Roman" w:hAnsi="Times New Roman" w:cs="Times New Roman"/>
          <w:sz w:val="24"/>
          <w:szCs w:val="24"/>
        </w:rPr>
        <w:t>2</w:t>
      </w:r>
      <w:r w:rsidR="006104DE">
        <w:rPr>
          <w:rFonts w:ascii="Times New Roman" w:hAnsi="Times New Roman" w:cs="Times New Roman"/>
          <w:sz w:val="24"/>
          <w:szCs w:val="24"/>
        </w:rPr>
        <w:t>8 per cent (=0.</w:t>
      </w:r>
      <w:r w:rsidR="00162076">
        <w:rPr>
          <w:rFonts w:ascii="Times New Roman" w:hAnsi="Times New Roman" w:cs="Times New Roman"/>
          <w:sz w:val="24"/>
          <w:szCs w:val="24"/>
        </w:rPr>
        <w:t>3870</w:t>
      </w:r>
      <w:r w:rsidR="006104DE">
        <w:rPr>
          <w:rFonts w:ascii="Times New Roman" w:hAnsi="Times New Roman" w:cs="Times New Roman"/>
          <w:sz w:val="24"/>
          <w:szCs w:val="24"/>
        </w:rPr>
        <w:t xml:space="preserve"> - 0.</w:t>
      </w:r>
      <w:r w:rsidR="00162076">
        <w:rPr>
          <w:rFonts w:ascii="Times New Roman" w:hAnsi="Times New Roman" w:cs="Times New Roman"/>
          <w:sz w:val="24"/>
          <w:szCs w:val="24"/>
        </w:rPr>
        <w:t>1</w:t>
      </w:r>
      <w:r w:rsidR="006104DE">
        <w:rPr>
          <w:rFonts w:ascii="Times New Roman" w:hAnsi="Times New Roman" w:cs="Times New Roman"/>
          <w:sz w:val="24"/>
          <w:szCs w:val="24"/>
        </w:rPr>
        <w:t>4</w:t>
      </w:r>
      <w:r w:rsidR="00162076">
        <w:rPr>
          <w:rFonts w:ascii="Times New Roman" w:hAnsi="Times New Roman" w:cs="Times New Roman"/>
          <w:sz w:val="24"/>
          <w:szCs w:val="24"/>
        </w:rPr>
        <w:t>42</w:t>
      </w:r>
      <w:r w:rsidR="006104DE">
        <w:rPr>
          <w:rFonts w:ascii="Times New Roman" w:hAnsi="Times New Roman" w:cs="Times New Roman"/>
          <w:sz w:val="24"/>
          <w:szCs w:val="24"/>
        </w:rPr>
        <w:t>)</w:t>
      </w:r>
      <w:r w:rsidR="00162076">
        <w:rPr>
          <w:rFonts w:ascii="Times New Roman" w:hAnsi="Times New Roman" w:cs="Times New Roman"/>
          <w:sz w:val="24"/>
          <w:szCs w:val="24"/>
        </w:rPr>
        <w:t>.</w:t>
      </w:r>
      <w:r w:rsidR="006104DE">
        <w:rPr>
          <w:rFonts w:ascii="Times New Roman" w:hAnsi="Times New Roman" w:cs="Times New Roman"/>
          <w:sz w:val="24"/>
          <w:szCs w:val="24"/>
        </w:rPr>
        <w:t xml:space="preserve"> </w:t>
      </w:r>
    </w:p>
    <w:p w:rsidR="00911597" w:rsidRDefault="00162076" w:rsidP="004140FD">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contributions of the </w:t>
      </w:r>
      <w:r w:rsidR="0003702F">
        <w:rPr>
          <w:rFonts w:ascii="Times New Roman" w:hAnsi="Times New Roman" w:cs="Times New Roman"/>
          <w:sz w:val="24"/>
          <w:szCs w:val="24"/>
        </w:rPr>
        <w:t>T</w:t>
      </w:r>
      <w:r w:rsidR="00EB7BA2">
        <w:rPr>
          <w:rFonts w:ascii="Times New Roman" w:hAnsi="Times New Roman" w:cs="Times New Roman"/>
          <w:sz w:val="24"/>
          <w:szCs w:val="24"/>
        </w:rPr>
        <w:t xml:space="preserve">raditional </w:t>
      </w:r>
      <w:r>
        <w:rPr>
          <w:rFonts w:ascii="Times New Roman" w:hAnsi="Times New Roman" w:cs="Times New Roman"/>
          <w:sz w:val="24"/>
          <w:szCs w:val="24"/>
        </w:rPr>
        <w:t xml:space="preserve">terms-of-trade effects </w:t>
      </w:r>
      <w:r w:rsidR="00EB7BA2">
        <w:rPr>
          <w:rFonts w:ascii="Times New Roman" w:hAnsi="Times New Roman" w:cs="Times New Roman"/>
          <w:sz w:val="24"/>
          <w:szCs w:val="24"/>
        </w:rPr>
        <w:t xml:space="preserve">(calculated with fob prices </w:t>
      </w:r>
      <w:r w:rsidR="007308D2">
        <w:rPr>
          <w:rFonts w:ascii="Times New Roman" w:hAnsi="Times New Roman" w:cs="Times New Roman"/>
          <w:sz w:val="24"/>
          <w:szCs w:val="24"/>
        </w:rPr>
        <w:t xml:space="preserve">of effective units </w:t>
      </w:r>
      <w:r w:rsidR="00EB7BA2">
        <w:rPr>
          <w:rFonts w:ascii="Times New Roman" w:hAnsi="Times New Roman" w:cs="Times New Roman"/>
          <w:sz w:val="24"/>
          <w:szCs w:val="24"/>
        </w:rPr>
        <w:t xml:space="preserve">independent of destination) </w:t>
      </w:r>
      <w:r>
        <w:rPr>
          <w:rFonts w:ascii="Times New Roman" w:hAnsi="Times New Roman" w:cs="Times New Roman"/>
          <w:sz w:val="24"/>
          <w:szCs w:val="24"/>
        </w:rPr>
        <w:t xml:space="preserve">under Melitz and Armington are sharply contrasting.  Whereas under Armington assumptions </w:t>
      </w:r>
      <w:r w:rsidR="008A1E49">
        <w:rPr>
          <w:rFonts w:ascii="Times New Roman" w:hAnsi="Times New Roman" w:cs="Times New Roman"/>
          <w:sz w:val="24"/>
          <w:szCs w:val="24"/>
        </w:rPr>
        <w:t xml:space="preserve">the contributions from this source for </w:t>
      </w:r>
      <w:r>
        <w:rPr>
          <w:rFonts w:ascii="Times New Roman" w:hAnsi="Times New Roman" w:cs="Times New Roman"/>
          <w:sz w:val="24"/>
          <w:szCs w:val="24"/>
        </w:rPr>
        <w:t xml:space="preserve">SEAsia and SouthAsia </w:t>
      </w:r>
      <w:r w:rsidR="008A1E49">
        <w:rPr>
          <w:rFonts w:ascii="Times New Roman" w:hAnsi="Times New Roman" w:cs="Times New Roman"/>
          <w:sz w:val="24"/>
          <w:szCs w:val="24"/>
        </w:rPr>
        <w:t xml:space="preserve">are </w:t>
      </w:r>
      <w:r w:rsidR="00EB7BA2">
        <w:rPr>
          <w:rFonts w:ascii="Times New Roman" w:hAnsi="Times New Roman" w:cs="Times New Roman"/>
          <w:sz w:val="24"/>
          <w:szCs w:val="24"/>
        </w:rPr>
        <w:t>negative</w:t>
      </w:r>
      <w:r w:rsidR="008A1E49">
        <w:rPr>
          <w:rFonts w:ascii="Times New Roman" w:hAnsi="Times New Roman" w:cs="Times New Roman"/>
          <w:sz w:val="24"/>
          <w:szCs w:val="24"/>
        </w:rPr>
        <w:t xml:space="preserve"> (</w:t>
      </w:r>
      <w:r w:rsidR="00EB7BA2">
        <w:rPr>
          <w:rFonts w:ascii="Times New Roman" w:hAnsi="Times New Roman" w:cs="Times New Roman"/>
          <w:sz w:val="24"/>
          <w:szCs w:val="24"/>
        </w:rPr>
        <w:t>-0.2891 and -0.0960</w:t>
      </w:r>
      <w:r w:rsidR="008A1E49">
        <w:rPr>
          <w:rFonts w:ascii="Times New Roman" w:hAnsi="Times New Roman" w:cs="Times New Roman"/>
          <w:sz w:val="24"/>
          <w:szCs w:val="24"/>
        </w:rPr>
        <w:t>), under Melitz assumptions these contributions are positive (</w:t>
      </w:r>
      <w:r w:rsidR="00EB7BA2">
        <w:rPr>
          <w:rFonts w:ascii="Times New Roman" w:hAnsi="Times New Roman" w:cs="Times New Roman"/>
          <w:sz w:val="24"/>
          <w:szCs w:val="24"/>
        </w:rPr>
        <w:t>0.</w:t>
      </w:r>
      <w:r w:rsidR="003D6EA8">
        <w:rPr>
          <w:rFonts w:ascii="Times New Roman" w:hAnsi="Times New Roman" w:cs="Times New Roman"/>
          <w:sz w:val="24"/>
          <w:szCs w:val="24"/>
        </w:rPr>
        <w:t>0565</w:t>
      </w:r>
      <w:r w:rsidR="00EB7BA2">
        <w:rPr>
          <w:rFonts w:ascii="Times New Roman" w:hAnsi="Times New Roman" w:cs="Times New Roman"/>
          <w:sz w:val="24"/>
          <w:szCs w:val="24"/>
        </w:rPr>
        <w:t xml:space="preserve"> and 0.</w:t>
      </w:r>
      <w:r w:rsidR="003D6EA8">
        <w:rPr>
          <w:rFonts w:ascii="Times New Roman" w:hAnsi="Times New Roman" w:cs="Times New Roman"/>
          <w:sz w:val="24"/>
          <w:szCs w:val="24"/>
        </w:rPr>
        <w:t>2178</w:t>
      </w:r>
      <w:r w:rsidR="008A1E49">
        <w:rPr>
          <w:rFonts w:ascii="Times New Roman" w:hAnsi="Times New Roman" w:cs="Times New Roman"/>
          <w:sz w:val="24"/>
          <w:szCs w:val="24"/>
        </w:rPr>
        <w:t>)</w:t>
      </w:r>
      <w:r w:rsidR="00EB7BA2">
        <w:rPr>
          <w:rFonts w:ascii="Times New Roman" w:hAnsi="Times New Roman" w:cs="Times New Roman"/>
          <w:sz w:val="24"/>
          <w:szCs w:val="24"/>
        </w:rPr>
        <w:t xml:space="preserve">. </w:t>
      </w:r>
      <w:r w:rsidR="008A1E49">
        <w:rPr>
          <w:rFonts w:ascii="Times New Roman" w:hAnsi="Times New Roman" w:cs="Times New Roman"/>
          <w:sz w:val="24"/>
          <w:szCs w:val="24"/>
        </w:rPr>
        <w:t xml:space="preserve"> These contrasting results reflect contrasting slopes of the supply curves for </w:t>
      </w:r>
      <w:r w:rsidR="00EB7BA2">
        <w:rPr>
          <w:rFonts w:ascii="Times New Roman" w:hAnsi="Times New Roman" w:cs="Times New Roman"/>
          <w:sz w:val="24"/>
          <w:szCs w:val="24"/>
        </w:rPr>
        <w:t xml:space="preserve">effective units of </w:t>
      </w:r>
      <w:r w:rsidR="008A1E49">
        <w:rPr>
          <w:rFonts w:ascii="Times New Roman" w:hAnsi="Times New Roman" w:cs="Times New Roman"/>
          <w:sz w:val="24"/>
          <w:szCs w:val="24"/>
        </w:rPr>
        <w:t>Wap</w:t>
      </w:r>
      <w:r w:rsidR="00EB7BA2">
        <w:rPr>
          <w:rFonts w:ascii="Times New Roman" w:hAnsi="Times New Roman" w:cs="Times New Roman"/>
          <w:sz w:val="24"/>
          <w:szCs w:val="24"/>
        </w:rPr>
        <w:t xml:space="preserve">.  Under Armington assumptions, these supply curves are close to flat.  The terms-of-trade deteriorations under Armington are a reflection of the real </w:t>
      </w:r>
      <w:r w:rsidR="00EB7BA2">
        <w:rPr>
          <w:rFonts w:ascii="Times New Roman" w:hAnsi="Times New Roman" w:cs="Times New Roman"/>
          <w:sz w:val="24"/>
          <w:szCs w:val="24"/>
        </w:rPr>
        <w:lastRenderedPageBreak/>
        <w:t>factor-price reduction</w:t>
      </w:r>
      <w:r w:rsidR="003D6EA8">
        <w:rPr>
          <w:rFonts w:ascii="Times New Roman" w:hAnsi="Times New Roman" w:cs="Times New Roman"/>
          <w:sz w:val="24"/>
          <w:szCs w:val="24"/>
        </w:rPr>
        <w:t>s</w:t>
      </w:r>
      <w:r w:rsidR="00EB7BA2">
        <w:rPr>
          <w:rFonts w:ascii="Times New Roman" w:hAnsi="Times New Roman" w:cs="Times New Roman"/>
          <w:sz w:val="24"/>
          <w:szCs w:val="24"/>
        </w:rPr>
        <w:t xml:space="preserve"> required </w:t>
      </w:r>
      <w:r w:rsidR="003D6EA8">
        <w:rPr>
          <w:rFonts w:ascii="Times New Roman" w:hAnsi="Times New Roman" w:cs="Times New Roman"/>
          <w:sz w:val="24"/>
          <w:szCs w:val="24"/>
        </w:rPr>
        <w:t>in</w:t>
      </w:r>
      <w:r w:rsidR="00EB7BA2">
        <w:rPr>
          <w:rFonts w:ascii="Times New Roman" w:hAnsi="Times New Roman" w:cs="Times New Roman"/>
          <w:sz w:val="24"/>
          <w:szCs w:val="24"/>
        </w:rPr>
        <w:t xml:space="preserve"> the SEAsia and SouthAsia economies to stimulate exports of products outside the Wap sector sufficiently to replace lost Wap exports</w:t>
      </w:r>
      <w:r w:rsidR="00911597">
        <w:rPr>
          <w:rFonts w:ascii="Times New Roman" w:hAnsi="Times New Roman" w:cs="Times New Roman"/>
          <w:sz w:val="24"/>
          <w:szCs w:val="24"/>
        </w:rPr>
        <w:t xml:space="preserve"> and rebalance trade</w:t>
      </w:r>
      <w:r w:rsidR="00EB7BA2">
        <w:rPr>
          <w:rFonts w:ascii="Times New Roman" w:hAnsi="Times New Roman" w:cs="Times New Roman"/>
          <w:sz w:val="24"/>
          <w:szCs w:val="24"/>
        </w:rPr>
        <w:t xml:space="preserve">. </w:t>
      </w:r>
      <w:r w:rsidR="00911597">
        <w:rPr>
          <w:rFonts w:ascii="Times New Roman" w:hAnsi="Times New Roman" w:cs="Times New Roman"/>
          <w:sz w:val="24"/>
          <w:szCs w:val="24"/>
        </w:rPr>
        <w:t xml:space="preserve"> </w:t>
      </w:r>
      <w:r w:rsidR="004140FD">
        <w:rPr>
          <w:rFonts w:ascii="Times New Roman" w:hAnsi="Times New Roman" w:cs="Times New Roman"/>
          <w:sz w:val="24"/>
          <w:szCs w:val="24"/>
        </w:rPr>
        <w:t>As explained in section 7.4 and demonstrated in equations (7.3</w:t>
      </w:r>
      <w:r w:rsidR="00936E8D">
        <w:rPr>
          <w:rFonts w:ascii="Times New Roman" w:hAnsi="Times New Roman" w:cs="Times New Roman"/>
          <w:sz w:val="24"/>
          <w:szCs w:val="24"/>
        </w:rPr>
        <w:t>6</w:t>
      </w:r>
      <w:r w:rsidR="004140FD">
        <w:rPr>
          <w:rFonts w:ascii="Times New Roman" w:hAnsi="Times New Roman" w:cs="Times New Roman"/>
          <w:sz w:val="24"/>
          <w:szCs w:val="24"/>
        </w:rPr>
        <w:t>) and (7.3</w:t>
      </w:r>
      <w:r w:rsidR="00936E8D">
        <w:rPr>
          <w:rFonts w:ascii="Times New Roman" w:hAnsi="Times New Roman" w:cs="Times New Roman"/>
          <w:sz w:val="24"/>
          <w:szCs w:val="24"/>
        </w:rPr>
        <w:t>7</w:t>
      </w:r>
      <w:r w:rsidR="004140FD">
        <w:rPr>
          <w:rFonts w:ascii="Times New Roman" w:hAnsi="Times New Roman" w:cs="Times New Roman"/>
          <w:sz w:val="24"/>
          <w:szCs w:val="24"/>
        </w:rPr>
        <w:t xml:space="preserve">), sectors modeled under Melitz assumptions exhibit economies of scale.  Thus, in our </w:t>
      </w:r>
      <w:r w:rsidR="00832FFA">
        <w:rPr>
          <w:rFonts w:ascii="Times New Roman" w:hAnsi="Times New Roman" w:cs="Times New Roman"/>
          <w:sz w:val="24"/>
          <w:szCs w:val="24"/>
        </w:rPr>
        <w:t>Melitz simulation</w:t>
      </w:r>
      <w:r w:rsidR="004140FD">
        <w:rPr>
          <w:rFonts w:ascii="Times New Roman" w:hAnsi="Times New Roman" w:cs="Times New Roman"/>
          <w:sz w:val="24"/>
          <w:szCs w:val="24"/>
        </w:rPr>
        <w:t>,</w:t>
      </w:r>
      <w:r w:rsidR="00911597">
        <w:rPr>
          <w:rFonts w:ascii="Times New Roman" w:hAnsi="Times New Roman" w:cs="Times New Roman"/>
          <w:sz w:val="24"/>
          <w:szCs w:val="24"/>
        </w:rPr>
        <w:t xml:space="preserve"> Wap supply curves </w:t>
      </w:r>
      <w:r w:rsidR="007308D2">
        <w:rPr>
          <w:rFonts w:ascii="Times New Roman" w:hAnsi="Times New Roman" w:cs="Times New Roman"/>
          <w:sz w:val="24"/>
          <w:szCs w:val="24"/>
        </w:rPr>
        <w:t xml:space="preserve">for effective units </w:t>
      </w:r>
      <w:r w:rsidR="00911597">
        <w:rPr>
          <w:rFonts w:ascii="Times New Roman" w:hAnsi="Times New Roman" w:cs="Times New Roman"/>
          <w:sz w:val="24"/>
          <w:szCs w:val="24"/>
        </w:rPr>
        <w:t xml:space="preserve">are downward sloping.  Contraction of Wap output in SEAsia and SouthAsia increases costs in these regions per effective unit of output of Wap.  These cost increases are passed on in </w:t>
      </w:r>
      <w:r w:rsidR="004140FD">
        <w:rPr>
          <w:rFonts w:ascii="Times New Roman" w:hAnsi="Times New Roman" w:cs="Times New Roman"/>
          <w:sz w:val="24"/>
          <w:szCs w:val="24"/>
        </w:rPr>
        <w:t xml:space="preserve">SEAsia and SouthAsia’s </w:t>
      </w:r>
      <w:r w:rsidR="00911597">
        <w:rPr>
          <w:rFonts w:ascii="Times New Roman" w:hAnsi="Times New Roman" w:cs="Times New Roman"/>
          <w:sz w:val="24"/>
          <w:szCs w:val="24"/>
        </w:rPr>
        <w:t>export prices per effective unit of Wap</w:t>
      </w:r>
      <w:r w:rsidR="004140FD">
        <w:rPr>
          <w:rFonts w:ascii="Times New Roman" w:hAnsi="Times New Roman" w:cs="Times New Roman"/>
          <w:sz w:val="24"/>
          <w:szCs w:val="24"/>
        </w:rPr>
        <w:t>, ge</w:t>
      </w:r>
      <w:r w:rsidR="00911597">
        <w:rPr>
          <w:rFonts w:ascii="Times New Roman" w:hAnsi="Times New Roman" w:cs="Times New Roman"/>
          <w:sz w:val="24"/>
          <w:szCs w:val="24"/>
        </w:rPr>
        <w:t>nerating terms-of-trade gains for these</w:t>
      </w:r>
      <w:r w:rsidR="004140FD">
        <w:rPr>
          <w:rFonts w:ascii="Times New Roman" w:hAnsi="Times New Roman" w:cs="Times New Roman"/>
          <w:sz w:val="24"/>
          <w:szCs w:val="24"/>
        </w:rPr>
        <w:t xml:space="preserve"> regions. </w:t>
      </w:r>
    </w:p>
    <w:p w:rsidR="00863457" w:rsidRDefault="00A01D0D" w:rsidP="004140FD">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Why didn’t this happen in </w:t>
      </w:r>
      <w:r w:rsidR="009B17B1">
        <w:rPr>
          <w:rFonts w:ascii="Times New Roman" w:hAnsi="Times New Roman" w:cs="Times New Roman"/>
          <w:sz w:val="24"/>
          <w:szCs w:val="24"/>
        </w:rPr>
        <w:t>the MelitzGE simulation in</w:t>
      </w:r>
      <w:r w:rsidR="0012138A">
        <w:rPr>
          <w:rFonts w:ascii="Times New Roman" w:hAnsi="Times New Roman" w:cs="Times New Roman"/>
          <w:sz w:val="24"/>
          <w:szCs w:val="24"/>
        </w:rPr>
        <w:t xml:space="preserve"> </w:t>
      </w:r>
      <w:r>
        <w:rPr>
          <w:rFonts w:ascii="Times New Roman" w:hAnsi="Times New Roman" w:cs="Times New Roman"/>
          <w:sz w:val="24"/>
          <w:szCs w:val="24"/>
        </w:rPr>
        <w:t xml:space="preserve">Table 7.4?  There, the movement in the </w:t>
      </w:r>
      <w:r w:rsidR="009B17B1">
        <w:rPr>
          <w:rFonts w:ascii="Times New Roman" w:hAnsi="Times New Roman" w:cs="Times New Roman"/>
          <w:sz w:val="24"/>
          <w:szCs w:val="24"/>
        </w:rPr>
        <w:t>T</w:t>
      </w:r>
      <w:r>
        <w:rPr>
          <w:rFonts w:ascii="Times New Roman" w:hAnsi="Times New Roman" w:cs="Times New Roman"/>
          <w:sz w:val="24"/>
          <w:szCs w:val="24"/>
        </w:rPr>
        <w:t xml:space="preserve">raditional terms of trade for country 1 in response to country 2’s tariffs </w:t>
      </w:r>
      <w:r w:rsidR="009B17B1">
        <w:rPr>
          <w:rFonts w:ascii="Times New Roman" w:hAnsi="Times New Roman" w:cs="Times New Roman"/>
          <w:sz w:val="24"/>
          <w:szCs w:val="24"/>
        </w:rPr>
        <w:t>was</w:t>
      </w:r>
      <w:r>
        <w:rPr>
          <w:rFonts w:ascii="Times New Roman" w:hAnsi="Times New Roman" w:cs="Times New Roman"/>
          <w:sz w:val="24"/>
          <w:szCs w:val="24"/>
        </w:rPr>
        <w:t xml:space="preserve"> negative under Melitz.  The salient difference </w:t>
      </w:r>
      <w:r w:rsidR="009B17B1">
        <w:rPr>
          <w:rFonts w:ascii="Times New Roman" w:hAnsi="Times New Roman" w:cs="Times New Roman"/>
          <w:sz w:val="24"/>
          <w:szCs w:val="24"/>
        </w:rPr>
        <w:t>now i</w:t>
      </w:r>
      <w:r>
        <w:rPr>
          <w:rFonts w:ascii="Times New Roman" w:hAnsi="Times New Roman" w:cs="Times New Roman"/>
          <w:sz w:val="24"/>
          <w:szCs w:val="24"/>
        </w:rPr>
        <w:t xml:space="preserve">s the contraction in Wap output in countries that export to NAmerica.  </w:t>
      </w:r>
      <w:r w:rsidR="009B17B1">
        <w:rPr>
          <w:rFonts w:ascii="Times New Roman" w:hAnsi="Times New Roman" w:cs="Times New Roman"/>
          <w:sz w:val="24"/>
          <w:szCs w:val="24"/>
        </w:rPr>
        <w:t xml:space="preserve">In MelitzGE, none of the sectors in country 1 contracted: as explained in Appendix 6.2, </w:t>
      </w:r>
      <w:r w:rsidR="0012138A">
        <w:rPr>
          <w:rFonts w:ascii="Times New Roman" w:hAnsi="Times New Roman" w:cs="Times New Roman"/>
          <w:sz w:val="24"/>
          <w:szCs w:val="24"/>
        </w:rPr>
        <w:t>this reflected symmetry in the setup of the MelitzGE experiment whereby employment and</w:t>
      </w:r>
    </w:p>
    <w:p w:rsidR="00863457" w:rsidRDefault="00863457" w:rsidP="004140FD">
      <w:pPr>
        <w:pStyle w:val="ListParagraph"/>
        <w:spacing w:after="0"/>
        <w:ind w:left="0" w:firstLine="284"/>
        <w:contextualSpacing w:val="0"/>
        <w:jc w:val="both"/>
        <w:rPr>
          <w:rFonts w:ascii="Times New Roman" w:hAnsi="Times New Roman" w:cs="Times New Roman"/>
          <w:sz w:val="24"/>
          <w:szCs w:val="24"/>
        </w:rPr>
      </w:pPr>
    </w:p>
    <w:p w:rsidR="00863457" w:rsidRDefault="00863457" w:rsidP="004140FD">
      <w:pPr>
        <w:pStyle w:val="ListParagraph"/>
        <w:spacing w:after="0"/>
        <w:ind w:left="0" w:firstLine="284"/>
        <w:contextualSpacing w:val="0"/>
        <w:jc w:val="both"/>
        <w:rPr>
          <w:rFonts w:ascii="Times New Roman" w:hAnsi="Times New Roman" w:cs="Times New Roman"/>
          <w:sz w:val="24"/>
          <w:szCs w:val="24"/>
        </w:rPr>
      </w:pPr>
    </w:p>
    <w:p w:rsidR="00863457" w:rsidRDefault="00863457" w:rsidP="00863457">
      <w:pPr>
        <w:spacing w:before="120" w:after="0" w:line="240" w:lineRule="auto"/>
        <w:jc w:val="center"/>
        <w:rPr>
          <w:rFonts w:ascii="Times New Roman" w:hAnsi="Times New Roman" w:cs="Times New Roman"/>
          <w:b/>
          <w:i/>
          <w:sz w:val="24"/>
          <w:szCs w:val="24"/>
        </w:rPr>
      </w:pPr>
      <w:r>
        <w:rPr>
          <w:rFonts w:ascii="Times New Roman" w:hAnsi="Times New Roman" w:cs="Times New Roman"/>
          <w:b/>
          <w:i/>
          <w:sz w:val="24"/>
          <w:szCs w:val="24"/>
        </w:rPr>
        <w:t>Figure 7.1.  A 10 per cent increase the power of the Wap tariff on North American imports: welfare effects in Armington and Melitz</w:t>
      </w:r>
    </w:p>
    <w:p w:rsidR="00863457" w:rsidRPr="00081500" w:rsidRDefault="00863457" w:rsidP="00863457">
      <w:pPr>
        <w:spacing w:before="120" w:after="0" w:line="240" w:lineRule="auto"/>
        <w:jc w:val="center"/>
        <w:rPr>
          <w:rFonts w:ascii="Times New Roman" w:hAnsi="Times New Roman" w:cs="Times New Roman"/>
          <w:b/>
          <w:i/>
          <w:sz w:val="24"/>
          <w:szCs w:val="24"/>
        </w:rPr>
      </w:pPr>
      <w:r w:rsidRPr="00CE6ABA">
        <w:rPr>
          <w:noProof/>
          <w:lang w:val="en-AU" w:eastAsia="en-AU"/>
        </w:rPr>
        <w:drawing>
          <wp:inline distT="0" distB="0" distL="0" distR="0" wp14:anchorId="4432E88F" wp14:editId="701093D5">
            <wp:extent cx="5731510" cy="4148562"/>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31510" cy="4148562"/>
                    </a:xfrm>
                    <a:prstGeom prst="rect">
                      <a:avLst/>
                    </a:prstGeom>
                    <a:noFill/>
                    <a:ln>
                      <a:noFill/>
                    </a:ln>
                  </pic:spPr>
                </pic:pic>
              </a:graphicData>
            </a:graphic>
          </wp:inline>
        </w:drawing>
      </w:r>
    </w:p>
    <w:p w:rsidR="00863457" w:rsidRDefault="00863457" w:rsidP="00863457">
      <w:pPr>
        <w:spacing w:before="120" w:after="0" w:line="240" w:lineRule="auto"/>
        <w:jc w:val="center"/>
        <w:rPr>
          <w:rFonts w:ascii="Times New Roman" w:hAnsi="Times New Roman" w:cs="Times New Roman"/>
          <w:b/>
          <w:i/>
          <w:sz w:val="24"/>
          <w:szCs w:val="24"/>
        </w:rPr>
      </w:pPr>
    </w:p>
    <w:p w:rsidR="009B0E9B" w:rsidRDefault="009B0E9B">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863457" w:rsidRPr="00081500" w:rsidRDefault="00863457" w:rsidP="00863457">
      <w:pPr>
        <w:spacing w:before="120" w:after="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Figure 7.2.  North American imports of Wap</w:t>
      </w:r>
    </w:p>
    <w:p w:rsidR="00863457" w:rsidRDefault="00863457" w:rsidP="00863457">
      <w:pPr>
        <w:spacing w:before="120" w:after="0" w:line="240" w:lineRule="auto"/>
        <w:rPr>
          <w:rFonts w:ascii="Times New Roman" w:hAnsi="Times New Roman" w:cs="Times New Roman"/>
          <w:sz w:val="24"/>
          <w:szCs w:val="24"/>
        </w:rPr>
      </w:pPr>
      <w:r w:rsidRPr="00D80FB9">
        <w:rPr>
          <w:noProof/>
          <w:lang w:val="en-AU" w:eastAsia="en-AU"/>
        </w:rPr>
        <w:drawing>
          <wp:inline distT="0" distB="0" distL="0" distR="0" wp14:anchorId="47044312" wp14:editId="098DEA93">
            <wp:extent cx="5731510" cy="29212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31510" cy="2921276"/>
                    </a:xfrm>
                    <a:prstGeom prst="rect">
                      <a:avLst/>
                    </a:prstGeom>
                    <a:noFill/>
                    <a:ln>
                      <a:noFill/>
                    </a:ln>
                  </pic:spPr>
                </pic:pic>
              </a:graphicData>
            </a:graphic>
          </wp:inline>
        </w:drawing>
      </w:r>
    </w:p>
    <w:p w:rsidR="00863457" w:rsidRDefault="00863457" w:rsidP="00863457">
      <w:pPr>
        <w:spacing w:before="120" w:after="0" w:line="240" w:lineRule="auto"/>
        <w:jc w:val="center"/>
        <w:rPr>
          <w:rFonts w:ascii="Times New Roman" w:hAnsi="Times New Roman" w:cs="Times New Roman"/>
          <w:b/>
          <w:i/>
          <w:sz w:val="24"/>
          <w:szCs w:val="24"/>
        </w:rPr>
      </w:pPr>
    </w:p>
    <w:p w:rsidR="009B0E9B" w:rsidRDefault="00863457" w:rsidP="009B0E9B">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br/>
      </w:r>
      <w:r w:rsidR="009B0E9B">
        <w:rPr>
          <w:rFonts w:ascii="Times New Roman" w:hAnsi="Times New Roman" w:cs="Times New Roman"/>
          <w:sz w:val="24"/>
          <w:szCs w:val="24"/>
        </w:rPr>
        <w:t xml:space="preserve">output in all of country 1’s industries was unaffected by country 2’s tariffs.  Thus, there was no tendency in the MelitzGE simulation reported in Table 7.4 for any of country 1’s industries to move up their downward sloping supply curves.  </w:t>
      </w:r>
    </w:p>
    <w:p w:rsidR="009B0E9B" w:rsidRDefault="009B0E9B" w:rsidP="009B0E9B">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For NAmerica the Traditional terms-of-trade contribution to welfare is positive under Armington.  It is still positive under Melitz but much smaller (0.0089 compared with 0.0551).  Under both Armington and Melitz, NAmerica reduces its imports of Wap (by 44 per cent), allowing it to reduce its aggregate exports.  This pushes its trade partners up their demand curves for NAmerican products, generating terms-of-trade gains for NAmerica.  So what is the difference here between Melitz and Armington?  Under Melitz, but not under Armington, NAmerica pays higher cif prices for its imports of effective units of Wap reflecting lost scale economies and resulting higher costs in supplying Wap to NAmerica from SEAsia, SouthAsia and other Wap exporting regions.  Higher prices for Wap imports under Melitz erode NAmerica’s terms-of-trade gain.  Another minor contribution to this erosion comes from NAmerica’s exports of Wap.  With the imposition of the tariff, Wap production expands in NAmerica, with consequent scale economies and reductions in the prices of effective units.  However, the negative effect on NAmerica’s terms of trade from lower export prices for Wap is small because Wap is a negligible fraction of NAmerica’s total exports.    </w:t>
      </w:r>
    </w:p>
    <w:p w:rsidR="009B0E9B" w:rsidRDefault="009B0E9B" w:rsidP="009B0E9B">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Factoring in the Extra Melitz terms-of-trade effects turns the total terms-of-trade contribution under Melitz for NAmerica negative (0.0089 – 0.0262).  While cif count prices charged by typical exporting firms to NAmerica fall, in the calculation of the prices of effective units, the reduction in variety in NAmerican Wap imports is decisive, leading to increases in cif prices of effective units to NAmerica.  The mirror image of the Extra Melitz terms-of-trade loss for NAmerica is Extra Melitz terms of trade gains for other regions.  The imposition of the tariff by NAmerica, and the contraction in the scale of the NAmerican Wap market for imports, </w:t>
      </w:r>
      <w:r>
        <w:rPr>
          <w:rFonts w:ascii="Times New Roman" w:hAnsi="Times New Roman" w:cs="Times New Roman"/>
          <w:sz w:val="24"/>
          <w:szCs w:val="24"/>
        </w:rPr>
        <w:br/>
      </w:r>
    </w:p>
    <w:p w:rsidR="00863457" w:rsidRDefault="00863457" w:rsidP="004140FD">
      <w:pPr>
        <w:pStyle w:val="ListParagraph"/>
        <w:spacing w:after="0"/>
        <w:ind w:left="0" w:firstLine="284"/>
        <w:contextualSpacing w:val="0"/>
        <w:jc w:val="both"/>
        <w:rPr>
          <w:rFonts w:ascii="Times New Roman" w:hAnsi="Times New Roman" w:cs="Times New Roman"/>
          <w:sz w:val="24"/>
          <w:szCs w:val="24"/>
        </w:rPr>
        <w:sectPr w:rsidR="00863457" w:rsidSect="00863457">
          <w:pgSz w:w="11906" w:h="16838"/>
          <w:pgMar w:top="1440" w:right="1440" w:bottom="1440" w:left="1440" w:header="708" w:footer="708" w:gutter="0"/>
          <w:cols w:space="708"/>
          <w:docGrid w:linePitch="360"/>
        </w:sectPr>
      </w:pPr>
    </w:p>
    <w:p w:rsidR="00DE2F13" w:rsidRDefault="00082CD3" w:rsidP="00082CD3">
      <w:pPr>
        <w:spacing w:after="60" w:line="240" w:lineRule="auto"/>
        <w:jc w:val="center"/>
        <w:rPr>
          <w:rFonts w:ascii="Times New Roman" w:hAnsi="Times New Roman" w:cs="Times New Roman"/>
          <w:b/>
          <w:i/>
          <w:sz w:val="24"/>
          <w:szCs w:val="24"/>
        </w:rPr>
      </w:pPr>
      <w:r w:rsidRPr="00DB707D">
        <w:rPr>
          <w:rFonts w:ascii="Times New Roman" w:hAnsi="Times New Roman" w:cs="Times New Roman"/>
          <w:b/>
          <w:i/>
          <w:sz w:val="24"/>
          <w:szCs w:val="24"/>
        </w:rPr>
        <w:lastRenderedPageBreak/>
        <w:t xml:space="preserve">Table </w:t>
      </w:r>
      <w:r>
        <w:rPr>
          <w:rFonts w:ascii="Times New Roman" w:hAnsi="Times New Roman" w:cs="Times New Roman"/>
          <w:b/>
          <w:i/>
          <w:sz w:val="24"/>
          <w:szCs w:val="24"/>
        </w:rPr>
        <w:t>7.7</w:t>
      </w:r>
      <w:r w:rsidRPr="00DB707D">
        <w:rPr>
          <w:rFonts w:ascii="Times New Roman" w:hAnsi="Times New Roman" w:cs="Times New Roman"/>
          <w:b/>
          <w:i/>
          <w:sz w:val="24"/>
          <w:szCs w:val="24"/>
        </w:rPr>
        <w:t xml:space="preserve">: </w:t>
      </w:r>
      <w:r>
        <w:rPr>
          <w:rFonts w:ascii="Times New Roman" w:hAnsi="Times New Roman" w:cs="Times New Roman"/>
          <w:b/>
          <w:i/>
          <w:sz w:val="24"/>
          <w:szCs w:val="24"/>
        </w:rPr>
        <w:t xml:space="preserve">Fob values of Wap flows expressed as percentage of </w:t>
      </w:r>
      <w:r w:rsidRPr="00033D7C">
        <w:rPr>
          <w:rFonts w:ascii="Times New Roman" w:hAnsi="Times New Roman" w:cs="Times New Roman"/>
          <w:b/>
          <w:i/>
          <w:sz w:val="24"/>
          <w:szCs w:val="24"/>
        </w:rPr>
        <w:t xml:space="preserve">producing region’s aggregate consumption: </w:t>
      </w:r>
    </w:p>
    <w:p w:rsidR="00082CD3" w:rsidRDefault="00082CD3" w:rsidP="00082CD3">
      <w:pPr>
        <w:spacing w:after="60" w:line="240" w:lineRule="auto"/>
        <w:jc w:val="center"/>
        <w:rPr>
          <w:rFonts w:ascii="Times New Roman" w:hAnsi="Times New Roman" w:cs="Times New Roman"/>
          <w:b/>
          <w:i/>
          <w:sz w:val="24"/>
          <w:szCs w:val="24"/>
        </w:rPr>
      </w:pPr>
      <w:r w:rsidRPr="00033D7C">
        <w:rPr>
          <w:rFonts w:ascii="Times New Roman" w:hAnsi="Times New Roman" w:cs="Times New Roman"/>
          <w:b/>
          <w:i/>
          <w:sz w:val="24"/>
          <w:szCs w:val="24"/>
        </w:rPr>
        <w:t xml:space="preserve">derived from GTAP data for </w:t>
      </w:r>
      <w:r w:rsidR="00EB053C">
        <w:rPr>
          <w:rFonts w:ascii="Times New Roman" w:hAnsi="Times New Roman" w:cs="Times New Roman"/>
          <w:b/>
          <w:i/>
          <w:sz w:val="24"/>
          <w:szCs w:val="24"/>
        </w:rPr>
        <w:t>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020"/>
        <w:gridCol w:w="1020"/>
        <w:gridCol w:w="1020"/>
        <w:gridCol w:w="1020"/>
        <w:gridCol w:w="1020"/>
        <w:gridCol w:w="1020"/>
        <w:gridCol w:w="1020"/>
        <w:gridCol w:w="1020"/>
        <w:gridCol w:w="1020"/>
        <w:gridCol w:w="1020"/>
        <w:gridCol w:w="1020"/>
      </w:tblGrid>
      <w:tr w:rsidR="00082CD3" w:rsidTr="00DE2F13">
        <w:tc>
          <w:tcPr>
            <w:tcW w:w="1271" w:type="dxa"/>
            <w:tcBorders>
              <w:top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rsidR="00082CD3" w:rsidRDefault="00082CD3" w:rsidP="00EB27BA">
            <w:pPr>
              <w:spacing w:after="0" w:line="240" w:lineRule="auto"/>
              <w:rPr>
                <w:lang w:val="en-AU"/>
              </w:rPr>
            </w:pPr>
          </w:p>
        </w:tc>
        <w:tc>
          <w:tcPr>
            <w:tcW w:w="1020" w:type="dxa"/>
            <w:tcBorders>
              <w:top w:val="single" w:sz="18" w:space="0" w:color="A6A6A6" w:themeColor="background1" w:themeShade="A6"/>
              <w:left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Oceania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EastAsia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SEAsia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SouAsia</w:t>
            </w:r>
          </w:p>
        </w:tc>
        <w:tc>
          <w:tcPr>
            <w:tcW w:w="1020" w:type="dxa"/>
            <w:tcBorders>
              <w:top w:val="single" w:sz="18" w:space="0" w:color="A6A6A6" w:themeColor="background1" w:themeShade="A6"/>
              <w:bottom w:val="single" w:sz="18" w:space="0" w:color="A6A6A6" w:themeColor="background1" w:themeShade="A6"/>
            </w:tcBorders>
            <w:shd w:val="clear" w:color="auto" w:fill="D9D9D9" w:themeFill="background1" w:themeFillShade="D9"/>
            <w:vAlign w:val="bottom"/>
          </w:tcPr>
          <w:p w:rsidR="00082CD3" w:rsidRDefault="00082CD3" w:rsidP="00EB27BA">
            <w:pPr>
              <w:spacing w:after="0"/>
              <w:rPr>
                <w:color w:val="000000"/>
                <w:sz w:val="18"/>
                <w:szCs w:val="18"/>
              </w:rPr>
            </w:pPr>
            <w:r>
              <w:rPr>
                <w:color w:val="000000"/>
                <w:sz w:val="18"/>
                <w:szCs w:val="18"/>
              </w:rPr>
              <w:t>NAm</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LatinAm</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EU_25</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MENA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SSA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RoW</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Total</w:t>
            </w:r>
          </w:p>
        </w:tc>
      </w:tr>
      <w:tr w:rsidR="00082CD3" w:rsidTr="00DE2F13">
        <w:tc>
          <w:tcPr>
            <w:tcW w:w="1271" w:type="dxa"/>
            <w:tcBorders>
              <w:top w:val="single" w:sz="18" w:space="0" w:color="A6A6A6" w:themeColor="background1" w:themeShade="A6"/>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Oceania</w:t>
            </w:r>
          </w:p>
        </w:tc>
        <w:tc>
          <w:tcPr>
            <w:tcW w:w="1020" w:type="dxa"/>
            <w:tcBorders>
              <w:top w:val="single" w:sz="18" w:space="0" w:color="A6A6A6" w:themeColor="background1" w:themeShade="A6"/>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1.30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1.43</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EastAsia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2.57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0.43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0.39</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3.82</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SEAsia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0.34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1.98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2.57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6.20</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SouthAsia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0.53</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1.20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1.31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3.37</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NAmerica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1.08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1.12</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LatinAmer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0.86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2.34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3.30</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EU_25</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3.35</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MidEastNAfr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0.60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1.53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2.20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4.49</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SubSahAfr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0.53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0.22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2.81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3.62</w:t>
            </w:r>
          </w:p>
        </w:tc>
      </w:tr>
      <w:tr w:rsidR="00082CD3" w:rsidTr="00DE2F13">
        <w:tc>
          <w:tcPr>
            <w:tcW w:w="1271" w:type="dxa"/>
            <w:tcBorders>
              <w:bottom w:val="single" w:sz="18" w:space="0" w:color="A6A6A6" w:themeColor="background1" w:themeShade="A6"/>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RestofWorld</w:t>
            </w:r>
          </w:p>
        </w:tc>
        <w:tc>
          <w:tcPr>
            <w:tcW w:w="1020" w:type="dxa"/>
            <w:tcBorders>
              <w:left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0.14</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1.31</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0.04</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0.84</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2.37</w:t>
            </w:r>
          </w:p>
        </w:tc>
      </w:tr>
    </w:tbl>
    <w:p w:rsidR="00082CD3" w:rsidRDefault="00082CD3" w:rsidP="00082CD3">
      <w:pPr>
        <w:spacing w:after="0" w:line="240" w:lineRule="auto"/>
        <w:jc w:val="center"/>
        <w:rPr>
          <w:rFonts w:ascii="Times New Roman" w:hAnsi="Times New Roman" w:cs="Times New Roman"/>
          <w:b/>
          <w:i/>
          <w:sz w:val="24"/>
          <w:szCs w:val="24"/>
        </w:rPr>
      </w:pPr>
    </w:p>
    <w:p w:rsidR="00DE2F13" w:rsidRDefault="00082CD3" w:rsidP="00082CD3">
      <w:pPr>
        <w:spacing w:after="60" w:line="240" w:lineRule="auto"/>
        <w:jc w:val="center"/>
        <w:rPr>
          <w:rFonts w:ascii="Times New Roman" w:hAnsi="Times New Roman" w:cs="Times New Roman"/>
          <w:b/>
          <w:i/>
          <w:sz w:val="24"/>
          <w:szCs w:val="24"/>
        </w:rPr>
      </w:pPr>
      <w:r w:rsidRPr="00DB707D">
        <w:rPr>
          <w:rFonts w:ascii="Times New Roman" w:hAnsi="Times New Roman" w:cs="Times New Roman"/>
          <w:b/>
          <w:i/>
          <w:sz w:val="24"/>
          <w:szCs w:val="24"/>
        </w:rPr>
        <w:t xml:space="preserve">Table </w:t>
      </w:r>
      <w:r>
        <w:rPr>
          <w:rFonts w:ascii="Times New Roman" w:hAnsi="Times New Roman" w:cs="Times New Roman"/>
          <w:b/>
          <w:i/>
          <w:sz w:val="24"/>
          <w:szCs w:val="24"/>
        </w:rPr>
        <w:t>7.8</w:t>
      </w:r>
      <w:r w:rsidRPr="00DB707D">
        <w:rPr>
          <w:rFonts w:ascii="Times New Roman" w:hAnsi="Times New Roman" w:cs="Times New Roman"/>
          <w:b/>
          <w:i/>
          <w:sz w:val="24"/>
          <w:szCs w:val="24"/>
        </w:rPr>
        <w:t xml:space="preserve">: </w:t>
      </w:r>
      <w:r>
        <w:rPr>
          <w:rFonts w:ascii="Times New Roman" w:hAnsi="Times New Roman" w:cs="Times New Roman"/>
          <w:b/>
          <w:i/>
          <w:sz w:val="24"/>
          <w:szCs w:val="24"/>
        </w:rPr>
        <w:t xml:space="preserve">Fob values of Wap flows expressed as percentage </w:t>
      </w:r>
      <w:r w:rsidRPr="00033D7C">
        <w:rPr>
          <w:rFonts w:ascii="Times New Roman" w:hAnsi="Times New Roman" w:cs="Times New Roman"/>
          <w:b/>
          <w:i/>
          <w:sz w:val="24"/>
          <w:szCs w:val="24"/>
        </w:rPr>
        <w:t xml:space="preserve">of consuming region’s aggregate consumption: </w:t>
      </w:r>
    </w:p>
    <w:p w:rsidR="00082CD3" w:rsidRDefault="00082CD3" w:rsidP="00082CD3">
      <w:pPr>
        <w:spacing w:after="60" w:line="240" w:lineRule="auto"/>
        <w:jc w:val="center"/>
        <w:rPr>
          <w:rFonts w:ascii="Times New Roman" w:hAnsi="Times New Roman" w:cs="Times New Roman"/>
          <w:b/>
          <w:i/>
          <w:sz w:val="24"/>
          <w:szCs w:val="24"/>
        </w:rPr>
      </w:pPr>
      <w:r w:rsidRPr="00033D7C">
        <w:rPr>
          <w:rFonts w:ascii="Times New Roman" w:hAnsi="Times New Roman" w:cs="Times New Roman"/>
          <w:b/>
          <w:i/>
          <w:sz w:val="24"/>
          <w:szCs w:val="24"/>
        </w:rPr>
        <w:t xml:space="preserve">derived from GTAP data for </w:t>
      </w:r>
      <w:r w:rsidR="00EB053C">
        <w:rPr>
          <w:rFonts w:ascii="Times New Roman" w:hAnsi="Times New Roman" w:cs="Times New Roman"/>
          <w:b/>
          <w:i/>
          <w:sz w:val="24"/>
          <w:szCs w:val="24"/>
        </w:rPr>
        <w:t>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020"/>
        <w:gridCol w:w="1020"/>
        <w:gridCol w:w="1020"/>
        <w:gridCol w:w="1020"/>
        <w:gridCol w:w="1020"/>
        <w:gridCol w:w="1020"/>
        <w:gridCol w:w="1020"/>
        <w:gridCol w:w="1020"/>
        <w:gridCol w:w="1020"/>
        <w:gridCol w:w="1020"/>
      </w:tblGrid>
      <w:tr w:rsidR="00082CD3" w:rsidTr="00DE2F13">
        <w:tc>
          <w:tcPr>
            <w:tcW w:w="1271" w:type="dxa"/>
            <w:tcBorders>
              <w:top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rsidR="00082CD3" w:rsidRDefault="00082CD3" w:rsidP="00EB27BA">
            <w:pPr>
              <w:spacing w:after="0" w:line="240" w:lineRule="auto"/>
              <w:rPr>
                <w:lang w:val="en-AU"/>
              </w:rPr>
            </w:pPr>
          </w:p>
        </w:tc>
        <w:tc>
          <w:tcPr>
            <w:tcW w:w="1020" w:type="dxa"/>
            <w:tcBorders>
              <w:top w:val="single" w:sz="18" w:space="0" w:color="A6A6A6" w:themeColor="background1" w:themeShade="A6"/>
              <w:left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Oceania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EastAsia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SEAsia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SouAsia</w:t>
            </w:r>
          </w:p>
        </w:tc>
        <w:tc>
          <w:tcPr>
            <w:tcW w:w="1020" w:type="dxa"/>
            <w:tcBorders>
              <w:top w:val="single" w:sz="18" w:space="0" w:color="A6A6A6" w:themeColor="background1" w:themeShade="A6"/>
              <w:bottom w:val="single" w:sz="18" w:space="0" w:color="A6A6A6" w:themeColor="background1" w:themeShade="A6"/>
            </w:tcBorders>
            <w:shd w:val="clear" w:color="auto" w:fill="D9D9D9" w:themeFill="background1" w:themeFillShade="D9"/>
            <w:vAlign w:val="bottom"/>
          </w:tcPr>
          <w:p w:rsidR="00082CD3" w:rsidRDefault="00082CD3" w:rsidP="00EB27BA">
            <w:pPr>
              <w:spacing w:after="0"/>
              <w:rPr>
                <w:color w:val="000000"/>
                <w:sz w:val="18"/>
                <w:szCs w:val="18"/>
              </w:rPr>
            </w:pPr>
            <w:r>
              <w:rPr>
                <w:color w:val="000000"/>
                <w:sz w:val="18"/>
                <w:szCs w:val="18"/>
              </w:rPr>
              <w:t>NAm</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LatinAm</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EU_25</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MENA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SSA</w:t>
            </w:r>
          </w:p>
        </w:tc>
        <w:tc>
          <w:tcPr>
            <w:tcW w:w="1020" w:type="dxa"/>
            <w:tcBorders>
              <w:top w:val="single" w:sz="18" w:space="0" w:color="A6A6A6" w:themeColor="background1" w:themeShade="A6"/>
              <w:bottom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RoW</w:t>
            </w:r>
          </w:p>
        </w:tc>
      </w:tr>
      <w:tr w:rsidR="00082CD3" w:rsidTr="00DE2F13">
        <w:tc>
          <w:tcPr>
            <w:tcW w:w="1271" w:type="dxa"/>
            <w:tcBorders>
              <w:top w:val="single" w:sz="18" w:space="0" w:color="A6A6A6" w:themeColor="background1" w:themeShade="A6"/>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Oceania</w:t>
            </w:r>
          </w:p>
        </w:tc>
        <w:tc>
          <w:tcPr>
            <w:tcW w:w="1020" w:type="dxa"/>
            <w:tcBorders>
              <w:top w:val="single" w:sz="18" w:space="0" w:color="A6A6A6" w:themeColor="background1" w:themeShade="A6"/>
              <w:left w:val="single" w:sz="18" w:space="0" w:color="A6A6A6" w:themeColor="background1" w:themeShade="A6"/>
            </w:tcBorders>
            <w:vAlign w:val="center"/>
          </w:tcPr>
          <w:p w:rsidR="00082CD3" w:rsidRDefault="00082CD3" w:rsidP="00EB27BA">
            <w:pPr>
              <w:tabs>
                <w:tab w:val="decimal" w:pos="180"/>
              </w:tabs>
              <w:spacing w:after="0" w:line="240" w:lineRule="auto"/>
              <w:rPr>
                <w:color w:val="000000"/>
                <w:sz w:val="18"/>
                <w:szCs w:val="18"/>
                <w:lang w:val="en-AU"/>
              </w:rPr>
            </w:pPr>
            <w:r>
              <w:rPr>
                <w:color w:val="000000"/>
                <w:sz w:val="18"/>
                <w:szCs w:val="18"/>
              </w:rPr>
              <w:t>1.30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top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EastAsia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0.51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2.57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0.50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0.04</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0.18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0.22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0.20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0.60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0.30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0.55</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SEAsia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1.98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0.13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SouthAsia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0.53</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NAmerica</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1.08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LatinAmer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0.08</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2.34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EU_25</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0.07</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0.09</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0.05</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3.06</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0.51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0.77</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MidEastNAfr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0.03</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0.10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2.20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0.04</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0.03</w:t>
            </w:r>
          </w:p>
        </w:tc>
      </w:tr>
      <w:tr w:rsidR="00082CD3" w:rsidTr="00DE2F13">
        <w:tc>
          <w:tcPr>
            <w:tcW w:w="1271" w:type="dxa"/>
            <w:tcBorders>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SubSahAfr</w:t>
            </w:r>
          </w:p>
        </w:tc>
        <w:tc>
          <w:tcPr>
            <w:tcW w:w="1020" w:type="dxa"/>
            <w:tcBorders>
              <w:left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2.81</w:t>
            </w:r>
          </w:p>
        </w:tc>
        <w:tc>
          <w:tcPr>
            <w:tcW w:w="1020" w:type="dxa"/>
            <w:vAlign w:val="center"/>
          </w:tcPr>
          <w:p w:rsidR="00082CD3" w:rsidRDefault="00082CD3" w:rsidP="00EB27BA">
            <w:pPr>
              <w:tabs>
                <w:tab w:val="decimal" w:pos="180"/>
              </w:tabs>
              <w:spacing w:after="0"/>
              <w:rPr>
                <w:color w:val="000000"/>
                <w:sz w:val="18"/>
                <w:szCs w:val="18"/>
              </w:rPr>
            </w:pPr>
            <w:r>
              <w:rPr>
                <w:color w:val="000000"/>
                <w:sz w:val="18"/>
                <w:szCs w:val="18"/>
              </w:rPr>
              <w:t>0.00</w:t>
            </w:r>
          </w:p>
        </w:tc>
      </w:tr>
      <w:tr w:rsidR="00082CD3" w:rsidTr="00DE2F13">
        <w:tc>
          <w:tcPr>
            <w:tcW w:w="1271" w:type="dxa"/>
            <w:tcBorders>
              <w:bottom w:val="single" w:sz="18" w:space="0" w:color="A6A6A6" w:themeColor="background1" w:themeShade="A6"/>
              <w:right w:val="single" w:sz="18" w:space="0" w:color="A6A6A6" w:themeColor="background1" w:themeShade="A6"/>
            </w:tcBorders>
            <w:vAlign w:val="bottom"/>
          </w:tcPr>
          <w:p w:rsidR="00082CD3" w:rsidRDefault="00082CD3" w:rsidP="00EB27BA">
            <w:pPr>
              <w:spacing w:after="0"/>
              <w:rPr>
                <w:color w:val="000000"/>
                <w:sz w:val="18"/>
                <w:szCs w:val="18"/>
              </w:rPr>
            </w:pPr>
            <w:r>
              <w:rPr>
                <w:color w:val="000000"/>
                <w:sz w:val="18"/>
                <w:szCs w:val="18"/>
              </w:rPr>
              <w:t>RestofWorld</w:t>
            </w:r>
          </w:p>
        </w:tc>
        <w:tc>
          <w:tcPr>
            <w:tcW w:w="1020" w:type="dxa"/>
            <w:tcBorders>
              <w:left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bottom w:val="single" w:sz="18" w:space="0" w:color="A6A6A6" w:themeColor="background1" w:themeShade="A6"/>
            </w:tcBorders>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0.02</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0.20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0.10</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0.01</w:t>
            </w:r>
          </w:p>
        </w:tc>
        <w:tc>
          <w:tcPr>
            <w:tcW w:w="1020" w:type="dxa"/>
            <w:tcBorders>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0.84</w:t>
            </w:r>
          </w:p>
        </w:tc>
      </w:tr>
      <w:tr w:rsidR="00082CD3" w:rsidTr="00DE2F13">
        <w:tc>
          <w:tcPr>
            <w:tcW w:w="1271" w:type="dxa"/>
            <w:tcBorders>
              <w:top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rsidR="00082CD3" w:rsidRDefault="00082CD3" w:rsidP="00EB27BA">
            <w:pPr>
              <w:spacing w:after="0"/>
              <w:rPr>
                <w:color w:val="000000"/>
                <w:sz w:val="18"/>
                <w:szCs w:val="18"/>
              </w:rPr>
            </w:pPr>
          </w:p>
        </w:tc>
        <w:tc>
          <w:tcPr>
            <w:tcW w:w="1020" w:type="dxa"/>
            <w:tcBorders>
              <w:top w:val="single" w:sz="18" w:space="0" w:color="A6A6A6" w:themeColor="background1" w:themeShade="A6"/>
              <w:left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1.98</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2.74</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2.71</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0.61</w:t>
            </w:r>
          </w:p>
        </w:tc>
        <w:tc>
          <w:tcPr>
            <w:tcW w:w="1020" w:type="dxa"/>
            <w:tcBorders>
              <w:top w:val="single" w:sz="18" w:space="0" w:color="A6A6A6" w:themeColor="background1" w:themeShade="A6"/>
              <w:bottom w:val="single" w:sz="18" w:space="0" w:color="A6A6A6" w:themeColor="background1" w:themeShade="A6"/>
            </w:tcBorders>
            <w:shd w:val="clear" w:color="auto" w:fill="D9D9D9" w:themeFill="background1" w:themeFillShade="D9"/>
            <w:vAlign w:val="center"/>
          </w:tcPr>
          <w:p w:rsidR="00082CD3" w:rsidRDefault="00082CD3" w:rsidP="00EB27BA">
            <w:pPr>
              <w:tabs>
                <w:tab w:val="decimal" w:pos="180"/>
              </w:tabs>
              <w:spacing w:after="0"/>
              <w:rPr>
                <w:color w:val="000000"/>
                <w:sz w:val="18"/>
                <w:szCs w:val="18"/>
              </w:rPr>
            </w:pPr>
            <w:r>
              <w:rPr>
                <w:color w:val="000000"/>
                <w:sz w:val="18"/>
                <w:szCs w:val="18"/>
              </w:rPr>
              <w:t>1.67</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2.85</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3.75</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3.71</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3.39</w:t>
            </w:r>
          </w:p>
        </w:tc>
        <w:tc>
          <w:tcPr>
            <w:tcW w:w="1020" w:type="dxa"/>
            <w:tcBorders>
              <w:top w:val="single" w:sz="18" w:space="0" w:color="A6A6A6" w:themeColor="background1" w:themeShade="A6"/>
              <w:bottom w:val="single" w:sz="18" w:space="0" w:color="A6A6A6" w:themeColor="background1" w:themeShade="A6"/>
            </w:tcBorders>
            <w:vAlign w:val="center"/>
          </w:tcPr>
          <w:p w:rsidR="00082CD3" w:rsidRDefault="00082CD3" w:rsidP="00EB27BA">
            <w:pPr>
              <w:tabs>
                <w:tab w:val="decimal" w:pos="180"/>
              </w:tabs>
              <w:spacing w:after="0"/>
              <w:rPr>
                <w:color w:val="000000"/>
                <w:sz w:val="18"/>
                <w:szCs w:val="18"/>
              </w:rPr>
            </w:pPr>
            <w:r>
              <w:rPr>
                <w:color w:val="000000"/>
                <w:sz w:val="18"/>
                <w:szCs w:val="18"/>
              </w:rPr>
              <w:t>2.27</w:t>
            </w:r>
          </w:p>
        </w:tc>
      </w:tr>
    </w:tbl>
    <w:p w:rsidR="00082CD3" w:rsidRDefault="00082CD3" w:rsidP="00082CD3">
      <w:pPr>
        <w:spacing w:after="0" w:line="240" w:lineRule="auto"/>
        <w:jc w:val="center"/>
        <w:rPr>
          <w:rFonts w:ascii="Times New Roman" w:hAnsi="Times New Roman" w:cs="Times New Roman"/>
          <w:b/>
          <w:i/>
          <w:sz w:val="24"/>
          <w:szCs w:val="24"/>
        </w:rPr>
      </w:pPr>
    </w:p>
    <w:p w:rsidR="00863457" w:rsidRDefault="00863457" w:rsidP="004140FD">
      <w:pPr>
        <w:pStyle w:val="ListParagraph"/>
        <w:spacing w:after="0"/>
        <w:ind w:left="0" w:firstLine="284"/>
        <w:contextualSpacing w:val="0"/>
        <w:jc w:val="both"/>
        <w:rPr>
          <w:rFonts w:ascii="Times New Roman" w:hAnsi="Times New Roman" w:cs="Times New Roman"/>
          <w:sz w:val="24"/>
          <w:szCs w:val="24"/>
        </w:rPr>
      </w:pPr>
    </w:p>
    <w:p w:rsidR="00863457" w:rsidRDefault="00863457" w:rsidP="004140FD">
      <w:pPr>
        <w:pStyle w:val="ListParagraph"/>
        <w:spacing w:after="0"/>
        <w:ind w:left="0" w:firstLine="284"/>
        <w:contextualSpacing w:val="0"/>
        <w:jc w:val="both"/>
        <w:rPr>
          <w:rFonts w:ascii="Times New Roman" w:hAnsi="Times New Roman" w:cs="Times New Roman"/>
          <w:sz w:val="24"/>
          <w:szCs w:val="24"/>
        </w:rPr>
      </w:pPr>
    </w:p>
    <w:p w:rsidR="00863457" w:rsidRDefault="00863457" w:rsidP="004140FD">
      <w:pPr>
        <w:pStyle w:val="ListParagraph"/>
        <w:spacing w:after="0"/>
        <w:ind w:left="0" w:firstLine="284"/>
        <w:contextualSpacing w:val="0"/>
        <w:jc w:val="both"/>
        <w:rPr>
          <w:rFonts w:ascii="Times New Roman" w:hAnsi="Times New Roman" w:cs="Times New Roman"/>
          <w:sz w:val="24"/>
          <w:szCs w:val="24"/>
        </w:rPr>
        <w:sectPr w:rsidR="00863457" w:rsidSect="00DE2F13">
          <w:pgSz w:w="16838" w:h="11906" w:orient="landscape"/>
          <w:pgMar w:top="1440" w:right="1440" w:bottom="1440" w:left="1843" w:header="708" w:footer="708" w:gutter="0"/>
          <w:cols w:space="708"/>
          <w:docGrid w:linePitch="360"/>
        </w:sectPr>
      </w:pPr>
    </w:p>
    <w:p w:rsidR="009B0E9B" w:rsidRDefault="009B0E9B" w:rsidP="009B0E9B">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causes prices per effective unit from Wap exporting regions to increase by considerably larger percentages in the NAmerican market than in the domestic markets of these exporting regions.  It is these destination-specific differences in price movements that is captured in the Extra Melitz terms-of-trade column of Table 7.5.</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rsidR="00715863" w:rsidRDefault="00CA0CB3" w:rsidP="00915FF9">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final column in the welfare decomposition </w:t>
      </w:r>
      <w:r w:rsidR="00312F33">
        <w:rPr>
          <w:rFonts w:ascii="Times New Roman" w:hAnsi="Times New Roman" w:cs="Times New Roman"/>
          <w:sz w:val="24"/>
          <w:szCs w:val="24"/>
        </w:rPr>
        <w:t>block of</w:t>
      </w:r>
      <w:r>
        <w:rPr>
          <w:rFonts w:ascii="Times New Roman" w:hAnsi="Times New Roman" w:cs="Times New Roman"/>
          <w:sz w:val="24"/>
          <w:szCs w:val="24"/>
        </w:rPr>
        <w:t xml:space="preserve"> Tables 7.5 and 7.6 shows the contributions </w:t>
      </w:r>
      <w:r w:rsidR="00E57F58">
        <w:rPr>
          <w:rFonts w:ascii="Times New Roman" w:hAnsi="Times New Roman" w:cs="Times New Roman"/>
          <w:sz w:val="24"/>
          <w:szCs w:val="24"/>
        </w:rPr>
        <w:t xml:space="preserve">of </w:t>
      </w:r>
      <w:r w:rsidR="00312F33">
        <w:rPr>
          <w:rFonts w:ascii="Times New Roman" w:hAnsi="Times New Roman" w:cs="Times New Roman"/>
          <w:sz w:val="24"/>
          <w:szCs w:val="24"/>
        </w:rPr>
        <w:t>E</w:t>
      </w:r>
      <w:r w:rsidR="00715863">
        <w:rPr>
          <w:rFonts w:ascii="Times New Roman" w:hAnsi="Times New Roman" w:cs="Times New Roman"/>
          <w:sz w:val="24"/>
          <w:szCs w:val="24"/>
        </w:rPr>
        <w:t xml:space="preserve">xtra Melitz </w:t>
      </w:r>
      <w:r w:rsidR="00E57F58">
        <w:rPr>
          <w:rFonts w:ascii="Times New Roman" w:hAnsi="Times New Roman" w:cs="Times New Roman"/>
          <w:sz w:val="24"/>
          <w:szCs w:val="24"/>
        </w:rPr>
        <w:t>efficiency gains.  In the Melitz model derived from BasicArmington</w:t>
      </w:r>
      <w:r w:rsidR="00312F33">
        <w:rPr>
          <w:rFonts w:ascii="Times New Roman" w:hAnsi="Times New Roman" w:cs="Times New Roman"/>
          <w:sz w:val="24"/>
          <w:szCs w:val="24"/>
        </w:rPr>
        <w:t>,</w:t>
      </w:r>
      <w:r w:rsidR="00E57F58">
        <w:rPr>
          <w:rFonts w:ascii="Times New Roman" w:hAnsi="Times New Roman" w:cs="Times New Roman"/>
          <w:sz w:val="24"/>
          <w:szCs w:val="24"/>
        </w:rPr>
        <w:t xml:space="preserve"> </w:t>
      </w:r>
      <w:r w:rsidR="00715863">
        <w:rPr>
          <w:rFonts w:ascii="Times New Roman" w:hAnsi="Times New Roman" w:cs="Times New Roman"/>
          <w:sz w:val="24"/>
          <w:szCs w:val="24"/>
        </w:rPr>
        <w:t xml:space="preserve">we </w:t>
      </w:r>
      <w:r w:rsidR="0034375B">
        <w:rPr>
          <w:rFonts w:ascii="Times New Roman" w:hAnsi="Times New Roman" w:cs="Times New Roman"/>
          <w:sz w:val="24"/>
          <w:szCs w:val="24"/>
        </w:rPr>
        <w:t>demonstrated</w:t>
      </w:r>
      <w:r w:rsidR="00715863">
        <w:rPr>
          <w:rFonts w:ascii="Times New Roman" w:hAnsi="Times New Roman" w:cs="Times New Roman"/>
          <w:sz w:val="24"/>
          <w:szCs w:val="24"/>
        </w:rPr>
        <w:t xml:space="preserve"> in (7.3</w:t>
      </w:r>
      <w:r w:rsidR="00936E8D">
        <w:rPr>
          <w:rFonts w:ascii="Times New Roman" w:hAnsi="Times New Roman" w:cs="Times New Roman"/>
          <w:sz w:val="24"/>
          <w:szCs w:val="24"/>
        </w:rPr>
        <w:t>6</w:t>
      </w:r>
      <w:r w:rsidR="00715863">
        <w:rPr>
          <w:rFonts w:ascii="Times New Roman" w:hAnsi="Times New Roman" w:cs="Times New Roman"/>
          <w:sz w:val="24"/>
          <w:szCs w:val="24"/>
        </w:rPr>
        <w:t>) and (7.3</w:t>
      </w:r>
      <w:r w:rsidR="00936E8D">
        <w:rPr>
          <w:rFonts w:ascii="Times New Roman" w:hAnsi="Times New Roman" w:cs="Times New Roman"/>
          <w:sz w:val="24"/>
          <w:szCs w:val="24"/>
        </w:rPr>
        <w:t>7</w:t>
      </w:r>
      <w:r w:rsidR="00715863">
        <w:rPr>
          <w:rFonts w:ascii="Times New Roman" w:hAnsi="Times New Roman" w:cs="Times New Roman"/>
          <w:sz w:val="24"/>
          <w:szCs w:val="24"/>
        </w:rPr>
        <w:t xml:space="preserve">) that </w:t>
      </w:r>
      <w:r w:rsidR="0034375B">
        <w:rPr>
          <w:rFonts w:ascii="Times New Roman" w:hAnsi="Times New Roman" w:cs="Times New Roman"/>
          <w:sz w:val="24"/>
          <w:szCs w:val="24"/>
        </w:rPr>
        <w:t xml:space="preserve">these gains arise entirely from changes in the scale of production in Melitz industries, measured either by output of effective units or primary factor input.  For the GTAP-A2M system, this result is not exact.  There are too many other complications in GTAP such as international transport costs.  </w:t>
      </w:r>
      <w:r w:rsidR="00312F33">
        <w:rPr>
          <w:rFonts w:ascii="Times New Roman" w:hAnsi="Times New Roman" w:cs="Times New Roman"/>
          <w:sz w:val="24"/>
          <w:szCs w:val="24"/>
        </w:rPr>
        <w:t>Nevertheless, scale economies in Melitz industries remain the overwhelming component of Extra Melitz efficiency gains.  This is demonstrated in Table 7.5 by the close correspondence between th</w:t>
      </w:r>
      <w:r w:rsidR="00BA6886">
        <w:rPr>
          <w:rFonts w:ascii="Times New Roman" w:hAnsi="Times New Roman" w:cs="Times New Roman"/>
          <w:sz w:val="24"/>
          <w:szCs w:val="24"/>
        </w:rPr>
        <w:t>e columns for</w:t>
      </w:r>
      <w:r w:rsidR="00312F33">
        <w:rPr>
          <w:rFonts w:ascii="Times New Roman" w:hAnsi="Times New Roman" w:cs="Times New Roman"/>
          <w:sz w:val="24"/>
          <w:szCs w:val="24"/>
        </w:rPr>
        <w:t xml:space="preserve"> Extra Melitz efficiency </w:t>
      </w:r>
      <w:r w:rsidR="00BA6886">
        <w:rPr>
          <w:rFonts w:ascii="Times New Roman" w:hAnsi="Times New Roman" w:cs="Times New Roman"/>
          <w:sz w:val="24"/>
          <w:szCs w:val="24"/>
        </w:rPr>
        <w:t>and Scale effect</w:t>
      </w:r>
      <w:r w:rsidR="00312F33">
        <w:rPr>
          <w:rFonts w:ascii="Times New Roman" w:hAnsi="Times New Roman" w:cs="Times New Roman"/>
          <w:sz w:val="24"/>
          <w:szCs w:val="24"/>
        </w:rPr>
        <w:t xml:space="preserve">.  The </w:t>
      </w:r>
      <w:r w:rsidR="00BA6886">
        <w:rPr>
          <w:rFonts w:ascii="Times New Roman" w:hAnsi="Times New Roman" w:cs="Times New Roman"/>
          <w:sz w:val="24"/>
          <w:szCs w:val="24"/>
        </w:rPr>
        <w:t>Scale effect</w:t>
      </w:r>
      <w:r w:rsidR="00312F33">
        <w:rPr>
          <w:rFonts w:ascii="Times New Roman" w:hAnsi="Times New Roman" w:cs="Times New Roman"/>
          <w:sz w:val="24"/>
          <w:szCs w:val="24"/>
        </w:rPr>
        <w:t xml:space="preserve"> column was calculated according to (7.3</w:t>
      </w:r>
      <w:r w:rsidR="00936E8D">
        <w:rPr>
          <w:rFonts w:ascii="Times New Roman" w:hAnsi="Times New Roman" w:cs="Times New Roman"/>
          <w:sz w:val="24"/>
          <w:szCs w:val="24"/>
        </w:rPr>
        <w:t>6</w:t>
      </w:r>
      <w:r w:rsidR="00312F33">
        <w:rPr>
          <w:rFonts w:ascii="Times New Roman" w:hAnsi="Times New Roman" w:cs="Times New Roman"/>
          <w:sz w:val="24"/>
          <w:szCs w:val="24"/>
        </w:rPr>
        <w:t xml:space="preserve">) </w:t>
      </w:r>
      <w:r w:rsidR="00BA6886">
        <w:rPr>
          <w:rFonts w:ascii="Times New Roman" w:hAnsi="Times New Roman" w:cs="Times New Roman"/>
          <w:sz w:val="24"/>
          <w:szCs w:val="24"/>
        </w:rPr>
        <w:t>using results from our GTAP-A2M simulations for movements in sales of effective units (q</w:t>
      </w:r>
      <w:r w:rsidR="00BA6886">
        <w:rPr>
          <w:rFonts w:ascii="Times New Roman" w:hAnsi="Times New Roman" w:cs="Times New Roman"/>
          <w:sz w:val="24"/>
          <w:szCs w:val="24"/>
          <w:vertAlign w:val="subscript"/>
        </w:rPr>
        <w:t>ds,c</w:t>
      </w:r>
      <w:r w:rsidR="00BA6886">
        <w:rPr>
          <w:rFonts w:ascii="Times New Roman" w:hAnsi="Times New Roman" w:cs="Times New Roman"/>
          <w:sz w:val="24"/>
          <w:szCs w:val="24"/>
        </w:rPr>
        <w:t xml:space="preserve">).  </w:t>
      </w:r>
    </w:p>
    <w:p w:rsidR="001924C4" w:rsidRDefault="001924C4" w:rsidP="00915FF9">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NAmerica’s tariff on Wap imports cause</w:t>
      </w:r>
      <w:r w:rsidR="00EC417E">
        <w:rPr>
          <w:rFonts w:ascii="Times New Roman" w:hAnsi="Times New Roman" w:cs="Times New Roman"/>
          <w:sz w:val="24"/>
          <w:szCs w:val="24"/>
        </w:rPr>
        <w:t>s</w:t>
      </w:r>
      <w:r>
        <w:rPr>
          <w:rFonts w:ascii="Times New Roman" w:hAnsi="Times New Roman" w:cs="Times New Roman"/>
          <w:sz w:val="24"/>
          <w:szCs w:val="24"/>
        </w:rPr>
        <w:t xml:space="preserve"> increase</w:t>
      </w:r>
      <w:r w:rsidR="00D87BB0">
        <w:rPr>
          <w:rFonts w:ascii="Times New Roman" w:hAnsi="Times New Roman" w:cs="Times New Roman"/>
          <w:sz w:val="24"/>
          <w:szCs w:val="24"/>
        </w:rPr>
        <w:t>s</w:t>
      </w:r>
      <w:r>
        <w:rPr>
          <w:rFonts w:ascii="Times New Roman" w:hAnsi="Times New Roman" w:cs="Times New Roman"/>
          <w:sz w:val="24"/>
          <w:szCs w:val="24"/>
        </w:rPr>
        <w:t xml:space="preserve"> in Wap output in NAmerica</w:t>
      </w:r>
      <w:r w:rsidR="00D87BB0">
        <w:rPr>
          <w:rFonts w:ascii="Times New Roman" w:hAnsi="Times New Roman" w:cs="Times New Roman"/>
          <w:sz w:val="24"/>
          <w:szCs w:val="24"/>
        </w:rPr>
        <w:t xml:space="preserve">, </w:t>
      </w:r>
      <w:r w:rsidR="00EC417E">
        <w:rPr>
          <w:rFonts w:ascii="Times New Roman" w:hAnsi="Times New Roman" w:cs="Times New Roman"/>
          <w:sz w:val="24"/>
          <w:szCs w:val="24"/>
        </w:rPr>
        <w:t xml:space="preserve">and to a lesser extent in </w:t>
      </w:r>
      <w:r w:rsidR="00D87BB0">
        <w:rPr>
          <w:rFonts w:ascii="Times New Roman" w:hAnsi="Times New Roman" w:cs="Times New Roman"/>
          <w:sz w:val="24"/>
          <w:szCs w:val="24"/>
        </w:rPr>
        <w:t xml:space="preserve">Oceania and EU_25.  Consequently, in Table 7.5, these regions have positive entries in the Extra Melitz efficiency column.  The tariff directly causes a switch by NAmerican consumers to their domestic product.  </w:t>
      </w:r>
      <w:r w:rsidR="00EC417E">
        <w:rPr>
          <w:rFonts w:ascii="Times New Roman" w:hAnsi="Times New Roman" w:cs="Times New Roman"/>
          <w:sz w:val="24"/>
          <w:szCs w:val="24"/>
        </w:rPr>
        <w:t xml:space="preserve">The Wap industries in </w:t>
      </w:r>
      <w:r w:rsidR="00D87BB0">
        <w:rPr>
          <w:rFonts w:ascii="Times New Roman" w:hAnsi="Times New Roman" w:cs="Times New Roman"/>
          <w:sz w:val="24"/>
          <w:szCs w:val="24"/>
        </w:rPr>
        <w:t xml:space="preserve">Oceania </w:t>
      </w:r>
      <w:r w:rsidR="00EC417E">
        <w:rPr>
          <w:rFonts w:ascii="Times New Roman" w:hAnsi="Times New Roman" w:cs="Times New Roman"/>
          <w:sz w:val="24"/>
          <w:szCs w:val="24"/>
        </w:rPr>
        <w:t>and</w:t>
      </w:r>
      <w:r w:rsidR="00D87BB0">
        <w:rPr>
          <w:rFonts w:ascii="Times New Roman" w:hAnsi="Times New Roman" w:cs="Times New Roman"/>
          <w:sz w:val="24"/>
          <w:szCs w:val="24"/>
        </w:rPr>
        <w:t xml:space="preserve"> EU_25</w:t>
      </w:r>
      <w:r w:rsidR="00EC417E">
        <w:rPr>
          <w:rFonts w:ascii="Times New Roman" w:hAnsi="Times New Roman" w:cs="Times New Roman"/>
          <w:sz w:val="24"/>
          <w:szCs w:val="24"/>
        </w:rPr>
        <w:t xml:space="preserve"> have little dependence on the NAmerican market and are not impacted to a significant extent by the NAmerican tariff.  At the same time, the Wap industr</w:t>
      </w:r>
      <w:r w:rsidR="0096241E">
        <w:rPr>
          <w:rFonts w:ascii="Times New Roman" w:hAnsi="Times New Roman" w:cs="Times New Roman"/>
          <w:sz w:val="24"/>
          <w:szCs w:val="24"/>
        </w:rPr>
        <w:t>ies</w:t>
      </w:r>
      <w:r w:rsidR="00EC417E">
        <w:rPr>
          <w:rFonts w:ascii="Times New Roman" w:hAnsi="Times New Roman" w:cs="Times New Roman"/>
          <w:sz w:val="24"/>
          <w:szCs w:val="24"/>
        </w:rPr>
        <w:t xml:space="preserve"> in these two regions gain from reduced competition from imports, reflecting higher costs of supplying effective units from the contacting Wap industries in </w:t>
      </w:r>
      <w:r w:rsidR="0096241E">
        <w:rPr>
          <w:rFonts w:ascii="Times New Roman" w:hAnsi="Times New Roman" w:cs="Times New Roman"/>
          <w:sz w:val="24"/>
          <w:szCs w:val="24"/>
        </w:rPr>
        <w:t xml:space="preserve">major exporting regions, </w:t>
      </w:r>
      <w:r w:rsidR="00EC417E">
        <w:rPr>
          <w:rFonts w:ascii="Times New Roman" w:hAnsi="Times New Roman" w:cs="Times New Roman"/>
          <w:sz w:val="24"/>
          <w:szCs w:val="24"/>
        </w:rPr>
        <w:t xml:space="preserve">EastAsia, SEAsia and SouthAsia.  </w:t>
      </w:r>
      <w:r>
        <w:rPr>
          <w:rFonts w:ascii="Times New Roman" w:hAnsi="Times New Roman" w:cs="Times New Roman"/>
          <w:sz w:val="24"/>
          <w:szCs w:val="24"/>
        </w:rPr>
        <w:t xml:space="preserve"> </w:t>
      </w:r>
    </w:p>
    <w:p w:rsidR="0003702F" w:rsidRPr="008317AA" w:rsidRDefault="00F41753" w:rsidP="00464F6A">
      <w:pPr>
        <w:pStyle w:val="ListParagraph"/>
        <w:spacing w:before="120" w:after="120"/>
        <w:ind w:left="0"/>
        <w:contextualSpacing w:val="0"/>
        <w:jc w:val="both"/>
        <w:rPr>
          <w:rFonts w:ascii="Times New Roman" w:hAnsi="Times New Roman" w:cs="Times New Roman"/>
          <w:b/>
          <w:i/>
          <w:sz w:val="24"/>
          <w:szCs w:val="24"/>
          <w:lang w:val="en-AU"/>
        </w:rPr>
      </w:pPr>
      <w:r>
        <w:rPr>
          <w:rFonts w:ascii="Times New Roman" w:hAnsi="Times New Roman" w:cs="Times New Roman"/>
          <w:b/>
          <w:i/>
          <w:sz w:val="24"/>
          <w:szCs w:val="24"/>
          <w:lang w:val="en-AU"/>
        </w:rPr>
        <w:t>Understanding the net welfare outcomes</w:t>
      </w:r>
      <w:r w:rsidR="0003702F">
        <w:rPr>
          <w:rFonts w:ascii="Times New Roman" w:hAnsi="Times New Roman" w:cs="Times New Roman"/>
          <w:b/>
          <w:i/>
          <w:sz w:val="24"/>
          <w:szCs w:val="24"/>
          <w:lang w:val="en-AU"/>
        </w:rPr>
        <w:t xml:space="preserve"> </w:t>
      </w:r>
      <w:r>
        <w:rPr>
          <w:rFonts w:ascii="Times New Roman" w:hAnsi="Times New Roman" w:cs="Times New Roman"/>
          <w:b/>
          <w:i/>
          <w:sz w:val="24"/>
          <w:szCs w:val="24"/>
          <w:lang w:val="en-AU"/>
        </w:rPr>
        <w:t xml:space="preserve">for Melitz relative to Armington </w:t>
      </w:r>
    </w:p>
    <w:p w:rsidR="0069174A" w:rsidRDefault="0069174A" w:rsidP="007D7227">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SEAsia and SouthAsia are the two regions with the largest welfare losses </w:t>
      </w:r>
      <w:r w:rsidR="00F41753">
        <w:rPr>
          <w:rFonts w:ascii="Times New Roman" w:hAnsi="Times New Roman" w:cs="Times New Roman"/>
          <w:sz w:val="24"/>
          <w:szCs w:val="24"/>
        </w:rPr>
        <w:t>under</w:t>
      </w:r>
      <w:r>
        <w:rPr>
          <w:rFonts w:ascii="Times New Roman" w:hAnsi="Times New Roman" w:cs="Times New Roman"/>
          <w:sz w:val="24"/>
          <w:szCs w:val="24"/>
        </w:rPr>
        <w:t xml:space="preserve"> </w:t>
      </w:r>
      <w:r w:rsidR="00F41753">
        <w:rPr>
          <w:rFonts w:ascii="Times New Roman" w:hAnsi="Times New Roman" w:cs="Times New Roman"/>
          <w:sz w:val="24"/>
          <w:szCs w:val="24"/>
        </w:rPr>
        <w:t xml:space="preserve">both </w:t>
      </w:r>
      <w:r>
        <w:rPr>
          <w:rFonts w:ascii="Times New Roman" w:hAnsi="Times New Roman" w:cs="Times New Roman"/>
          <w:sz w:val="24"/>
          <w:szCs w:val="24"/>
        </w:rPr>
        <w:t xml:space="preserve">Melitz </w:t>
      </w:r>
      <w:r w:rsidR="00F41753">
        <w:rPr>
          <w:rFonts w:ascii="Times New Roman" w:hAnsi="Times New Roman" w:cs="Times New Roman"/>
          <w:sz w:val="24"/>
          <w:szCs w:val="24"/>
        </w:rPr>
        <w:t xml:space="preserve">and </w:t>
      </w:r>
      <w:r>
        <w:rPr>
          <w:rFonts w:ascii="Times New Roman" w:hAnsi="Times New Roman" w:cs="Times New Roman"/>
          <w:sz w:val="24"/>
          <w:szCs w:val="24"/>
        </w:rPr>
        <w:t>Armington</w:t>
      </w:r>
      <w:r w:rsidR="00F41753">
        <w:rPr>
          <w:rFonts w:ascii="Times New Roman" w:hAnsi="Times New Roman" w:cs="Times New Roman"/>
          <w:sz w:val="24"/>
          <w:szCs w:val="24"/>
        </w:rPr>
        <w:t>, and the largest welfares losses in Melitz relative to Armington.  That these two regions have the largest welfare losses is readily understandable: as mentioned earlier they have the greatest reliance on Wap exports to NAmerica.</w:t>
      </w:r>
      <w:r w:rsidR="007D7227">
        <w:rPr>
          <w:rFonts w:ascii="Times New Roman" w:hAnsi="Times New Roman" w:cs="Times New Roman"/>
          <w:sz w:val="24"/>
          <w:szCs w:val="24"/>
        </w:rPr>
        <w:t xml:space="preserve">  Here we </w:t>
      </w:r>
      <w:r w:rsidR="0018300D">
        <w:rPr>
          <w:rFonts w:ascii="Times New Roman" w:hAnsi="Times New Roman" w:cs="Times New Roman"/>
          <w:sz w:val="24"/>
          <w:szCs w:val="24"/>
        </w:rPr>
        <w:t xml:space="preserve">provide back-of-the-envelope (BOTE) calculations to explain </w:t>
      </w:r>
      <w:r w:rsidR="007D7227">
        <w:rPr>
          <w:rFonts w:ascii="Times New Roman" w:hAnsi="Times New Roman" w:cs="Times New Roman"/>
          <w:sz w:val="24"/>
          <w:szCs w:val="24"/>
        </w:rPr>
        <w:t xml:space="preserve">why Melitz relative to Armington shows an extra welfare loss of </w:t>
      </w:r>
      <w:r w:rsidR="007D7227" w:rsidRPr="007D7227">
        <w:rPr>
          <w:rFonts w:ascii="Times New Roman" w:hAnsi="Times New Roman" w:cs="Times New Roman"/>
          <w:sz w:val="24"/>
          <w:szCs w:val="24"/>
        </w:rPr>
        <w:t>0.4478 per cent (=0.7892 - 0.3414)</w:t>
      </w:r>
      <w:r w:rsidR="007D7227">
        <w:rPr>
          <w:rFonts w:ascii="Times New Roman" w:hAnsi="Times New Roman" w:cs="Times New Roman"/>
          <w:sz w:val="24"/>
          <w:szCs w:val="24"/>
        </w:rPr>
        <w:t xml:space="preserve"> for SEAsia and an extra welfare loss of </w:t>
      </w:r>
      <w:r w:rsidR="007D7227" w:rsidRPr="007D7227">
        <w:rPr>
          <w:rFonts w:ascii="Times New Roman" w:hAnsi="Times New Roman" w:cs="Times New Roman"/>
          <w:sz w:val="24"/>
          <w:szCs w:val="24"/>
        </w:rPr>
        <w:t>0.</w:t>
      </w:r>
      <w:r w:rsidR="0093079F">
        <w:rPr>
          <w:rFonts w:ascii="Times New Roman" w:hAnsi="Times New Roman" w:cs="Times New Roman"/>
          <w:sz w:val="24"/>
          <w:szCs w:val="24"/>
        </w:rPr>
        <w:t xml:space="preserve">2428 </w:t>
      </w:r>
      <w:r w:rsidR="007D7227" w:rsidRPr="007D7227">
        <w:rPr>
          <w:rFonts w:ascii="Times New Roman" w:hAnsi="Times New Roman" w:cs="Times New Roman"/>
          <w:sz w:val="24"/>
          <w:szCs w:val="24"/>
        </w:rPr>
        <w:t>per cent (=0.</w:t>
      </w:r>
      <w:r w:rsidR="0093079F">
        <w:rPr>
          <w:rFonts w:ascii="Times New Roman" w:hAnsi="Times New Roman" w:cs="Times New Roman"/>
          <w:sz w:val="24"/>
          <w:szCs w:val="24"/>
        </w:rPr>
        <w:t>3870</w:t>
      </w:r>
      <w:r w:rsidR="007D7227" w:rsidRPr="007D7227">
        <w:rPr>
          <w:rFonts w:ascii="Times New Roman" w:hAnsi="Times New Roman" w:cs="Times New Roman"/>
          <w:sz w:val="24"/>
          <w:szCs w:val="24"/>
        </w:rPr>
        <w:t xml:space="preserve"> - 0.</w:t>
      </w:r>
      <w:r w:rsidR="0093079F">
        <w:rPr>
          <w:rFonts w:ascii="Times New Roman" w:hAnsi="Times New Roman" w:cs="Times New Roman"/>
          <w:sz w:val="24"/>
          <w:szCs w:val="24"/>
        </w:rPr>
        <w:t>1442</w:t>
      </w:r>
      <w:r w:rsidR="007D7227" w:rsidRPr="007D7227">
        <w:rPr>
          <w:rFonts w:ascii="Times New Roman" w:hAnsi="Times New Roman" w:cs="Times New Roman"/>
          <w:sz w:val="24"/>
          <w:szCs w:val="24"/>
        </w:rPr>
        <w:t>) for</w:t>
      </w:r>
      <w:r w:rsidR="007D7227">
        <w:rPr>
          <w:rFonts w:ascii="Times New Roman" w:hAnsi="Times New Roman" w:cs="Times New Roman"/>
          <w:sz w:val="24"/>
          <w:szCs w:val="24"/>
        </w:rPr>
        <w:t xml:space="preserve"> SouthAsia.  </w:t>
      </w:r>
      <w:r w:rsidR="0018300D">
        <w:rPr>
          <w:rFonts w:ascii="Times New Roman" w:hAnsi="Times New Roman" w:cs="Times New Roman"/>
          <w:sz w:val="24"/>
          <w:szCs w:val="24"/>
        </w:rPr>
        <w:t xml:space="preserve">Then we do a BOTE calculation to explain NAmerica’s extra welfare gain under Melitz of 0.0844 per cent (= 0.1037 – 0.0193).  </w:t>
      </w:r>
    </w:p>
    <w:p w:rsidR="00145676" w:rsidRDefault="007D7227" w:rsidP="00811673">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We start with SEAsia.  The Extra Melitz efficiency column in Table 7.5 shows a welfare contribution for SEAsia of -0.8861.  In Table 7.6 this contribution is zero.  However not all of the -0.8861 in Table 7.5 is an extra negative effect for Melitz relative to Armington.  A lot of the loss of efficiency in SEAsia’s Wap industry identified by Melitz is passed on to other region</w:t>
      </w:r>
      <w:r w:rsidR="00FF7073">
        <w:rPr>
          <w:rFonts w:ascii="Times New Roman" w:hAnsi="Times New Roman" w:cs="Times New Roman"/>
          <w:sz w:val="24"/>
          <w:szCs w:val="24"/>
        </w:rPr>
        <w:t>s</w:t>
      </w:r>
      <w:r>
        <w:rPr>
          <w:rFonts w:ascii="Times New Roman" w:hAnsi="Times New Roman" w:cs="Times New Roman"/>
          <w:sz w:val="24"/>
          <w:szCs w:val="24"/>
        </w:rPr>
        <w:t xml:space="preserve"> in the </w:t>
      </w:r>
      <w:r w:rsidR="00FF7073">
        <w:rPr>
          <w:rFonts w:ascii="Times New Roman" w:hAnsi="Times New Roman" w:cs="Times New Roman"/>
          <w:sz w:val="24"/>
          <w:szCs w:val="24"/>
        </w:rPr>
        <w:t>form of higher prices for SEAsia’s</w:t>
      </w:r>
      <w:r>
        <w:rPr>
          <w:rFonts w:ascii="Times New Roman" w:hAnsi="Times New Roman" w:cs="Times New Roman"/>
          <w:sz w:val="24"/>
          <w:szCs w:val="24"/>
        </w:rPr>
        <w:t xml:space="preserve"> </w:t>
      </w:r>
      <w:r w:rsidR="00FF7073">
        <w:rPr>
          <w:rFonts w:ascii="Times New Roman" w:hAnsi="Times New Roman" w:cs="Times New Roman"/>
          <w:sz w:val="24"/>
          <w:szCs w:val="24"/>
        </w:rPr>
        <w:t>export</w:t>
      </w:r>
      <w:r w:rsidR="006869D1">
        <w:rPr>
          <w:rFonts w:ascii="Times New Roman" w:hAnsi="Times New Roman" w:cs="Times New Roman"/>
          <w:sz w:val="24"/>
          <w:szCs w:val="24"/>
        </w:rPr>
        <w:t>s</w:t>
      </w:r>
      <w:r w:rsidR="00FF7073">
        <w:rPr>
          <w:rFonts w:ascii="Times New Roman" w:hAnsi="Times New Roman" w:cs="Times New Roman"/>
          <w:sz w:val="24"/>
          <w:szCs w:val="24"/>
        </w:rPr>
        <w:t xml:space="preserve"> </w:t>
      </w:r>
      <w:r w:rsidR="006869D1">
        <w:rPr>
          <w:rFonts w:ascii="Times New Roman" w:hAnsi="Times New Roman" w:cs="Times New Roman"/>
          <w:sz w:val="24"/>
          <w:szCs w:val="24"/>
        </w:rPr>
        <w:t>of effective units of Wap</w:t>
      </w:r>
      <w:r w:rsidR="001A4AE2">
        <w:rPr>
          <w:rFonts w:ascii="Times New Roman" w:hAnsi="Times New Roman" w:cs="Times New Roman"/>
          <w:sz w:val="24"/>
          <w:szCs w:val="24"/>
        </w:rPr>
        <w:t xml:space="preserve">.  What this illustrates is dependence between the </w:t>
      </w:r>
      <w:r w:rsidR="004739FF">
        <w:rPr>
          <w:rFonts w:ascii="Times New Roman" w:hAnsi="Times New Roman" w:cs="Times New Roman"/>
          <w:sz w:val="24"/>
          <w:szCs w:val="24"/>
        </w:rPr>
        <w:t>deco</w:t>
      </w:r>
      <w:r w:rsidR="00360719">
        <w:rPr>
          <w:rFonts w:ascii="Times New Roman" w:hAnsi="Times New Roman" w:cs="Times New Roman"/>
          <w:sz w:val="24"/>
          <w:szCs w:val="24"/>
        </w:rPr>
        <w:t xml:space="preserve">mposition columns of Table 7.5: a negative </w:t>
      </w:r>
      <w:r w:rsidR="001A4AE2">
        <w:rPr>
          <w:rFonts w:ascii="Times New Roman" w:hAnsi="Times New Roman" w:cs="Times New Roman"/>
          <w:sz w:val="24"/>
          <w:szCs w:val="24"/>
        </w:rPr>
        <w:lastRenderedPageBreak/>
        <w:t xml:space="preserve">efficiency effect </w:t>
      </w:r>
      <w:r w:rsidR="00360719">
        <w:rPr>
          <w:rFonts w:ascii="Times New Roman" w:hAnsi="Times New Roman" w:cs="Times New Roman"/>
          <w:sz w:val="24"/>
          <w:szCs w:val="24"/>
        </w:rPr>
        <w:t xml:space="preserve">produces a partially offsetting positive </w:t>
      </w:r>
      <w:r w:rsidR="001A4AE2">
        <w:rPr>
          <w:rFonts w:ascii="Times New Roman" w:hAnsi="Times New Roman" w:cs="Times New Roman"/>
          <w:sz w:val="24"/>
          <w:szCs w:val="24"/>
        </w:rPr>
        <w:t>terms-of-trade effect.</w:t>
      </w:r>
      <w:r w:rsidR="00145676">
        <w:rPr>
          <w:rFonts w:ascii="Times New Roman" w:hAnsi="Times New Roman" w:cs="Times New Roman"/>
          <w:sz w:val="24"/>
          <w:szCs w:val="24"/>
        </w:rPr>
        <w:t xml:space="preserve">  How can we explain the net effect in an intuitive way?</w:t>
      </w:r>
    </w:p>
    <w:p w:rsidR="00945852" w:rsidRDefault="005069B2" w:rsidP="00811673">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net </w:t>
      </w:r>
      <w:r w:rsidR="00583A53">
        <w:rPr>
          <w:rFonts w:ascii="Times New Roman" w:hAnsi="Times New Roman" w:cs="Times New Roman"/>
          <w:sz w:val="24"/>
          <w:szCs w:val="24"/>
        </w:rPr>
        <w:t xml:space="preserve">welfare </w:t>
      </w:r>
      <w:r>
        <w:rPr>
          <w:rFonts w:ascii="Times New Roman" w:hAnsi="Times New Roman" w:cs="Times New Roman"/>
          <w:sz w:val="24"/>
          <w:szCs w:val="24"/>
        </w:rPr>
        <w:t xml:space="preserve">effect </w:t>
      </w:r>
      <w:r w:rsidR="00583A53">
        <w:rPr>
          <w:rFonts w:ascii="Times New Roman" w:hAnsi="Times New Roman" w:cs="Times New Roman"/>
          <w:sz w:val="24"/>
          <w:szCs w:val="24"/>
        </w:rPr>
        <w:t>for</w:t>
      </w:r>
      <w:r>
        <w:rPr>
          <w:rFonts w:ascii="Times New Roman" w:hAnsi="Times New Roman" w:cs="Times New Roman"/>
          <w:sz w:val="24"/>
          <w:szCs w:val="24"/>
        </w:rPr>
        <w:t xml:space="preserve"> </w:t>
      </w:r>
      <w:r w:rsidR="00FF7073">
        <w:rPr>
          <w:rFonts w:ascii="Times New Roman" w:hAnsi="Times New Roman" w:cs="Times New Roman"/>
          <w:sz w:val="24"/>
          <w:szCs w:val="24"/>
        </w:rPr>
        <w:t>SEAsia</w:t>
      </w:r>
      <w:r w:rsidR="00583A53">
        <w:rPr>
          <w:rFonts w:ascii="Times New Roman" w:hAnsi="Times New Roman" w:cs="Times New Roman"/>
          <w:sz w:val="24"/>
          <w:szCs w:val="24"/>
        </w:rPr>
        <w:t xml:space="preserve"> of the deterioration in efficiency of its Wap industry and the associated terms-of-trade improvement depends on what happens to the price of domestically produced effective units of Wap in SEAsia’s domestic market. </w:t>
      </w:r>
      <w:r w:rsidR="00110BB3">
        <w:rPr>
          <w:rFonts w:ascii="Times New Roman" w:hAnsi="Times New Roman" w:cs="Times New Roman"/>
          <w:sz w:val="24"/>
          <w:szCs w:val="24"/>
        </w:rPr>
        <w:t xml:space="preserve"> </w:t>
      </w:r>
      <w:r w:rsidR="0011596B">
        <w:rPr>
          <w:rFonts w:ascii="Times New Roman" w:hAnsi="Times New Roman" w:cs="Times New Roman"/>
          <w:sz w:val="24"/>
          <w:szCs w:val="24"/>
        </w:rPr>
        <w:t xml:space="preserve">Why?  </w:t>
      </w:r>
      <w:r w:rsidR="00452D60">
        <w:rPr>
          <w:rFonts w:ascii="Times New Roman" w:hAnsi="Times New Roman" w:cs="Times New Roman"/>
          <w:sz w:val="24"/>
          <w:szCs w:val="24"/>
        </w:rPr>
        <w:t xml:space="preserve">What about profits and losses in export and domestic markets?  </w:t>
      </w:r>
      <w:r w:rsidR="00945852">
        <w:rPr>
          <w:rFonts w:ascii="Times New Roman" w:hAnsi="Times New Roman" w:cs="Times New Roman"/>
          <w:sz w:val="24"/>
          <w:szCs w:val="24"/>
        </w:rPr>
        <w:t xml:space="preserve">Under Melitz assumptions, SEAsia’s Wap industry makes zero </w:t>
      </w:r>
      <w:r w:rsidR="00452D60">
        <w:rPr>
          <w:rFonts w:ascii="Times New Roman" w:hAnsi="Times New Roman" w:cs="Times New Roman"/>
          <w:sz w:val="24"/>
          <w:szCs w:val="24"/>
        </w:rPr>
        <w:t xml:space="preserve">total </w:t>
      </w:r>
      <w:r w:rsidR="00945852">
        <w:rPr>
          <w:rFonts w:ascii="Times New Roman" w:hAnsi="Times New Roman" w:cs="Times New Roman"/>
          <w:sz w:val="24"/>
          <w:szCs w:val="24"/>
        </w:rPr>
        <w:t xml:space="preserve">profits.  If the shock to the international economy (NAmerica’s tariffs) causes </w:t>
      </w:r>
      <w:r w:rsidR="00452D60">
        <w:rPr>
          <w:rFonts w:ascii="Times New Roman" w:hAnsi="Times New Roman" w:cs="Times New Roman"/>
          <w:sz w:val="24"/>
          <w:szCs w:val="24"/>
        </w:rPr>
        <w:t xml:space="preserve">SEAsia’s Wap exports to generate extra profits in exporting, then the welfare benefit to SEAsia shows up as lower prices for Wap effective units on the domestic market.  Similarly, if the shock reduces SEAsia’s export profits in the Wap industry, then these lost </w:t>
      </w:r>
      <w:r w:rsidR="00452D60" w:rsidRPr="00110BB3">
        <w:rPr>
          <w:rFonts w:ascii="Times New Roman" w:hAnsi="Times New Roman" w:cs="Times New Roman"/>
          <w:sz w:val="24"/>
          <w:szCs w:val="24"/>
        </w:rPr>
        <w:t xml:space="preserve">profits </w:t>
      </w:r>
      <w:r w:rsidR="00110BB3" w:rsidRPr="00110BB3">
        <w:rPr>
          <w:rFonts w:ascii="Times New Roman" w:hAnsi="Times New Roman" w:cs="Times New Roman"/>
          <w:sz w:val="24"/>
          <w:szCs w:val="24"/>
        </w:rPr>
        <w:t xml:space="preserve">show up </w:t>
      </w:r>
      <w:r w:rsidR="00452D60" w:rsidRPr="00110BB3">
        <w:rPr>
          <w:rFonts w:ascii="Times New Roman" w:hAnsi="Times New Roman" w:cs="Times New Roman"/>
          <w:sz w:val="24"/>
          <w:szCs w:val="24"/>
        </w:rPr>
        <w:t>as higher prices</w:t>
      </w:r>
      <w:r w:rsidR="00452D60">
        <w:rPr>
          <w:rFonts w:ascii="Times New Roman" w:hAnsi="Times New Roman" w:cs="Times New Roman"/>
          <w:sz w:val="24"/>
          <w:szCs w:val="24"/>
        </w:rPr>
        <w:t xml:space="preserve"> for Wap effective units on the domestic market.  In either case, it doesn’t matter from a welfare point of view whether SEAsia’s export prices rise or fall relative to domestic prices.  All that matters is what happens to domestic prices.  </w:t>
      </w:r>
    </w:p>
    <w:p w:rsidR="00AF7254" w:rsidRDefault="0030219B" w:rsidP="00AF7254">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Under Melitz, the imposition of NAmerica’s tariffs causes the price to consumers in SEAsia of domestically produced effective units of Wap to increase in </w:t>
      </w:r>
      <w:r w:rsidRPr="00110BB3">
        <w:rPr>
          <w:rFonts w:ascii="Times New Roman" w:hAnsi="Times New Roman" w:cs="Times New Roman"/>
          <w:i/>
          <w:sz w:val="24"/>
          <w:szCs w:val="24"/>
        </w:rPr>
        <w:t>real</w:t>
      </w:r>
      <w:r>
        <w:rPr>
          <w:rFonts w:ascii="Times New Roman" w:hAnsi="Times New Roman" w:cs="Times New Roman"/>
          <w:sz w:val="24"/>
          <w:szCs w:val="24"/>
        </w:rPr>
        <w:t xml:space="preserve"> terms by 13.07 per cent.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00110BB3">
        <w:rPr>
          <w:rFonts w:ascii="Times New Roman" w:hAnsi="Times New Roman" w:cs="Times New Roman"/>
          <w:sz w:val="24"/>
          <w:szCs w:val="24"/>
        </w:rPr>
        <w:t xml:space="preserve">This is low compared </w:t>
      </w:r>
      <w:r w:rsidR="005B292F">
        <w:rPr>
          <w:rFonts w:ascii="Times New Roman" w:hAnsi="Times New Roman" w:cs="Times New Roman"/>
          <w:sz w:val="24"/>
          <w:szCs w:val="24"/>
        </w:rPr>
        <w:t>with</w:t>
      </w:r>
      <w:r w:rsidR="00110BB3">
        <w:rPr>
          <w:rFonts w:ascii="Times New Roman" w:hAnsi="Times New Roman" w:cs="Times New Roman"/>
          <w:sz w:val="24"/>
          <w:szCs w:val="24"/>
        </w:rPr>
        <w:t xml:space="preserve"> the price increase of effective units of Wap exported from SEAsia</w:t>
      </w:r>
      <w:r w:rsidR="005B292F">
        <w:rPr>
          <w:rFonts w:ascii="Times New Roman" w:hAnsi="Times New Roman" w:cs="Times New Roman"/>
          <w:sz w:val="24"/>
          <w:szCs w:val="24"/>
        </w:rPr>
        <w:t xml:space="preserve">. </w:t>
      </w:r>
      <w:r w:rsidR="00110BB3">
        <w:rPr>
          <w:rFonts w:ascii="Times New Roman" w:hAnsi="Times New Roman" w:cs="Times New Roman"/>
          <w:sz w:val="24"/>
          <w:szCs w:val="24"/>
        </w:rPr>
        <w:t xml:space="preserve"> </w:t>
      </w:r>
      <w:r w:rsidR="005B292F">
        <w:rPr>
          <w:rFonts w:ascii="Times New Roman" w:hAnsi="Times New Roman" w:cs="Times New Roman"/>
          <w:sz w:val="24"/>
          <w:szCs w:val="24"/>
        </w:rPr>
        <w:t>I</w:t>
      </w:r>
      <w:r w:rsidR="00110BB3">
        <w:rPr>
          <w:rFonts w:ascii="Times New Roman" w:hAnsi="Times New Roman" w:cs="Times New Roman"/>
          <w:sz w:val="24"/>
          <w:szCs w:val="24"/>
        </w:rPr>
        <w:t xml:space="preserve">n line with the loss of efficiency in SEAsia’s Wap industry, the increase in </w:t>
      </w:r>
      <w:r w:rsidR="003E235F">
        <w:rPr>
          <w:rFonts w:ascii="Times New Roman" w:hAnsi="Times New Roman" w:cs="Times New Roman"/>
          <w:sz w:val="24"/>
          <w:szCs w:val="24"/>
        </w:rPr>
        <w:t>the</w:t>
      </w:r>
      <w:r w:rsidR="0011414A">
        <w:rPr>
          <w:rFonts w:ascii="Times New Roman" w:hAnsi="Times New Roman" w:cs="Times New Roman"/>
          <w:sz w:val="24"/>
          <w:szCs w:val="24"/>
        </w:rPr>
        <w:t xml:space="preserve"> </w:t>
      </w:r>
      <w:r w:rsidR="00110BB3">
        <w:rPr>
          <w:rFonts w:ascii="Times New Roman" w:hAnsi="Times New Roman" w:cs="Times New Roman"/>
          <w:sz w:val="24"/>
          <w:szCs w:val="24"/>
        </w:rPr>
        <w:t xml:space="preserve">average </w:t>
      </w:r>
      <w:r w:rsidR="0011596B">
        <w:rPr>
          <w:rFonts w:ascii="Times New Roman" w:hAnsi="Times New Roman" w:cs="Times New Roman"/>
          <w:sz w:val="24"/>
          <w:szCs w:val="24"/>
        </w:rPr>
        <w:t xml:space="preserve">real </w:t>
      </w:r>
      <w:r w:rsidR="00110BB3">
        <w:rPr>
          <w:rFonts w:ascii="Times New Roman" w:hAnsi="Times New Roman" w:cs="Times New Roman"/>
          <w:sz w:val="24"/>
          <w:szCs w:val="24"/>
        </w:rPr>
        <w:t xml:space="preserve">price of effective units produced by the industry is </w:t>
      </w:r>
      <w:r w:rsidR="0011596B">
        <w:rPr>
          <w:rFonts w:ascii="Times New Roman" w:hAnsi="Times New Roman" w:cs="Times New Roman"/>
          <w:sz w:val="24"/>
          <w:szCs w:val="24"/>
        </w:rPr>
        <w:t>17.49</w:t>
      </w:r>
      <w:r w:rsidR="005B292F">
        <w:rPr>
          <w:rFonts w:ascii="Times New Roman" w:hAnsi="Times New Roman" w:cs="Times New Roman"/>
          <w:sz w:val="24"/>
          <w:szCs w:val="24"/>
        </w:rPr>
        <w:t xml:space="preserve"> per cent.  But as </w:t>
      </w:r>
      <w:r w:rsidR="00AF7254">
        <w:rPr>
          <w:rFonts w:ascii="Times New Roman" w:hAnsi="Times New Roman" w:cs="Times New Roman"/>
          <w:sz w:val="24"/>
          <w:szCs w:val="24"/>
        </w:rPr>
        <w:t xml:space="preserve">we </w:t>
      </w:r>
      <w:r w:rsidR="005B292F">
        <w:rPr>
          <w:rFonts w:ascii="Times New Roman" w:hAnsi="Times New Roman" w:cs="Times New Roman"/>
          <w:sz w:val="24"/>
          <w:szCs w:val="24"/>
        </w:rPr>
        <w:t xml:space="preserve">have argued already, this is irrelevant for our current purpose.  </w:t>
      </w:r>
      <w:r w:rsidR="00AF7254">
        <w:rPr>
          <w:rFonts w:ascii="Times New Roman" w:hAnsi="Times New Roman" w:cs="Times New Roman"/>
          <w:sz w:val="24"/>
          <w:szCs w:val="24"/>
        </w:rPr>
        <w:t>Only the 13.07 per cent matters.  F</w:t>
      </w:r>
      <w:r w:rsidR="00366349">
        <w:rPr>
          <w:rFonts w:ascii="Times New Roman" w:hAnsi="Times New Roman" w:cs="Times New Roman"/>
          <w:sz w:val="24"/>
          <w:szCs w:val="24"/>
        </w:rPr>
        <w:t xml:space="preserve">rom Table </w:t>
      </w:r>
      <w:r w:rsidR="007B7067">
        <w:rPr>
          <w:rFonts w:ascii="Times New Roman" w:hAnsi="Times New Roman" w:cs="Times New Roman"/>
          <w:sz w:val="24"/>
          <w:szCs w:val="24"/>
        </w:rPr>
        <w:t xml:space="preserve">7.7, </w:t>
      </w:r>
      <w:r w:rsidR="00AF7254">
        <w:rPr>
          <w:rFonts w:ascii="Times New Roman" w:hAnsi="Times New Roman" w:cs="Times New Roman"/>
          <w:sz w:val="24"/>
          <w:szCs w:val="24"/>
        </w:rPr>
        <w:t xml:space="preserve">we see that </w:t>
      </w:r>
      <w:r w:rsidR="007B7067">
        <w:rPr>
          <w:rFonts w:ascii="Times New Roman" w:hAnsi="Times New Roman" w:cs="Times New Roman"/>
          <w:sz w:val="24"/>
          <w:szCs w:val="24"/>
        </w:rPr>
        <w:t>absorption of domestically produced Wap in SEAsia is 1.9</w:t>
      </w:r>
      <w:r w:rsidR="00687BD8">
        <w:rPr>
          <w:rFonts w:ascii="Times New Roman" w:hAnsi="Times New Roman" w:cs="Times New Roman"/>
          <w:sz w:val="24"/>
          <w:szCs w:val="24"/>
        </w:rPr>
        <w:t>8</w:t>
      </w:r>
      <w:r w:rsidR="007B7067">
        <w:rPr>
          <w:rFonts w:ascii="Times New Roman" w:hAnsi="Times New Roman" w:cs="Times New Roman"/>
          <w:sz w:val="24"/>
          <w:szCs w:val="24"/>
        </w:rPr>
        <w:t xml:space="preserve"> per cent of aggregate consumption</w:t>
      </w:r>
      <w:r w:rsidR="00687BD8">
        <w:rPr>
          <w:rFonts w:ascii="Times New Roman" w:hAnsi="Times New Roman" w:cs="Times New Roman"/>
          <w:sz w:val="24"/>
          <w:szCs w:val="24"/>
        </w:rPr>
        <w:t xml:space="preserve"> in the pre-simulation situation</w:t>
      </w:r>
      <w:r w:rsidR="007B7067">
        <w:rPr>
          <w:rFonts w:ascii="Times New Roman" w:hAnsi="Times New Roman" w:cs="Times New Roman"/>
          <w:sz w:val="24"/>
          <w:szCs w:val="24"/>
        </w:rPr>
        <w:t>.</w:t>
      </w:r>
      <w:r w:rsidR="007B7067">
        <w:rPr>
          <w:rStyle w:val="FootnoteReference"/>
          <w:rFonts w:ascii="Times New Roman" w:hAnsi="Times New Roman" w:cs="Times New Roman"/>
          <w:sz w:val="24"/>
          <w:szCs w:val="24"/>
        </w:rPr>
        <w:footnoteReference w:id="12"/>
      </w:r>
      <w:r w:rsidR="007B7067">
        <w:rPr>
          <w:rFonts w:ascii="Times New Roman" w:hAnsi="Times New Roman" w:cs="Times New Roman"/>
          <w:sz w:val="24"/>
          <w:szCs w:val="24"/>
        </w:rPr>
        <w:t xml:space="preserve">  </w:t>
      </w:r>
      <w:r w:rsidR="00687BD8">
        <w:rPr>
          <w:rFonts w:ascii="Times New Roman" w:hAnsi="Times New Roman" w:cs="Times New Roman"/>
          <w:sz w:val="24"/>
          <w:szCs w:val="24"/>
        </w:rPr>
        <w:t xml:space="preserve">In the post-simulation situation this increases slightly, giving an average through the </w:t>
      </w:r>
      <w:r w:rsidR="0007660B">
        <w:rPr>
          <w:rFonts w:ascii="Times New Roman" w:hAnsi="Times New Roman" w:cs="Times New Roman"/>
          <w:sz w:val="24"/>
          <w:szCs w:val="24"/>
        </w:rPr>
        <w:t xml:space="preserve">Melitz </w:t>
      </w:r>
      <w:r w:rsidR="00687BD8">
        <w:rPr>
          <w:rFonts w:ascii="Times New Roman" w:hAnsi="Times New Roman" w:cs="Times New Roman"/>
          <w:sz w:val="24"/>
          <w:szCs w:val="24"/>
        </w:rPr>
        <w:t xml:space="preserve">simulation of 1.99 per cent.  </w:t>
      </w:r>
      <w:r w:rsidR="007B7067">
        <w:rPr>
          <w:rFonts w:ascii="Times New Roman" w:hAnsi="Times New Roman" w:cs="Times New Roman"/>
          <w:sz w:val="24"/>
          <w:szCs w:val="24"/>
        </w:rPr>
        <w:t>A 13.07 per cent increase in the cost of an item worth 1.9</w:t>
      </w:r>
      <w:r w:rsidR="00687BD8">
        <w:rPr>
          <w:rFonts w:ascii="Times New Roman" w:hAnsi="Times New Roman" w:cs="Times New Roman"/>
          <w:sz w:val="24"/>
          <w:szCs w:val="24"/>
        </w:rPr>
        <w:t>9</w:t>
      </w:r>
      <w:r w:rsidR="007B7067">
        <w:rPr>
          <w:rFonts w:ascii="Times New Roman" w:hAnsi="Times New Roman" w:cs="Times New Roman"/>
          <w:sz w:val="24"/>
          <w:szCs w:val="24"/>
        </w:rPr>
        <w:t xml:space="preserve"> per cent of consumption generates a welfare loss for SEAsia of </w:t>
      </w:r>
      <w:r w:rsidR="00945852">
        <w:rPr>
          <w:rFonts w:ascii="Times New Roman" w:hAnsi="Times New Roman" w:cs="Times New Roman"/>
          <w:sz w:val="24"/>
          <w:szCs w:val="24"/>
        </w:rPr>
        <w:t>0.2</w:t>
      </w:r>
      <w:r w:rsidR="00687BD8">
        <w:rPr>
          <w:rFonts w:ascii="Times New Roman" w:hAnsi="Times New Roman" w:cs="Times New Roman"/>
          <w:sz w:val="24"/>
          <w:szCs w:val="24"/>
        </w:rPr>
        <w:t>601</w:t>
      </w:r>
      <w:r w:rsidR="00945852">
        <w:rPr>
          <w:rFonts w:ascii="Times New Roman" w:hAnsi="Times New Roman" w:cs="Times New Roman"/>
          <w:sz w:val="24"/>
          <w:szCs w:val="24"/>
        </w:rPr>
        <w:t xml:space="preserve"> per cent (= 0.019</w:t>
      </w:r>
      <w:r w:rsidR="00687BD8">
        <w:rPr>
          <w:rFonts w:ascii="Times New Roman" w:hAnsi="Times New Roman" w:cs="Times New Roman"/>
          <w:sz w:val="24"/>
          <w:szCs w:val="24"/>
        </w:rPr>
        <w:t>9</w:t>
      </w:r>
      <w:r w:rsidR="00945852">
        <w:rPr>
          <w:rFonts w:ascii="Times New Roman" w:hAnsi="Times New Roman" w:cs="Times New Roman"/>
          <w:sz w:val="24"/>
          <w:szCs w:val="24"/>
        </w:rPr>
        <w:t xml:space="preserve">*13.07).  </w:t>
      </w:r>
      <w:r w:rsidR="00AF7254">
        <w:rPr>
          <w:rFonts w:ascii="Times New Roman" w:hAnsi="Times New Roman" w:cs="Times New Roman"/>
          <w:sz w:val="24"/>
          <w:szCs w:val="24"/>
        </w:rPr>
        <w:t xml:space="preserve">Under Armington, with no change in the efficiency of SEAsia’s Wap industry, there is close to zero change in the real price </w:t>
      </w:r>
      <w:r w:rsidR="003E235F">
        <w:rPr>
          <w:rFonts w:ascii="Times New Roman" w:hAnsi="Times New Roman" w:cs="Times New Roman"/>
          <w:sz w:val="24"/>
          <w:szCs w:val="24"/>
        </w:rPr>
        <w:t>in</w:t>
      </w:r>
      <w:r w:rsidR="00AF7254">
        <w:rPr>
          <w:rFonts w:ascii="Times New Roman" w:hAnsi="Times New Roman" w:cs="Times New Roman"/>
          <w:sz w:val="24"/>
          <w:szCs w:val="24"/>
        </w:rPr>
        <w:t xml:space="preserve"> SEAsia </w:t>
      </w:r>
      <w:r w:rsidR="003E235F">
        <w:rPr>
          <w:rFonts w:ascii="Times New Roman" w:hAnsi="Times New Roman" w:cs="Times New Roman"/>
          <w:sz w:val="24"/>
          <w:szCs w:val="24"/>
        </w:rPr>
        <w:t>o</w:t>
      </w:r>
      <w:r w:rsidR="00AF7254">
        <w:rPr>
          <w:rFonts w:ascii="Times New Roman" w:hAnsi="Times New Roman" w:cs="Times New Roman"/>
          <w:sz w:val="24"/>
          <w:szCs w:val="24"/>
        </w:rPr>
        <w:t xml:space="preserve">f domestically produced Wap.  </w:t>
      </w:r>
      <w:r w:rsidR="003E235F">
        <w:rPr>
          <w:rFonts w:ascii="Times New Roman" w:hAnsi="Times New Roman" w:cs="Times New Roman"/>
          <w:sz w:val="24"/>
          <w:szCs w:val="24"/>
        </w:rPr>
        <w:t>The</w:t>
      </w:r>
      <w:r w:rsidR="00AF7254">
        <w:rPr>
          <w:rFonts w:ascii="Times New Roman" w:hAnsi="Times New Roman" w:cs="Times New Roman"/>
          <w:sz w:val="24"/>
          <w:szCs w:val="24"/>
        </w:rPr>
        <w:t xml:space="preserve"> 0.2</w:t>
      </w:r>
      <w:r w:rsidR="00687BD8">
        <w:rPr>
          <w:rFonts w:ascii="Times New Roman" w:hAnsi="Times New Roman" w:cs="Times New Roman"/>
          <w:sz w:val="24"/>
          <w:szCs w:val="24"/>
        </w:rPr>
        <w:t>601</w:t>
      </w:r>
      <w:r w:rsidR="00AF7254">
        <w:rPr>
          <w:rFonts w:ascii="Times New Roman" w:hAnsi="Times New Roman" w:cs="Times New Roman"/>
          <w:sz w:val="24"/>
          <w:szCs w:val="24"/>
        </w:rPr>
        <w:t xml:space="preserve"> per cent welfare loss </w:t>
      </w:r>
      <w:r w:rsidR="003E235F">
        <w:rPr>
          <w:rFonts w:ascii="Times New Roman" w:hAnsi="Times New Roman" w:cs="Times New Roman"/>
          <w:sz w:val="24"/>
          <w:szCs w:val="24"/>
        </w:rPr>
        <w:t xml:space="preserve">that we have identified for Melitz as the effect of efficiency deterioration and offsetting terms-of-trade improvement is an extra loss in Melitz relative to Armington.   </w:t>
      </w:r>
    </w:p>
    <w:p w:rsidR="00A904C0" w:rsidRDefault="008D5E51" w:rsidP="00A904C0">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Under both Armington and Melitz, SEAsia must rebalance its trade after the contraction of its Wap exports.  In Table 7.6</w:t>
      </w:r>
      <w:r w:rsidR="00907DF3">
        <w:rPr>
          <w:rFonts w:ascii="Times New Roman" w:hAnsi="Times New Roman" w:cs="Times New Roman"/>
          <w:sz w:val="24"/>
          <w:szCs w:val="24"/>
        </w:rPr>
        <w:t xml:space="preserve">, rebalancing under </w:t>
      </w:r>
      <w:r>
        <w:rPr>
          <w:rFonts w:ascii="Times New Roman" w:hAnsi="Times New Roman" w:cs="Times New Roman"/>
          <w:sz w:val="24"/>
          <w:szCs w:val="24"/>
        </w:rPr>
        <w:t>Armington assumptions generate</w:t>
      </w:r>
      <w:r w:rsidR="00907DF3">
        <w:rPr>
          <w:rFonts w:ascii="Times New Roman" w:hAnsi="Times New Roman" w:cs="Times New Roman"/>
          <w:sz w:val="24"/>
          <w:szCs w:val="24"/>
        </w:rPr>
        <w:t>s</w:t>
      </w:r>
      <w:r>
        <w:rPr>
          <w:rFonts w:ascii="Times New Roman" w:hAnsi="Times New Roman" w:cs="Times New Roman"/>
          <w:sz w:val="24"/>
          <w:szCs w:val="24"/>
        </w:rPr>
        <w:t xml:space="preserve"> a negative terms-of-trade contribution for SEAsia of 0.2891 per cent</w:t>
      </w:r>
      <w:r w:rsidR="00907DF3">
        <w:rPr>
          <w:rFonts w:ascii="Times New Roman" w:hAnsi="Times New Roman" w:cs="Times New Roman"/>
          <w:sz w:val="24"/>
          <w:szCs w:val="24"/>
        </w:rPr>
        <w:t>.  Rebalancing under Melitz assumption</w:t>
      </w:r>
      <w:r w:rsidR="00A904C0">
        <w:rPr>
          <w:rFonts w:ascii="Times New Roman" w:hAnsi="Times New Roman" w:cs="Times New Roman"/>
          <w:sz w:val="24"/>
          <w:szCs w:val="24"/>
        </w:rPr>
        <w:t>s</w:t>
      </w:r>
      <w:r w:rsidR="00907DF3">
        <w:rPr>
          <w:rFonts w:ascii="Times New Roman" w:hAnsi="Times New Roman" w:cs="Times New Roman"/>
          <w:sz w:val="24"/>
          <w:szCs w:val="24"/>
        </w:rPr>
        <w:t xml:space="preserve"> causes a larger negative terms-of-trade contribution.  While in both simulations SEAsia’s exports of effective units of Wap to NAmerica decline by 44 per cent, SEAsia’s total exports of effective units of Wap decline by 46.58 per cent under Melitz and 25.82 per cent under Armington.</w:t>
      </w:r>
      <w:r w:rsidR="00266949">
        <w:rPr>
          <w:rStyle w:val="FootnoteReference"/>
          <w:rFonts w:ascii="Times New Roman" w:hAnsi="Times New Roman" w:cs="Times New Roman"/>
          <w:sz w:val="24"/>
          <w:szCs w:val="24"/>
        </w:rPr>
        <w:footnoteReference w:id="13"/>
      </w:r>
      <w:r w:rsidR="00907DF3">
        <w:rPr>
          <w:rFonts w:ascii="Times New Roman" w:hAnsi="Times New Roman" w:cs="Times New Roman"/>
          <w:sz w:val="24"/>
          <w:szCs w:val="24"/>
        </w:rPr>
        <w:t xml:space="preserve"> </w:t>
      </w:r>
      <w:r w:rsidR="0011414A">
        <w:rPr>
          <w:rFonts w:ascii="Times New Roman" w:hAnsi="Times New Roman" w:cs="Times New Roman"/>
          <w:sz w:val="24"/>
          <w:szCs w:val="24"/>
        </w:rPr>
        <w:t xml:space="preserve"> In value terms, SEAsia loses 34.94 per cent of its Wap exports under Melitz and 26.11 per cent under Armington.  </w:t>
      </w:r>
      <w:r w:rsidR="0089525B">
        <w:rPr>
          <w:rFonts w:ascii="Times New Roman" w:hAnsi="Times New Roman" w:cs="Times New Roman"/>
          <w:sz w:val="24"/>
          <w:szCs w:val="24"/>
        </w:rPr>
        <w:t>Under Melitz</w:t>
      </w:r>
      <w:r w:rsidR="002A309F">
        <w:rPr>
          <w:rFonts w:ascii="Times New Roman" w:hAnsi="Times New Roman" w:cs="Times New Roman"/>
          <w:sz w:val="24"/>
          <w:szCs w:val="24"/>
        </w:rPr>
        <w:t xml:space="preserve">, SEAsia’s Wap exports decline not only to NAmerica but also to its other trade partners.  This is because SEAsia, with its heavy dependence on exports to NAmerica, suffers an efficiency loss in its Wap industry relative to </w:t>
      </w:r>
      <w:r w:rsidR="002A309F">
        <w:rPr>
          <w:rFonts w:ascii="Times New Roman" w:hAnsi="Times New Roman" w:cs="Times New Roman"/>
          <w:sz w:val="24"/>
          <w:szCs w:val="24"/>
        </w:rPr>
        <w:lastRenderedPageBreak/>
        <w:t xml:space="preserve">that in other Wap exporting regions.  By contrast, under Armington, SEAsia’s Wap exports increase to </w:t>
      </w:r>
      <w:r w:rsidR="00501304">
        <w:rPr>
          <w:rFonts w:ascii="Times New Roman" w:hAnsi="Times New Roman" w:cs="Times New Roman"/>
          <w:sz w:val="24"/>
          <w:szCs w:val="24"/>
        </w:rPr>
        <w:t>most of its</w:t>
      </w:r>
      <w:r w:rsidR="002A309F">
        <w:rPr>
          <w:rFonts w:ascii="Times New Roman" w:hAnsi="Times New Roman" w:cs="Times New Roman"/>
          <w:sz w:val="24"/>
          <w:szCs w:val="24"/>
        </w:rPr>
        <w:t xml:space="preserve"> trade partners apart from NAmerica.</w:t>
      </w:r>
      <w:r w:rsidR="00501304">
        <w:rPr>
          <w:rFonts w:ascii="Times New Roman" w:hAnsi="Times New Roman" w:cs="Times New Roman"/>
          <w:sz w:val="24"/>
          <w:szCs w:val="24"/>
        </w:rPr>
        <w:t xml:space="preserve">  Under Armington assumptions, with no scale-related efficiency loss, SEAsia’s Wap industry benefits from the general improvement in SEAsia’s competitiveness (real depreciation) associated with rebalancing trade.  With </w:t>
      </w:r>
      <w:r w:rsidR="0089525B">
        <w:rPr>
          <w:rFonts w:ascii="Times New Roman" w:hAnsi="Times New Roman" w:cs="Times New Roman"/>
          <w:sz w:val="24"/>
          <w:szCs w:val="24"/>
        </w:rPr>
        <w:t xml:space="preserve">a larger loss of Wap export revenue, SEAsia needs a larger real devaluation under Melitz than under Armington.  Measured by the reduction in the factor price index relative to the world price level, SEAsia’s real devaluation under Melitz is 52 per cent larger than under Armington.  </w:t>
      </w:r>
      <w:r w:rsidR="00A904C0">
        <w:rPr>
          <w:rFonts w:ascii="Times New Roman" w:hAnsi="Times New Roman" w:cs="Times New Roman"/>
          <w:sz w:val="24"/>
          <w:szCs w:val="24"/>
        </w:rPr>
        <w:t>With a</w:t>
      </w:r>
      <w:r w:rsidR="00A904C0" w:rsidRPr="00A904C0">
        <w:rPr>
          <w:rFonts w:ascii="Times New Roman" w:hAnsi="Times New Roman" w:cs="Times New Roman"/>
          <w:sz w:val="24"/>
          <w:szCs w:val="24"/>
        </w:rPr>
        <w:t xml:space="preserve"> </w:t>
      </w:r>
      <w:r w:rsidR="00A904C0">
        <w:rPr>
          <w:rFonts w:ascii="Times New Roman" w:hAnsi="Times New Roman" w:cs="Times New Roman"/>
          <w:sz w:val="24"/>
          <w:szCs w:val="24"/>
        </w:rPr>
        <w:t>52 p</w:t>
      </w:r>
      <w:r w:rsidR="00A904C0" w:rsidRPr="00A904C0">
        <w:rPr>
          <w:rFonts w:ascii="Times New Roman" w:hAnsi="Times New Roman" w:cs="Times New Roman"/>
          <w:sz w:val="24"/>
          <w:szCs w:val="24"/>
        </w:rPr>
        <w:t xml:space="preserve">er cent larger </w:t>
      </w:r>
      <w:r w:rsidR="00A904C0">
        <w:rPr>
          <w:rFonts w:ascii="Times New Roman" w:hAnsi="Times New Roman" w:cs="Times New Roman"/>
          <w:sz w:val="24"/>
          <w:szCs w:val="24"/>
        </w:rPr>
        <w:t xml:space="preserve">real devaluation </w:t>
      </w:r>
      <w:r w:rsidR="00A904C0" w:rsidRPr="00A904C0">
        <w:rPr>
          <w:rFonts w:ascii="Times New Roman" w:hAnsi="Times New Roman" w:cs="Times New Roman"/>
          <w:sz w:val="24"/>
          <w:szCs w:val="24"/>
        </w:rPr>
        <w:t xml:space="preserve">for Melitz than for Armington, the expected terms-of-trade contribution from trade rebalancing is </w:t>
      </w:r>
      <w:r w:rsidR="00A904C0">
        <w:rPr>
          <w:rFonts w:ascii="Times New Roman" w:hAnsi="Times New Roman" w:cs="Times New Roman"/>
          <w:sz w:val="24"/>
          <w:szCs w:val="24"/>
        </w:rPr>
        <w:t>52</w:t>
      </w:r>
      <w:r w:rsidR="00A904C0" w:rsidRPr="00A904C0">
        <w:rPr>
          <w:rFonts w:ascii="Times New Roman" w:hAnsi="Times New Roman" w:cs="Times New Roman"/>
          <w:sz w:val="24"/>
          <w:szCs w:val="24"/>
        </w:rPr>
        <w:t xml:space="preserve"> per</w:t>
      </w:r>
      <w:r w:rsidR="00A904C0">
        <w:rPr>
          <w:rFonts w:ascii="Times New Roman" w:hAnsi="Times New Roman" w:cs="Times New Roman"/>
          <w:sz w:val="24"/>
          <w:szCs w:val="24"/>
        </w:rPr>
        <w:t xml:space="preserve"> </w:t>
      </w:r>
      <w:r w:rsidR="00A904C0" w:rsidRPr="00A904C0">
        <w:rPr>
          <w:rFonts w:ascii="Times New Roman" w:hAnsi="Times New Roman" w:cs="Times New Roman"/>
          <w:sz w:val="24"/>
          <w:szCs w:val="24"/>
        </w:rPr>
        <w:t>cent larger for Melitz than for Armington: 0.</w:t>
      </w:r>
      <w:r w:rsidR="00A904C0">
        <w:rPr>
          <w:rFonts w:ascii="Times New Roman" w:hAnsi="Times New Roman" w:cs="Times New Roman"/>
          <w:sz w:val="24"/>
          <w:szCs w:val="24"/>
        </w:rPr>
        <w:t>4394</w:t>
      </w:r>
      <w:r w:rsidR="00A904C0" w:rsidRPr="00A904C0">
        <w:rPr>
          <w:rFonts w:ascii="Times New Roman" w:hAnsi="Times New Roman" w:cs="Times New Roman"/>
          <w:sz w:val="24"/>
          <w:szCs w:val="24"/>
        </w:rPr>
        <w:t xml:space="preserve"> percentage points rather than 0.2891. On this basis, we have explained a further 0</w:t>
      </w:r>
      <w:r w:rsidR="00A904C0">
        <w:rPr>
          <w:rFonts w:ascii="Times New Roman" w:hAnsi="Times New Roman" w:cs="Times New Roman"/>
          <w:sz w:val="24"/>
          <w:szCs w:val="24"/>
        </w:rPr>
        <w:t>.1502</w:t>
      </w:r>
      <w:r w:rsidR="00A904C0" w:rsidRPr="00A904C0">
        <w:rPr>
          <w:rFonts w:ascii="Times New Roman" w:hAnsi="Times New Roman" w:cs="Times New Roman"/>
          <w:sz w:val="24"/>
          <w:szCs w:val="24"/>
        </w:rPr>
        <w:t xml:space="preserve"> percentage points (=0.</w:t>
      </w:r>
      <w:r w:rsidR="00A904C0">
        <w:rPr>
          <w:rFonts w:ascii="Times New Roman" w:hAnsi="Times New Roman" w:cs="Times New Roman"/>
          <w:sz w:val="24"/>
          <w:szCs w:val="24"/>
        </w:rPr>
        <w:t>4394</w:t>
      </w:r>
      <w:r w:rsidR="00A904C0" w:rsidRPr="00A904C0">
        <w:rPr>
          <w:rFonts w:ascii="Times New Roman" w:hAnsi="Times New Roman" w:cs="Times New Roman"/>
          <w:sz w:val="24"/>
          <w:szCs w:val="24"/>
        </w:rPr>
        <w:t xml:space="preserve"> - 0.2891) of SEAsia’s additional 0.4478 per cent welfare loss in Melitz relative to Armington.</w:t>
      </w:r>
      <w:r w:rsidR="00A904C0">
        <w:rPr>
          <w:rFonts w:ascii="Times New Roman" w:hAnsi="Times New Roman" w:cs="Times New Roman"/>
          <w:sz w:val="24"/>
          <w:szCs w:val="24"/>
        </w:rPr>
        <w:t xml:space="preserve">   </w:t>
      </w:r>
    </w:p>
    <w:p w:rsidR="00A000A8" w:rsidRDefault="00A000A8" w:rsidP="00A000A8">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As discussed earlier, Melitz generates an additional tax-carrying-flow loss of 0.0236 percentage points for SEAsia relative to Armington.  Taking this into account brings the explained welfare loss for SEAsia under Melitz relative to Armington to 0.4</w:t>
      </w:r>
      <w:r w:rsidR="00447855">
        <w:rPr>
          <w:rFonts w:ascii="Times New Roman" w:hAnsi="Times New Roman" w:cs="Times New Roman"/>
          <w:sz w:val="24"/>
          <w:szCs w:val="24"/>
        </w:rPr>
        <w:t>3</w:t>
      </w:r>
      <w:r w:rsidR="0007660B">
        <w:rPr>
          <w:rFonts w:ascii="Times New Roman" w:hAnsi="Times New Roman" w:cs="Times New Roman"/>
          <w:sz w:val="24"/>
          <w:szCs w:val="24"/>
        </w:rPr>
        <w:t>38</w:t>
      </w:r>
      <w:r>
        <w:rPr>
          <w:rFonts w:ascii="Times New Roman" w:hAnsi="Times New Roman" w:cs="Times New Roman"/>
          <w:sz w:val="24"/>
          <w:szCs w:val="24"/>
        </w:rPr>
        <w:t xml:space="preserve"> percentage points (=0.</w:t>
      </w:r>
      <w:r w:rsidR="00447855">
        <w:rPr>
          <w:rFonts w:ascii="Times New Roman" w:hAnsi="Times New Roman" w:cs="Times New Roman"/>
          <w:sz w:val="24"/>
          <w:szCs w:val="24"/>
        </w:rPr>
        <w:t>2</w:t>
      </w:r>
      <w:r w:rsidR="00687BD8">
        <w:rPr>
          <w:rFonts w:ascii="Times New Roman" w:hAnsi="Times New Roman" w:cs="Times New Roman"/>
          <w:sz w:val="24"/>
          <w:szCs w:val="24"/>
        </w:rPr>
        <w:t>601</w:t>
      </w:r>
      <w:r>
        <w:rPr>
          <w:rFonts w:ascii="Times New Roman" w:hAnsi="Times New Roman" w:cs="Times New Roman"/>
          <w:sz w:val="24"/>
          <w:szCs w:val="24"/>
        </w:rPr>
        <w:t>+0.</w:t>
      </w:r>
      <w:r w:rsidR="00447855">
        <w:rPr>
          <w:rFonts w:ascii="Times New Roman" w:hAnsi="Times New Roman" w:cs="Times New Roman"/>
          <w:sz w:val="24"/>
          <w:szCs w:val="24"/>
        </w:rPr>
        <w:t>1502+0.0236</w:t>
      </w:r>
      <w:r>
        <w:rPr>
          <w:rFonts w:ascii="Times New Roman" w:hAnsi="Times New Roman" w:cs="Times New Roman"/>
          <w:sz w:val="24"/>
          <w:szCs w:val="24"/>
        </w:rPr>
        <w:t>), close to the simulated difference</w:t>
      </w:r>
      <w:r w:rsidR="00AD6A66">
        <w:rPr>
          <w:rFonts w:ascii="Times New Roman" w:hAnsi="Times New Roman" w:cs="Times New Roman"/>
          <w:sz w:val="24"/>
          <w:szCs w:val="24"/>
        </w:rPr>
        <w:t xml:space="preserve"> of 0.4478 percentage points</w:t>
      </w:r>
      <w:r>
        <w:rPr>
          <w:rFonts w:ascii="Times New Roman" w:hAnsi="Times New Roman" w:cs="Times New Roman"/>
          <w:sz w:val="24"/>
          <w:szCs w:val="24"/>
        </w:rPr>
        <w:t xml:space="preserve">.  </w:t>
      </w:r>
    </w:p>
    <w:p w:rsidR="007B79B2" w:rsidRDefault="0093079F" w:rsidP="00811673">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For SouthAsia, the ingredients for explaining the additional welfare loss of 0.2428 per cent under Melitz relative to Armington are as follows.  </w:t>
      </w:r>
      <w:r w:rsidR="00447855">
        <w:rPr>
          <w:rFonts w:ascii="Times New Roman" w:hAnsi="Times New Roman" w:cs="Times New Roman"/>
          <w:sz w:val="24"/>
          <w:szCs w:val="24"/>
        </w:rPr>
        <w:t xml:space="preserve">Under Melitz, the increase in the real price of effective units of domestically produced Wap in the SouthAsia market is 14.62 per cent.  </w:t>
      </w:r>
      <w:r w:rsidR="005B1F2A">
        <w:rPr>
          <w:rFonts w:ascii="Times New Roman" w:hAnsi="Times New Roman" w:cs="Times New Roman"/>
          <w:sz w:val="24"/>
          <w:szCs w:val="24"/>
        </w:rPr>
        <w:t xml:space="preserve">Under Armington it is negligible.  </w:t>
      </w:r>
      <w:r w:rsidR="0007660B">
        <w:rPr>
          <w:rFonts w:ascii="Times New Roman" w:hAnsi="Times New Roman" w:cs="Times New Roman"/>
          <w:sz w:val="24"/>
          <w:szCs w:val="24"/>
        </w:rPr>
        <w:t xml:space="preserve">On average through the Melitz simulation, </w:t>
      </w:r>
      <w:r w:rsidR="00D90131">
        <w:rPr>
          <w:rFonts w:ascii="Times New Roman" w:hAnsi="Times New Roman" w:cs="Times New Roman"/>
          <w:sz w:val="24"/>
          <w:szCs w:val="24"/>
        </w:rPr>
        <w:t>sales of domestic Wap in SouthAsia are worth 0.5</w:t>
      </w:r>
      <w:r w:rsidR="0007660B">
        <w:rPr>
          <w:rFonts w:ascii="Times New Roman" w:hAnsi="Times New Roman" w:cs="Times New Roman"/>
          <w:sz w:val="24"/>
          <w:szCs w:val="24"/>
        </w:rPr>
        <w:t>4</w:t>
      </w:r>
      <w:r w:rsidR="00D90131">
        <w:rPr>
          <w:rFonts w:ascii="Times New Roman" w:hAnsi="Times New Roman" w:cs="Times New Roman"/>
          <w:sz w:val="24"/>
          <w:szCs w:val="24"/>
        </w:rPr>
        <w:t xml:space="preserve"> per cent of total consumption.  </w:t>
      </w:r>
      <w:r w:rsidR="005B1F2A">
        <w:rPr>
          <w:rFonts w:ascii="Times New Roman" w:hAnsi="Times New Roman" w:cs="Times New Roman"/>
          <w:sz w:val="24"/>
          <w:szCs w:val="24"/>
        </w:rPr>
        <w:t>Thus, the</w:t>
      </w:r>
      <w:r w:rsidR="00D90131">
        <w:rPr>
          <w:rFonts w:ascii="Times New Roman" w:hAnsi="Times New Roman" w:cs="Times New Roman"/>
          <w:sz w:val="24"/>
          <w:szCs w:val="24"/>
        </w:rPr>
        <w:t xml:space="preserve"> 14.62 per cent increase in the cost of domestic Wap products in SouthAsia imparts a welfare loss of 0.07</w:t>
      </w:r>
      <w:r w:rsidR="0007660B">
        <w:rPr>
          <w:rFonts w:ascii="Times New Roman" w:hAnsi="Times New Roman" w:cs="Times New Roman"/>
          <w:sz w:val="24"/>
          <w:szCs w:val="24"/>
        </w:rPr>
        <w:t>90</w:t>
      </w:r>
      <w:r w:rsidR="00D90131">
        <w:rPr>
          <w:rFonts w:ascii="Times New Roman" w:hAnsi="Times New Roman" w:cs="Times New Roman"/>
          <w:sz w:val="24"/>
          <w:szCs w:val="24"/>
        </w:rPr>
        <w:t xml:space="preserve"> per cent for Melitz relative to Armington.  </w:t>
      </w:r>
      <w:r w:rsidR="005B1F2A">
        <w:rPr>
          <w:rFonts w:ascii="Times New Roman" w:hAnsi="Times New Roman" w:cs="Times New Roman"/>
          <w:sz w:val="24"/>
          <w:szCs w:val="24"/>
        </w:rPr>
        <w:t>Real devaluation in SouthAsia is 104 per cent larger under Melitz</w:t>
      </w:r>
      <w:r w:rsidR="00D90131">
        <w:rPr>
          <w:rFonts w:ascii="Times New Roman" w:hAnsi="Times New Roman" w:cs="Times New Roman"/>
          <w:sz w:val="24"/>
          <w:szCs w:val="24"/>
        </w:rPr>
        <w:t xml:space="preserve"> </w:t>
      </w:r>
      <w:r w:rsidR="005B1F2A">
        <w:rPr>
          <w:rFonts w:ascii="Times New Roman" w:hAnsi="Times New Roman" w:cs="Times New Roman"/>
          <w:sz w:val="24"/>
          <w:szCs w:val="24"/>
        </w:rPr>
        <w:t xml:space="preserve">than under Armington.  </w:t>
      </w:r>
      <w:r w:rsidR="00A63B6E">
        <w:rPr>
          <w:rFonts w:ascii="Times New Roman" w:hAnsi="Times New Roman" w:cs="Times New Roman"/>
          <w:sz w:val="24"/>
          <w:szCs w:val="24"/>
        </w:rPr>
        <w:t xml:space="preserve">Applying this percentage to </w:t>
      </w:r>
      <w:r w:rsidR="00F6734E">
        <w:rPr>
          <w:rFonts w:ascii="Times New Roman" w:hAnsi="Times New Roman" w:cs="Times New Roman"/>
          <w:sz w:val="24"/>
          <w:szCs w:val="24"/>
        </w:rPr>
        <w:t xml:space="preserve">the </w:t>
      </w:r>
      <w:r w:rsidR="00A63B6E">
        <w:rPr>
          <w:rFonts w:ascii="Times New Roman" w:hAnsi="Times New Roman" w:cs="Times New Roman"/>
          <w:sz w:val="24"/>
          <w:szCs w:val="24"/>
        </w:rPr>
        <w:t xml:space="preserve">Armington terms-of-trade contribution </w:t>
      </w:r>
      <w:r w:rsidR="00F6734E">
        <w:rPr>
          <w:rFonts w:ascii="Times New Roman" w:hAnsi="Times New Roman" w:cs="Times New Roman"/>
          <w:sz w:val="24"/>
          <w:szCs w:val="24"/>
        </w:rPr>
        <w:t>(</w:t>
      </w:r>
      <w:r w:rsidR="005B1F2A">
        <w:rPr>
          <w:rFonts w:ascii="Times New Roman" w:hAnsi="Times New Roman" w:cs="Times New Roman"/>
          <w:sz w:val="24"/>
          <w:szCs w:val="24"/>
        </w:rPr>
        <w:t>-</w:t>
      </w:r>
      <w:r w:rsidR="00F6734E">
        <w:rPr>
          <w:rFonts w:ascii="Times New Roman" w:hAnsi="Times New Roman" w:cs="Times New Roman"/>
          <w:sz w:val="24"/>
          <w:szCs w:val="24"/>
        </w:rPr>
        <w:t>0.0960, Table 7.6) to SouthAsia’s</w:t>
      </w:r>
      <w:r w:rsidR="00A63B6E">
        <w:rPr>
          <w:rFonts w:ascii="Times New Roman" w:hAnsi="Times New Roman" w:cs="Times New Roman"/>
          <w:sz w:val="24"/>
          <w:szCs w:val="24"/>
        </w:rPr>
        <w:t xml:space="preserve"> welfare loss gives an extra welfare loss for Melitz of 0.</w:t>
      </w:r>
      <w:r w:rsidR="005B1F2A">
        <w:rPr>
          <w:rFonts w:ascii="Times New Roman" w:hAnsi="Times New Roman" w:cs="Times New Roman"/>
          <w:sz w:val="24"/>
          <w:szCs w:val="24"/>
        </w:rPr>
        <w:t xml:space="preserve">0998 </w:t>
      </w:r>
      <w:r w:rsidR="00A63B6E">
        <w:rPr>
          <w:rFonts w:ascii="Times New Roman" w:hAnsi="Times New Roman" w:cs="Times New Roman"/>
          <w:sz w:val="24"/>
          <w:szCs w:val="24"/>
        </w:rPr>
        <w:t>per cent (= 0.0960*1.</w:t>
      </w:r>
      <w:r w:rsidR="005B1F2A">
        <w:rPr>
          <w:rFonts w:ascii="Times New Roman" w:hAnsi="Times New Roman" w:cs="Times New Roman"/>
          <w:sz w:val="24"/>
          <w:szCs w:val="24"/>
        </w:rPr>
        <w:t>04</w:t>
      </w:r>
      <w:r w:rsidR="00A63B6E">
        <w:rPr>
          <w:rFonts w:ascii="Times New Roman" w:hAnsi="Times New Roman" w:cs="Times New Roman"/>
          <w:sz w:val="24"/>
          <w:szCs w:val="24"/>
        </w:rPr>
        <w:t>).  Factoring in the extra contribution for Melitz from Other tax carrying flows (-0.0282) gives the total estimate for SouthAsia’s extra welfare loss under Melitz relative to Armington at 0.2</w:t>
      </w:r>
      <w:r w:rsidR="005B1F2A">
        <w:rPr>
          <w:rFonts w:ascii="Times New Roman" w:hAnsi="Times New Roman" w:cs="Times New Roman"/>
          <w:sz w:val="24"/>
          <w:szCs w:val="24"/>
        </w:rPr>
        <w:t>0</w:t>
      </w:r>
      <w:r w:rsidR="0007660B">
        <w:rPr>
          <w:rFonts w:ascii="Times New Roman" w:hAnsi="Times New Roman" w:cs="Times New Roman"/>
          <w:sz w:val="24"/>
          <w:szCs w:val="24"/>
        </w:rPr>
        <w:t>70</w:t>
      </w:r>
      <w:r w:rsidR="00A63B6E">
        <w:rPr>
          <w:rFonts w:ascii="Times New Roman" w:hAnsi="Times New Roman" w:cs="Times New Roman"/>
          <w:sz w:val="24"/>
          <w:szCs w:val="24"/>
        </w:rPr>
        <w:t xml:space="preserve"> per cent (= 0.0</w:t>
      </w:r>
      <w:r w:rsidR="005B1F2A">
        <w:rPr>
          <w:rFonts w:ascii="Times New Roman" w:hAnsi="Times New Roman" w:cs="Times New Roman"/>
          <w:sz w:val="24"/>
          <w:szCs w:val="24"/>
        </w:rPr>
        <w:t>7</w:t>
      </w:r>
      <w:r w:rsidR="0007660B">
        <w:rPr>
          <w:rFonts w:ascii="Times New Roman" w:hAnsi="Times New Roman" w:cs="Times New Roman"/>
          <w:sz w:val="24"/>
          <w:szCs w:val="24"/>
        </w:rPr>
        <w:t>90</w:t>
      </w:r>
      <w:r w:rsidR="00A63B6E">
        <w:rPr>
          <w:rFonts w:ascii="Times New Roman" w:hAnsi="Times New Roman" w:cs="Times New Roman"/>
          <w:sz w:val="24"/>
          <w:szCs w:val="24"/>
        </w:rPr>
        <w:t>+</w:t>
      </w:r>
      <w:r w:rsidR="00F6734E">
        <w:rPr>
          <w:rFonts w:ascii="Times New Roman" w:hAnsi="Times New Roman" w:cs="Times New Roman"/>
          <w:sz w:val="24"/>
          <w:szCs w:val="24"/>
        </w:rPr>
        <w:t>0</w:t>
      </w:r>
      <w:r w:rsidR="00A63B6E">
        <w:rPr>
          <w:rFonts w:ascii="Times New Roman" w:hAnsi="Times New Roman" w:cs="Times New Roman"/>
          <w:sz w:val="24"/>
          <w:szCs w:val="24"/>
        </w:rPr>
        <w:t>.</w:t>
      </w:r>
      <w:r w:rsidR="005B1F2A">
        <w:rPr>
          <w:rFonts w:ascii="Times New Roman" w:hAnsi="Times New Roman" w:cs="Times New Roman"/>
          <w:sz w:val="24"/>
          <w:szCs w:val="24"/>
        </w:rPr>
        <w:t>0998</w:t>
      </w:r>
      <w:r w:rsidR="00F6734E">
        <w:rPr>
          <w:rFonts w:ascii="Times New Roman" w:hAnsi="Times New Roman" w:cs="Times New Roman"/>
          <w:sz w:val="24"/>
          <w:szCs w:val="24"/>
        </w:rPr>
        <w:t xml:space="preserve">+0.0282), again acceptably close to the simulated result of 0.2428 per cent.  </w:t>
      </w:r>
      <w:r w:rsidR="00A63B6E">
        <w:rPr>
          <w:rFonts w:ascii="Times New Roman" w:hAnsi="Times New Roman" w:cs="Times New Roman"/>
          <w:sz w:val="24"/>
          <w:szCs w:val="24"/>
        </w:rPr>
        <w:t xml:space="preserve"> </w:t>
      </w:r>
    </w:p>
    <w:p w:rsidR="00BF26CC" w:rsidRDefault="005B1F2A" w:rsidP="00447855">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For NAmerica, </w:t>
      </w:r>
      <w:r w:rsidR="00E00BC3">
        <w:rPr>
          <w:rFonts w:ascii="Times New Roman" w:hAnsi="Times New Roman" w:cs="Times New Roman"/>
          <w:sz w:val="24"/>
          <w:szCs w:val="24"/>
        </w:rPr>
        <w:t xml:space="preserve">the explanation of the Melitz welfare result relative to the Armington result starts the same way as for the other two regions, but with opposite sign.  Efficiency improvement in the expanded NAmerican Wap industry reduces the real price of domestically produced effective units in the NAmerican market by 13.57 per cent.  </w:t>
      </w:r>
      <w:r w:rsidR="0007660B">
        <w:rPr>
          <w:rFonts w:ascii="Times New Roman" w:hAnsi="Times New Roman" w:cs="Times New Roman"/>
          <w:sz w:val="24"/>
          <w:szCs w:val="24"/>
        </w:rPr>
        <w:t xml:space="preserve">On average through the Melitz simulation, the value of purchases of domestic Wap in NAmerica is </w:t>
      </w:r>
      <w:r w:rsidR="007B13AA">
        <w:rPr>
          <w:rFonts w:ascii="Times New Roman" w:hAnsi="Times New Roman" w:cs="Times New Roman"/>
          <w:sz w:val="24"/>
          <w:szCs w:val="24"/>
        </w:rPr>
        <w:t xml:space="preserve">1.175 per cent of the total value of consumption.  A 13.57 per cent price reduction applied to an item worth 1.175 per cent of consumption gives a welfare gain of 0.1595 per cent.  This is a welfare gain for Melitz relative to Armington: </w:t>
      </w:r>
      <w:r w:rsidR="00BF26CC">
        <w:rPr>
          <w:rFonts w:ascii="Times New Roman" w:hAnsi="Times New Roman" w:cs="Times New Roman"/>
          <w:sz w:val="24"/>
          <w:szCs w:val="24"/>
        </w:rPr>
        <w:t>under</w:t>
      </w:r>
      <w:r w:rsidR="007B13AA">
        <w:rPr>
          <w:rFonts w:ascii="Times New Roman" w:hAnsi="Times New Roman" w:cs="Times New Roman"/>
          <w:sz w:val="24"/>
          <w:szCs w:val="24"/>
        </w:rPr>
        <w:t xml:space="preserve"> Armington the change in the price of domestically produced effective units of Wap in the NAmerican market is negligible.</w:t>
      </w:r>
      <w:r w:rsidR="008F4D1E">
        <w:rPr>
          <w:rFonts w:ascii="Times New Roman" w:hAnsi="Times New Roman" w:cs="Times New Roman"/>
          <w:sz w:val="24"/>
          <w:szCs w:val="24"/>
        </w:rPr>
        <w:t xml:space="preserve">  </w:t>
      </w:r>
    </w:p>
    <w:p w:rsidR="00A3347B" w:rsidRDefault="00BF26CC" w:rsidP="00447855">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NAmerica’s tariffs reduce the value of its Wap imports under both Armington and Melitz.  </w:t>
      </w:r>
      <w:r w:rsidR="00716FDA">
        <w:rPr>
          <w:rFonts w:ascii="Times New Roman" w:hAnsi="Times New Roman" w:cs="Times New Roman"/>
          <w:sz w:val="24"/>
          <w:szCs w:val="24"/>
        </w:rPr>
        <w:t xml:space="preserve">On this account, trade rebalancing requires real appreciation with an associated improvement in the terms of trade.  This can be seen in Table 7.6 which shows for the Armington simulation a positive terms-of-trade contribution to NAmerica’s welfare of 0.0551 per cent.  For Melitz, the terms-of-trade contribution to NAmerica’s welfare is negative, </w:t>
      </w:r>
      <w:r w:rsidR="00A3347B">
        <w:rPr>
          <w:rFonts w:ascii="Times New Roman" w:hAnsi="Times New Roman" w:cs="Times New Roman"/>
          <w:sz w:val="24"/>
          <w:szCs w:val="24"/>
        </w:rPr>
        <w:t>-0.0172 = (0.00</w:t>
      </w:r>
      <w:r w:rsidR="004105C2">
        <w:rPr>
          <w:rFonts w:ascii="Times New Roman" w:hAnsi="Times New Roman" w:cs="Times New Roman"/>
          <w:sz w:val="24"/>
          <w:szCs w:val="24"/>
        </w:rPr>
        <w:t>89 -</w:t>
      </w:r>
      <w:r w:rsidR="00A3347B">
        <w:rPr>
          <w:rFonts w:ascii="Times New Roman" w:hAnsi="Times New Roman" w:cs="Times New Roman"/>
          <w:sz w:val="24"/>
          <w:szCs w:val="24"/>
        </w:rPr>
        <w:t xml:space="preserve"> 0.02</w:t>
      </w:r>
      <w:r w:rsidR="004105C2">
        <w:rPr>
          <w:rFonts w:ascii="Times New Roman" w:hAnsi="Times New Roman" w:cs="Times New Roman"/>
          <w:sz w:val="24"/>
          <w:szCs w:val="24"/>
        </w:rPr>
        <w:t>62</w:t>
      </w:r>
      <w:r w:rsidR="00A3347B">
        <w:rPr>
          <w:rFonts w:ascii="Times New Roman" w:hAnsi="Times New Roman" w:cs="Times New Roman"/>
          <w:sz w:val="24"/>
          <w:szCs w:val="24"/>
        </w:rPr>
        <w:t xml:space="preserve">).  </w:t>
      </w:r>
      <w:r w:rsidR="00A3347B">
        <w:rPr>
          <w:rFonts w:ascii="Times New Roman" w:hAnsi="Times New Roman" w:cs="Times New Roman"/>
          <w:sz w:val="24"/>
          <w:szCs w:val="24"/>
        </w:rPr>
        <w:lastRenderedPageBreak/>
        <w:t xml:space="preserve">The rebalancing terms-of-trade effect is dominated for NAmerica under Melitz by increases in the prices of effective units of Wap imported from SEAsia, SouthAsia and other suppliers to the U.S. market. </w:t>
      </w:r>
      <w:r w:rsidR="00447855">
        <w:rPr>
          <w:rFonts w:ascii="Times New Roman" w:hAnsi="Times New Roman" w:cs="Times New Roman"/>
          <w:sz w:val="24"/>
          <w:szCs w:val="24"/>
        </w:rPr>
        <w:t xml:space="preserve"> </w:t>
      </w:r>
      <w:r w:rsidR="00A3347B">
        <w:rPr>
          <w:rFonts w:ascii="Times New Roman" w:hAnsi="Times New Roman" w:cs="Times New Roman"/>
          <w:sz w:val="24"/>
          <w:szCs w:val="24"/>
        </w:rPr>
        <w:t>These suppliers have suffered cost increases caused by the reduction in the scale of their output.  Relative to Armington, Melitz gives a terms-of-trade contribution for NAmerica of -0.0723 (= -0.0172</w:t>
      </w:r>
      <w:r w:rsidR="0041378C">
        <w:rPr>
          <w:rFonts w:ascii="Times New Roman" w:hAnsi="Times New Roman" w:cs="Times New Roman"/>
          <w:sz w:val="24"/>
          <w:szCs w:val="24"/>
        </w:rPr>
        <w:t xml:space="preserve"> </w:t>
      </w:r>
      <w:r w:rsidR="00A3347B">
        <w:rPr>
          <w:rFonts w:ascii="Times New Roman" w:hAnsi="Times New Roman" w:cs="Times New Roman"/>
          <w:sz w:val="24"/>
          <w:szCs w:val="24"/>
        </w:rPr>
        <w:t>-</w:t>
      </w:r>
      <w:r w:rsidR="0041378C">
        <w:rPr>
          <w:rFonts w:ascii="Times New Roman" w:hAnsi="Times New Roman" w:cs="Times New Roman"/>
          <w:sz w:val="24"/>
          <w:szCs w:val="24"/>
        </w:rPr>
        <w:t xml:space="preserve"> </w:t>
      </w:r>
      <w:r w:rsidR="00A3347B">
        <w:rPr>
          <w:rFonts w:ascii="Times New Roman" w:hAnsi="Times New Roman" w:cs="Times New Roman"/>
          <w:sz w:val="24"/>
          <w:szCs w:val="24"/>
        </w:rPr>
        <w:t>0.0551).</w:t>
      </w:r>
      <w:r w:rsidR="0041378C">
        <w:rPr>
          <w:rFonts w:ascii="Times New Roman" w:hAnsi="Times New Roman" w:cs="Times New Roman"/>
          <w:sz w:val="24"/>
          <w:szCs w:val="24"/>
        </w:rPr>
        <w:t xml:space="preserve"> </w:t>
      </w:r>
    </w:p>
    <w:p w:rsidR="0041378C" w:rsidRDefault="0041378C" w:rsidP="00447855">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Tax-carrying flows make a slightly larger negative welfare contribution for NAmerica under Melitz than under Armington, -0.0084 [ = (-0.0429 – 0.0014) – (-0.0416 +0.0057)].  </w:t>
      </w:r>
    </w:p>
    <w:p w:rsidR="00447855" w:rsidRDefault="0041378C" w:rsidP="0041378C">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In total, our BOTE calculation for NAmerica explains a welfare benefit of 0.0788 per cent </w:t>
      </w:r>
      <w:r>
        <w:rPr>
          <w:rFonts w:ascii="Times New Roman" w:hAnsi="Times New Roman" w:cs="Times New Roman"/>
          <w:sz w:val="24"/>
          <w:szCs w:val="24"/>
        </w:rPr>
        <w:br/>
        <w:t xml:space="preserve">(= 0.1595 – 0.0723 – 0.0084), close to the simulated result of 0.0844. </w:t>
      </w:r>
    </w:p>
    <w:p w:rsidR="00D54FEA" w:rsidRPr="00B73782" w:rsidRDefault="00D54FEA" w:rsidP="00B73782">
      <w:pPr>
        <w:pStyle w:val="ListParagraph"/>
        <w:spacing w:before="360" w:after="360"/>
        <w:ind w:left="0"/>
        <w:contextualSpacing w:val="0"/>
        <w:jc w:val="both"/>
        <w:rPr>
          <w:rFonts w:ascii="Times New Roman" w:hAnsi="Times New Roman" w:cs="Times New Roman"/>
          <w:b/>
          <w:sz w:val="28"/>
          <w:szCs w:val="24"/>
        </w:rPr>
      </w:pPr>
      <w:r w:rsidRPr="00B73782">
        <w:rPr>
          <w:rFonts w:ascii="Times New Roman" w:hAnsi="Times New Roman" w:cs="Times New Roman"/>
          <w:b/>
          <w:sz w:val="28"/>
          <w:szCs w:val="24"/>
        </w:rPr>
        <w:t>7</w:t>
      </w:r>
      <w:r w:rsidR="00344101" w:rsidRPr="00B73782">
        <w:rPr>
          <w:rFonts w:ascii="Times New Roman" w:hAnsi="Times New Roman" w:cs="Times New Roman"/>
          <w:b/>
          <w:sz w:val="28"/>
          <w:szCs w:val="24"/>
        </w:rPr>
        <w:t>.7.</w:t>
      </w:r>
      <w:r w:rsidRPr="00B73782">
        <w:rPr>
          <w:rFonts w:ascii="Times New Roman" w:hAnsi="Times New Roman" w:cs="Times New Roman"/>
          <w:b/>
          <w:sz w:val="28"/>
          <w:szCs w:val="24"/>
        </w:rPr>
        <w:t xml:space="preserve">  </w:t>
      </w:r>
      <w:r w:rsidR="00344101" w:rsidRPr="00B73782">
        <w:rPr>
          <w:rFonts w:ascii="Times New Roman" w:hAnsi="Times New Roman" w:cs="Times New Roman"/>
          <w:b/>
          <w:sz w:val="28"/>
          <w:szCs w:val="24"/>
        </w:rPr>
        <w:t>Summary and conclusions</w:t>
      </w:r>
    </w:p>
    <w:p w:rsidR="00D54FEA" w:rsidRDefault="00D54FEA" w:rsidP="00E63D5A">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We have found a relatively simple method for converting an </w:t>
      </w:r>
      <w:r w:rsidR="00344101">
        <w:rPr>
          <w:rFonts w:ascii="Times New Roman" w:hAnsi="Times New Roman" w:cs="Times New Roman"/>
          <w:sz w:val="24"/>
          <w:szCs w:val="24"/>
        </w:rPr>
        <w:t xml:space="preserve">existing </w:t>
      </w:r>
      <w:r>
        <w:rPr>
          <w:rFonts w:ascii="Times New Roman" w:hAnsi="Times New Roman" w:cs="Times New Roman"/>
          <w:sz w:val="24"/>
          <w:szCs w:val="24"/>
        </w:rPr>
        <w:t xml:space="preserve">Armington model into </w:t>
      </w:r>
      <w:r w:rsidR="00344101">
        <w:rPr>
          <w:rFonts w:ascii="Times New Roman" w:hAnsi="Times New Roman" w:cs="Times New Roman"/>
          <w:sz w:val="24"/>
          <w:szCs w:val="24"/>
        </w:rPr>
        <w:t xml:space="preserve">a </w:t>
      </w:r>
      <w:r>
        <w:rPr>
          <w:rFonts w:ascii="Times New Roman" w:hAnsi="Times New Roman" w:cs="Times New Roman"/>
          <w:sz w:val="24"/>
          <w:szCs w:val="24"/>
        </w:rPr>
        <w:t>Melitz</w:t>
      </w:r>
      <w:r w:rsidR="00344101">
        <w:rPr>
          <w:rFonts w:ascii="Times New Roman" w:hAnsi="Times New Roman" w:cs="Times New Roman"/>
          <w:sz w:val="24"/>
          <w:szCs w:val="24"/>
        </w:rPr>
        <w:t xml:space="preserve"> model</w:t>
      </w:r>
      <w:r>
        <w:rPr>
          <w:rFonts w:ascii="Times New Roman" w:hAnsi="Times New Roman" w:cs="Times New Roman"/>
          <w:sz w:val="24"/>
          <w:szCs w:val="24"/>
        </w:rPr>
        <w:t xml:space="preserve">.  The initial steps in this method </w:t>
      </w:r>
      <w:r w:rsidR="00C8596E">
        <w:rPr>
          <w:rFonts w:ascii="Times New Roman" w:hAnsi="Times New Roman" w:cs="Times New Roman"/>
          <w:sz w:val="24"/>
          <w:szCs w:val="24"/>
        </w:rPr>
        <w:t xml:space="preserve">may </w:t>
      </w:r>
      <w:r>
        <w:rPr>
          <w:rFonts w:ascii="Times New Roman" w:hAnsi="Times New Roman" w:cs="Times New Roman"/>
          <w:sz w:val="24"/>
          <w:szCs w:val="24"/>
        </w:rPr>
        <w:t xml:space="preserve">require minor alterations to the Armington model.  </w:t>
      </w:r>
      <w:r w:rsidR="00344101">
        <w:rPr>
          <w:rFonts w:ascii="Times New Roman" w:hAnsi="Times New Roman" w:cs="Times New Roman"/>
          <w:sz w:val="24"/>
          <w:szCs w:val="24"/>
        </w:rPr>
        <w:t>Then w</w:t>
      </w:r>
      <w:r w:rsidR="00C8596E">
        <w:rPr>
          <w:rFonts w:ascii="Times New Roman" w:hAnsi="Times New Roman" w:cs="Times New Roman"/>
          <w:sz w:val="24"/>
          <w:szCs w:val="24"/>
        </w:rPr>
        <w:t>e add a group of Melitz equations on</w:t>
      </w:r>
      <w:r w:rsidR="00173FBB">
        <w:rPr>
          <w:rFonts w:ascii="Times New Roman" w:hAnsi="Times New Roman" w:cs="Times New Roman"/>
          <w:sz w:val="24"/>
          <w:szCs w:val="24"/>
        </w:rPr>
        <w:t>to</w:t>
      </w:r>
      <w:r w:rsidR="00C8596E">
        <w:rPr>
          <w:rFonts w:ascii="Times New Roman" w:hAnsi="Times New Roman" w:cs="Times New Roman"/>
          <w:sz w:val="24"/>
          <w:szCs w:val="24"/>
        </w:rPr>
        <w:t xml:space="preserve"> the bottom of the Armington model</w:t>
      </w:r>
      <w:r w:rsidR="00344101">
        <w:rPr>
          <w:rFonts w:ascii="Times New Roman" w:hAnsi="Times New Roman" w:cs="Times New Roman"/>
          <w:sz w:val="24"/>
          <w:szCs w:val="24"/>
        </w:rPr>
        <w:t xml:space="preserve"> to form what we call an A2M system. </w:t>
      </w:r>
      <w:r w:rsidR="00C8596E">
        <w:rPr>
          <w:rFonts w:ascii="Times New Roman" w:hAnsi="Times New Roman" w:cs="Times New Roman"/>
          <w:sz w:val="24"/>
          <w:szCs w:val="24"/>
        </w:rPr>
        <w:t xml:space="preserve"> Users of the </w:t>
      </w:r>
      <w:r w:rsidR="00344101">
        <w:rPr>
          <w:rFonts w:ascii="Times New Roman" w:hAnsi="Times New Roman" w:cs="Times New Roman"/>
          <w:sz w:val="24"/>
          <w:szCs w:val="24"/>
        </w:rPr>
        <w:t>A2M system</w:t>
      </w:r>
      <w:r w:rsidR="00C8596E">
        <w:rPr>
          <w:rFonts w:ascii="Times New Roman" w:hAnsi="Times New Roman" w:cs="Times New Roman"/>
          <w:sz w:val="24"/>
          <w:szCs w:val="24"/>
        </w:rPr>
        <w:t xml:space="preserve"> can switch between Melitz and Armington assumptions by closure swaps.  It is also necessary to change the setting of a dummy coefficient that identifies which industries are to be treated as Melitz and which are to be treated as Armington.  In going from Armington to Melitz, </w:t>
      </w:r>
      <w:r w:rsidR="00344101">
        <w:rPr>
          <w:rFonts w:ascii="Times New Roman" w:hAnsi="Times New Roman" w:cs="Times New Roman"/>
          <w:sz w:val="24"/>
          <w:szCs w:val="24"/>
        </w:rPr>
        <w:t xml:space="preserve">modelers </w:t>
      </w:r>
      <w:r w:rsidR="00C8596E">
        <w:rPr>
          <w:rFonts w:ascii="Times New Roman" w:hAnsi="Times New Roman" w:cs="Times New Roman"/>
          <w:sz w:val="24"/>
          <w:szCs w:val="24"/>
        </w:rPr>
        <w:t>should consider changing the value of parameter</w:t>
      </w:r>
      <w:r w:rsidR="00344101">
        <w:rPr>
          <w:rFonts w:ascii="Times New Roman" w:hAnsi="Times New Roman" w:cs="Times New Roman"/>
          <w:sz w:val="24"/>
          <w:szCs w:val="24"/>
        </w:rPr>
        <w:t>s</w:t>
      </w:r>
      <w:r w:rsidR="00C8596E">
        <w:rPr>
          <w:rFonts w:ascii="Times New Roman" w:hAnsi="Times New Roman" w:cs="Times New Roman"/>
          <w:sz w:val="24"/>
          <w:szCs w:val="24"/>
        </w:rPr>
        <w:t xml:space="preserve"> that determine import/domestic substitution in Armington and variety substitution in Melitz.  If it is intended to compare Armington and Melitz results, then substitution parameter</w:t>
      </w:r>
      <w:r w:rsidR="00344101">
        <w:rPr>
          <w:rFonts w:ascii="Times New Roman" w:hAnsi="Times New Roman" w:cs="Times New Roman"/>
          <w:sz w:val="24"/>
          <w:szCs w:val="24"/>
        </w:rPr>
        <w:t>s</w:t>
      </w:r>
      <w:r w:rsidR="00C8596E">
        <w:rPr>
          <w:rFonts w:ascii="Times New Roman" w:hAnsi="Times New Roman" w:cs="Times New Roman"/>
          <w:sz w:val="24"/>
          <w:szCs w:val="24"/>
        </w:rPr>
        <w:t xml:space="preserve"> should be calibrated so that both models give similar realistic import responses to changes in tariffs.  </w:t>
      </w:r>
      <w:r w:rsidR="00344101">
        <w:rPr>
          <w:rFonts w:ascii="Times New Roman" w:hAnsi="Times New Roman" w:cs="Times New Roman"/>
          <w:sz w:val="24"/>
          <w:szCs w:val="24"/>
        </w:rPr>
        <w:t xml:space="preserve"> </w:t>
      </w:r>
    </w:p>
    <w:p w:rsidR="00995BFF" w:rsidRDefault="00C8596E" w:rsidP="00344101">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To explain our conversion method we applied it to </w:t>
      </w:r>
      <w:r w:rsidR="001D4241">
        <w:rPr>
          <w:rFonts w:ascii="Times New Roman" w:hAnsi="Times New Roman" w:cs="Times New Roman"/>
          <w:sz w:val="24"/>
          <w:szCs w:val="24"/>
        </w:rPr>
        <w:t>the</w:t>
      </w:r>
      <w:r>
        <w:rPr>
          <w:rFonts w:ascii="Times New Roman" w:hAnsi="Times New Roman" w:cs="Times New Roman"/>
          <w:sz w:val="24"/>
          <w:szCs w:val="24"/>
        </w:rPr>
        <w:t xml:space="preserve"> </w:t>
      </w:r>
      <w:r w:rsidR="001D4241">
        <w:rPr>
          <w:rFonts w:ascii="Times New Roman" w:hAnsi="Times New Roman" w:cs="Times New Roman"/>
          <w:sz w:val="24"/>
          <w:szCs w:val="24"/>
        </w:rPr>
        <w:t>Basic</w:t>
      </w:r>
      <w:r>
        <w:rPr>
          <w:rFonts w:ascii="Times New Roman" w:hAnsi="Times New Roman" w:cs="Times New Roman"/>
          <w:sz w:val="24"/>
          <w:szCs w:val="24"/>
        </w:rPr>
        <w:t xml:space="preserve">Armington model.  </w:t>
      </w:r>
      <w:r w:rsidR="006E4AD4">
        <w:rPr>
          <w:rFonts w:ascii="Times New Roman" w:hAnsi="Times New Roman" w:cs="Times New Roman"/>
          <w:sz w:val="24"/>
          <w:szCs w:val="24"/>
        </w:rPr>
        <w:t xml:space="preserve">We tested the method by comparing Melitz results from the </w:t>
      </w:r>
      <w:r w:rsidR="001D4241">
        <w:rPr>
          <w:rFonts w:ascii="Times New Roman" w:hAnsi="Times New Roman" w:cs="Times New Roman"/>
          <w:sz w:val="24"/>
          <w:szCs w:val="24"/>
        </w:rPr>
        <w:t>BasicArmington-A2M system w</w:t>
      </w:r>
      <w:r w:rsidR="006E4AD4">
        <w:rPr>
          <w:rFonts w:ascii="Times New Roman" w:hAnsi="Times New Roman" w:cs="Times New Roman"/>
          <w:sz w:val="24"/>
          <w:szCs w:val="24"/>
        </w:rPr>
        <w:t xml:space="preserve">ith results </w:t>
      </w:r>
      <w:r w:rsidR="001D4241">
        <w:rPr>
          <w:rFonts w:ascii="Times New Roman" w:hAnsi="Times New Roman" w:cs="Times New Roman"/>
          <w:sz w:val="24"/>
          <w:szCs w:val="24"/>
        </w:rPr>
        <w:t xml:space="preserve">from the </w:t>
      </w:r>
      <w:r w:rsidR="006E4AD4">
        <w:rPr>
          <w:rFonts w:ascii="Times New Roman" w:hAnsi="Times New Roman" w:cs="Times New Roman"/>
          <w:sz w:val="24"/>
          <w:szCs w:val="24"/>
        </w:rPr>
        <w:t xml:space="preserve">directly built Melitz model described in </w:t>
      </w:r>
      <w:r w:rsidR="001D4241">
        <w:rPr>
          <w:rFonts w:ascii="Times New Roman" w:hAnsi="Times New Roman" w:cs="Times New Roman"/>
          <w:sz w:val="24"/>
          <w:szCs w:val="24"/>
        </w:rPr>
        <w:t>Chapter 6</w:t>
      </w:r>
      <w:r w:rsidR="006E4AD4">
        <w:rPr>
          <w:rFonts w:ascii="Times New Roman" w:hAnsi="Times New Roman" w:cs="Times New Roman"/>
          <w:sz w:val="24"/>
          <w:szCs w:val="24"/>
        </w:rPr>
        <w:t>.  Subsequently w</w:t>
      </w:r>
      <w:r>
        <w:rPr>
          <w:rFonts w:ascii="Times New Roman" w:hAnsi="Times New Roman" w:cs="Times New Roman"/>
          <w:sz w:val="24"/>
          <w:szCs w:val="24"/>
        </w:rPr>
        <w:t xml:space="preserve">e </w:t>
      </w:r>
      <w:r w:rsidR="001D4241">
        <w:rPr>
          <w:rFonts w:ascii="Times New Roman" w:hAnsi="Times New Roman" w:cs="Times New Roman"/>
          <w:sz w:val="24"/>
          <w:szCs w:val="24"/>
        </w:rPr>
        <w:t>built an A2M system for a</w:t>
      </w:r>
      <w:r w:rsidR="006035F0">
        <w:rPr>
          <w:rFonts w:ascii="Times New Roman" w:hAnsi="Times New Roman" w:cs="Times New Roman"/>
          <w:sz w:val="24"/>
          <w:szCs w:val="24"/>
        </w:rPr>
        <w:t xml:space="preserve"> standard 10 region by 57 commodity GTAP model</w:t>
      </w:r>
      <w:r w:rsidR="001D4241">
        <w:rPr>
          <w:rFonts w:ascii="Times New Roman" w:hAnsi="Times New Roman" w:cs="Times New Roman"/>
          <w:sz w:val="24"/>
          <w:szCs w:val="24"/>
        </w:rPr>
        <w:t xml:space="preserve">. </w:t>
      </w:r>
      <w:r w:rsidR="006035F0">
        <w:rPr>
          <w:rFonts w:ascii="Times New Roman" w:hAnsi="Times New Roman" w:cs="Times New Roman"/>
          <w:sz w:val="24"/>
          <w:szCs w:val="24"/>
        </w:rPr>
        <w:t xml:space="preserve">   </w:t>
      </w:r>
    </w:p>
    <w:p w:rsidR="00535B72" w:rsidRDefault="00995BFF" w:rsidP="001D4241">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Previously it ha</w:t>
      </w:r>
      <w:r w:rsidR="001D4241">
        <w:rPr>
          <w:rFonts w:ascii="Times New Roman" w:hAnsi="Times New Roman" w:cs="Times New Roman"/>
          <w:sz w:val="24"/>
          <w:szCs w:val="24"/>
        </w:rPr>
        <w:t>s</w:t>
      </w:r>
      <w:r>
        <w:rPr>
          <w:rFonts w:ascii="Times New Roman" w:hAnsi="Times New Roman" w:cs="Times New Roman"/>
          <w:sz w:val="24"/>
          <w:szCs w:val="24"/>
        </w:rPr>
        <w:t xml:space="preserve"> been argued (see Balistreri and Rutherford, 2013) that Melitz specifications produce a difficult computational problem that needs to be tackled by iterative methods using GAMS software.  Because of perceived computational difficulties, </w:t>
      </w:r>
      <w:r w:rsidR="001D4241">
        <w:rPr>
          <w:rFonts w:ascii="Times New Roman" w:hAnsi="Times New Roman" w:cs="Times New Roman"/>
          <w:sz w:val="24"/>
          <w:szCs w:val="24"/>
        </w:rPr>
        <w:t>earlier</w:t>
      </w:r>
      <w:r>
        <w:rPr>
          <w:rFonts w:ascii="Times New Roman" w:hAnsi="Times New Roman" w:cs="Times New Roman"/>
          <w:sz w:val="24"/>
          <w:szCs w:val="24"/>
        </w:rPr>
        <w:t xml:space="preserve"> CGE models with Melitz features have been rather small, and implemented with stylized data.  We have shown that Melitz features can be introduced </w:t>
      </w:r>
      <w:r w:rsidR="00173FBB">
        <w:rPr>
          <w:rFonts w:ascii="Times New Roman" w:hAnsi="Times New Roman" w:cs="Times New Roman"/>
          <w:sz w:val="24"/>
          <w:szCs w:val="24"/>
        </w:rPr>
        <w:t xml:space="preserve">fully </w:t>
      </w:r>
      <w:r>
        <w:rPr>
          <w:rFonts w:ascii="Times New Roman" w:hAnsi="Times New Roman" w:cs="Times New Roman"/>
          <w:sz w:val="24"/>
          <w:szCs w:val="24"/>
        </w:rPr>
        <w:t>into high</w:t>
      </w:r>
      <w:r w:rsidR="00217BF6">
        <w:rPr>
          <w:rFonts w:ascii="Times New Roman" w:hAnsi="Times New Roman" w:cs="Times New Roman"/>
          <w:sz w:val="24"/>
          <w:szCs w:val="24"/>
        </w:rPr>
        <w:t>-</w:t>
      </w:r>
      <w:r>
        <w:rPr>
          <w:rFonts w:ascii="Times New Roman" w:hAnsi="Times New Roman" w:cs="Times New Roman"/>
          <w:sz w:val="24"/>
          <w:szCs w:val="24"/>
        </w:rPr>
        <w:t>dimension CGE models using GEMPACK</w:t>
      </w:r>
      <w:r w:rsidR="001D4241">
        <w:rPr>
          <w:rFonts w:ascii="Times New Roman" w:hAnsi="Times New Roman" w:cs="Times New Roman"/>
          <w:sz w:val="24"/>
          <w:szCs w:val="24"/>
        </w:rPr>
        <w:t xml:space="preserve"> software</w:t>
      </w:r>
      <w:r>
        <w:rPr>
          <w:rFonts w:ascii="Times New Roman" w:hAnsi="Times New Roman" w:cs="Times New Roman"/>
          <w:sz w:val="24"/>
          <w:szCs w:val="24"/>
        </w:rPr>
        <w:t xml:space="preserve">.  </w:t>
      </w:r>
    </w:p>
    <w:p w:rsidR="00FC578D" w:rsidRDefault="006035F0" w:rsidP="001D4241">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Our method </w:t>
      </w:r>
      <w:r w:rsidR="00535B72">
        <w:rPr>
          <w:rFonts w:ascii="Times New Roman" w:hAnsi="Times New Roman" w:cs="Times New Roman"/>
          <w:sz w:val="24"/>
          <w:szCs w:val="24"/>
        </w:rPr>
        <w:t>depends on the simplifying assumption that in Melitz industries the input-mix (</w:t>
      </w:r>
      <w:r w:rsidR="001D4241">
        <w:rPr>
          <w:rFonts w:ascii="Times New Roman" w:hAnsi="Times New Roman" w:cs="Times New Roman"/>
          <w:sz w:val="24"/>
          <w:szCs w:val="24"/>
        </w:rPr>
        <w:t xml:space="preserve">primary factors and </w:t>
      </w:r>
      <w:r w:rsidR="00535B72">
        <w:rPr>
          <w:rFonts w:ascii="Times New Roman" w:hAnsi="Times New Roman" w:cs="Times New Roman"/>
          <w:sz w:val="24"/>
          <w:szCs w:val="24"/>
        </w:rPr>
        <w:t xml:space="preserve">materials) for creating the infrastructure for setting up a firm and trading on links is the same as that for producing commodities.  This assumption is implicitly part of the original theoretical model in Melitz (2003) where there </w:t>
      </w:r>
      <w:r w:rsidR="008D1C2E">
        <w:rPr>
          <w:rFonts w:ascii="Times New Roman" w:hAnsi="Times New Roman" w:cs="Times New Roman"/>
          <w:sz w:val="24"/>
          <w:szCs w:val="24"/>
        </w:rPr>
        <w:t>is</w:t>
      </w:r>
      <w:r w:rsidR="00535B72">
        <w:rPr>
          <w:rFonts w:ascii="Times New Roman" w:hAnsi="Times New Roman" w:cs="Times New Roman"/>
          <w:sz w:val="24"/>
          <w:szCs w:val="24"/>
        </w:rPr>
        <w:t xml:space="preserve"> only one input, labor.  </w:t>
      </w:r>
      <w:r w:rsidR="008D1C2E">
        <w:rPr>
          <w:rFonts w:ascii="Times New Roman" w:hAnsi="Times New Roman" w:cs="Times New Roman"/>
          <w:sz w:val="24"/>
          <w:szCs w:val="24"/>
        </w:rPr>
        <w:t>GTAP staff (</w:t>
      </w:r>
      <w:r w:rsidR="008D1C2E" w:rsidRPr="003C12AE">
        <w:rPr>
          <w:rFonts w:ascii="Times New Roman" w:hAnsi="Times New Roman" w:cs="Times New Roman"/>
          <w:sz w:val="24"/>
          <w:szCs w:val="24"/>
        </w:rPr>
        <w:t xml:space="preserve">see Akgul </w:t>
      </w:r>
      <w:r w:rsidR="008D1C2E" w:rsidRPr="003C12AE">
        <w:rPr>
          <w:rFonts w:ascii="Times New Roman" w:hAnsi="Times New Roman" w:cs="Times New Roman"/>
          <w:i/>
          <w:sz w:val="24"/>
          <w:szCs w:val="24"/>
        </w:rPr>
        <w:t>et al</w:t>
      </w:r>
      <w:r w:rsidR="008D1C2E" w:rsidRPr="003C12AE">
        <w:rPr>
          <w:rFonts w:ascii="Times New Roman" w:hAnsi="Times New Roman" w:cs="Times New Roman"/>
          <w:sz w:val="24"/>
          <w:szCs w:val="24"/>
        </w:rPr>
        <w:t>., 2016)</w:t>
      </w:r>
      <w:r w:rsidR="008D1C2E">
        <w:rPr>
          <w:rFonts w:ascii="Times New Roman" w:hAnsi="Times New Roman" w:cs="Times New Roman"/>
          <w:sz w:val="24"/>
          <w:szCs w:val="24"/>
        </w:rPr>
        <w:t xml:space="preserve"> </w:t>
      </w:r>
      <w:r w:rsidR="001D4241">
        <w:rPr>
          <w:rFonts w:ascii="Times New Roman" w:hAnsi="Times New Roman" w:cs="Times New Roman"/>
          <w:sz w:val="24"/>
          <w:szCs w:val="24"/>
        </w:rPr>
        <w:t>have created</w:t>
      </w:r>
      <w:r w:rsidR="008D1C2E">
        <w:rPr>
          <w:rFonts w:ascii="Times New Roman" w:hAnsi="Times New Roman" w:cs="Times New Roman"/>
          <w:sz w:val="24"/>
          <w:szCs w:val="24"/>
        </w:rPr>
        <w:t xml:space="preserve"> a version of the GTAP m</w:t>
      </w:r>
      <w:r w:rsidR="00FC578D">
        <w:rPr>
          <w:rFonts w:ascii="Times New Roman" w:hAnsi="Times New Roman" w:cs="Times New Roman"/>
          <w:sz w:val="24"/>
          <w:szCs w:val="24"/>
        </w:rPr>
        <w:t xml:space="preserve">odel, GTAP-HET, that </w:t>
      </w:r>
      <w:r w:rsidR="001D4241">
        <w:rPr>
          <w:rFonts w:ascii="Times New Roman" w:hAnsi="Times New Roman" w:cs="Times New Roman"/>
          <w:sz w:val="24"/>
          <w:szCs w:val="24"/>
        </w:rPr>
        <w:t>includ</w:t>
      </w:r>
      <w:r w:rsidR="00FC578D">
        <w:rPr>
          <w:rFonts w:ascii="Times New Roman" w:hAnsi="Times New Roman" w:cs="Times New Roman"/>
          <w:sz w:val="24"/>
          <w:szCs w:val="24"/>
        </w:rPr>
        <w:t>es</w:t>
      </w:r>
      <w:r w:rsidR="001D4241">
        <w:rPr>
          <w:rFonts w:ascii="Times New Roman" w:hAnsi="Times New Roman" w:cs="Times New Roman"/>
          <w:sz w:val="24"/>
          <w:szCs w:val="24"/>
        </w:rPr>
        <w:t xml:space="preserve"> Melitz features</w:t>
      </w:r>
      <w:r w:rsidR="00FC578D">
        <w:rPr>
          <w:rFonts w:ascii="Times New Roman" w:hAnsi="Times New Roman" w:cs="Times New Roman"/>
          <w:sz w:val="24"/>
          <w:szCs w:val="24"/>
        </w:rPr>
        <w:t xml:space="preserve"> and allows differences </w:t>
      </w:r>
      <w:r w:rsidR="00173FBB">
        <w:rPr>
          <w:rFonts w:ascii="Times New Roman" w:hAnsi="Times New Roman" w:cs="Times New Roman"/>
          <w:sz w:val="24"/>
          <w:szCs w:val="24"/>
        </w:rPr>
        <w:t>between</w:t>
      </w:r>
      <w:r w:rsidR="00FC578D">
        <w:rPr>
          <w:rFonts w:ascii="Times New Roman" w:hAnsi="Times New Roman" w:cs="Times New Roman"/>
          <w:sz w:val="24"/>
          <w:szCs w:val="24"/>
        </w:rPr>
        <w:t xml:space="preserve"> </w:t>
      </w:r>
      <w:r w:rsidR="00173FBB">
        <w:rPr>
          <w:rFonts w:ascii="Times New Roman" w:hAnsi="Times New Roman" w:cs="Times New Roman"/>
          <w:sz w:val="24"/>
          <w:szCs w:val="24"/>
        </w:rPr>
        <w:t xml:space="preserve">the </w:t>
      </w:r>
      <w:r w:rsidR="00FC578D">
        <w:rPr>
          <w:rFonts w:ascii="Times New Roman" w:hAnsi="Times New Roman" w:cs="Times New Roman"/>
          <w:sz w:val="24"/>
          <w:szCs w:val="24"/>
        </w:rPr>
        <w:t xml:space="preserve">composition </w:t>
      </w:r>
      <w:r w:rsidR="00173FBB">
        <w:rPr>
          <w:rFonts w:ascii="Times New Roman" w:hAnsi="Times New Roman" w:cs="Times New Roman"/>
          <w:sz w:val="24"/>
          <w:szCs w:val="24"/>
        </w:rPr>
        <w:t>of inputs for</w:t>
      </w:r>
      <w:r w:rsidR="00FC578D">
        <w:rPr>
          <w:rFonts w:ascii="Times New Roman" w:hAnsi="Times New Roman" w:cs="Times New Roman"/>
          <w:sz w:val="24"/>
          <w:szCs w:val="24"/>
        </w:rPr>
        <w:t xml:space="preserve"> the </w:t>
      </w:r>
      <w:r w:rsidR="00173FBB">
        <w:rPr>
          <w:rFonts w:ascii="Times New Roman" w:hAnsi="Times New Roman" w:cs="Times New Roman"/>
          <w:sz w:val="24"/>
          <w:szCs w:val="24"/>
        </w:rPr>
        <w:t>production</w:t>
      </w:r>
      <w:r w:rsidR="008D1C2E">
        <w:rPr>
          <w:rFonts w:ascii="Times New Roman" w:hAnsi="Times New Roman" w:cs="Times New Roman"/>
          <w:sz w:val="24"/>
          <w:szCs w:val="24"/>
        </w:rPr>
        <w:t xml:space="preserve"> of infrastructure </w:t>
      </w:r>
      <w:r w:rsidR="00173FBB">
        <w:rPr>
          <w:rFonts w:ascii="Times New Roman" w:hAnsi="Times New Roman" w:cs="Times New Roman"/>
          <w:sz w:val="24"/>
          <w:szCs w:val="24"/>
        </w:rPr>
        <w:t>and</w:t>
      </w:r>
      <w:r w:rsidR="00FC578D">
        <w:rPr>
          <w:rFonts w:ascii="Times New Roman" w:hAnsi="Times New Roman" w:cs="Times New Roman"/>
          <w:sz w:val="24"/>
          <w:szCs w:val="24"/>
        </w:rPr>
        <w:t xml:space="preserve"> </w:t>
      </w:r>
      <w:r w:rsidR="00173FBB">
        <w:rPr>
          <w:rFonts w:ascii="Times New Roman" w:hAnsi="Times New Roman" w:cs="Times New Roman"/>
          <w:sz w:val="24"/>
          <w:szCs w:val="24"/>
        </w:rPr>
        <w:t>for</w:t>
      </w:r>
      <w:r w:rsidR="00FC578D">
        <w:rPr>
          <w:rFonts w:ascii="Times New Roman" w:hAnsi="Times New Roman" w:cs="Times New Roman"/>
          <w:sz w:val="24"/>
          <w:szCs w:val="24"/>
        </w:rPr>
        <w:t xml:space="preserve"> th</w:t>
      </w:r>
      <w:r w:rsidR="008D1C2E">
        <w:rPr>
          <w:rFonts w:ascii="Times New Roman" w:hAnsi="Times New Roman" w:cs="Times New Roman"/>
          <w:sz w:val="24"/>
          <w:szCs w:val="24"/>
        </w:rPr>
        <w:t xml:space="preserve">e production of commodities.  </w:t>
      </w:r>
      <w:r w:rsidR="00FC578D">
        <w:rPr>
          <w:rFonts w:ascii="Times New Roman" w:hAnsi="Times New Roman" w:cs="Times New Roman"/>
          <w:sz w:val="24"/>
          <w:szCs w:val="24"/>
        </w:rPr>
        <w:t>However, a</w:t>
      </w:r>
      <w:r w:rsidR="00FC578D" w:rsidRPr="00FC578D">
        <w:rPr>
          <w:rFonts w:ascii="Times New Roman" w:hAnsi="Times New Roman" w:cs="Times New Roman"/>
          <w:sz w:val="24"/>
          <w:szCs w:val="24"/>
        </w:rPr>
        <w:t xml:space="preserve">s demonstrated in Appendix 7.3, GTAP-HET falls short of being a conversion of the Armington version of GTAP to a Melitz version.  </w:t>
      </w:r>
    </w:p>
    <w:p w:rsidR="00AB5046" w:rsidRDefault="00173FBB" w:rsidP="001D4241">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A</w:t>
      </w:r>
      <w:r w:rsidR="0080284A">
        <w:rPr>
          <w:rFonts w:ascii="Times New Roman" w:hAnsi="Times New Roman" w:cs="Times New Roman"/>
          <w:sz w:val="24"/>
          <w:szCs w:val="24"/>
        </w:rPr>
        <w:t xml:space="preserve"> priority in CGE trade modeling is to gain understanding of how new</w:t>
      </w:r>
      <w:r w:rsidR="007416C9">
        <w:rPr>
          <w:rFonts w:ascii="Times New Roman" w:hAnsi="Times New Roman" w:cs="Times New Roman"/>
          <w:sz w:val="24"/>
          <w:szCs w:val="24"/>
        </w:rPr>
        <w:t>-</w:t>
      </w:r>
      <w:r w:rsidR="0080284A">
        <w:rPr>
          <w:rFonts w:ascii="Times New Roman" w:hAnsi="Times New Roman" w:cs="Times New Roman"/>
          <w:sz w:val="24"/>
          <w:szCs w:val="24"/>
        </w:rPr>
        <w:t>trade</w:t>
      </w:r>
      <w:r w:rsidR="007416C9">
        <w:rPr>
          <w:rFonts w:ascii="Times New Roman" w:hAnsi="Times New Roman" w:cs="Times New Roman"/>
          <w:sz w:val="24"/>
          <w:szCs w:val="24"/>
        </w:rPr>
        <w:t>-</w:t>
      </w:r>
      <w:r w:rsidR="0080284A">
        <w:rPr>
          <w:rFonts w:ascii="Times New Roman" w:hAnsi="Times New Roman" w:cs="Times New Roman"/>
          <w:sz w:val="24"/>
          <w:szCs w:val="24"/>
        </w:rPr>
        <w:t xml:space="preserve">theory specifications such as Melitz work in a </w:t>
      </w:r>
      <w:r w:rsidR="007416C9">
        <w:rPr>
          <w:rFonts w:ascii="Times New Roman" w:hAnsi="Times New Roman" w:cs="Times New Roman"/>
          <w:sz w:val="24"/>
          <w:szCs w:val="24"/>
        </w:rPr>
        <w:t xml:space="preserve">model </w:t>
      </w:r>
      <w:r w:rsidR="0080284A">
        <w:rPr>
          <w:rFonts w:ascii="Times New Roman" w:hAnsi="Times New Roman" w:cs="Times New Roman"/>
          <w:sz w:val="24"/>
          <w:szCs w:val="24"/>
        </w:rPr>
        <w:t xml:space="preserve">with </w:t>
      </w:r>
      <w:r w:rsidR="007416C9">
        <w:rPr>
          <w:rFonts w:ascii="Times New Roman" w:hAnsi="Times New Roman" w:cs="Times New Roman"/>
          <w:sz w:val="24"/>
          <w:szCs w:val="24"/>
        </w:rPr>
        <w:t>policy relevant i</w:t>
      </w:r>
      <w:r w:rsidR="0080284A">
        <w:rPr>
          <w:rFonts w:ascii="Times New Roman" w:hAnsi="Times New Roman" w:cs="Times New Roman"/>
          <w:sz w:val="24"/>
          <w:szCs w:val="24"/>
        </w:rPr>
        <w:t>ndustr</w:t>
      </w:r>
      <w:r w:rsidR="007416C9">
        <w:rPr>
          <w:rFonts w:ascii="Times New Roman" w:hAnsi="Times New Roman" w:cs="Times New Roman"/>
          <w:sz w:val="24"/>
          <w:szCs w:val="24"/>
        </w:rPr>
        <w:t>y</w:t>
      </w:r>
      <w:r w:rsidR="0080284A">
        <w:rPr>
          <w:rFonts w:ascii="Times New Roman" w:hAnsi="Times New Roman" w:cs="Times New Roman"/>
          <w:sz w:val="24"/>
          <w:szCs w:val="24"/>
        </w:rPr>
        <w:t xml:space="preserve"> and region</w:t>
      </w:r>
      <w:r w:rsidR="007416C9">
        <w:rPr>
          <w:rFonts w:ascii="Times New Roman" w:hAnsi="Times New Roman" w:cs="Times New Roman"/>
          <w:sz w:val="24"/>
          <w:szCs w:val="24"/>
        </w:rPr>
        <w:t>al disaggregation</w:t>
      </w:r>
      <w:r w:rsidR="0080284A">
        <w:rPr>
          <w:rFonts w:ascii="Times New Roman" w:hAnsi="Times New Roman" w:cs="Times New Roman"/>
          <w:sz w:val="24"/>
          <w:szCs w:val="24"/>
        </w:rPr>
        <w:t xml:space="preserve">.  Towards this </w:t>
      </w:r>
      <w:r w:rsidR="00135258">
        <w:rPr>
          <w:rFonts w:ascii="Times New Roman" w:hAnsi="Times New Roman" w:cs="Times New Roman"/>
          <w:sz w:val="24"/>
          <w:szCs w:val="24"/>
        </w:rPr>
        <w:t>objective, we</w:t>
      </w:r>
      <w:r w:rsidR="0080284A">
        <w:rPr>
          <w:rFonts w:ascii="Times New Roman" w:hAnsi="Times New Roman" w:cs="Times New Roman"/>
          <w:sz w:val="24"/>
          <w:szCs w:val="24"/>
        </w:rPr>
        <w:t xml:space="preserve"> </w:t>
      </w:r>
      <w:r w:rsidR="00C433D7">
        <w:rPr>
          <w:rFonts w:ascii="Times New Roman" w:hAnsi="Times New Roman" w:cs="Times New Roman"/>
          <w:sz w:val="24"/>
          <w:szCs w:val="24"/>
        </w:rPr>
        <w:t xml:space="preserve">formulated an equation that decomposes </w:t>
      </w:r>
      <w:r w:rsidR="0035392B">
        <w:rPr>
          <w:rFonts w:ascii="Times New Roman" w:hAnsi="Times New Roman" w:cs="Times New Roman"/>
          <w:sz w:val="24"/>
          <w:szCs w:val="24"/>
        </w:rPr>
        <w:t xml:space="preserve">Armington and Melitz </w:t>
      </w:r>
      <w:r w:rsidR="00217C15">
        <w:rPr>
          <w:rFonts w:ascii="Times New Roman" w:hAnsi="Times New Roman" w:cs="Times New Roman"/>
          <w:sz w:val="24"/>
          <w:szCs w:val="24"/>
        </w:rPr>
        <w:t xml:space="preserve">regional </w:t>
      </w:r>
      <w:r w:rsidR="0035392B">
        <w:rPr>
          <w:rFonts w:ascii="Times New Roman" w:hAnsi="Times New Roman" w:cs="Times New Roman"/>
          <w:sz w:val="24"/>
          <w:szCs w:val="24"/>
        </w:rPr>
        <w:t xml:space="preserve">welfare </w:t>
      </w:r>
      <w:r w:rsidR="00C433D7">
        <w:rPr>
          <w:rFonts w:ascii="Times New Roman" w:hAnsi="Times New Roman" w:cs="Times New Roman"/>
          <w:sz w:val="24"/>
          <w:szCs w:val="24"/>
        </w:rPr>
        <w:t xml:space="preserve">results </w:t>
      </w:r>
      <w:r w:rsidR="00135258">
        <w:rPr>
          <w:rFonts w:ascii="Times New Roman" w:hAnsi="Times New Roman" w:cs="Times New Roman"/>
          <w:sz w:val="24"/>
          <w:szCs w:val="24"/>
        </w:rPr>
        <w:t xml:space="preserve">from an A2M system </w:t>
      </w:r>
      <w:r w:rsidR="0035392B">
        <w:rPr>
          <w:rFonts w:ascii="Times New Roman" w:hAnsi="Times New Roman" w:cs="Times New Roman"/>
          <w:sz w:val="24"/>
          <w:szCs w:val="24"/>
        </w:rPr>
        <w:t xml:space="preserve">into </w:t>
      </w:r>
      <w:r w:rsidR="00135258">
        <w:rPr>
          <w:rFonts w:ascii="Times New Roman" w:hAnsi="Times New Roman" w:cs="Times New Roman"/>
          <w:sz w:val="24"/>
          <w:szCs w:val="24"/>
        </w:rPr>
        <w:t xml:space="preserve">the </w:t>
      </w:r>
      <w:r w:rsidR="0035392B">
        <w:rPr>
          <w:rFonts w:ascii="Times New Roman" w:hAnsi="Times New Roman" w:cs="Times New Roman"/>
          <w:sz w:val="24"/>
          <w:szCs w:val="24"/>
        </w:rPr>
        <w:t xml:space="preserve">parts attributable </w:t>
      </w:r>
      <w:r w:rsidR="0080284A">
        <w:rPr>
          <w:rFonts w:ascii="Times New Roman" w:hAnsi="Times New Roman" w:cs="Times New Roman"/>
          <w:sz w:val="24"/>
          <w:szCs w:val="24"/>
        </w:rPr>
        <w:t xml:space="preserve">to </w:t>
      </w:r>
      <w:r w:rsidR="0035392B">
        <w:rPr>
          <w:rFonts w:ascii="Times New Roman" w:hAnsi="Times New Roman" w:cs="Times New Roman"/>
          <w:sz w:val="24"/>
          <w:szCs w:val="24"/>
        </w:rPr>
        <w:t xml:space="preserve">changes in: </w:t>
      </w:r>
    </w:p>
    <w:p w:rsidR="00AB5046" w:rsidRDefault="0035392B" w:rsidP="00AB5046">
      <w:pPr>
        <w:pStyle w:val="ListParagraph"/>
        <w:numPr>
          <w:ilvl w:val="0"/>
          <w:numId w:val="10"/>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 xml:space="preserve">employment of primary factors; </w:t>
      </w:r>
    </w:p>
    <w:p w:rsidR="00217C15" w:rsidRDefault="0035392B" w:rsidP="00AB5046">
      <w:pPr>
        <w:pStyle w:val="ListParagraph"/>
        <w:numPr>
          <w:ilvl w:val="0"/>
          <w:numId w:val="10"/>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 xml:space="preserve">volumes of tax-carrying flows; </w:t>
      </w:r>
    </w:p>
    <w:p w:rsidR="00AB5046" w:rsidRDefault="0035392B" w:rsidP="00AB5046">
      <w:pPr>
        <w:pStyle w:val="ListParagraph"/>
        <w:numPr>
          <w:ilvl w:val="0"/>
          <w:numId w:val="10"/>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 xml:space="preserve">traditional terms of trade (excludes Melitz destination-specific pricing); </w:t>
      </w:r>
    </w:p>
    <w:p w:rsidR="00AB5046" w:rsidRDefault="0035392B" w:rsidP="00AB5046">
      <w:pPr>
        <w:pStyle w:val="ListParagraph"/>
        <w:numPr>
          <w:ilvl w:val="0"/>
          <w:numId w:val="10"/>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 xml:space="preserve">extra Melitz terms of trade (extra effects due to destination-specific pricing); and </w:t>
      </w:r>
    </w:p>
    <w:p w:rsidR="00AB5046" w:rsidRDefault="0035392B" w:rsidP="00AB5046">
      <w:pPr>
        <w:pStyle w:val="ListParagraph"/>
        <w:numPr>
          <w:ilvl w:val="0"/>
          <w:numId w:val="10"/>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scale-related efficiency in the production of effective units</w:t>
      </w:r>
      <w:r w:rsidR="00135258">
        <w:rPr>
          <w:rFonts w:ascii="Times New Roman" w:hAnsi="Times New Roman" w:cs="Times New Roman"/>
          <w:sz w:val="24"/>
          <w:szCs w:val="24"/>
        </w:rPr>
        <w:t>.</w:t>
      </w:r>
      <w:r>
        <w:rPr>
          <w:rFonts w:ascii="Times New Roman" w:hAnsi="Times New Roman" w:cs="Times New Roman"/>
          <w:sz w:val="24"/>
          <w:szCs w:val="24"/>
        </w:rPr>
        <w:t xml:space="preserve">  </w:t>
      </w:r>
    </w:p>
    <w:p w:rsidR="00005F73" w:rsidRDefault="00135258" w:rsidP="00AB5046">
      <w:pPr>
        <w:pStyle w:val="ListParagraph"/>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This decomposition reveals how various factors operate under Melitz and Armington.  But it doesn’t give us an intuitive understanding of the net outcome of </w:t>
      </w:r>
      <w:r w:rsidR="00094E7B">
        <w:rPr>
          <w:rFonts w:ascii="Times New Roman" w:hAnsi="Times New Roman" w:cs="Times New Roman"/>
          <w:sz w:val="24"/>
          <w:szCs w:val="24"/>
        </w:rPr>
        <w:t>these factors.  For example, via the decomposition we see, under Melitz assumptions, that the imposition of tariffs on wearing apparel (Wap) by NAmerica causes a welfare-reducing efficiency loss for SEAsia in its Wap industry</w:t>
      </w:r>
      <w:r w:rsidR="00AB5046">
        <w:rPr>
          <w:rFonts w:ascii="Times New Roman" w:hAnsi="Times New Roman" w:cs="Times New Roman"/>
          <w:sz w:val="24"/>
          <w:szCs w:val="24"/>
        </w:rPr>
        <w:t xml:space="preserve"> and an associated welfare-enhancing improvement in SEAsia’s terms of trade</w:t>
      </w:r>
      <w:r w:rsidR="00094E7B">
        <w:rPr>
          <w:rFonts w:ascii="Times New Roman" w:hAnsi="Times New Roman" w:cs="Times New Roman"/>
          <w:sz w:val="24"/>
          <w:szCs w:val="24"/>
        </w:rPr>
        <w:t xml:space="preserve">.  </w:t>
      </w:r>
      <w:r w:rsidR="00AB5046">
        <w:rPr>
          <w:rFonts w:ascii="Times New Roman" w:hAnsi="Times New Roman" w:cs="Times New Roman"/>
          <w:sz w:val="24"/>
          <w:szCs w:val="24"/>
        </w:rPr>
        <w:t>The decomposition results show that the net outcome is negative but don’t tell us why the negative efficien</w:t>
      </w:r>
      <w:r w:rsidR="00832FFA">
        <w:rPr>
          <w:rFonts w:ascii="Times New Roman" w:hAnsi="Times New Roman" w:cs="Times New Roman"/>
          <w:sz w:val="24"/>
          <w:szCs w:val="24"/>
        </w:rPr>
        <w:t>cy</w:t>
      </w:r>
      <w:r w:rsidR="00AB5046">
        <w:rPr>
          <w:rFonts w:ascii="Times New Roman" w:hAnsi="Times New Roman" w:cs="Times New Roman"/>
          <w:sz w:val="24"/>
          <w:szCs w:val="24"/>
        </w:rPr>
        <w:t xml:space="preserve"> effect outweighs the positive terms-of-trade effect.  </w:t>
      </w:r>
    </w:p>
    <w:p w:rsidR="00217C15" w:rsidRDefault="00005F73" w:rsidP="007203DF">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To go beyond simply observing that some effects are negative and some are positive, and that their total is whatever it is, we need an overarching theory of the net outcome checked out by back-of-the-envelope (BOTE) calculations.  In the case of our GTAP-A2M simulations of the effects of a Wap tariff </w:t>
      </w:r>
      <w:r w:rsidR="00832FFA">
        <w:rPr>
          <w:rFonts w:ascii="Times New Roman" w:hAnsi="Times New Roman" w:cs="Times New Roman"/>
          <w:sz w:val="24"/>
          <w:szCs w:val="24"/>
        </w:rPr>
        <w:t xml:space="preserve">imposed </w:t>
      </w:r>
      <w:r>
        <w:rPr>
          <w:rFonts w:ascii="Times New Roman" w:hAnsi="Times New Roman" w:cs="Times New Roman"/>
          <w:sz w:val="24"/>
          <w:szCs w:val="24"/>
        </w:rPr>
        <w:t xml:space="preserve">by NAmerica, we set out a 3-part overarching theory of why Melitz welfare results for SEAsia and other </w:t>
      </w:r>
      <w:r w:rsidR="007203DF">
        <w:rPr>
          <w:rFonts w:ascii="Times New Roman" w:hAnsi="Times New Roman" w:cs="Times New Roman"/>
          <w:sz w:val="24"/>
          <w:szCs w:val="24"/>
        </w:rPr>
        <w:t xml:space="preserve">major </w:t>
      </w:r>
      <w:r>
        <w:rPr>
          <w:rFonts w:ascii="Times New Roman" w:hAnsi="Times New Roman" w:cs="Times New Roman"/>
          <w:sz w:val="24"/>
          <w:szCs w:val="24"/>
        </w:rPr>
        <w:t>Wap exporting regions are more negative under Melitz than under Armington and why the welfare result for NAmerica is more positive under Melitz than under Armington</w:t>
      </w:r>
      <w:r w:rsidR="007203DF">
        <w:rPr>
          <w:rFonts w:ascii="Times New Roman" w:hAnsi="Times New Roman" w:cs="Times New Roman"/>
          <w:sz w:val="24"/>
          <w:szCs w:val="24"/>
        </w:rPr>
        <w:t>.</w:t>
      </w:r>
      <w:r>
        <w:rPr>
          <w:rFonts w:ascii="Times New Roman" w:hAnsi="Times New Roman" w:cs="Times New Roman"/>
          <w:sz w:val="24"/>
          <w:szCs w:val="24"/>
        </w:rPr>
        <w:t xml:space="preserve"> </w:t>
      </w:r>
      <w:r w:rsidR="007203DF">
        <w:rPr>
          <w:rFonts w:ascii="Times New Roman" w:hAnsi="Times New Roman" w:cs="Times New Roman"/>
          <w:sz w:val="24"/>
          <w:szCs w:val="24"/>
        </w:rPr>
        <w:t xml:space="preserve"> </w:t>
      </w:r>
    </w:p>
    <w:p w:rsidR="00217C15" w:rsidRDefault="007203DF" w:rsidP="007203DF">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first part of this theory is that </w:t>
      </w:r>
      <w:r w:rsidR="00C775B4">
        <w:rPr>
          <w:rFonts w:ascii="Times New Roman" w:hAnsi="Times New Roman" w:cs="Times New Roman"/>
          <w:sz w:val="24"/>
          <w:szCs w:val="24"/>
        </w:rPr>
        <w:t xml:space="preserve">the Melitz-related phenomenon of </w:t>
      </w:r>
      <w:r>
        <w:rPr>
          <w:rFonts w:ascii="Times New Roman" w:hAnsi="Times New Roman" w:cs="Times New Roman"/>
          <w:sz w:val="24"/>
          <w:szCs w:val="24"/>
        </w:rPr>
        <w:t>scale efficiency losses for major Wap</w:t>
      </w:r>
      <w:r w:rsidR="00217C15">
        <w:rPr>
          <w:rFonts w:ascii="Times New Roman" w:hAnsi="Times New Roman" w:cs="Times New Roman"/>
          <w:sz w:val="24"/>
          <w:szCs w:val="24"/>
        </w:rPr>
        <w:t>-</w:t>
      </w:r>
      <w:r>
        <w:rPr>
          <w:rFonts w:ascii="Times New Roman" w:hAnsi="Times New Roman" w:cs="Times New Roman"/>
          <w:sz w:val="24"/>
          <w:szCs w:val="24"/>
        </w:rPr>
        <w:t xml:space="preserve">exporting </w:t>
      </w:r>
      <w:r w:rsidR="00217C15">
        <w:rPr>
          <w:rFonts w:ascii="Times New Roman" w:hAnsi="Times New Roman" w:cs="Times New Roman"/>
          <w:sz w:val="24"/>
          <w:szCs w:val="24"/>
        </w:rPr>
        <w:t>regions</w:t>
      </w:r>
      <w:r>
        <w:rPr>
          <w:rFonts w:ascii="Times New Roman" w:hAnsi="Times New Roman" w:cs="Times New Roman"/>
          <w:sz w:val="24"/>
          <w:szCs w:val="24"/>
        </w:rPr>
        <w:t xml:space="preserve"> </w:t>
      </w:r>
      <w:r w:rsidR="00C775B4">
        <w:rPr>
          <w:rFonts w:ascii="Times New Roman" w:hAnsi="Times New Roman" w:cs="Times New Roman"/>
          <w:sz w:val="24"/>
          <w:szCs w:val="24"/>
        </w:rPr>
        <w:t xml:space="preserve">is relevant </w:t>
      </w:r>
      <w:r>
        <w:rPr>
          <w:rFonts w:ascii="Times New Roman" w:hAnsi="Times New Roman" w:cs="Times New Roman"/>
          <w:sz w:val="24"/>
          <w:szCs w:val="24"/>
        </w:rPr>
        <w:t xml:space="preserve">for their welfare only to the extent </w:t>
      </w:r>
      <w:r w:rsidR="00C775B4">
        <w:rPr>
          <w:rFonts w:ascii="Times New Roman" w:hAnsi="Times New Roman" w:cs="Times New Roman"/>
          <w:sz w:val="24"/>
          <w:szCs w:val="24"/>
        </w:rPr>
        <w:t>of the associated</w:t>
      </w:r>
      <w:r>
        <w:rPr>
          <w:rFonts w:ascii="Times New Roman" w:hAnsi="Times New Roman" w:cs="Times New Roman"/>
          <w:sz w:val="24"/>
          <w:szCs w:val="24"/>
        </w:rPr>
        <w:t xml:space="preserve"> </w:t>
      </w:r>
      <w:r w:rsidR="00971B34">
        <w:rPr>
          <w:rFonts w:ascii="Times New Roman" w:hAnsi="Times New Roman" w:cs="Times New Roman"/>
          <w:sz w:val="24"/>
          <w:szCs w:val="24"/>
        </w:rPr>
        <w:t>increase</w:t>
      </w:r>
      <w:r w:rsidR="00C775B4">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005C6CCD">
        <w:rPr>
          <w:rFonts w:ascii="Times New Roman" w:hAnsi="Times New Roman" w:cs="Times New Roman"/>
          <w:sz w:val="24"/>
          <w:szCs w:val="24"/>
        </w:rPr>
        <w:t>price</w:t>
      </w:r>
      <w:r w:rsidR="00C775B4">
        <w:rPr>
          <w:rFonts w:ascii="Times New Roman" w:hAnsi="Times New Roman" w:cs="Times New Roman"/>
          <w:sz w:val="24"/>
          <w:szCs w:val="24"/>
        </w:rPr>
        <w:t xml:space="preserve"> of</w:t>
      </w:r>
      <w:r>
        <w:rPr>
          <w:rFonts w:ascii="Times New Roman" w:hAnsi="Times New Roman" w:cs="Times New Roman"/>
          <w:sz w:val="24"/>
          <w:szCs w:val="24"/>
        </w:rPr>
        <w:t xml:space="preserve"> domestically produced </w:t>
      </w:r>
      <w:r w:rsidR="00971B34">
        <w:rPr>
          <w:rFonts w:ascii="Times New Roman" w:hAnsi="Times New Roman" w:cs="Times New Roman"/>
          <w:sz w:val="24"/>
          <w:szCs w:val="24"/>
        </w:rPr>
        <w:t xml:space="preserve">and consumed </w:t>
      </w:r>
      <w:r w:rsidR="005C6CCD">
        <w:rPr>
          <w:rFonts w:ascii="Times New Roman" w:hAnsi="Times New Roman" w:cs="Times New Roman"/>
          <w:sz w:val="24"/>
          <w:szCs w:val="24"/>
        </w:rPr>
        <w:t xml:space="preserve">effective units of </w:t>
      </w:r>
      <w:r>
        <w:rPr>
          <w:rFonts w:ascii="Times New Roman" w:hAnsi="Times New Roman" w:cs="Times New Roman"/>
          <w:sz w:val="24"/>
          <w:szCs w:val="24"/>
        </w:rPr>
        <w:t>Wap</w:t>
      </w:r>
      <w:r w:rsidR="005C6CCD">
        <w:rPr>
          <w:rFonts w:ascii="Times New Roman" w:hAnsi="Times New Roman" w:cs="Times New Roman"/>
          <w:sz w:val="24"/>
          <w:szCs w:val="24"/>
        </w:rPr>
        <w:t xml:space="preserve"> and the importance of domestic Wap in </w:t>
      </w:r>
      <w:r w:rsidR="004301D1">
        <w:rPr>
          <w:rFonts w:ascii="Times New Roman" w:hAnsi="Times New Roman" w:cs="Times New Roman"/>
          <w:sz w:val="24"/>
          <w:szCs w:val="24"/>
        </w:rPr>
        <w:t>the</w:t>
      </w:r>
      <w:r w:rsidR="00217C15">
        <w:rPr>
          <w:rFonts w:ascii="Times New Roman" w:hAnsi="Times New Roman" w:cs="Times New Roman"/>
          <w:sz w:val="24"/>
          <w:szCs w:val="24"/>
        </w:rPr>
        <w:t>ir</w:t>
      </w:r>
      <w:r w:rsidR="004301D1">
        <w:rPr>
          <w:rFonts w:ascii="Times New Roman" w:hAnsi="Times New Roman" w:cs="Times New Roman"/>
          <w:sz w:val="24"/>
          <w:szCs w:val="24"/>
        </w:rPr>
        <w:t xml:space="preserve"> </w:t>
      </w:r>
      <w:r w:rsidR="005C6CCD">
        <w:rPr>
          <w:rFonts w:ascii="Times New Roman" w:hAnsi="Times New Roman" w:cs="Times New Roman"/>
          <w:sz w:val="24"/>
          <w:szCs w:val="24"/>
        </w:rPr>
        <w:t xml:space="preserve">total consumption.  </w:t>
      </w:r>
      <w:r w:rsidR="00971B34">
        <w:rPr>
          <w:rFonts w:ascii="Times New Roman" w:hAnsi="Times New Roman" w:cs="Times New Roman"/>
          <w:sz w:val="24"/>
          <w:szCs w:val="24"/>
        </w:rPr>
        <w:t xml:space="preserve">Similarly, </w:t>
      </w:r>
      <w:r w:rsidR="00C775B4">
        <w:rPr>
          <w:rFonts w:ascii="Times New Roman" w:hAnsi="Times New Roman" w:cs="Times New Roman"/>
          <w:sz w:val="24"/>
          <w:szCs w:val="24"/>
        </w:rPr>
        <w:t xml:space="preserve">Melitz-related </w:t>
      </w:r>
      <w:r w:rsidR="00971B34">
        <w:rPr>
          <w:rFonts w:ascii="Times New Roman" w:hAnsi="Times New Roman" w:cs="Times New Roman"/>
          <w:sz w:val="24"/>
          <w:szCs w:val="24"/>
        </w:rPr>
        <w:t xml:space="preserve">efficiency gains in NAmeica’s Wap industry are relevant for NAmerica’s welfare only to the extent </w:t>
      </w:r>
      <w:r w:rsidR="005C6CCD">
        <w:rPr>
          <w:rFonts w:ascii="Times New Roman" w:hAnsi="Times New Roman" w:cs="Times New Roman"/>
          <w:sz w:val="24"/>
          <w:szCs w:val="24"/>
        </w:rPr>
        <w:t xml:space="preserve">of the associated reduction in the price </w:t>
      </w:r>
      <w:r w:rsidR="00C775B4">
        <w:rPr>
          <w:rFonts w:ascii="Times New Roman" w:hAnsi="Times New Roman" w:cs="Times New Roman"/>
          <w:sz w:val="24"/>
          <w:szCs w:val="24"/>
        </w:rPr>
        <w:t>of</w:t>
      </w:r>
      <w:r w:rsidR="00971B34">
        <w:rPr>
          <w:rFonts w:ascii="Times New Roman" w:hAnsi="Times New Roman" w:cs="Times New Roman"/>
          <w:sz w:val="24"/>
          <w:szCs w:val="24"/>
        </w:rPr>
        <w:t xml:space="preserve"> domestically produced and consumed </w:t>
      </w:r>
      <w:r w:rsidR="005C6CCD">
        <w:rPr>
          <w:rFonts w:ascii="Times New Roman" w:hAnsi="Times New Roman" w:cs="Times New Roman"/>
          <w:sz w:val="24"/>
          <w:szCs w:val="24"/>
        </w:rPr>
        <w:t>effective units of Wap</w:t>
      </w:r>
      <w:r w:rsidR="004301D1">
        <w:rPr>
          <w:rFonts w:ascii="Times New Roman" w:hAnsi="Times New Roman" w:cs="Times New Roman"/>
          <w:sz w:val="24"/>
          <w:szCs w:val="24"/>
        </w:rPr>
        <w:t xml:space="preserve"> and the importance of domestic Wap in NAmerica’s total consumption.  </w:t>
      </w:r>
    </w:p>
    <w:p w:rsidR="00217C15" w:rsidRDefault="00773374" w:rsidP="007203DF">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second part of the theory </w:t>
      </w:r>
      <w:r w:rsidR="007C40BD">
        <w:rPr>
          <w:rFonts w:ascii="Times New Roman" w:hAnsi="Times New Roman" w:cs="Times New Roman"/>
          <w:sz w:val="24"/>
          <w:szCs w:val="24"/>
        </w:rPr>
        <w:t xml:space="preserve">is that the Wap industry </w:t>
      </w:r>
      <w:r w:rsidR="004301D1">
        <w:rPr>
          <w:rFonts w:ascii="Times New Roman" w:hAnsi="Times New Roman" w:cs="Times New Roman"/>
          <w:sz w:val="24"/>
          <w:szCs w:val="24"/>
        </w:rPr>
        <w:t>in major Wap-exporting regions is more negatively impacted under Melitz than under Armington.  This is despite calibrating substitution elasticities so that the reduction in NAmerica’s Wap imports is the same in both the Armington and Melitz simulations.  Under Melitz, major Wap-exporting regions lose sales outside NAmerica</w:t>
      </w:r>
      <w:r w:rsidR="0031523E">
        <w:rPr>
          <w:rFonts w:ascii="Times New Roman" w:hAnsi="Times New Roman" w:cs="Times New Roman"/>
          <w:sz w:val="24"/>
          <w:szCs w:val="24"/>
        </w:rPr>
        <w:t xml:space="preserve"> because of efficiency deterioration</w:t>
      </w:r>
      <w:r w:rsidR="004301D1">
        <w:rPr>
          <w:rFonts w:ascii="Times New Roman" w:hAnsi="Times New Roman" w:cs="Times New Roman"/>
          <w:sz w:val="24"/>
          <w:szCs w:val="24"/>
        </w:rPr>
        <w:t xml:space="preserve">.  This doesn’t happen under Armington.  </w:t>
      </w:r>
      <w:r w:rsidR="0031523E">
        <w:rPr>
          <w:rFonts w:ascii="Times New Roman" w:hAnsi="Times New Roman" w:cs="Times New Roman"/>
          <w:sz w:val="24"/>
          <w:szCs w:val="24"/>
        </w:rPr>
        <w:t xml:space="preserve">With greater loss of Wap sales, the real devaluations required by major Wap exporters to rebalance trade is greater under Melitz than under Armington.  This produces a larger terms-of-trade welfare loss under Melitz than under Armington associated with greater expansion of exports outside Wap.  </w:t>
      </w:r>
    </w:p>
    <w:p w:rsidR="009273A3" w:rsidRDefault="0031523E" w:rsidP="007203DF">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The third part of the theory is that the welfare effects associated with tax-carrying flows magnify those produced in the first two parts.  Contraction of consumption in major Wap-</w:t>
      </w:r>
      <w:r>
        <w:rPr>
          <w:rFonts w:ascii="Times New Roman" w:hAnsi="Times New Roman" w:cs="Times New Roman"/>
          <w:sz w:val="24"/>
          <w:szCs w:val="24"/>
        </w:rPr>
        <w:lastRenderedPageBreak/>
        <w:t>exporting countries reduces their tax-carrying flows while expansion of consumption in NAmerica increases its ta</w:t>
      </w:r>
      <w:r w:rsidR="000E5B81">
        <w:rPr>
          <w:rFonts w:ascii="Times New Roman" w:hAnsi="Times New Roman" w:cs="Times New Roman"/>
          <w:sz w:val="24"/>
          <w:szCs w:val="24"/>
        </w:rPr>
        <w:t xml:space="preserve">x-carrying flows.  </w:t>
      </w:r>
    </w:p>
    <w:p w:rsidR="007203DF" w:rsidRPr="007203DF" w:rsidRDefault="009273A3" w:rsidP="007203DF">
      <w:pPr>
        <w:pStyle w:val="ListParagraph"/>
        <w:spacing w:after="0"/>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By combining elements from the GTAP database with GTAP-A2M results</w:t>
      </w:r>
      <w:r w:rsidR="009019A9">
        <w:rPr>
          <w:rFonts w:ascii="Times New Roman" w:hAnsi="Times New Roman" w:cs="Times New Roman"/>
          <w:sz w:val="24"/>
          <w:szCs w:val="24"/>
        </w:rPr>
        <w:t>,</w:t>
      </w:r>
      <w:r>
        <w:rPr>
          <w:rFonts w:ascii="Times New Roman" w:hAnsi="Times New Roman" w:cs="Times New Roman"/>
          <w:sz w:val="24"/>
          <w:szCs w:val="24"/>
        </w:rPr>
        <w:t xml:space="preserve"> we were able to confirm numerically that in combination the three parts of the overarching theory explain quite accurately the differences in the Melitz and Armington welfare results.  BOTE calculations are an important technique for cutting through the maze of complications in CGE models to locate </w:t>
      </w:r>
      <w:r w:rsidR="00173FBB">
        <w:rPr>
          <w:rFonts w:ascii="Times New Roman" w:hAnsi="Times New Roman" w:cs="Times New Roman"/>
          <w:sz w:val="24"/>
          <w:szCs w:val="24"/>
        </w:rPr>
        <w:t xml:space="preserve">for any specific result </w:t>
      </w:r>
      <w:r>
        <w:rPr>
          <w:rFonts w:ascii="Times New Roman" w:hAnsi="Times New Roman" w:cs="Times New Roman"/>
          <w:sz w:val="24"/>
          <w:szCs w:val="24"/>
        </w:rPr>
        <w:t xml:space="preserve">the essential </w:t>
      </w:r>
      <w:r w:rsidR="00173FBB">
        <w:rPr>
          <w:rFonts w:ascii="Times New Roman" w:hAnsi="Times New Roman" w:cs="Times New Roman"/>
          <w:sz w:val="24"/>
          <w:szCs w:val="24"/>
        </w:rPr>
        <w:t xml:space="preserve">underlying </w:t>
      </w:r>
      <w:r>
        <w:rPr>
          <w:rFonts w:ascii="Times New Roman" w:hAnsi="Times New Roman" w:cs="Times New Roman"/>
          <w:sz w:val="24"/>
          <w:szCs w:val="24"/>
        </w:rPr>
        <w:t xml:space="preserve">ingredients.  </w:t>
      </w:r>
    </w:p>
    <w:p w:rsidR="003F24DA" w:rsidRPr="00134739" w:rsidRDefault="003F24DA" w:rsidP="003F24DA">
      <w:pPr>
        <w:spacing w:before="120" w:after="0" w:line="240" w:lineRule="auto"/>
        <w:rPr>
          <w:rFonts w:ascii="Times New Roman" w:hAnsi="Times New Roman" w:cs="Times New Roman"/>
          <w:b/>
          <w:sz w:val="28"/>
          <w:szCs w:val="28"/>
        </w:rPr>
      </w:pPr>
      <w:bookmarkStart w:id="0" w:name="_GoBack"/>
      <w:bookmarkEnd w:id="0"/>
      <w:r w:rsidRPr="00134739">
        <w:rPr>
          <w:rFonts w:ascii="Times New Roman" w:hAnsi="Times New Roman" w:cs="Times New Roman"/>
          <w:b/>
          <w:sz w:val="28"/>
          <w:szCs w:val="28"/>
        </w:rPr>
        <w:t>References</w:t>
      </w:r>
    </w:p>
    <w:p w:rsidR="003F24DA" w:rsidRPr="00F00678" w:rsidRDefault="003F24DA" w:rsidP="003F24DA">
      <w:pPr>
        <w:tabs>
          <w:tab w:val="left" w:pos="567"/>
        </w:tabs>
        <w:autoSpaceDE w:val="0"/>
        <w:autoSpaceDN w:val="0"/>
        <w:adjustRightInd w:val="0"/>
        <w:spacing w:before="120" w:after="0" w:line="240" w:lineRule="auto"/>
        <w:ind w:left="562" w:hanging="562"/>
        <w:rPr>
          <w:rFonts w:ascii="Times New Roman" w:hAnsi="Times New Roman" w:cs="Times New Roman"/>
          <w:color w:val="000000"/>
          <w:sz w:val="24"/>
          <w:szCs w:val="24"/>
          <w:shd w:val="clear" w:color="auto" w:fill="FFFFFF"/>
        </w:rPr>
      </w:pPr>
      <w:r w:rsidRPr="00F00678">
        <w:rPr>
          <w:rFonts w:ascii="Times New Roman" w:hAnsi="Times New Roman" w:cs="Times New Roman"/>
          <w:color w:val="000000"/>
          <w:sz w:val="24"/>
          <w:szCs w:val="24"/>
          <w:shd w:val="clear" w:color="auto" w:fill="FFFFFF"/>
        </w:rPr>
        <w:t>Akgul, Z.; N.B. Villoria and T.W. Hertel (2016), “GTAP-HET: Introducing Firm Heterogeneity into the GTAP Model”</w:t>
      </w:r>
      <w:r w:rsidRPr="00B13FDF">
        <w:rPr>
          <w:rFonts w:ascii="Times New Roman" w:hAnsi="Times New Roman" w:cs="Times New Roman"/>
          <w:b/>
          <w:color w:val="000000"/>
          <w:sz w:val="24"/>
          <w:szCs w:val="24"/>
          <w:shd w:val="clear" w:color="auto" w:fill="FFFFFF"/>
        </w:rPr>
        <w:t xml:space="preserve">, </w:t>
      </w:r>
      <w:r w:rsidRPr="00B13FDF">
        <w:rPr>
          <w:rStyle w:val="Strong"/>
          <w:rFonts w:ascii="Times New Roman" w:hAnsi="Times New Roman" w:cs="Times New Roman"/>
          <w:b w:val="0"/>
          <w:i/>
          <w:color w:val="000000"/>
          <w:sz w:val="24"/>
          <w:szCs w:val="24"/>
          <w:shd w:val="clear" w:color="auto" w:fill="FFFFFF"/>
        </w:rPr>
        <w:t>Journal of Global Economic Analysis</w:t>
      </w:r>
      <w:r w:rsidRPr="00B13FDF">
        <w:rPr>
          <w:rStyle w:val="Strong"/>
          <w:rFonts w:ascii="Times New Roman" w:hAnsi="Times New Roman" w:cs="Times New Roman"/>
          <w:b w:val="0"/>
          <w:color w:val="000000"/>
          <w:sz w:val="24"/>
          <w:szCs w:val="24"/>
          <w:shd w:val="clear" w:color="auto" w:fill="FFFFFF"/>
        </w:rPr>
        <w:t xml:space="preserve">, </w:t>
      </w:r>
      <w:r w:rsidRPr="00B13FDF">
        <w:rPr>
          <w:rStyle w:val="Strong"/>
          <w:rFonts w:ascii="Times New Roman" w:hAnsi="Times New Roman" w:cs="Times New Roman"/>
          <w:b w:val="0"/>
          <w:sz w:val="24"/>
          <w:szCs w:val="24"/>
        </w:rPr>
        <w:t>vol. 1(1),</w:t>
      </w:r>
      <w:r w:rsidRPr="00F00678">
        <w:rPr>
          <w:rStyle w:val="Strong"/>
          <w:rFonts w:ascii="Times New Roman" w:hAnsi="Times New Roman" w:cs="Times New Roman"/>
          <w:sz w:val="24"/>
          <w:szCs w:val="24"/>
        </w:rPr>
        <w:t xml:space="preserve"> </w:t>
      </w:r>
      <w:r w:rsidRPr="00F00678">
        <w:rPr>
          <w:rFonts w:ascii="Times New Roman" w:hAnsi="Times New Roman" w:cs="Times New Roman"/>
          <w:color w:val="000000"/>
          <w:sz w:val="24"/>
          <w:szCs w:val="24"/>
          <w:shd w:val="clear" w:color="auto" w:fill="FFFFFF"/>
        </w:rPr>
        <w:t xml:space="preserve"> pp. 111-180. </w:t>
      </w:r>
    </w:p>
    <w:p w:rsidR="003F24DA" w:rsidRPr="00F00678" w:rsidRDefault="003F24DA" w:rsidP="003F24DA">
      <w:pPr>
        <w:tabs>
          <w:tab w:val="left" w:pos="567"/>
        </w:tabs>
        <w:autoSpaceDE w:val="0"/>
        <w:autoSpaceDN w:val="0"/>
        <w:adjustRightInd w:val="0"/>
        <w:spacing w:before="120" w:after="0" w:line="240" w:lineRule="auto"/>
        <w:ind w:left="562" w:hanging="562"/>
        <w:rPr>
          <w:rFonts w:ascii="Times New Roman" w:hAnsi="Times New Roman" w:cs="Times New Roman"/>
          <w:sz w:val="24"/>
          <w:szCs w:val="24"/>
        </w:rPr>
      </w:pPr>
      <w:r w:rsidRPr="00F00678">
        <w:rPr>
          <w:rFonts w:ascii="Times New Roman" w:hAnsi="Times New Roman" w:cs="Times New Roman"/>
          <w:sz w:val="24"/>
          <w:szCs w:val="24"/>
        </w:rPr>
        <w:t xml:space="preserve">Balistreri, E. and T. Rutherford (2013), “Computing general equilibrium theories of monopolistic competition and heterogeneous firms”, chapter 23 in Dixon P.B. and D.W. Jorgenson (editors), </w:t>
      </w:r>
      <w:r w:rsidRPr="00F00678">
        <w:rPr>
          <w:rFonts w:ascii="Times New Roman" w:hAnsi="Times New Roman" w:cs="Times New Roman"/>
          <w:i/>
          <w:iCs/>
          <w:sz w:val="24"/>
          <w:szCs w:val="24"/>
        </w:rPr>
        <w:t>Handbook of Computable General Equilibrium Modeling</w:t>
      </w:r>
      <w:r w:rsidRPr="00F00678">
        <w:rPr>
          <w:rFonts w:ascii="Times New Roman" w:hAnsi="Times New Roman" w:cs="Times New Roman"/>
          <w:sz w:val="24"/>
          <w:szCs w:val="24"/>
        </w:rPr>
        <w:t>,</w:t>
      </w:r>
      <w:r w:rsidRPr="00F00678">
        <w:rPr>
          <w:rFonts w:ascii="Times New Roman" w:hAnsi="Times New Roman" w:cs="Times New Roman"/>
          <w:i/>
          <w:iCs/>
          <w:sz w:val="24"/>
          <w:szCs w:val="24"/>
        </w:rPr>
        <w:t xml:space="preserve"> </w:t>
      </w:r>
      <w:r w:rsidRPr="00F00678">
        <w:rPr>
          <w:rFonts w:ascii="Times New Roman" w:hAnsi="Times New Roman" w:cs="Times New Roman"/>
          <w:sz w:val="24"/>
          <w:szCs w:val="24"/>
        </w:rPr>
        <w:t xml:space="preserve">Elsevier, pp. 1513-1570. </w:t>
      </w:r>
    </w:p>
    <w:p w:rsidR="003F24DA" w:rsidRDefault="003F24DA" w:rsidP="003F24DA">
      <w:pPr>
        <w:tabs>
          <w:tab w:val="left" w:pos="567"/>
        </w:tabs>
        <w:autoSpaceDE w:val="0"/>
        <w:autoSpaceDN w:val="0"/>
        <w:adjustRightInd w:val="0"/>
        <w:spacing w:before="120" w:after="0" w:line="240" w:lineRule="auto"/>
        <w:ind w:left="562" w:hanging="562"/>
        <w:rPr>
          <w:rFonts w:ascii="Times New Roman" w:hAnsi="Times New Roman" w:cs="Times New Roman"/>
          <w:color w:val="000000"/>
          <w:sz w:val="24"/>
          <w:szCs w:val="24"/>
          <w:shd w:val="clear" w:color="auto" w:fill="FFFFFF"/>
        </w:rPr>
      </w:pPr>
      <w:r w:rsidRPr="003F24DA">
        <w:rPr>
          <w:rFonts w:ascii="Times New Roman" w:hAnsi="Times New Roman" w:cs="Times New Roman"/>
          <w:color w:val="000000"/>
          <w:sz w:val="24"/>
          <w:szCs w:val="24"/>
          <w:shd w:val="clear" w:color="auto" w:fill="FFFFFF"/>
        </w:rPr>
        <w:t xml:space="preserve">Hertel, T. W., editor, (1997), </w:t>
      </w:r>
      <w:r w:rsidRPr="003F24DA">
        <w:rPr>
          <w:rFonts w:ascii="Times New Roman" w:hAnsi="Times New Roman" w:cs="Times New Roman"/>
          <w:i/>
          <w:color w:val="000000"/>
          <w:sz w:val="24"/>
          <w:szCs w:val="24"/>
          <w:shd w:val="clear" w:color="auto" w:fill="FFFFFF"/>
        </w:rPr>
        <w:t xml:space="preserve">Global trade analysis: modeling and applications, </w:t>
      </w:r>
      <w:r w:rsidRPr="003F24DA">
        <w:rPr>
          <w:rFonts w:ascii="Times New Roman" w:hAnsi="Times New Roman" w:cs="Times New Roman"/>
          <w:color w:val="000000"/>
          <w:sz w:val="24"/>
          <w:szCs w:val="24"/>
          <w:shd w:val="clear" w:color="auto" w:fill="FFFFFF"/>
        </w:rPr>
        <w:t xml:space="preserve">Cambridge University Press, Cambridge, UK. </w:t>
      </w:r>
    </w:p>
    <w:p w:rsidR="003F24DA" w:rsidRPr="00443CAC" w:rsidRDefault="003F24DA" w:rsidP="003F24DA">
      <w:pPr>
        <w:tabs>
          <w:tab w:val="left" w:pos="567"/>
        </w:tabs>
        <w:autoSpaceDE w:val="0"/>
        <w:autoSpaceDN w:val="0"/>
        <w:adjustRightInd w:val="0"/>
        <w:spacing w:before="120" w:after="0" w:line="240" w:lineRule="auto"/>
        <w:ind w:left="562" w:hanging="562"/>
        <w:rPr>
          <w:rFonts w:ascii="Times New Roman" w:hAnsi="Times New Roman" w:cs="Times New Roman"/>
          <w:sz w:val="24"/>
          <w:szCs w:val="24"/>
        </w:rPr>
      </w:pPr>
      <w:r w:rsidRPr="00F00678">
        <w:rPr>
          <w:rFonts w:ascii="Times New Roman" w:hAnsi="Times New Roman" w:cs="Times New Roman"/>
          <w:sz w:val="24"/>
          <w:szCs w:val="24"/>
        </w:rPr>
        <w:t xml:space="preserve">Melitz, Marc J. (2003), “The impact of trade on intra-industry reallocations and aggregate industry productivity”, </w:t>
      </w:r>
      <w:r w:rsidRPr="00F00678">
        <w:rPr>
          <w:rFonts w:ascii="Times New Roman" w:hAnsi="Times New Roman" w:cs="Times New Roman"/>
          <w:i/>
          <w:iCs/>
          <w:sz w:val="24"/>
          <w:szCs w:val="24"/>
        </w:rPr>
        <w:t>Econometrica</w:t>
      </w:r>
      <w:r w:rsidRPr="00F00678">
        <w:rPr>
          <w:rFonts w:ascii="Times New Roman" w:hAnsi="Times New Roman" w:cs="Times New Roman"/>
          <w:sz w:val="24"/>
          <w:szCs w:val="24"/>
        </w:rPr>
        <w:t>, 71(6), pp. 1695–1725</w:t>
      </w:r>
    </w:p>
    <w:sectPr w:rsidR="003F24DA" w:rsidRPr="00443CAC" w:rsidSect="004B13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189" w:rsidRDefault="00113189" w:rsidP="00DB23EC">
      <w:pPr>
        <w:spacing w:after="0" w:line="240" w:lineRule="auto"/>
      </w:pPr>
      <w:r>
        <w:separator/>
      </w:r>
    </w:p>
  </w:endnote>
  <w:endnote w:type="continuationSeparator" w:id="0">
    <w:p w:rsidR="00113189" w:rsidRDefault="00113189" w:rsidP="00DB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292288"/>
      <w:docPartObj>
        <w:docPartGallery w:val="Page Numbers (Bottom of Page)"/>
        <w:docPartUnique/>
      </w:docPartObj>
    </w:sdtPr>
    <w:sdtEndPr>
      <w:rPr>
        <w:noProof/>
      </w:rPr>
    </w:sdtEndPr>
    <w:sdtContent>
      <w:p w:rsidR="00EB27BA" w:rsidRDefault="00EB27BA">
        <w:pPr>
          <w:pStyle w:val="Footer"/>
          <w:jc w:val="center"/>
        </w:pPr>
        <w:r>
          <w:fldChar w:fldCharType="begin"/>
        </w:r>
        <w:r>
          <w:instrText xml:space="preserve"> PAGE   \* MERGEFORMAT </w:instrText>
        </w:r>
        <w:r>
          <w:fldChar w:fldCharType="separate"/>
        </w:r>
        <w:r w:rsidR="004358F1">
          <w:rPr>
            <w:noProof/>
          </w:rPr>
          <w:t>25</w:t>
        </w:r>
        <w:r>
          <w:rPr>
            <w:noProof/>
          </w:rPr>
          <w:fldChar w:fldCharType="end"/>
        </w:r>
      </w:p>
    </w:sdtContent>
  </w:sdt>
  <w:p w:rsidR="00EB27BA" w:rsidRDefault="00EB2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189" w:rsidRDefault="00113189" w:rsidP="00DB23EC">
      <w:pPr>
        <w:spacing w:after="0" w:line="240" w:lineRule="auto"/>
      </w:pPr>
      <w:r>
        <w:separator/>
      </w:r>
    </w:p>
  </w:footnote>
  <w:footnote w:type="continuationSeparator" w:id="0">
    <w:p w:rsidR="00113189" w:rsidRDefault="00113189" w:rsidP="00DB23EC">
      <w:pPr>
        <w:spacing w:after="0" w:line="240" w:lineRule="auto"/>
      </w:pPr>
      <w:r>
        <w:continuationSeparator/>
      </w:r>
    </w:p>
  </w:footnote>
  <w:footnote w:id="1">
    <w:p w:rsidR="00EB27BA" w:rsidRPr="000C4587" w:rsidRDefault="00EB27BA" w:rsidP="00BF3404">
      <w:pPr>
        <w:pStyle w:val="FootnoteText"/>
        <w:rPr>
          <w:rFonts w:ascii="Times New Roman" w:hAnsi="Times New Roman" w:cs="Times New Roman"/>
          <w:lang w:val="en-AU"/>
        </w:rPr>
      </w:pPr>
      <w:r w:rsidRPr="000C4587">
        <w:rPr>
          <w:rStyle w:val="FootnoteReference"/>
          <w:rFonts w:ascii="Times New Roman" w:hAnsi="Times New Roman" w:cs="Times New Roman"/>
        </w:rPr>
        <w:footnoteRef/>
      </w:r>
      <w:r w:rsidRPr="000C4587">
        <w:rPr>
          <w:rFonts w:ascii="Times New Roman" w:hAnsi="Times New Roman" w:cs="Times New Roman"/>
        </w:rPr>
        <w:t xml:space="preserve"> </w:t>
      </w:r>
      <w:r w:rsidRPr="000C4587">
        <w:rPr>
          <w:rFonts w:ascii="Times New Roman" w:hAnsi="Times New Roman" w:cs="Times New Roman"/>
          <w:lang w:val="en-AU"/>
        </w:rPr>
        <w:t xml:space="preserve"> </w:t>
      </w:r>
      <w:r>
        <w:rPr>
          <w:rFonts w:ascii="Times New Roman" w:hAnsi="Times New Roman" w:cs="Times New Roman"/>
          <w:lang w:val="en-AU"/>
        </w:rPr>
        <w:t xml:space="preserve">The GTAP website is at </w:t>
      </w:r>
      <w:hyperlink r:id="rId1" w:history="1">
        <w:r w:rsidRPr="00031C82">
          <w:rPr>
            <w:rStyle w:val="Hyperlink"/>
            <w:rFonts w:ascii="Times New Roman" w:hAnsi="Times New Roman" w:cs="Times New Roman"/>
            <w:lang w:val="en-AU"/>
          </w:rPr>
          <w:t>https://www.gtap.agecon.purdue.edu/</w:t>
        </w:r>
      </w:hyperlink>
      <w:r>
        <w:rPr>
          <w:rFonts w:ascii="Times New Roman" w:hAnsi="Times New Roman" w:cs="Times New Roman"/>
          <w:lang w:val="en-AU"/>
        </w:rPr>
        <w:t xml:space="preserve"> .  </w:t>
      </w:r>
    </w:p>
  </w:footnote>
  <w:footnote w:id="2">
    <w:p w:rsidR="00EB27BA" w:rsidRPr="005472B9" w:rsidRDefault="00EB27BA">
      <w:pPr>
        <w:pStyle w:val="FootnoteText"/>
        <w:rPr>
          <w:rFonts w:ascii="Times New Roman" w:hAnsi="Times New Roman" w:cs="Times New Roman"/>
          <w:lang w:val="en-AU"/>
        </w:rPr>
      </w:pPr>
      <w:r w:rsidRPr="005472B9">
        <w:rPr>
          <w:rStyle w:val="FootnoteReference"/>
          <w:rFonts w:ascii="Times New Roman" w:hAnsi="Times New Roman" w:cs="Times New Roman"/>
        </w:rPr>
        <w:footnoteRef/>
      </w:r>
      <w:r w:rsidRPr="005472B9">
        <w:rPr>
          <w:rFonts w:ascii="Times New Roman" w:hAnsi="Times New Roman" w:cs="Times New Roman"/>
        </w:rPr>
        <w:t xml:space="preserve"> </w:t>
      </w:r>
      <w:r>
        <w:rPr>
          <w:rFonts w:ascii="Times New Roman" w:hAnsi="Times New Roman" w:cs="Times New Roman"/>
        </w:rPr>
        <w:t xml:space="preserve"> We include the dot subscript on factory, market, fob, cif, and purchasers prices.  The dot signifies the typical firm.  All firms are “typical’ in Armington.  Consequently for Armington the dots are not required.  However, their inclusion does no harm and is convenient for linking Armington to Melitz where the dots do have a role.  </w:t>
      </w:r>
    </w:p>
  </w:footnote>
  <w:footnote w:id="3">
    <w:p w:rsidR="00EB27BA" w:rsidRPr="00F03066" w:rsidRDefault="00EB27BA">
      <w:pPr>
        <w:pStyle w:val="FootnoteText"/>
        <w:rPr>
          <w:rFonts w:ascii="Times New Roman" w:hAnsi="Times New Roman" w:cs="Times New Roman"/>
          <w:sz w:val="18"/>
          <w:szCs w:val="18"/>
          <w:lang w:val="en-AU"/>
        </w:rPr>
      </w:pPr>
      <w:r w:rsidRPr="00F03066">
        <w:rPr>
          <w:rStyle w:val="FootnoteReference"/>
          <w:rFonts w:ascii="Times New Roman" w:hAnsi="Times New Roman" w:cs="Times New Roman"/>
          <w:sz w:val="18"/>
          <w:szCs w:val="18"/>
        </w:rPr>
        <w:footnoteRef/>
      </w:r>
      <w:r w:rsidRPr="00F03066">
        <w:rPr>
          <w:rFonts w:ascii="Times New Roman" w:hAnsi="Times New Roman" w:cs="Times New Roman"/>
          <w:sz w:val="18"/>
          <w:szCs w:val="18"/>
        </w:rPr>
        <w:t xml:space="preserve"> </w:t>
      </w:r>
      <w:r>
        <w:rPr>
          <w:rFonts w:ascii="Times New Roman" w:hAnsi="Times New Roman" w:cs="Times New Roman"/>
          <w:sz w:val="18"/>
          <w:szCs w:val="18"/>
        </w:rPr>
        <w:t xml:space="preserve"> In Chapter 6 we treated the MU’s as variables.  This was necessary for illustrating how the BR algorithm works.  </w:t>
      </w:r>
    </w:p>
  </w:footnote>
  <w:footnote w:id="4">
    <w:p w:rsidR="00EB27BA" w:rsidRPr="00C86237" w:rsidRDefault="00EB27BA">
      <w:pPr>
        <w:pStyle w:val="FootnoteText"/>
        <w:rPr>
          <w:rFonts w:ascii="Times New Roman" w:hAnsi="Times New Roman" w:cs="Times New Roman"/>
          <w:lang w:val="en-AU"/>
        </w:rPr>
      </w:pPr>
      <w:r w:rsidRPr="00C86237">
        <w:rPr>
          <w:rStyle w:val="FootnoteReference"/>
          <w:rFonts w:ascii="Times New Roman" w:hAnsi="Times New Roman" w:cs="Times New Roman"/>
        </w:rPr>
        <w:footnoteRef/>
      </w:r>
      <w:r w:rsidRPr="00C8623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sym w:font="Symbol" w:char="F064"/>
      </w:r>
      <w:r>
        <w:rPr>
          <w:rFonts w:ascii="Times New Roman" w:hAnsi="Times New Roman" w:cs="Times New Roman"/>
          <w:vertAlign w:val="subscript"/>
        </w:rPr>
        <w:t>sd,c</w:t>
      </w:r>
      <w:r>
        <w:rPr>
          <w:rFonts w:ascii="Times New Roman" w:hAnsi="Times New Roman" w:cs="Times New Roman"/>
        </w:rPr>
        <w:t xml:space="preserve"> is treated as a parameter throughout this chapter.  </w:t>
      </w:r>
    </w:p>
  </w:footnote>
  <w:footnote w:id="5">
    <w:p w:rsidR="00EB27BA" w:rsidRPr="00EB5A88" w:rsidRDefault="00EB27BA">
      <w:pPr>
        <w:pStyle w:val="FootnoteText"/>
        <w:rPr>
          <w:rFonts w:ascii="Times New Roman" w:hAnsi="Times New Roman" w:cs="Times New Roman"/>
          <w:lang w:val="en-AU"/>
        </w:rPr>
      </w:pPr>
      <w:r w:rsidRPr="00EB5A88">
        <w:rPr>
          <w:rStyle w:val="FootnoteReference"/>
          <w:rFonts w:ascii="Times New Roman" w:hAnsi="Times New Roman" w:cs="Times New Roman"/>
        </w:rPr>
        <w:footnoteRef/>
      </w:r>
      <w:r w:rsidRPr="00EB5A88">
        <w:rPr>
          <w:rFonts w:ascii="Times New Roman" w:hAnsi="Times New Roman" w:cs="Times New Roman"/>
        </w:rPr>
        <w:t xml:space="preserve"> </w:t>
      </w:r>
      <w:r w:rsidRPr="00EB5A88">
        <w:rPr>
          <w:rFonts w:ascii="Times New Roman" w:hAnsi="Times New Roman" w:cs="Times New Roman"/>
          <w:lang w:val="en-AU"/>
        </w:rPr>
        <w:t xml:space="preserve"> </w:t>
      </w:r>
      <w:r>
        <w:rPr>
          <w:rFonts w:ascii="Times New Roman" w:hAnsi="Times New Roman" w:cs="Times New Roman"/>
          <w:lang w:val="en-AU"/>
        </w:rPr>
        <w:t xml:space="preserve">In deriving (7.13) from the Melitz version of (T2.2) it is useful to note that </w:t>
      </w:r>
      <w:r w:rsidRPr="00EB5A88">
        <w:rPr>
          <w:rFonts w:ascii="Times New Roman" w:hAnsi="Times New Roman" w:cs="Times New Roman"/>
          <w:position w:val="-24"/>
          <w:lang w:val="en-AU"/>
        </w:rPr>
        <w:object w:dxaOrig="3739" w:dyaOrig="460">
          <v:shape id="_x0000_i1185" type="#_x0000_t75" style="width:187pt;height:23pt" o:ole="">
            <v:imagedata r:id="rId2" o:title=""/>
          </v:shape>
          <o:OLEObject Type="Embed" ProgID="Equation.DSMT4" ShapeID="_x0000_i1185" DrawAspect="Content" ObjectID="_1585147776" r:id="rId3"/>
        </w:object>
      </w:r>
      <w:r w:rsidRPr="00EB5A88">
        <w:rPr>
          <w:rFonts w:ascii="Times New Roman" w:hAnsi="Times New Roman" w:cs="Times New Roman"/>
          <w:lang w:val="en-AU"/>
        </w:rPr>
        <w:t xml:space="preserve">, see (A4.3.9).   </w:t>
      </w:r>
    </w:p>
  </w:footnote>
  <w:footnote w:id="6">
    <w:p w:rsidR="00EB27BA" w:rsidRPr="00D832DA" w:rsidRDefault="00EB27BA">
      <w:pPr>
        <w:pStyle w:val="FootnoteText"/>
        <w:rPr>
          <w:rFonts w:ascii="Times New Roman" w:hAnsi="Times New Roman" w:cs="Times New Roman"/>
          <w:lang w:val="en-AU"/>
        </w:rPr>
      </w:pPr>
      <w:r w:rsidRPr="00D832DA">
        <w:rPr>
          <w:rStyle w:val="FootnoteReference"/>
          <w:rFonts w:ascii="Times New Roman" w:hAnsi="Times New Roman" w:cs="Times New Roman"/>
        </w:rPr>
        <w:footnoteRef/>
      </w:r>
      <w:r w:rsidRPr="00D832DA">
        <w:rPr>
          <w:rFonts w:ascii="Times New Roman" w:hAnsi="Times New Roman" w:cs="Times New Roman"/>
        </w:rPr>
        <w:t xml:space="preserve"> </w:t>
      </w:r>
      <w:r>
        <w:rPr>
          <w:rFonts w:ascii="Times New Roman" w:hAnsi="Times New Roman" w:cs="Times New Roman"/>
        </w:rPr>
        <w:t xml:space="preserve"> In using Appendix 4.3 to follow the derivation of (T7.20), it is helpful to note that in the appendix: the c subscript is dropped; T</w:t>
      </w:r>
      <w:r>
        <w:rPr>
          <w:rFonts w:ascii="Times New Roman" w:hAnsi="Times New Roman" w:cs="Times New Roman"/>
          <w:vertAlign w:val="subscript"/>
        </w:rPr>
        <w:t>sd</w:t>
      </w:r>
      <w:r>
        <w:rPr>
          <w:rFonts w:ascii="Times New Roman" w:hAnsi="Times New Roman" w:cs="Times New Roman"/>
        </w:rPr>
        <w:t xml:space="preserve"> represents the power of a tariff, now denoted by TM</w:t>
      </w:r>
      <w:r>
        <w:rPr>
          <w:rFonts w:ascii="Times New Roman" w:hAnsi="Times New Roman" w:cs="Times New Roman"/>
          <w:vertAlign w:val="subscript"/>
        </w:rPr>
        <w:t>sd,c</w:t>
      </w:r>
      <w:r>
        <w:rPr>
          <w:rFonts w:ascii="Times New Roman" w:hAnsi="Times New Roman" w:cs="Times New Roman"/>
        </w:rPr>
        <w:t>; and V(s,d)/T</w:t>
      </w:r>
      <w:r>
        <w:rPr>
          <w:rFonts w:ascii="Times New Roman" w:hAnsi="Times New Roman" w:cs="Times New Roman"/>
          <w:vertAlign w:val="subscript"/>
        </w:rPr>
        <w:t>sd</w:t>
      </w:r>
      <w:r>
        <w:rPr>
          <w:rFonts w:ascii="Times New Roman" w:hAnsi="Times New Roman" w:cs="Times New Roman"/>
        </w:rPr>
        <w:t xml:space="preserve"> is now denoted by MARKETV(s,d,c).  Also recall from (A2.1.7) that </w:t>
      </w:r>
      <w:r w:rsidRPr="00C86237">
        <w:rPr>
          <w:rFonts w:ascii="Times New Roman" w:hAnsi="Times New Roman" w:cs="Times New Roman"/>
          <w:position w:val="-10"/>
        </w:rPr>
        <w:object w:dxaOrig="2120" w:dyaOrig="360">
          <v:shape id="_x0000_i1187" type="#_x0000_t75" style="width:106pt;height:18pt" o:ole="">
            <v:imagedata r:id="rId4" o:title=""/>
          </v:shape>
          <o:OLEObject Type="Embed" ProgID="Equation.DSMT4" ShapeID="_x0000_i1187" DrawAspect="Content" ObjectID="_1585147777" r:id="rId5"/>
        </w:object>
      </w:r>
      <w:r>
        <w:rPr>
          <w:rFonts w:ascii="Times New Roman" w:hAnsi="Times New Roman" w:cs="Times New Roman"/>
        </w:rPr>
        <w:t>.</w:t>
      </w:r>
    </w:p>
  </w:footnote>
  <w:footnote w:id="7">
    <w:p w:rsidR="00EB27BA" w:rsidRPr="00BE6862" w:rsidRDefault="00EB27BA">
      <w:pPr>
        <w:pStyle w:val="FootnoteText"/>
        <w:rPr>
          <w:rFonts w:ascii="Times New Roman" w:hAnsi="Times New Roman" w:cs="Times New Roman"/>
          <w:lang w:val="en-AU"/>
        </w:rPr>
      </w:pPr>
      <w:r w:rsidRPr="00BE6862">
        <w:rPr>
          <w:rStyle w:val="FootnoteReference"/>
          <w:rFonts w:ascii="Times New Roman" w:hAnsi="Times New Roman" w:cs="Times New Roman"/>
        </w:rPr>
        <w:footnoteRef/>
      </w:r>
      <w:r w:rsidRPr="00BE6862">
        <w:rPr>
          <w:rFonts w:ascii="Times New Roman" w:hAnsi="Times New Roman" w:cs="Times New Roman"/>
        </w:rPr>
        <w:t xml:space="preserve"> </w:t>
      </w:r>
      <w:r w:rsidRPr="00BE6862">
        <w:rPr>
          <w:rFonts w:ascii="Times New Roman" w:hAnsi="Times New Roman" w:cs="Times New Roman"/>
          <w:lang w:val="en-AU"/>
        </w:rPr>
        <w:t xml:space="preserve"> The standard version of GTAP includes all-input-saving technical change variables ao(i,r) determined by several shift variables.  Our aoMel(i,r) appears as an additional shifter in the determination of ao(i,r).</w:t>
      </w:r>
    </w:p>
  </w:footnote>
  <w:footnote w:id="8">
    <w:p w:rsidR="00EB27BA" w:rsidRPr="00010C7E" w:rsidRDefault="00EB27BA">
      <w:pPr>
        <w:pStyle w:val="FootnoteText"/>
        <w:rPr>
          <w:rFonts w:ascii="Times New Roman" w:hAnsi="Times New Roman" w:cs="Times New Roman"/>
          <w:lang w:val="en-AU"/>
        </w:rPr>
      </w:pPr>
      <w:r>
        <w:rPr>
          <w:rStyle w:val="FootnoteReference"/>
        </w:rPr>
        <w:footnoteRef/>
      </w:r>
      <w:r>
        <w:t xml:space="preserve"> </w:t>
      </w:r>
      <w:r>
        <w:rPr>
          <w:rFonts w:ascii="Times New Roman" w:hAnsi="Times New Roman" w:cs="Times New Roman"/>
          <w:lang w:val="en-AU"/>
        </w:rPr>
        <w:t xml:space="preserve"> This is trivial in BasicArmington-A2M: there is only one input, labor.   </w:t>
      </w:r>
    </w:p>
  </w:footnote>
  <w:footnote w:id="9">
    <w:p w:rsidR="009B0E9B" w:rsidRPr="00F267B9" w:rsidRDefault="009B0E9B" w:rsidP="009B0E9B">
      <w:pPr>
        <w:pStyle w:val="FootnoteText"/>
        <w:rPr>
          <w:rFonts w:ascii="Times New Roman" w:hAnsi="Times New Roman" w:cs="Times New Roman"/>
          <w:lang w:val="en-AU"/>
        </w:rPr>
      </w:pPr>
      <w:r w:rsidRPr="00F267B9">
        <w:rPr>
          <w:rStyle w:val="FootnoteReference"/>
          <w:rFonts w:ascii="Times New Roman" w:hAnsi="Times New Roman" w:cs="Times New Roman"/>
        </w:rPr>
        <w:footnoteRef/>
      </w:r>
      <w:r w:rsidRPr="00F267B9">
        <w:rPr>
          <w:rFonts w:ascii="Times New Roman" w:hAnsi="Times New Roman" w:cs="Times New Roman"/>
        </w:rPr>
        <w:t xml:space="preserve"> </w:t>
      </w:r>
      <w:r w:rsidRPr="00F267B9">
        <w:rPr>
          <w:rFonts w:ascii="Times New Roman" w:hAnsi="Times New Roman" w:cs="Times New Roman"/>
          <w:lang w:val="en-AU"/>
        </w:rPr>
        <w:t xml:space="preserve"> </w:t>
      </w:r>
      <w:r>
        <w:rPr>
          <w:rFonts w:ascii="Times New Roman" w:hAnsi="Times New Roman" w:cs="Times New Roman"/>
          <w:lang w:val="en-AU"/>
        </w:rPr>
        <w:t xml:space="preserve">Direct tax-carrying flow in Tables 7.5 and 7.6 corresponds to Genuine tax-carrying flows (tariffs) in Table 7.4.  Traditional terms of trade and Extra Melitz terms of trade in Tables 7.5 and 7.6 correspond to the two terms-of-trade effects in Table 7.4.  Extra Melitz efficiency in Tables 7.5 and 7.6 corresponds to Efficiency in producing effective units in Table 7.4.  We omit the “employment factor” from Table 7.5 and 7.6: it would simply be a column of zero because we hold all primary factor inputs (labor, capital, land and natural resources) constant in each country.  </w:t>
      </w:r>
    </w:p>
  </w:footnote>
  <w:footnote w:id="10">
    <w:p w:rsidR="009B0E9B" w:rsidRPr="00E81FC7" w:rsidRDefault="009B0E9B" w:rsidP="009B0E9B">
      <w:pPr>
        <w:pStyle w:val="FootnoteText"/>
        <w:rPr>
          <w:rFonts w:ascii="Times New Roman" w:hAnsi="Times New Roman" w:cs="Times New Roman"/>
          <w:lang w:val="en-AU"/>
        </w:rPr>
      </w:pPr>
      <w:r w:rsidRPr="00E81FC7">
        <w:rPr>
          <w:rStyle w:val="FootnoteReference"/>
          <w:rFonts w:ascii="Times New Roman" w:hAnsi="Times New Roman" w:cs="Times New Roman"/>
        </w:rPr>
        <w:footnoteRef/>
      </w:r>
      <w:r w:rsidRPr="00E81FC7">
        <w:rPr>
          <w:rFonts w:ascii="Times New Roman" w:hAnsi="Times New Roman" w:cs="Times New Roman"/>
        </w:rPr>
        <w:t xml:space="preserve"> </w:t>
      </w:r>
      <w:r>
        <w:rPr>
          <w:rFonts w:ascii="Times New Roman" w:hAnsi="Times New Roman" w:cs="Times New Roman"/>
        </w:rPr>
        <w:t xml:space="preserve"> In Table 7.4, the additional Melitz terms-of-trade effect for the tariff-imposing country (country 2) is positive, whereas in Table 7.5 it is negative.  In Table 7.5, NAmerica’s tariffs inflate the fob cost of its imports by reducing the efficiency in exporting of its foreign suppliers of Wap.  There is no compensating increase in the fob prices of NAmerica’s exports.  In Table 7.4, country 2’s tariffs inflate the costs of both its exports and imports.   </w:t>
      </w:r>
    </w:p>
  </w:footnote>
  <w:footnote w:id="11">
    <w:p w:rsidR="00EB27BA" w:rsidRPr="0030219B" w:rsidRDefault="00EB27BA">
      <w:pPr>
        <w:pStyle w:val="FootnoteText"/>
        <w:rPr>
          <w:rFonts w:ascii="Times New Roman" w:hAnsi="Times New Roman" w:cs="Times New Roman"/>
          <w:lang w:val="en-AU"/>
        </w:rPr>
      </w:pPr>
      <w:r w:rsidRPr="0030219B">
        <w:rPr>
          <w:rStyle w:val="FootnoteReference"/>
          <w:rFonts w:ascii="Times New Roman" w:hAnsi="Times New Roman" w:cs="Times New Roman"/>
        </w:rPr>
        <w:footnoteRef/>
      </w:r>
      <w:r w:rsidRPr="0030219B">
        <w:rPr>
          <w:rFonts w:ascii="Times New Roman" w:hAnsi="Times New Roman" w:cs="Times New Roman"/>
        </w:rPr>
        <w:t xml:space="preserve"> </w:t>
      </w:r>
      <w:r w:rsidRPr="0030219B">
        <w:rPr>
          <w:rFonts w:ascii="Times New Roman" w:hAnsi="Times New Roman" w:cs="Times New Roman"/>
          <w:lang w:val="en-AU"/>
        </w:rPr>
        <w:t xml:space="preserve"> By </w:t>
      </w:r>
      <w:r w:rsidRPr="0030219B">
        <w:rPr>
          <w:rFonts w:ascii="Times New Roman" w:hAnsi="Times New Roman" w:cs="Times New Roman"/>
          <w:i/>
          <w:lang w:val="en-AU"/>
        </w:rPr>
        <w:t>real</w:t>
      </w:r>
      <w:r w:rsidRPr="0030219B">
        <w:rPr>
          <w:rFonts w:ascii="Times New Roman" w:hAnsi="Times New Roman" w:cs="Times New Roman"/>
          <w:lang w:val="en-AU"/>
        </w:rPr>
        <w:t xml:space="preserve"> we mean the price increase relative to the general price level in SEAsia measured by movements in the price index for factors (labor, capital, land and natural resources).  </w:t>
      </w:r>
    </w:p>
  </w:footnote>
  <w:footnote w:id="12">
    <w:p w:rsidR="00EB27BA" w:rsidRPr="007B7067" w:rsidRDefault="00EB27BA">
      <w:pPr>
        <w:pStyle w:val="FootnoteText"/>
        <w:rPr>
          <w:rFonts w:ascii="Times New Roman" w:hAnsi="Times New Roman" w:cs="Times New Roman"/>
          <w:lang w:val="en-AU"/>
        </w:rPr>
      </w:pPr>
      <w:r w:rsidRPr="007B7067">
        <w:rPr>
          <w:rStyle w:val="FootnoteReference"/>
          <w:rFonts w:ascii="Times New Roman" w:hAnsi="Times New Roman" w:cs="Times New Roman"/>
        </w:rPr>
        <w:footnoteRef/>
      </w:r>
      <w:r w:rsidRPr="007B7067">
        <w:rPr>
          <w:rFonts w:ascii="Times New Roman" w:hAnsi="Times New Roman" w:cs="Times New Roman"/>
        </w:rPr>
        <w:t xml:space="preserve"> </w:t>
      </w:r>
      <w:r>
        <w:rPr>
          <w:rFonts w:ascii="Times New Roman" w:hAnsi="Times New Roman" w:cs="Times New Roman"/>
          <w:lang w:val="en-AU"/>
        </w:rPr>
        <w:t xml:space="preserve"> This is simply 100 times the ratio of domestically produced Wap used is SEAsia to aggregate consumption.  It doesn’t mean that Wap is necessarily used by households.  </w:t>
      </w:r>
    </w:p>
  </w:footnote>
  <w:footnote w:id="13">
    <w:p w:rsidR="00EB27BA" w:rsidRPr="00266949" w:rsidRDefault="00EB27BA">
      <w:pPr>
        <w:pStyle w:val="FootnoteText"/>
        <w:rPr>
          <w:rFonts w:ascii="Times New Roman" w:hAnsi="Times New Roman" w:cs="Times New Roman"/>
          <w:lang w:val="en-AU"/>
        </w:rPr>
      </w:pPr>
      <w:r w:rsidRPr="00266949">
        <w:rPr>
          <w:rStyle w:val="FootnoteReference"/>
          <w:rFonts w:ascii="Times New Roman" w:hAnsi="Times New Roman" w:cs="Times New Roman"/>
        </w:rPr>
        <w:footnoteRef/>
      </w:r>
      <w:r w:rsidRPr="00266949">
        <w:rPr>
          <w:rFonts w:ascii="Times New Roman" w:hAnsi="Times New Roman" w:cs="Times New Roman"/>
        </w:rPr>
        <w:t xml:space="preserve"> </w:t>
      </w:r>
      <w:r w:rsidRPr="00266949">
        <w:rPr>
          <w:rFonts w:ascii="Times New Roman" w:hAnsi="Times New Roman" w:cs="Times New Roman"/>
          <w:lang w:val="en-AU"/>
        </w:rPr>
        <w:t xml:space="preserve"> </w:t>
      </w:r>
      <w:r>
        <w:rPr>
          <w:rFonts w:ascii="Times New Roman" w:hAnsi="Times New Roman" w:cs="Times New Roman"/>
          <w:lang w:val="en-AU"/>
        </w:rPr>
        <w:t xml:space="preserve">Readers can check these results and others mentioned in this and following paragraphs by rerunning our simulations using the downloadable code mentioned at the start of section 7.5.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2AC6"/>
    <w:multiLevelType w:val="hybridMultilevel"/>
    <w:tmpl w:val="5BFC3B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1F4692"/>
    <w:multiLevelType w:val="hybridMultilevel"/>
    <w:tmpl w:val="10388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51B97"/>
    <w:multiLevelType w:val="hybridMultilevel"/>
    <w:tmpl w:val="32B0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77193"/>
    <w:multiLevelType w:val="hybridMultilevel"/>
    <w:tmpl w:val="3DBA63A0"/>
    <w:lvl w:ilvl="0" w:tplc="C678932A">
      <w:start w:val="1"/>
      <w:numFmt w:val="decimal"/>
      <w:lvlText w:val="%1."/>
      <w:lvlJc w:val="left"/>
      <w:pPr>
        <w:ind w:left="765" w:hanging="405"/>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AD6E6B"/>
    <w:multiLevelType w:val="hybridMultilevel"/>
    <w:tmpl w:val="C7CE9CBC"/>
    <w:lvl w:ilvl="0" w:tplc="85E66F4A">
      <w:start w:val="1"/>
      <w:numFmt w:val="decimal"/>
      <w:lvlText w:val="%1."/>
      <w:lvlJc w:val="left"/>
      <w:pPr>
        <w:ind w:left="600" w:hanging="360"/>
      </w:pPr>
      <w:rPr>
        <w:rFonts w:hint="default"/>
      </w:rPr>
    </w:lvl>
    <w:lvl w:ilvl="1" w:tplc="0C090019" w:tentative="1">
      <w:start w:val="1"/>
      <w:numFmt w:val="lowerLetter"/>
      <w:lvlText w:val="%2."/>
      <w:lvlJc w:val="left"/>
      <w:pPr>
        <w:ind w:left="1320" w:hanging="360"/>
      </w:pPr>
    </w:lvl>
    <w:lvl w:ilvl="2" w:tplc="0C09001B" w:tentative="1">
      <w:start w:val="1"/>
      <w:numFmt w:val="lowerRoman"/>
      <w:lvlText w:val="%3."/>
      <w:lvlJc w:val="right"/>
      <w:pPr>
        <w:ind w:left="2040" w:hanging="180"/>
      </w:pPr>
    </w:lvl>
    <w:lvl w:ilvl="3" w:tplc="0C09000F" w:tentative="1">
      <w:start w:val="1"/>
      <w:numFmt w:val="decimal"/>
      <w:lvlText w:val="%4."/>
      <w:lvlJc w:val="left"/>
      <w:pPr>
        <w:ind w:left="2760" w:hanging="360"/>
      </w:pPr>
    </w:lvl>
    <w:lvl w:ilvl="4" w:tplc="0C090019" w:tentative="1">
      <w:start w:val="1"/>
      <w:numFmt w:val="lowerLetter"/>
      <w:lvlText w:val="%5."/>
      <w:lvlJc w:val="left"/>
      <w:pPr>
        <w:ind w:left="3480" w:hanging="360"/>
      </w:pPr>
    </w:lvl>
    <w:lvl w:ilvl="5" w:tplc="0C09001B" w:tentative="1">
      <w:start w:val="1"/>
      <w:numFmt w:val="lowerRoman"/>
      <w:lvlText w:val="%6."/>
      <w:lvlJc w:val="right"/>
      <w:pPr>
        <w:ind w:left="4200" w:hanging="180"/>
      </w:pPr>
    </w:lvl>
    <w:lvl w:ilvl="6" w:tplc="0C09000F" w:tentative="1">
      <w:start w:val="1"/>
      <w:numFmt w:val="decimal"/>
      <w:lvlText w:val="%7."/>
      <w:lvlJc w:val="left"/>
      <w:pPr>
        <w:ind w:left="4920" w:hanging="360"/>
      </w:pPr>
    </w:lvl>
    <w:lvl w:ilvl="7" w:tplc="0C090019" w:tentative="1">
      <w:start w:val="1"/>
      <w:numFmt w:val="lowerLetter"/>
      <w:lvlText w:val="%8."/>
      <w:lvlJc w:val="left"/>
      <w:pPr>
        <w:ind w:left="5640" w:hanging="360"/>
      </w:pPr>
    </w:lvl>
    <w:lvl w:ilvl="8" w:tplc="0C09001B" w:tentative="1">
      <w:start w:val="1"/>
      <w:numFmt w:val="lowerRoman"/>
      <w:lvlText w:val="%9."/>
      <w:lvlJc w:val="right"/>
      <w:pPr>
        <w:ind w:left="6360" w:hanging="180"/>
      </w:pPr>
    </w:lvl>
  </w:abstractNum>
  <w:abstractNum w:abstractNumId="5" w15:restartNumberingAfterBreak="0">
    <w:nsid w:val="38A56208"/>
    <w:multiLevelType w:val="hybridMultilevel"/>
    <w:tmpl w:val="BBF68698"/>
    <w:lvl w:ilvl="0" w:tplc="2E780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00166"/>
    <w:multiLevelType w:val="hybridMultilevel"/>
    <w:tmpl w:val="5DCA6890"/>
    <w:lvl w:ilvl="0" w:tplc="5FCEC5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B828AA"/>
    <w:multiLevelType w:val="hybridMultilevel"/>
    <w:tmpl w:val="5DCA6890"/>
    <w:lvl w:ilvl="0" w:tplc="5FCEC5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7A27394"/>
    <w:multiLevelType w:val="hybridMultilevel"/>
    <w:tmpl w:val="81DE96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7F45188"/>
    <w:multiLevelType w:val="hybridMultilevel"/>
    <w:tmpl w:val="0C0E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9"/>
  </w:num>
  <w:num w:numId="5">
    <w:abstractNumId w:val="6"/>
  </w:num>
  <w:num w:numId="6">
    <w:abstractNumId w:val="0"/>
  </w:num>
  <w:num w:numId="7">
    <w:abstractNumId w:val="4"/>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49"/>
    <w:rsid w:val="00000415"/>
    <w:rsid w:val="000029C2"/>
    <w:rsid w:val="000031A8"/>
    <w:rsid w:val="00003EF0"/>
    <w:rsid w:val="00005F73"/>
    <w:rsid w:val="00006D49"/>
    <w:rsid w:val="00010C7E"/>
    <w:rsid w:val="00012529"/>
    <w:rsid w:val="00014841"/>
    <w:rsid w:val="00014C5A"/>
    <w:rsid w:val="00021D78"/>
    <w:rsid w:val="0003259F"/>
    <w:rsid w:val="00033D7C"/>
    <w:rsid w:val="000352ED"/>
    <w:rsid w:val="0003702F"/>
    <w:rsid w:val="000371B4"/>
    <w:rsid w:val="00041D1B"/>
    <w:rsid w:val="00045556"/>
    <w:rsid w:val="00046019"/>
    <w:rsid w:val="00050987"/>
    <w:rsid w:val="00060070"/>
    <w:rsid w:val="00061A77"/>
    <w:rsid w:val="0006386D"/>
    <w:rsid w:val="00064899"/>
    <w:rsid w:val="00064BA2"/>
    <w:rsid w:val="00065700"/>
    <w:rsid w:val="00066FB2"/>
    <w:rsid w:val="00070438"/>
    <w:rsid w:val="0007264B"/>
    <w:rsid w:val="0007279B"/>
    <w:rsid w:val="00072BBB"/>
    <w:rsid w:val="00073666"/>
    <w:rsid w:val="000752F2"/>
    <w:rsid w:val="00075709"/>
    <w:rsid w:val="0007660B"/>
    <w:rsid w:val="00081500"/>
    <w:rsid w:val="00082CD3"/>
    <w:rsid w:val="00085D8E"/>
    <w:rsid w:val="000865D1"/>
    <w:rsid w:val="00090227"/>
    <w:rsid w:val="00092074"/>
    <w:rsid w:val="000939D4"/>
    <w:rsid w:val="00093E99"/>
    <w:rsid w:val="00094E7B"/>
    <w:rsid w:val="0009537C"/>
    <w:rsid w:val="000A07A8"/>
    <w:rsid w:val="000A4BEB"/>
    <w:rsid w:val="000A5A3C"/>
    <w:rsid w:val="000A7E9D"/>
    <w:rsid w:val="000B02FF"/>
    <w:rsid w:val="000B08AE"/>
    <w:rsid w:val="000B137F"/>
    <w:rsid w:val="000B3476"/>
    <w:rsid w:val="000C0DF1"/>
    <w:rsid w:val="000C44E7"/>
    <w:rsid w:val="000C4587"/>
    <w:rsid w:val="000D04CB"/>
    <w:rsid w:val="000D0D20"/>
    <w:rsid w:val="000D13AE"/>
    <w:rsid w:val="000D2C60"/>
    <w:rsid w:val="000D685B"/>
    <w:rsid w:val="000E0462"/>
    <w:rsid w:val="000E0738"/>
    <w:rsid w:val="000E0BC4"/>
    <w:rsid w:val="000E147C"/>
    <w:rsid w:val="000E3963"/>
    <w:rsid w:val="000E53E0"/>
    <w:rsid w:val="000E5AE3"/>
    <w:rsid w:val="000E5B81"/>
    <w:rsid w:val="000E6772"/>
    <w:rsid w:val="000F0298"/>
    <w:rsid w:val="000F04A9"/>
    <w:rsid w:val="000F108B"/>
    <w:rsid w:val="000F2FA4"/>
    <w:rsid w:val="000F51F8"/>
    <w:rsid w:val="000F7BF0"/>
    <w:rsid w:val="001000A8"/>
    <w:rsid w:val="00102474"/>
    <w:rsid w:val="00103B1D"/>
    <w:rsid w:val="00105E3C"/>
    <w:rsid w:val="00105F11"/>
    <w:rsid w:val="0010658C"/>
    <w:rsid w:val="0010724A"/>
    <w:rsid w:val="0010757C"/>
    <w:rsid w:val="00110BB3"/>
    <w:rsid w:val="00113189"/>
    <w:rsid w:val="0011414A"/>
    <w:rsid w:val="0011596B"/>
    <w:rsid w:val="0011722F"/>
    <w:rsid w:val="0012138A"/>
    <w:rsid w:val="00122D85"/>
    <w:rsid w:val="00130707"/>
    <w:rsid w:val="00130C46"/>
    <w:rsid w:val="0013122C"/>
    <w:rsid w:val="00134739"/>
    <w:rsid w:val="00135258"/>
    <w:rsid w:val="00141A5D"/>
    <w:rsid w:val="001420F6"/>
    <w:rsid w:val="00143F25"/>
    <w:rsid w:val="00145491"/>
    <w:rsid w:val="00145676"/>
    <w:rsid w:val="00145DFD"/>
    <w:rsid w:val="00151E6D"/>
    <w:rsid w:val="00152CAA"/>
    <w:rsid w:val="001543DA"/>
    <w:rsid w:val="00157751"/>
    <w:rsid w:val="00157921"/>
    <w:rsid w:val="001608EC"/>
    <w:rsid w:val="00161577"/>
    <w:rsid w:val="00162076"/>
    <w:rsid w:val="00166458"/>
    <w:rsid w:val="0017183A"/>
    <w:rsid w:val="001730BD"/>
    <w:rsid w:val="00173FBB"/>
    <w:rsid w:val="0017405E"/>
    <w:rsid w:val="00174986"/>
    <w:rsid w:val="00175D3F"/>
    <w:rsid w:val="00180C31"/>
    <w:rsid w:val="0018300D"/>
    <w:rsid w:val="00184E6E"/>
    <w:rsid w:val="001855E3"/>
    <w:rsid w:val="001856A7"/>
    <w:rsid w:val="001869D2"/>
    <w:rsid w:val="001924C4"/>
    <w:rsid w:val="00192C25"/>
    <w:rsid w:val="00193B3F"/>
    <w:rsid w:val="001A0530"/>
    <w:rsid w:val="001A0A6F"/>
    <w:rsid w:val="001A2ECE"/>
    <w:rsid w:val="001A425E"/>
    <w:rsid w:val="001A4AE2"/>
    <w:rsid w:val="001A61FE"/>
    <w:rsid w:val="001A705C"/>
    <w:rsid w:val="001B047A"/>
    <w:rsid w:val="001B57D1"/>
    <w:rsid w:val="001B6D5B"/>
    <w:rsid w:val="001C1216"/>
    <w:rsid w:val="001C17DA"/>
    <w:rsid w:val="001C1F42"/>
    <w:rsid w:val="001C4B21"/>
    <w:rsid w:val="001D24BE"/>
    <w:rsid w:val="001D4241"/>
    <w:rsid w:val="001D4B60"/>
    <w:rsid w:val="001D5D61"/>
    <w:rsid w:val="001D61F5"/>
    <w:rsid w:val="001D6ABA"/>
    <w:rsid w:val="001E103B"/>
    <w:rsid w:val="001E34D0"/>
    <w:rsid w:val="001F2166"/>
    <w:rsid w:val="001F6E1F"/>
    <w:rsid w:val="001F6FC6"/>
    <w:rsid w:val="001F7BD1"/>
    <w:rsid w:val="002014D3"/>
    <w:rsid w:val="002016F3"/>
    <w:rsid w:val="00204D74"/>
    <w:rsid w:val="0020622D"/>
    <w:rsid w:val="002078C6"/>
    <w:rsid w:val="00207BF4"/>
    <w:rsid w:val="00212292"/>
    <w:rsid w:val="002131E3"/>
    <w:rsid w:val="00217BF6"/>
    <w:rsid w:val="00217C15"/>
    <w:rsid w:val="00217E3F"/>
    <w:rsid w:val="00221233"/>
    <w:rsid w:val="002216CF"/>
    <w:rsid w:val="002259BE"/>
    <w:rsid w:val="00230F4D"/>
    <w:rsid w:val="00230FBB"/>
    <w:rsid w:val="00231CF6"/>
    <w:rsid w:val="00236EF1"/>
    <w:rsid w:val="00241E4C"/>
    <w:rsid w:val="00242673"/>
    <w:rsid w:val="00244317"/>
    <w:rsid w:val="0025332A"/>
    <w:rsid w:val="00255D79"/>
    <w:rsid w:val="0026171C"/>
    <w:rsid w:val="00262487"/>
    <w:rsid w:val="00263FF1"/>
    <w:rsid w:val="00266949"/>
    <w:rsid w:val="00267DC8"/>
    <w:rsid w:val="002700F8"/>
    <w:rsid w:val="00270E53"/>
    <w:rsid w:val="00271EB6"/>
    <w:rsid w:val="00272045"/>
    <w:rsid w:val="00272692"/>
    <w:rsid w:val="00273F2D"/>
    <w:rsid w:val="002862C8"/>
    <w:rsid w:val="002877AE"/>
    <w:rsid w:val="0029033A"/>
    <w:rsid w:val="0029037C"/>
    <w:rsid w:val="002905A1"/>
    <w:rsid w:val="00292C10"/>
    <w:rsid w:val="0029489B"/>
    <w:rsid w:val="00296826"/>
    <w:rsid w:val="002A15DD"/>
    <w:rsid w:val="002A2147"/>
    <w:rsid w:val="002A309F"/>
    <w:rsid w:val="002A4A52"/>
    <w:rsid w:val="002A5EBF"/>
    <w:rsid w:val="002A668C"/>
    <w:rsid w:val="002A6F8A"/>
    <w:rsid w:val="002B538E"/>
    <w:rsid w:val="002B5D75"/>
    <w:rsid w:val="002B6F36"/>
    <w:rsid w:val="002B7286"/>
    <w:rsid w:val="002C0185"/>
    <w:rsid w:val="002C0687"/>
    <w:rsid w:val="002C7333"/>
    <w:rsid w:val="002C7953"/>
    <w:rsid w:val="002D112C"/>
    <w:rsid w:val="002D4A1B"/>
    <w:rsid w:val="002D52D3"/>
    <w:rsid w:val="002D5F9F"/>
    <w:rsid w:val="002D631A"/>
    <w:rsid w:val="002E1F92"/>
    <w:rsid w:val="002F35B3"/>
    <w:rsid w:val="002F6341"/>
    <w:rsid w:val="00301AC8"/>
    <w:rsid w:val="0030219B"/>
    <w:rsid w:val="00304D80"/>
    <w:rsid w:val="0030540A"/>
    <w:rsid w:val="0030572A"/>
    <w:rsid w:val="003066AC"/>
    <w:rsid w:val="003076B7"/>
    <w:rsid w:val="00307C17"/>
    <w:rsid w:val="00312F33"/>
    <w:rsid w:val="00314D36"/>
    <w:rsid w:val="0031523E"/>
    <w:rsid w:val="00315C1B"/>
    <w:rsid w:val="00317D34"/>
    <w:rsid w:val="003230F2"/>
    <w:rsid w:val="0033375A"/>
    <w:rsid w:val="0034086C"/>
    <w:rsid w:val="00341A66"/>
    <w:rsid w:val="0034375B"/>
    <w:rsid w:val="00344101"/>
    <w:rsid w:val="00344241"/>
    <w:rsid w:val="00346EFB"/>
    <w:rsid w:val="00347E71"/>
    <w:rsid w:val="00351B51"/>
    <w:rsid w:val="0035392B"/>
    <w:rsid w:val="00360719"/>
    <w:rsid w:val="00361B2A"/>
    <w:rsid w:val="00364C27"/>
    <w:rsid w:val="00364DC7"/>
    <w:rsid w:val="00365E47"/>
    <w:rsid w:val="00366349"/>
    <w:rsid w:val="00367517"/>
    <w:rsid w:val="00367EF5"/>
    <w:rsid w:val="00370C67"/>
    <w:rsid w:val="003733C2"/>
    <w:rsid w:val="00373763"/>
    <w:rsid w:val="003826FC"/>
    <w:rsid w:val="0038393B"/>
    <w:rsid w:val="00387951"/>
    <w:rsid w:val="00390AF8"/>
    <w:rsid w:val="003918FB"/>
    <w:rsid w:val="00395D48"/>
    <w:rsid w:val="00397E1A"/>
    <w:rsid w:val="003A1674"/>
    <w:rsid w:val="003A7E69"/>
    <w:rsid w:val="003B1B23"/>
    <w:rsid w:val="003B52C5"/>
    <w:rsid w:val="003B5FAC"/>
    <w:rsid w:val="003C12AE"/>
    <w:rsid w:val="003C1605"/>
    <w:rsid w:val="003C3440"/>
    <w:rsid w:val="003C42F5"/>
    <w:rsid w:val="003D18CB"/>
    <w:rsid w:val="003D624B"/>
    <w:rsid w:val="003D6EA8"/>
    <w:rsid w:val="003D796C"/>
    <w:rsid w:val="003E1CF3"/>
    <w:rsid w:val="003E235F"/>
    <w:rsid w:val="003E359A"/>
    <w:rsid w:val="003E506E"/>
    <w:rsid w:val="003E5AA2"/>
    <w:rsid w:val="003E7162"/>
    <w:rsid w:val="003F0437"/>
    <w:rsid w:val="003F2035"/>
    <w:rsid w:val="003F24DA"/>
    <w:rsid w:val="003F28D8"/>
    <w:rsid w:val="003F2A3D"/>
    <w:rsid w:val="003F2F6E"/>
    <w:rsid w:val="003F3FBB"/>
    <w:rsid w:val="003F67F0"/>
    <w:rsid w:val="003F791B"/>
    <w:rsid w:val="004024BB"/>
    <w:rsid w:val="0040308D"/>
    <w:rsid w:val="004041BD"/>
    <w:rsid w:val="00410374"/>
    <w:rsid w:val="004105C2"/>
    <w:rsid w:val="00410BBC"/>
    <w:rsid w:val="0041378C"/>
    <w:rsid w:val="00413A51"/>
    <w:rsid w:val="00413DA6"/>
    <w:rsid w:val="004140FD"/>
    <w:rsid w:val="00414D34"/>
    <w:rsid w:val="00415862"/>
    <w:rsid w:val="004159F3"/>
    <w:rsid w:val="0042103D"/>
    <w:rsid w:val="00426350"/>
    <w:rsid w:val="004301D1"/>
    <w:rsid w:val="004358F1"/>
    <w:rsid w:val="00436E65"/>
    <w:rsid w:val="00443CAC"/>
    <w:rsid w:val="00445077"/>
    <w:rsid w:val="00447855"/>
    <w:rsid w:val="0045121C"/>
    <w:rsid w:val="00452D60"/>
    <w:rsid w:val="00457E53"/>
    <w:rsid w:val="0046076B"/>
    <w:rsid w:val="00464F6A"/>
    <w:rsid w:val="00465789"/>
    <w:rsid w:val="004739FF"/>
    <w:rsid w:val="00475A58"/>
    <w:rsid w:val="00481311"/>
    <w:rsid w:val="00482CAB"/>
    <w:rsid w:val="00484D7C"/>
    <w:rsid w:val="00484F59"/>
    <w:rsid w:val="004875BE"/>
    <w:rsid w:val="00491858"/>
    <w:rsid w:val="00492AB4"/>
    <w:rsid w:val="00496469"/>
    <w:rsid w:val="00496891"/>
    <w:rsid w:val="00496ACC"/>
    <w:rsid w:val="0049713C"/>
    <w:rsid w:val="00497B91"/>
    <w:rsid w:val="004A0AA9"/>
    <w:rsid w:val="004B0D07"/>
    <w:rsid w:val="004B13FB"/>
    <w:rsid w:val="004B3D4B"/>
    <w:rsid w:val="004B3DF6"/>
    <w:rsid w:val="004B6728"/>
    <w:rsid w:val="004C1790"/>
    <w:rsid w:val="004C3DE7"/>
    <w:rsid w:val="004C6437"/>
    <w:rsid w:val="004C77A7"/>
    <w:rsid w:val="004D3632"/>
    <w:rsid w:val="004E036A"/>
    <w:rsid w:val="004E14F2"/>
    <w:rsid w:val="004E2B6F"/>
    <w:rsid w:val="004E6234"/>
    <w:rsid w:val="004F16C3"/>
    <w:rsid w:val="004F3886"/>
    <w:rsid w:val="004F6936"/>
    <w:rsid w:val="00501304"/>
    <w:rsid w:val="00505F0F"/>
    <w:rsid w:val="005069B2"/>
    <w:rsid w:val="005132ED"/>
    <w:rsid w:val="00513D88"/>
    <w:rsid w:val="005174E3"/>
    <w:rsid w:val="00522761"/>
    <w:rsid w:val="00522DC8"/>
    <w:rsid w:val="00522ED0"/>
    <w:rsid w:val="00524DF2"/>
    <w:rsid w:val="005274E9"/>
    <w:rsid w:val="005324E2"/>
    <w:rsid w:val="005326D3"/>
    <w:rsid w:val="005329F6"/>
    <w:rsid w:val="005342D4"/>
    <w:rsid w:val="00535847"/>
    <w:rsid w:val="00535B72"/>
    <w:rsid w:val="00540238"/>
    <w:rsid w:val="005406E5"/>
    <w:rsid w:val="0054084F"/>
    <w:rsid w:val="005415B2"/>
    <w:rsid w:val="00541ED8"/>
    <w:rsid w:val="00544300"/>
    <w:rsid w:val="005451F9"/>
    <w:rsid w:val="0054630E"/>
    <w:rsid w:val="005472B9"/>
    <w:rsid w:val="00550BEC"/>
    <w:rsid w:val="005514C1"/>
    <w:rsid w:val="005527DC"/>
    <w:rsid w:val="00554065"/>
    <w:rsid w:val="005549FE"/>
    <w:rsid w:val="00555906"/>
    <w:rsid w:val="00557C38"/>
    <w:rsid w:val="0056677B"/>
    <w:rsid w:val="00571359"/>
    <w:rsid w:val="00571D28"/>
    <w:rsid w:val="00573DED"/>
    <w:rsid w:val="00575E14"/>
    <w:rsid w:val="00575F49"/>
    <w:rsid w:val="00577721"/>
    <w:rsid w:val="005779F2"/>
    <w:rsid w:val="00581E28"/>
    <w:rsid w:val="00583A53"/>
    <w:rsid w:val="0058503C"/>
    <w:rsid w:val="00585B76"/>
    <w:rsid w:val="00586BCF"/>
    <w:rsid w:val="00587F9A"/>
    <w:rsid w:val="00592A30"/>
    <w:rsid w:val="00595C0D"/>
    <w:rsid w:val="00596C7C"/>
    <w:rsid w:val="005A1EA0"/>
    <w:rsid w:val="005A2D45"/>
    <w:rsid w:val="005A3BAB"/>
    <w:rsid w:val="005A3CEC"/>
    <w:rsid w:val="005A4E5C"/>
    <w:rsid w:val="005A519D"/>
    <w:rsid w:val="005A6FC2"/>
    <w:rsid w:val="005B0378"/>
    <w:rsid w:val="005B1F2A"/>
    <w:rsid w:val="005B287A"/>
    <w:rsid w:val="005B2908"/>
    <w:rsid w:val="005B292F"/>
    <w:rsid w:val="005B3E75"/>
    <w:rsid w:val="005C524C"/>
    <w:rsid w:val="005C641F"/>
    <w:rsid w:val="005C6CCD"/>
    <w:rsid w:val="005C6FAA"/>
    <w:rsid w:val="005D1A60"/>
    <w:rsid w:val="005D1C06"/>
    <w:rsid w:val="005D42D5"/>
    <w:rsid w:val="005D5799"/>
    <w:rsid w:val="005D7758"/>
    <w:rsid w:val="005E1F70"/>
    <w:rsid w:val="005E6CF2"/>
    <w:rsid w:val="005F19C0"/>
    <w:rsid w:val="005F4886"/>
    <w:rsid w:val="005F6CF9"/>
    <w:rsid w:val="005F6DC9"/>
    <w:rsid w:val="0060337D"/>
    <w:rsid w:val="006035F0"/>
    <w:rsid w:val="0060401F"/>
    <w:rsid w:val="006104DE"/>
    <w:rsid w:val="006121E3"/>
    <w:rsid w:val="00612243"/>
    <w:rsid w:val="00612E93"/>
    <w:rsid w:val="0061444D"/>
    <w:rsid w:val="00620050"/>
    <w:rsid w:val="00621452"/>
    <w:rsid w:val="0062507D"/>
    <w:rsid w:val="0062526A"/>
    <w:rsid w:val="00627661"/>
    <w:rsid w:val="00627976"/>
    <w:rsid w:val="006318CE"/>
    <w:rsid w:val="00631B90"/>
    <w:rsid w:val="00637248"/>
    <w:rsid w:val="00637C3B"/>
    <w:rsid w:val="00641A5B"/>
    <w:rsid w:val="00642B51"/>
    <w:rsid w:val="0064370F"/>
    <w:rsid w:val="00643889"/>
    <w:rsid w:val="00647845"/>
    <w:rsid w:val="0065110F"/>
    <w:rsid w:val="0065186F"/>
    <w:rsid w:val="006518CF"/>
    <w:rsid w:val="006525F6"/>
    <w:rsid w:val="00652CD6"/>
    <w:rsid w:val="006561A1"/>
    <w:rsid w:val="00656FBB"/>
    <w:rsid w:val="00660A3C"/>
    <w:rsid w:val="00662A65"/>
    <w:rsid w:val="00663D65"/>
    <w:rsid w:val="00672812"/>
    <w:rsid w:val="006754FD"/>
    <w:rsid w:val="006760B9"/>
    <w:rsid w:val="00680A05"/>
    <w:rsid w:val="00681CF4"/>
    <w:rsid w:val="00682795"/>
    <w:rsid w:val="00683907"/>
    <w:rsid w:val="00684423"/>
    <w:rsid w:val="006869D1"/>
    <w:rsid w:val="00687BD8"/>
    <w:rsid w:val="006903FA"/>
    <w:rsid w:val="00690478"/>
    <w:rsid w:val="00690726"/>
    <w:rsid w:val="0069174A"/>
    <w:rsid w:val="00695634"/>
    <w:rsid w:val="006A07E8"/>
    <w:rsid w:val="006A1C7D"/>
    <w:rsid w:val="006A5A65"/>
    <w:rsid w:val="006A7FE5"/>
    <w:rsid w:val="006B1032"/>
    <w:rsid w:val="006B51BA"/>
    <w:rsid w:val="006C0587"/>
    <w:rsid w:val="006C1308"/>
    <w:rsid w:val="006C2C88"/>
    <w:rsid w:val="006C3551"/>
    <w:rsid w:val="006D092B"/>
    <w:rsid w:val="006D0D3B"/>
    <w:rsid w:val="006D2727"/>
    <w:rsid w:val="006D4AB2"/>
    <w:rsid w:val="006D6023"/>
    <w:rsid w:val="006E3486"/>
    <w:rsid w:val="006E4AD4"/>
    <w:rsid w:val="006E5F5F"/>
    <w:rsid w:val="006E624D"/>
    <w:rsid w:val="006E7494"/>
    <w:rsid w:val="006E74A0"/>
    <w:rsid w:val="006F1FD8"/>
    <w:rsid w:val="006F6020"/>
    <w:rsid w:val="006F66A1"/>
    <w:rsid w:val="00705774"/>
    <w:rsid w:val="007072FC"/>
    <w:rsid w:val="007124A1"/>
    <w:rsid w:val="00715863"/>
    <w:rsid w:val="00716FDA"/>
    <w:rsid w:val="007203DF"/>
    <w:rsid w:val="00720E0B"/>
    <w:rsid w:val="00722ECA"/>
    <w:rsid w:val="0072377F"/>
    <w:rsid w:val="0072557D"/>
    <w:rsid w:val="00726E3F"/>
    <w:rsid w:val="007270C8"/>
    <w:rsid w:val="007308D2"/>
    <w:rsid w:val="00736391"/>
    <w:rsid w:val="007416C9"/>
    <w:rsid w:val="00742E53"/>
    <w:rsid w:val="0074333A"/>
    <w:rsid w:val="007500BF"/>
    <w:rsid w:val="007502C0"/>
    <w:rsid w:val="00750D78"/>
    <w:rsid w:val="00771786"/>
    <w:rsid w:val="00772250"/>
    <w:rsid w:val="00773374"/>
    <w:rsid w:val="00773928"/>
    <w:rsid w:val="007772EE"/>
    <w:rsid w:val="00777834"/>
    <w:rsid w:val="0078273B"/>
    <w:rsid w:val="00784E95"/>
    <w:rsid w:val="00785163"/>
    <w:rsid w:val="00785527"/>
    <w:rsid w:val="00785E7A"/>
    <w:rsid w:val="007869CF"/>
    <w:rsid w:val="00797348"/>
    <w:rsid w:val="007A07E5"/>
    <w:rsid w:val="007A2AD8"/>
    <w:rsid w:val="007A698A"/>
    <w:rsid w:val="007B13AA"/>
    <w:rsid w:val="007B3843"/>
    <w:rsid w:val="007B6A83"/>
    <w:rsid w:val="007B7067"/>
    <w:rsid w:val="007B7383"/>
    <w:rsid w:val="007B79B2"/>
    <w:rsid w:val="007C2ABA"/>
    <w:rsid w:val="007C2D0A"/>
    <w:rsid w:val="007C40BD"/>
    <w:rsid w:val="007C665B"/>
    <w:rsid w:val="007C7C94"/>
    <w:rsid w:val="007D0B9A"/>
    <w:rsid w:val="007D33FD"/>
    <w:rsid w:val="007D3533"/>
    <w:rsid w:val="007D6701"/>
    <w:rsid w:val="007D7227"/>
    <w:rsid w:val="007E281C"/>
    <w:rsid w:val="007E40A5"/>
    <w:rsid w:val="007F1570"/>
    <w:rsid w:val="007F3F0F"/>
    <w:rsid w:val="007F7643"/>
    <w:rsid w:val="00801B01"/>
    <w:rsid w:val="00801C7E"/>
    <w:rsid w:val="0080284A"/>
    <w:rsid w:val="0080479A"/>
    <w:rsid w:val="00805C9C"/>
    <w:rsid w:val="00810BA3"/>
    <w:rsid w:val="00810ECF"/>
    <w:rsid w:val="008112B7"/>
    <w:rsid w:val="00811673"/>
    <w:rsid w:val="00817017"/>
    <w:rsid w:val="00822F7C"/>
    <w:rsid w:val="00823AC3"/>
    <w:rsid w:val="00824660"/>
    <w:rsid w:val="00827FA9"/>
    <w:rsid w:val="008317AA"/>
    <w:rsid w:val="008329ED"/>
    <w:rsid w:val="00832FFA"/>
    <w:rsid w:val="008344F9"/>
    <w:rsid w:val="00835997"/>
    <w:rsid w:val="00836921"/>
    <w:rsid w:val="00840CE8"/>
    <w:rsid w:val="00842B17"/>
    <w:rsid w:val="008441DE"/>
    <w:rsid w:val="00844D78"/>
    <w:rsid w:val="00851516"/>
    <w:rsid w:val="00852D15"/>
    <w:rsid w:val="00854155"/>
    <w:rsid w:val="00861AE7"/>
    <w:rsid w:val="00862A22"/>
    <w:rsid w:val="00863457"/>
    <w:rsid w:val="00863756"/>
    <w:rsid w:val="00864D08"/>
    <w:rsid w:val="00866521"/>
    <w:rsid w:val="00874787"/>
    <w:rsid w:val="00876374"/>
    <w:rsid w:val="008822C6"/>
    <w:rsid w:val="008830D0"/>
    <w:rsid w:val="00887F2A"/>
    <w:rsid w:val="00890108"/>
    <w:rsid w:val="00892923"/>
    <w:rsid w:val="008947CB"/>
    <w:rsid w:val="0089525B"/>
    <w:rsid w:val="008953B1"/>
    <w:rsid w:val="0089586F"/>
    <w:rsid w:val="008A1402"/>
    <w:rsid w:val="008A1E49"/>
    <w:rsid w:val="008A51A8"/>
    <w:rsid w:val="008A55A6"/>
    <w:rsid w:val="008A6614"/>
    <w:rsid w:val="008B0310"/>
    <w:rsid w:val="008B0DB6"/>
    <w:rsid w:val="008B2179"/>
    <w:rsid w:val="008B2B91"/>
    <w:rsid w:val="008B397D"/>
    <w:rsid w:val="008B7551"/>
    <w:rsid w:val="008C0401"/>
    <w:rsid w:val="008C4ABB"/>
    <w:rsid w:val="008D016C"/>
    <w:rsid w:val="008D0D0C"/>
    <w:rsid w:val="008D1B0E"/>
    <w:rsid w:val="008D1C2E"/>
    <w:rsid w:val="008D33F0"/>
    <w:rsid w:val="008D5E51"/>
    <w:rsid w:val="008D5E54"/>
    <w:rsid w:val="008E57FB"/>
    <w:rsid w:val="008E6E15"/>
    <w:rsid w:val="008E7D77"/>
    <w:rsid w:val="008F057A"/>
    <w:rsid w:val="008F0D69"/>
    <w:rsid w:val="008F15A3"/>
    <w:rsid w:val="008F3D62"/>
    <w:rsid w:val="008F4D1E"/>
    <w:rsid w:val="008F69DE"/>
    <w:rsid w:val="008F7AFB"/>
    <w:rsid w:val="0090122D"/>
    <w:rsid w:val="00901755"/>
    <w:rsid w:val="009019A9"/>
    <w:rsid w:val="00901EA9"/>
    <w:rsid w:val="00907DF3"/>
    <w:rsid w:val="009101F2"/>
    <w:rsid w:val="00910C66"/>
    <w:rsid w:val="00911597"/>
    <w:rsid w:val="009128A2"/>
    <w:rsid w:val="00914DDD"/>
    <w:rsid w:val="00915FF9"/>
    <w:rsid w:val="00920E62"/>
    <w:rsid w:val="00921962"/>
    <w:rsid w:val="00922117"/>
    <w:rsid w:val="009266C4"/>
    <w:rsid w:val="0092694F"/>
    <w:rsid w:val="009273A3"/>
    <w:rsid w:val="009306F2"/>
    <w:rsid w:val="0093079F"/>
    <w:rsid w:val="009320C2"/>
    <w:rsid w:val="00936E8D"/>
    <w:rsid w:val="00940F41"/>
    <w:rsid w:val="009418FC"/>
    <w:rsid w:val="0094276A"/>
    <w:rsid w:val="00945852"/>
    <w:rsid w:val="00952A07"/>
    <w:rsid w:val="009531C2"/>
    <w:rsid w:val="009545AC"/>
    <w:rsid w:val="00954FFF"/>
    <w:rsid w:val="009577D1"/>
    <w:rsid w:val="0096241E"/>
    <w:rsid w:val="009652BF"/>
    <w:rsid w:val="00971B34"/>
    <w:rsid w:val="009736B9"/>
    <w:rsid w:val="0097499D"/>
    <w:rsid w:val="00977307"/>
    <w:rsid w:val="009829E0"/>
    <w:rsid w:val="00983E3C"/>
    <w:rsid w:val="00984B7A"/>
    <w:rsid w:val="009871EF"/>
    <w:rsid w:val="00992C7D"/>
    <w:rsid w:val="00995BFF"/>
    <w:rsid w:val="00995F81"/>
    <w:rsid w:val="00996CA2"/>
    <w:rsid w:val="00997001"/>
    <w:rsid w:val="009A064D"/>
    <w:rsid w:val="009A17EC"/>
    <w:rsid w:val="009A25E3"/>
    <w:rsid w:val="009A4DD4"/>
    <w:rsid w:val="009B0E9B"/>
    <w:rsid w:val="009B0ED3"/>
    <w:rsid w:val="009B17B1"/>
    <w:rsid w:val="009B1F2A"/>
    <w:rsid w:val="009B32BB"/>
    <w:rsid w:val="009B4020"/>
    <w:rsid w:val="009B6CFB"/>
    <w:rsid w:val="009B7302"/>
    <w:rsid w:val="009C12FA"/>
    <w:rsid w:val="009C2380"/>
    <w:rsid w:val="009C2818"/>
    <w:rsid w:val="009C41D4"/>
    <w:rsid w:val="009C424A"/>
    <w:rsid w:val="009C4BDD"/>
    <w:rsid w:val="009C69D3"/>
    <w:rsid w:val="009C6B2A"/>
    <w:rsid w:val="009C7667"/>
    <w:rsid w:val="009D3284"/>
    <w:rsid w:val="009D5FC9"/>
    <w:rsid w:val="009D6E29"/>
    <w:rsid w:val="009D79DD"/>
    <w:rsid w:val="009E5843"/>
    <w:rsid w:val="009E617B"/>
    <w:rsid w:val="009E63F8"/>
    <w:rsid w:val="009F1B89"/>
    <w:rsid w:val="009F3720"/>
    <w:rsid w:val="009F5048"/>
    <w:rsid w:val="00A000A8"/>
    <w:rsid w:val="00A01D0D"/>
    <w:rsid w:val="00A03311"/>
    <w:rsid w:val="00A04CAB"/>
    <w:rsid w:val="00A052D7"/>
    <w:rsid w:val="00A073A9"/>
    <w:rsid w:val="00A07FCA"/>
    <w:rsid w:val="00A103C1"/>
    <w:rsid w:val="00A10E39"/>
    <w:rsid w:val="00A127FE"/>
    <w:rsid w:val="00A12BB2"/>
    <w:rsid w:val="00A14148"/>
    <w:rsid w:val="00A14BB6"/>
    <w:rsid w:val="00A15851"/>
    <w:rsid w:val="00A21B0D"/>
    <w:rsid w:val="00A265EB"/>
    <w:rsid w:val="00A3347B"/>
    <w:rsid w:val="00A35E70"/>
    <w:rsid w:val="00A371FC"/>
    <w:rsid w:val="00A42750"/>
    <w:rsid w:val="00A43710"/>
    <w:rsid w:val="00A43E2A"/>
    <w:rsid w:val="00A44271"/>
    <w:rsid w:val="00A50283"/>
    <w:rsid w:val="00A526A8"/>
    <w:rsid w:val="00A52B1E"/>
    <w:rsid w:val="00A5389C"/>
    <w:rsid w:val="00A53FF7"/>
    <w:rsid w:val="00A56027"/>
    <w:rsid w:val="00A57B9B"/>
    <w:rsid w:val="00A62E7C"/>
    <w:rsid w:val="00A63109"/>
    <w:rsid w:val="00A63B6E"/>
    <w:rsid w:val="00A678B3"/>
    <w:rsid w:val="00A72527"/>
    <w:rsid w:val="00A72882"/>
    <w:rsid w:val="00A7306C"/>
    <w:rsid w:val="00A73E5A"/>
    <w:rsid w:val="00A73EDA"/>
    <w:rsid w:val="00A7524B"/>
    <w:rsid w:val="00A76BE8"/>
    <w:rsid w:val="00A7731D"/>
    <w:rsid w:val="00A83746"/>
    <w:rsid w:val="00A86F9C"/>
    <w:rsid w:val="00A87AA0"/>
    <w:rsid w:val="00A904C0"/>
    <w:rsid w:val="00A93894"/>
    <w:rsid w:val="00A93C6F"/>
    <w:rsid w:val="00A96809"/>
    <w:rsid w:val="00A977AA"/>
    <w:rsid w:val="00AA27AE"/>
    <w:rsid w:val="00AA4926"/>
    <w:rsid w:val="00AA71D0"/>
    <w:rsid w:val="00AB2C46"/>
    <w:rsid w:val="00AB5046"/>
    <w:rsid w:val="00AB78DA"/>
    <w:rsid w:val="00AB7F98"/>
    <w:rsid w:val="00AD1435"/>
    <w:rsid w:val="00AD5059"/>
    <w:rsid w:val="00AD6A66"/>
    <w:rsid w:val="00AE1FC6"/>
    <w:rsid w:val="00AF1D44"/>
    <w:rsid w:val="00AF4A57"/>
    <w:rsid w:val="00AF5612"/>
    <w:rsid w:val="00AF6295"/>
    <w:rsid w:val="00AF7161"/>
    <w:rsid w:val="00AF7254"/>
    <w:rsid w:val="00AF7DB6"/>
    <w:rsid w:val="00B004BA"/>
    <w:rsid w:val="00B01EDE"/>
    <w:rsid w:val="00B051C9"/>
    <w:rsid w:val="00B0564B"/>
    <w:rsid w:val="00B1136B"/>
    <w:rsid w:val="00B12C1B"/>
    <w:rsid w:val="00B131A7"/>
    <w:rsid w:val="00B13BAF"/>
    <w:rsid w:val="00B13FDF"/>
    <w:rsid w:val="00B14775"/>
    <w:rsid w:val="00B1634E"/>
    <w:rsid w:val="00B25136"/>
    <w:rsid w:val="00B271AE"/>
    <w:rsid w:val="00B2780A"/>
    <w:rsid w:val="00B304C6"/>
    <w:rsid w:val="00B343C2"/>
    <w:rsid w:val="00B40609"/>
    <w:rsid w:val="00B41B22"/>
    <w:rsid w:val="00B423EE"/>
    <w:rsid w:val="00B43A7A"/>
    <w:rsid w:val="00B469BC"/>
    <w:rsid w:val="00B51F95"/>
    <w:rsid w:val="00B52497"/>
    <w:rsid w:val="00B538AC"/>
    <w:rsid w:val="00B54D38"/>
    <w:rsid w:val="00B5648C"/>
    <w:rsid w:val="00B62BB7"/>
    <w:rsid w:val="00B656A8"/>
    <w:rsid w:val="00B6652A"/>
    <w:rsid w:val="00B678C3"/>
    <w:rsid w:val="00B717FC"/>
    <w:rsid w:val="00B71A9E"/>
    <w:rsid w:val="00B71AD3"/>
    <w:rsid w:val="00B72504"/>
    <w:rsid w:val="00B73782"/>
    <w:rsid w:val="00B761C9"/>
    <w:rsid w:val="00B83C9F"/>
    <w:rsid w:val="00B84921"/>
    <w:rsid w:val="00B852B4"/>
    <w:rsid w:val="00B87269"/>
    <w:rsid w:val="00B87776"/>
    <w:rsid w:val="00B946EC"/>
    <w:rsid w:val="00B97691"/>
    <w:rsid w:val="00B97B90"/>
    <w:rsid w:val="00BA113C"/>
    <w:rsid w:val="00BA5FEF"/>
    <w:rsid w:val="00BA6886"/>
    <w:rsid w:val="00BB3E54"/>
    <w:rsid w:val="00BB41A6"/>
    <w:rsid w:val="00BB5DF1"/>
    <w:rsid w:val="00BC3EB7"/>
    <w:rsid w:val="00BC4261"/>
    <w:rsid w:val="00BD4B32"/>
    <w:rsid w:val="00BE4389"/>
    <w:rsid w:val="00BE6862"/>
    <w:rsid w:val="00BF005C"/>
    <w:rsid w:val="00BF199B"/>
    <w:rsid w:val="00BF26CC"/>
    <w:rsid w:val="00BF30A2"/>
    <w:rsid w:val="00BF3404"/>
    <w:rsid w:val="00BF55D9"/>
    <w:rsid w:val="00BF7264"/>
    <w:rsid w:val="00C032AA"/>
    <w:rsid w:val="00C04C91"/>
    <w:rsid w:val="00C04D11"/>
    <w:rsid w:val="00C05E7C"/>
    <w:rsid w:val="00C071B7"/>
    <w:rsid w:val="00C0740B"/>
    <w:rsid w:val="00C13683"/>
    <w:rsid w:val="00C1387F"/>
    <w:rsid w:val="00C204FF"/>
    <w:rsid w:val="00C21918"/>
    <w:rsid w:val="00C2229B"/>
    <w:rsid w:val="00C27113"/>
    <w:rsid w:val="00C275A5"/>
    <w:rsid w:val="00C35EA3"/>
    <w:rsid w:val="00C367A0"/>
    <w:rsid w:val="00C36A83"/>
    <w:rsid w:val="00C41347"/>
    <w:rsid w:val="00C41733"/>
    <w:rsid w:val="00C433D7"/>
    <w:rsid w:val="00C46177"/>
    <w:rsid w:val="00C532AB"/>
    <w:rsid w:val="00C538C8"/>
    <w:rsid w:val="00C6051B"/>
    <w:rsid w:val="00C62CF1"/>
    <w:rsid w:val="00C63831"/>
    <w:rsid w:val="00C6688B"/>
    <w:rsid w:val="00C72349"/>
    <w:rsid w:val="00C775B4"/>
    <w:rsid w:val="00C8596E"/>
    <w:rsid w:val="00C85E77"/>
    <w:rsid w:val="00C86237"/>
    <w:rsid w:val="00C86DFC"/>
    <w:rsid w:val="00C90428"/>
    <w:rsid w:val="00C90FC3"/>
    <w:rsid w:val="00C91639"/>
    <w:rsid w:val="00C92D2A"/>
    <w:rsid w:val="00C9709B"/>
    <w:rsid w:val="00C973C6"/>
    <w:rsid w:val="00C97A04"/>
    <w:rsid w:val="00CA0CB3"/>
    <w:rsid w:val="00CA1664"/>
    <w:rsid w:val="00CA75E4"/>
    <w:rsid w:val="00CB0217"/>
    <w:rsid w:val="00CB2D06"/>
    <w:rsid w:val="00CB2FDC"/>
    <w:rsid w:val="00CC2515"/>
    <w:rsid w:val="00CC4A4E"/>
    <w:rsid w:val="00CC549F"/>
    <w:rsid w:val="00CC71DD"/>
    <w:rsid w:val="00CD186C"/>
    <w:rsid w:val="00CD27AE"/>
    <w:rsid w:val="00CD2D0F"/>
    <w:rsid w:val="00CD5214"/>
    <w:rsid w:val="00CD7E68"/>
    <w:rsid w:val="00CE1FE6"/>
    <w:rsid w:val="00CE3061"/>
    <w:rsid w:val="00CE4E8A"/>
    <w:rsid w:val="00CE64A3"/>
    <w:rsid w:val="00CE6ABA"/>
    <w:rsid w:val="00CF0034"/>
    <w:rsid w:val="00CF1648"/>
    <w:rsid w:val="00CF3B74"/>
    <w:rsid w:val="00D024F6"/>
    <w:rsid w:val="00D03535"/>
    <w:rsid w:val="00D0619A"/>
    <w:rsid w:val="00D11A38"/>
    <w:rsid w:val="00D15919"/>
    <w:rsid w:val="00D16DDC"/>
    <w:rsid w:val="00D21689"/>
    <w:rsid w:val="00D21A1A"/>
    <w:rsid w:val="00D224D5"/>
    <w:rsid w:val="00D23AD8"/>
    <w:rsid w:val="00D249C3"/>
    <w:rsid w:val="00D30423"/>
    <w:rsid w:val="00D31134"/>
    <w:rsid w:val="00D323EC"/>
    <w:rsid w:val="00D33263"/>
    <w:rsid w:val="00D33798"/>
    <w:rsid w:val="00D3566A"/>
    <w:rsid w:val="00D36C7B"/>
    <w:rsid w:val="00D41491"/>
    <w:rsid w:val="00D4169F"/>
    <w:rsid w:val="00D42F54"/>
    <w:rsid w:val="00D43536"/>
    <w:rsid w:val="00D470A9"/>
    <w:rsid w:val="00D52BAA"/>
    <w:rsid w:val="00D54FEA"/>
    <w:rsid w:val="00D57192"/>
    <w:rsid w:val="00D61317"/>
    <w:rsid w:val="00D61DBB"/>
    <w:rsid w:val="00D643EB"/>
    <w:rsid w:val="00D669CE"/>
    <w:rsid w:val="00D67CEE"/>
    <w:rsid w:val="00D72914"/>
    <w:rsid w:val="00D734DF"/>
    <w:rsid w:val="00D75DB1"/>
    <w:rsid w:val="00D80FB9"/>
    <w:rsid w:val="00D81760"/>
    <w:rsid w:val="00D832DA"/>
    <w:rsid w:val="00D849C5"/>
    <w:rsid w:val="00D86A42"/>
    <w:rsid w:val="00D87BB0"/>
    <w:rsid w:val="00D90131"/>
    <w:rsid w:val="00D9307A"/>
    <w:rsid w:val="00D94C19"/>
    <w:rsid w:val="00D96AF7"/>
    <w:rsid w:val="00DA039B"/>
    <w:rsid w:val="00DA04F5"/>
    <w:rsid w:val="00DA117F"/>
    <w:rsid w:val="00DA51F1"/>
    <w:rsid w:val="00DA5E75"/>
    <w:rsid w:val="00DB09D3"/>
    <w:rsid w:val="00DB12B5"/>
    <w:rsid w:val="00DB23EC"/>
    <w:rsid w:val="00DB54AC"/>
    <w:rsid w:val="00DB707D"/>
    <w:rsid w:val="00DC37CF"/>
    <w:rsid w:val="00DC6885"/>
    <w:rsid w:val="00DD01F4"/>
    <w:rsid w:val="00DD0D4A"/>
    <w:rsid w:val="00DD10D4"/>
    <w:rsid w:val="00DD12A6"/>
    <w:rsid w:val="00DE12F9"/>
    <w:rsid w:val="00DE2F13"/>
    <w:rsid w:val="00DE4F4D"/>
    <w:rsid w:val="00DE7071"/>
    <w:rsid w:val="00DF3AC5"/>
    <w:rsid w:val="00DF4B91"/>
    <w:rsid w:val="00E00439"/>
    <w:rsid w:val="00E00BC3"/>
    <w:rsid w:val="00E00E4D"/>
    <w:rsid w:val="00E012B9"/>
    <w:rsid w:val="00E07E92"/>
    <w:rsid w:val="00E10EA6"/>
    <w:rsid w:val="00E1137F"/>
    <w:rsid w:val="00E1273D"/>
    <w:rsid w:val="00E14225"/>
    <w:rsid w:val="00E15430"/>
    <w:rsid w:val="00E15F18"/>
    <w:rsid w:val="00E16B0F"/>
    <w:rsid w:val="00E173E5"/>
    <w:rsid w:val="00E17912"/>
    <w:rsid w:val="00E205E8"/>
    <w:rsid w:val="00E22058"/>
    <w:rsid w:val="00E2526D"/>
    <w:rsid w:val="00E2542A"/>
    <w:rsid w:val="00E25AE3"/>
    <w:rsid w:val="00E25D32"/>
    <w:rsid w:val="00E31134"/>
    <w:rsid w:val="00E32218"/>
    <w:rsid w:val="00E339CA"/>
    <w:rsid w:val="00E35D66"/>
    <w:rsid w:val="00E4241F"/>
    <w:rsid w:val="00E439B0"/>
    <w:rsid w:val="00E47EBB"/>
    <w:rsid w:val="00E50792"/>
    <w:rsid w:val="00E514B0"/>
    <w:rsid w:val="00E550FF"/>
    <w:rsid w:val="00E56287"/>
    <w:rsid w:val="00E57F58"/>
    <w:rsid w:val="00E61DFD"/>
    <w:rsid w:val="00E6215A"/>
    <w:rsid w:val="00E62FF1"/>
    <w:rsid w:val="00E63649"/>
    <w:rsid w:val="00E63D5A"/>
    <w:rsid w:val="00E656E9"/>
    <w:rsid w:val="00E671BD"/>
    <w:rsid w:val="00E74449"/>
    <w:rsid w:val="00E81FC7"/>
    <w:rsid w:val="00E827B3"/>
    <w:rsid w:val="00E8312A"/>
    <w:rsid w:val="00E84CFB"/>
    <w:rsid w:val="00E9160C"/>
    <w:rsid w:val="00E91D45"/>
    <w:rsid w:val="00E93867"/>
    <w:rsid w:val="00E93B96"/>
    <w:rsid w:val="00E94799"/>
    <w:rsid w:val="00E95199"/>
    <w:rsid w:val="00E9691C"/>
    <w:rsid w:val="00E97EF7"/>
    <w:rsid w:val="00EA3688"/>
    <w:rsid w:val="00EA7B96"/>
    <w:rsid w:val="00EB053C"/>
    <w:rsid w:val="00EB27BA"/>
    <w:rsid w:val="00EB3155"/>
    <w:rsid w:val="00EB50C2"/>
    <w:rsid w:val="00EB5A88"/>
    <w:rsid w:val="00EB723D"/>
    <w:rsid w:val="00EB7BA2"/>
    <w:rsid w:val="00EB7BF3"/>
    <w:rsid w:val="00EC063B"/>
    <w:rsid w:val="00EC08B5"/>
    <w:rsid w:val="00EC3327"/>
    <w:rsid w:val="00EC417E"/>
    <w:rsid w:val="00ED144B"/>
    <w:rsid w:val="00EE22FF"/>
    <w:rsid w:val="00EE3AFD"/>
    <w:rsid w:val="00EE7F0E"/>
    <w:rsid w:val="00EF51A5"/>
    <w:rsid w:val="00F004EB"/>
    <w:rsid w:val="00F01D39"/>
    <w:rsid w:val="00F02E45"/>
    <w:rsid w:val="00F03066"/>
    <w:rsid w:val="00F129AA"/>
    <w:rsid w:val="00F139A3"/>
    <w:rsid w:val="00F15EA5"/>
    <w:rsid w:val="00F17512"/>
    <w:rsid w:val="00F17A06"/>
    <w:rsid w:val="00F22514"/>
    <w:rsid w:val="00F2279C"/>
    <w:rsid w:val="00F236F2"/>
    <w:rsid w:val="00F267B9"/>
    <w:rsid w:val="00F27505"/>
    <w:rsid w:val="00F30A7A"/>
    <w:rsid w:val="00F30CA5"/>
    <w:rsid w:val="00F30CFC"/>
    <w:rsid w:val="00F34DE8"/>
    <w:rsid w:val="00F378A0"/>
    <w:rsid w:val="00F41753"/>
    <w:rsid w:val="00F4292D"/>
    <w:rsid w:val="00F472B4"/>
    <w:rsid w:val="00F518FD"/>
    <w:rsid w:val="00F5572D"/>
    <w:rsid w:val="00F55D35"/>
    <w:rsid w:val="00F6734E"/>
    <w:rsid w:val="00F73AA2"/>
    <w:rsid w:val="00F758E6"/>
    <w:rsid w:val="00F75E2B"/>
    <w:rsid w:val="00F77D4C"/>
    <w:rsid w:val="00F86D21"/>
    <w:rsid w:val="00F91879"/>
    <w:rsid w:val="00F92348"/>
    <w:rsid w:val="00F94066"/>
    <w:rsid w:val="00F95F5D"/>
    <w:rsid w:val="00F96BF1"/>
    <w:rsid w:val="00FA1C23"/>
    <w:rsid w:val="00FA4CE7"/>
    <w:rsid w:val="00FB2406"/>
    <w:rsid w:val="00FB63C5"/>
    <w:rsid w:val="00FB7183"/>
    <w:rsid w:val="00FC25CE"/>
    <w:rsid w:val="00FC3020"/>
    <w:rsid w:val="00FC578D"/>
    <w:rsid w:val="00FC6A03"/>
    <w:rsid w:val="00FC742D"/>
    <w:rsid w:val="00FC7BCE"/>
    <w:rsid w:val="00FC7ED5"/>
    <w:rsid w:val="00FD21D3"/>
    <w:rsid w:val="00FD5CA4"/>
    <w:rsid w:val="00FD7EA6"/>
    <w:rsid w:val="00FE31FC"/>
    <w:rsid w:val="00FE3609"/>
    <w:rsid w:val="00FE6F32"/>
    <w:rsid w:val="00FE7608"/>
    <w:rsid w:val="00FF0C85"/>
    <w:rsid w:val="00FF2BF3"/>
    <w:rsid w:val="00FF3300"/>
    <w:rsid w:val="00FF5744"/>
    <w:rsid w:val="00FF7073"/>
    <w:rsid w:val="00FF77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5AF62"/>
  <w15:docId w15:val="{7A8505ED-1E71-4561-9E90-AD92909F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349"/>
    <w:pPr>
      <w:spacing w:before="0"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B23EC"/>
    <w:pPr>
      <w:spacing w:after="0" w:line="240" w:lineRule="auto"/>
    </w:pPr>
    <w:rPr>
      <w:sz w:val="20"/>
      <w:szCs w:val="20"/>
    </w:rPr>
  </w:style>
  <w:style w:type="character" w:customStyle="1" w:styleId="FootnoteTextChar">
    <w:name w:val="Footnote Text Char"/>
    <w:basedOn w:val="DefaultParagraphFont"/>
    <w:link w:val="FootnoteText"/>
    <w:uiPriority w:val="99"/>
    <w:rsid w:val="00DB23EC"/>
    <w:rPr>
      <w:sz w:val="20"/>
      <w:szCs w:val="20"/>
      <w:lang w:val="en-US"/>
    </w:rPr>
  </w:style>
  <w:style w:type="character" w:styleId="FootnoteReference">
    <w:name w:val="footnote reference"/>
    <w:basedOn w:val="DefaultParagraphFont"/>
    <w:uiPriority w:val="99"/>
    <w:semiHidden/>
    <w:unhideWhenUsed/>
    <w:rsid w:val="00DB23EC"/>
    <w:rPr>
      <w:vertAlign w:val="superscript"/>
    </w:rPr>
  </w:style>
  <w:style w:type="character" w:styleId="Strong">
    <w:name w:val="Strong"/>
    <w:uiPriority w:val="22"/>
    <w:qFormat/>
    <w:rsid w:val="00DB23EC"/>
    <w:rPr>
      <w:b/>
      <w:bCs/>
    </w:rPr>
  </w:style>
  <w:style w:type="paragraph" w:styleId="ListParagraph">
    <w:name w:val="List Paragraph"/>
    <w:basedOn w:val="Normal"/>
    <w:uiPriority w:val="34"/>
    <w:qFormat/>
    <w:rsid w:val="0060401F"/>
    <w:pPr>
      <w:ind w:left="720"/>
      <w:contextualSpacing/>
    </w:pPr>
  </w:style>
  <w:style w:type="paragraph" w:styleId="Header">
    <w:name w:val="header"/>
    <w:basedOn w:val="Normal"/>
    <w:link w:val="HeaderChar"/>
    <w:uiPriority w:val="99"/>
    <w:unhideWhenUsed/>
    <w:rsid w:val="00FE7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608"/>
    <w:rPr>
      <w:lang w:val="en-US"/>
    </w:rPr>
  </w:style>
  <w:style w:type="paragraph" w:styleId="Footer">
    <w:name w:val="footer"/>
    <w:basedOn w:val="Normal"/>
    <w:link w:val="FooterChar"/>
    <w:uiPriority w:val="99"/>
    <w:unhideWhenUsed/>
    <w:rsid w:val="00FE7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608"/>
    <w:rPr>
      <w:lang w:val="en-US"/>
    </w:rPr>
  </w:style>
  <w:style w:type="paragraph" w:styleId="BalloonText">
    <w:name w:val="Balloon Text"/>
    <w:basedOn w:val="Normal"/>
    <w:link w:val="BalloonTextChar"/>
    <w:uiPriority w:val="99"/>
    <w:semiHidden/>
    <w:unhideWhenUsed/>
    <w:rsid w:val="0078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E95"/>
    <w:rPr>
      <w:rFonts w:ascii="Tahoma" w:hAnsi="Tahoma" w:cs="Tahoma"/>
      <w:sz w:val="16"/>
      <w:szCs w:val="16"/>
      <w:lang w:val="en-US"/>
    </w:rPr>
  </w:style>
  <w:style w:type="table" w:styleId="TableGrid">
    <w:name w:val="Table Grid"/>
    <w:basedOn w:val="TableNormal"/>
    <w:uiPriority w:val="59"/>
    <w:rsid w:val="005B037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92C25"/>
    <w:pPr>
      <w:spacing w:before="0"/>
    </w:pPr>
    <w:rPr>
      <w:rFonts w:ascii="Times New Roman" w:eastAsia="SimSun" w:hAnsi="Times New Roman"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40CE8"/>
  </w:style>
  <w:style w:type="character" w:styleId="Hyperlink">
    <w:name w:val="Hyperlink"/>
    <w:basedOn w:val="DefaultParagraphFont"/>
    <w:uiPriority w:val="99"/>
    <w:unhideWhenUsed/>
    <w:rsid w:val="00840CE8"/>
    <w:rPr>
      <w:color w:val="0000FF"/>
      <w:u w:val="single"/>
    </w:rPr>
  </w:style>
  <w:style w:type="character" w:styleId="FollowedHyperlink">
    <w:name w:val="FollowedHyperlink"/>
    <w:basedOn w:val="DefaultParagraphFont"/>
    <w:uiPriority w:val="99"/>
    <w:semiHidden/>
    <w:unhideWhenUsed/>
    <w:rsid w:val="000C4587"/>
    <w:rPr>
      <w:color w:val="800080" w:themeColor="followedHyperlink"/>
      <w:u w:val="single"/>
    </w:rPr>
  </w:style>
  <w:style w:type="table" w:customStyle="1" w:styleId="TableGrid2">
    <w:name w:val="Table Grid2"/>
    <w:basedOn w:val="TableNormal"/>
    <w:next w:val="TableGrid"/>
    <w:uiPriority w:val="59"/>
    <w:rsid w:val="008D0D0C"/>
    <w:pPr>
      <w:spacing w:before="0"/>
    </w:pPr>
    <w:rPr>
      <w:rFonts w:ascii="Times New Roman" w:eastAsia="SimSun" w:hAnsi="Times New Roman" w:cs="Arial"/>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64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6.bin"/><Relationship Id="rId175" Type="http://schemas.openxmlformats.org/officeDocument/2006/relationships/oleObject" Target="embeddings/oleObject86.bin"/><Relationship Id="rId170" Type="http://schemas.openxmlformats.org/officeDocument/2006/relationships/image" Target="media/image84.wmf"/><Relationship Id="rId191" Type="http://schemas.openxmlformats.org/officeDocument/2006/relationships/image" Target="media/image94.wmf"/><Relationship Id="rId196"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image" Target="media/image77.wmf"/><Relationship Id="rId165" Type="http://schemas.openxmlformats.org/officeDocument/2006/relationships/oleObject" Target="embeddings/oleObject80.bin"/><Relationship Id="rId181" Type="http://schemas.openxmlformats.org/officeDocument/2006/relationships/image" Target="media/image89.wmf"/><Relationship Id="rId186" Type="http://schemas.openxmlformats.org/officeDocument/2006/relationships/oleObject" Target="embeddings/oleObject92.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2.wmf"/><Relationship Id="rId155" Type="http://schemas.openxmlformats.org/officeDocument/2006/relationships/oleObject" Target="embeddings/oleObject74.bin"/><Relationship Id="rId171" Type="http://schemas.openxmlformats.org/officeDocument/2006/relationships/oleObject" Target="embeddings/oleObject84.bin"/><Relationship Id="rId176" Type="http://schemas.openxmlformats.org/officeDocument/2006/relationships/image" Target="media/image87.wmf"/><Relationship Id="rId192" Type="http://schemas.openxmlformats.org/officeDocument/2006/relationships/oleObject" Target="embeddings/oleObject95.bin"/><Relationship Id="rId197"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2.wmf"/><Relationship Id="rId182" Type="http://schemas.openxmlformats.org/officeDocument/2006/relationships/oleObject" Target="embeddings/oleObject90.bin"/><Relationship Id="rId187" Type="http://schemas.openxmlformats.org/officeDocument/2006/relationships/image" Target="media/image92.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wmf"/><Relationship Id="rId177" Type="http://schemas.openxmlformats.org/officeDocument/2006/relationships/oleObject" Target="embeddings/oleObject87.bin"/><Relationship Id="rId172" Type="http://schemas.openxmlformats.org/officeDocument/2006/relationships/image" Target="media/image85.wmf"/><Relationship Id="rId193"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2.bin"/><Relationship Id="rId188" Type="http://schemas.openxmlformats.org/officeDocument/2006/relationships/oleObject" Target="embeddings/oleObject93.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image" Target="media/image90.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oleObject" Target="embeddings/oleObject88.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image" Target="media/image95.e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3.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oleObject" Target="embeddings/oleObject91.bin"/><Relationship Id="rId189" Type="http://schemas.openxmlformats.org/officeDocument/2006/relationships/image" Target="media/image93.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6.wmf"/><Relationship Id="rId179" Type="http://schemas.openxmlformats.org/officeDocument/2006/relationships/image" Target="media/image88.wmf"/><Relationship Id="rId195" Type="http://schemas.openxmlformats.org/officeDocument/2006/relationships/image" Target="media/image96.emf"/><Relationship Id="rId190" Type="http://schemas.openxmlformats.org/officeDocument/2006/relationships/oleObject" Target="embeddings/oleObject94.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80.wmf"/><Relationship Id="rId169" Type="http://schemas.openxmlformats.org/officeDocument/2006/relationships/oleObject" Target="embeddings/oleObject83.bin"/><Relationship Id="rId185" Type="http://schemas.openxmlformats.org/officeDocument/2006/relationships/image" Target="media/image91.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9.bin"/><Relationship Id="rId26" Type="http://schemas.openxmlformats.org/officeDocument/2006/relationships/image" Target="media/image10.wmf"/></Relationships>
</file>

<file path=word/_rels/footnotes.xml.rels><?xml version="1.0" encoding="UTF-8" standalone="yes"?>
<Relationships xmlns="http://schemas.openxmlformats.org/package/2006/relationships"><Relationship Id="rId3" Type="http://schemas.openxmlformats.org/officeDocument/2006/relationships/oleObject" Target="embeddings/oleObject79.bin"/><Relationship Id="rId2" Type="http://schemas.openxmlformats.org/officeDocument/2006/relationships/image" Target="media/image79.wmf"/><Relationship Id="rId1" Type="http://schemas.openxmlformats.org/officeDocument/2006/relationships/hyperlink" Target="https://www.gtap.agecon.purdue.edu/" TargetMode="External"/><Relationship Id="rId5" Type="http://schemas.openxmlformats.org/officeDocument/2006/relationships/oleObject" Target="embeddings/oleObject81.bin"/><Relationship Id="rId4" Type="http://schemas.openxmlformats.org/officeDocument/2006/relationships/image" Target="media/image8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4F2D7-1359-4F76-803B-CAD3F5B9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10044</Words>
  <Characters>57255</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67165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University</dc:creator>
  <cp:keywords/>
  <dc:description/>
  <cp:lastModifiedBy>Maureen Bleazby</cp:lastModifiedBy>
  <cp:revision>3</cp:revision>
  <cp:lastPrinted>2017-11-28T06:31:00Z</cp:lastPrinted>
  <dcterms:created xsi:type="dcterms:W3CDTF">2018-04-13T09:05:00Z</dcterms:created>
  <dcterms:modified xsi:type="dcterms:W3CDTF">2018-04-13T09:26:00Z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