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5B3" w:rsidRDefault="003A7FB0" w:rsidP="00B444F6">
      <w:pPr>
        <w:jc w:val="center"/>
        <w:rPr>
          <w:b/>
        </w:rPr>
      </w:pPr>
      <w:r>
        <w:rPr>
          <w:b/>
        </w:rPr>
        <w:t>C</w:t>
      </w:r>
      <w:r>
        <w:rPr>
          <w:b/>
        </w:rPr>
        <w:t>limate polic</w:t>
      </w:r>
      <w:r>
        <w:rPr>
          <w:b/>
        </w:rPr>
        <w:t>y</w:t>
      </w:r>
      <w:r>
        <w:rPr>
          <w:b/>
        </w:rPr>
        <w:t xml:space="preserve"> </w:t>
      </w:r>
      <w:r w:rsidR="00B065B3">
        <w:rPr>
          <w:b/>
        </w:rPr>
        <w:t>implications from</w:t>
      </w:r>
      <w:r w:rsidR="00B065B3" w:rsidRPr="00B065B3">
        <w:rPr>
          <w:b/>
        </w:rPr>
        <w:t xml:space="preserve"> N</w:t>
      </w:r>
      <w:r w:rsidR="00B065B3">
        <w:rPr>
          <w:b/>
        </w:rPr>
        <w:t xml:space="preserve">ationally </w:t>
      </w:r>
      <w:r w:rsidR="00B065B3" w:rsidRPr="00B065B3">
        <w:rPr>
          <w:b/>
        </w:rPr>
        <w:t>D</w:t>
      </w:r>
      <w:r w:rsidR="00B065B3">
        <w:rPr>
          <w:b/>
        </w:rPr>
        <w:t xml:space="preserve">etermined </w:t>
      </w:r>
      <w:r w:rsidR="00B065B3" w:rsidRPr="00B065B3">
        <w:rPr>
          <w:b/>
        </w:rPr>
        <w:t>C</w:t>
      </w:r>
      <w:r w:rsidR="00B065B3">
        <w:rPr>
          <w:b/>
        </w:rPr>
        <w:t>ontribution</w:t>
      </w:r>
      <w:r w:rsidR="00B065B3" w:rsidRPr="00B065B3">
        <w:rPr>
          <w:b/>
        </w:rPr>
        <w:t>s to Deep Decarbonization Transformations</w:t>
      </w:r>
      <w:r w:rsidR="00B065B3">
        <w:rPr>
          <w:b/>
        </w:rPr>
        <w:t xml:space="preserve"> in the EU</w:t>
      </w:r>
    </w:p>
    <w:p w:rsidR="00B444F6" w:rsidRDefault="00B444F6" w:rsidP="00B444F6">
      <w:pPr>
        <w:jc w:val="both"/>
      </w:pPr>
      <w:bookmarkStart w:id="0" w:name="_GoBack"/>
      <w:bookmarkEnd w:id="0"/>
    </w:p>
    <w:p w:rsidR="009F5898" w:rsidRDefault="00B444F6" w:rsidP="009F5898">
      <w:pPr>
        <w:jc w:val="both"/>
      </w:pPr>
      <w:r>
        <w:t xml:space="preserve">The path to a sustainable future is closely related to deep transformations that will change development strategies of all countries in the world. These new strategies will be based on paradigms which </w:t>
      </w:r>
      <w:r w:rsidR="008252F9">
        <w:t>will</w:t>
      </w:r>
      <w:r>
        <w:t xml:space="preserve"> rely on a balanced exploitation of Earth’s</w:t>
      </w:r>
      <w:r w:rsidR="008252F9">
        <w:t xml:space="preserve"> natural resources, as well as on increasing roles for recycling activities along with the development of more efficient technologies. Furthermore, one crucial element of a decarbonized economy will be the </w:t>
      </w:r>
      <w:r w:rsidR="00D2523E">
        <w:t xml:space="preserve">availability of clean </w:t>
      </w:r>
      <w:r w:rsidR="008252F9">
        <w:t>source</w:t>
      </w:r>
      <w:r w:rsidR="00D2523E">
        <w:t>s</w:t>
      </w:r>
      <w:r w:rsidR="008252F9">
        <w:t xml:space="preserve"> of </w:t>
      </w:r>
      <w:r w:rsidR="00D2523E">
        <w:t xml:space="preserve">energy for electricity generation.  </w:t>
      </w:r>
      <w:r w:rsidR="009F5898">
        <w:t xml:space="preserve">This paper explores this issue focusing on a </w:t>
      </w:r>
      <w:r w:rsidR="009C594A">
        <w:t xml:space="preserve">transition from the efforts pledged in the Paris Agreement as National Determined Contributions (NDCs) to </w:t>
      </w:r>
      <w:r w:rsidR="00A04E6B">
        <w:t xml:space="preserve">a Deep </w:t>
      </w:r>
      <w:r w:rsidR="009F5898">
        <w:t xml:space="preserve">Decarbonization Pathway for </w:t>
      </w:r>
      <w:r w:rsidR="00A04E6B">
        <w:t>several European countries</w:t>
      </w:r>
      <w:r w:rsidR="009F5898">
        <w:t xml:space="preserve">. We use a Computable General Equilibrium (CGE) model to explore the implications of an increasing role of renewable </w:t>
      </w:r>
      <w:r w:rsidR="009C594A">
        <w:t xml:space="preserve">and clean </w:t>
      </w:r>
      <w:r w:rsidR="009F5898">
        <w:t>energies to reduce Green House Gas (GHG) emissions in the electricity sector.  First</w:t>
      </w:r>
      <w:r w:rsidR="00C12D39">
        <w:t>,</w:t>
      </w:r>
      <w:r w:rsidR="009F5898">
        <w:t xml:space="preserve"> we analyze the implications for the rest of the economy, in particular the sectors that form part of the supply chain in electricity generation. Then, we</w:t>
      </w:r>
      <w:r w:rsidR="00C12D39">
        <w:t xml:space="preserve"> consider the possible effect on future economic growth.</w:t>
      </w:r>
      <w:r w:rsidR="009F5898">
        <w:t xml:space="preserve"> Finally, we focus on the effects on energy dependency and fossil fuel trade. </w:t>
      </w:r>
    </w:p>
    <w:p w:rsidR="000D6F51" w:rsidRDefault="009F5898" w:rsidP="009F5898">
      <w:pPr>
        <w:jc w:val="both"/>
      </w:pPr>
      <w:r>
        <w:t xml:space="preserve">The </w:t>
      </w:r>
      <w:r w:rsidR="00C12D39">
        <w:t xml:space="preserve">CGE electricity generation portfolio of the </w:t>
      </w:r>
      <w:r>
        <w:t xml:space="preserve">model has been extended </w:t>
      </w:r>
      <w:r w:rsidR="00C12D39">
        <w:t xml:space="preserve">to include </w:t>
      </w:r>
      <w:r>
        <w:t>renewable energ</w:t>
      </w:r>
      <w:r w:rsidR="00C12D39">
        <w:t>y</w:t>
      </w:r>
      <w:r>
        <w:t xml:space="preserve"> </w:t>
      </w:r>
      <w:r w:rsidR="00C12D39">
        <w:rPr>
          <w:rFonts w:cs="DINPro"/>
          <w:color w:val="000000" w:themeColor="text1"/>
          <w:szCs w:val="21"/>
        </w:rPr>
        <w:t>for hydropower, solar, wind and biomass</w:t>
      </w:r>
      <w:r w:rsidR="00C12D39">
        <w:t xml:space="preserve"> using information from the International Energy Agency Extended Energy Balances </w:t>
      </w:r>
      <w:r w:rsidR="00C12D39">
        <w:rPr>
          <w:rFonts w:cs="DINPro"/>
          <w:color w:val="000000" w:themeColor="text1"/>
          <w:szCs w:val="21"/>
        </w:rPr>
        <w:t>(IEA, 2010, OECD/IEA, 2005, and EC 2008</w:t>
      </w:r>
      <w:r w:rsidR="00A04E6B">
        <w:rPr>
          <w:rFonts w:cs="DINPro"/>
          <w:color w:val="000000" w:themeColor="text1"/>
          <w:szCs w:val="21"/>
        </w:rPr>
        <w:t>)</w:t>
      </w:r>
      <w:r w:rsidR="00BE7C6D">
        <w:rPr>
          <w:rFonts w:cs="DINPro"/>
          <w:color w:val="000000" w:themeColor="text1"/>
          <w:szCs w:val="21"/>
        </w:rPr>
        <w:t>.</w:t>
      </w:r>
      <w:r w:rsidR="00C12D39">
        <w:t xml:space="preserve">  </w:t>
      </w:r>
    </w:p>
    <w:p w:rsidR="00A04E6B" w:rsidRDefault="00A63383" w:rsidP="009F5898">
      <w:pPr>
        <w:jc w:val="both"/>
      </w:pPr>
      <w:r>
        <w:t xml:space="preserve">The first </w:t>
      </w:r>
      <w:r w:rsidR="00A04E6B">
        <w:t>part of the</w:t>
      </w:r>
      <w:r>
        <w:t xml:space="preserve"> analysis </w:t>
      </w:r>
      <w:r w:rsidR="00A04E6B">
        <w:t>considers the NDCs pledged until 2030 while t</w:t>
      </w:r>
      <w:r>
        <w:t xml:space="preserve">he second </w:t>
      </w:r>
      <w:r w:rsidR="00A04E6B">
        <w:t>part</w:t>
      </w:r>
      <w:r>
        <w:t xml:space="preserve"> </w:t>
      </w:r>
      <w:r w:rsidR="00A04E6B">
        <w:t>follows</w:t>
      </w:r>
      <w:r>
        <w:t xml:space="preserve"> a decarbonization scenario in which CO2 emissions related to energy consumption are reduced</w:t>
      </w:r>
      <w:r w:rsidR="00B065B3">
        <w:t xml:space="preserve"> in the European Union</w:t>
      </w:r>
      <w:r>
        <w:t xml:space="preserve"> by 80% with respect to 1990 levels. </w:t>
      </w:r>
    </w:p>
    <w:p w:rsidR="00F5605B" w:rsidRDefault="00A63383" w:rsidP="009F5898">
      <w:pPr>
        <w:jc w:val="both"/>
      </w:pPr>
      <w:r>
        <w:t xml:space="preserve">Finally, we analyze three variants of this scenario, extending the decarbonization efforts for almost all developed countries along with a significant effort from developing regions. In the first variant, all countries pursue a domestic effort by imposing a carbon tax on emissions. On the second variant, we consider the European Union (EU) Emissions Trading Scheme (ETS). The third variant is a scenario in which </w:t>
      </w:r>
      <w:r w:rsidR="00F5605B">
        <w:t>all countries in the world take part on a global ETS to pursue a coordinate effort for a decarbonized future.</w:t>
      </w:r>
    </w:p>
    <w:p w:rsidR="00BE7C6D" w:rsidRDefault="00F5605B" w:rsidP="009F5898">
      <w:pPr>
        <w:jc w:val="both"/>
      </w:pPr>
      <w:r w:rsidRPr="00F5605B">
        <w:t>The transition towards a decarbonized economy will entail structural adjustments and the macroeconomic implications are not negligible</w:t>
      </w:r>
      <w:r>
        <w:t>.</w:t>
      </w:r>
      <w:r w:rsidRPr="00F5605B">
        <w:t xml:space="preserve"> GDP deviations from the Reference Scenario increase rapidly over time. If the </w:t>
      </w:r>
      <w:r>
        <w:t>decarbonization</w:t>
      </w:r>
      <w:r w:rsidRPr="00F5605B">
        <w:t xml:space="preserve"> scenario considered the possibility of trading carbon allowances with other European countries, such as in the EU ETS scheme, macroeconomic costs </w:t>
      </w:r>
      <w:r w:rsidR="00A04E6B">
        <w:t>c</w:t>
      </w:r>
      <w:r w:rsidRPr="00F5605B">
        <w:t xml:space="preserve">ould be reduced up to 60% in 2050 compared to unilateral implementation. Participating in a global carbon market would reduce costs even further. </w:t>
      </w:r>
      <w:r>
        <w:t xml:space="preserve"> </w:t>
      </w:r>
      <w:r w:rsidR="00A63383">
        <w:t xml:space="preserve">   </w:t>
      </w:r>
    </w:p>
    <w:p w:rsidR="00BE7C6D" w:rsidRPr="00DB0326" w:rsidRDefault="00BE7C6D" w:rsidP="009F5898">
      <w:pPr>
        <w:jc w:val="both"/>
        <w:rPr>
          <w:b/>
        </w:rPr>
      </w:pPr>
      <w:r w:rsidRPr="00DB0326">
        <w:rPr>
          <w:b/>
        </w:rPr>
        <w:t>References</w:t>
      </w:r>
    </w:p>
    <w:p w:rsidR="00BE7C6D" w:rsidRDefault="00BE7C6D" w:rsidP="009F5898">
      <w:pPr>
        <w:jc w:val="both"/>
      </w:pPr>
      <w:proofErr w:type="gramStart"/>
      <w:r w:rsidRPr="00BE7C6D">
        <w:t>EC (2008), An EU energy security and solidarity action plan.</w:t>
      </w:r>
      <w:proofErr w:type="gramEnd"/>
      <w:r w:rsidRPr="00BE7C6D">
        <w:t xml:space="preserve"> Energy Sources, Production Costs and Performance of Technologies for Power Generation, Heating and Transport, </w:t>
      </w:r>
      <w:proofErr w:type="gramStart"/>
      <w:r w:rsidRPr="00BE7C6D">
        <w:t>SEC(</w:t>
      </w:r>
      <w:proofErr w:type="gramEnd"/>
      <w:r w:rsidRPr="00BE7C6D">
        <w:t>2008) 2872</w:t>
      </w:r>
    </w:p>
    <w:p w:rsidR="00BE7C6D" w:rsidRDefault="00BE7C6D" w:rsidP="009F5898">
      <w:pPr>
        <w:jc w:val="both"/>
      </w:pPr>
      <w:r w:rsidRPr="00BE7C6D">
        <w:t>IEA</w:t>
      </w:r>
      <w:r>
        <w:t xml:space="preserve"> (2010)</w:t>
      </w:r>
      <w:r w:rsidRPr="00BE7C6D">
        <w:t xml:space="preserve">, Extended Energy balances: OECD and </w:t>
      </w:r>
      <w:proofErr w:type="spellStart"/>
      <w:r w:rsidRPr="00BE7C6D">
        <w:t>Non_OECD</w:t>
      </w:r>
      <w:proofErr w:type="spellEnd"/>
      <w:r w:rsidRPr="00BE7C6D">
        <w:t xml:space="preserve"> countries database, IEA, Paris.</w:t>
      </w:r>
    </w:p>
    <w:p w:rsidR="00BE7C6D" w:rsidRDefault="00BE7C6D" w:rsidP="009F5898">
      <w:pPr>
        <w:jc w:val="both"/>
      </w:pPr>
      <w:proofErr w:type="gramStart"/>
      <w:r w:rsidRPr="00BE7C6D">
        <w:lastRenderedPageBreak/>
        <w:t>IPCC (2005), Special Report on Carbon Dioxide Capture and Storage.</w:t>
      </w:r>
      <w:proofErr w:type="gramEnd"/>
      <w:r w:rsidRPr="00BE7C6D">
        <w:t xml:space="preserve"> Prepared by Working Group III of the Intergovernmental Panel on Climate Change [Metz, B., O. Davidson, H. C. de </w:t>
      </w:r>
      <w:proofErr w:type="spellStart"/>
      <w:r w:rsidRPr="00BE7C6D">
        <w:t>Coninck</w:t>
      </w:r>
      <w:proofErr w:type="spellEnd"/>
      <w:r w:rsidRPr="00BE7C6D">
        <w:t>, M. Loos, and L. A. Meyer (</w:t>
      </w:r>
      <w:proofErr w:type="gramStart"/>
      <w:r w:rsidRPr="00BE7C6D">
        <w:t>eds</w:t>
      </w:r>
      <w:proofErr w:type="gramEnd"/>
      <w:r w:rsidRPr="00BE7C6D">
        <w:t xml:space="preserve">.)]. </w:t>
      </w:r>
      <w:proofErr w:type="gramStart"/>
      <w:r w:rsidRPr="00BE7C6D">
        <w:t>Cambridge University Press, Cambridge, United Kingdom and New York, NY, USA, 442 pp.</w:t>
      </w:r>
      <w:proofErr w:type="gramEnd"/>
    </w:p>
    <w:p w:rsidR="00BE7C6D" w:rsidRDefault="00BE7C6D" w:rsidP="009F5898">
      <w:pPr>
        <w:jc w:val="both"/>
      </w:pPr>
      <w:r w:rsidRPr="00BE7C6D">
        <w:t xml:space="preserve">OECD/IEA (2005), </w:t>
      </w:r>
      <w:proofErr w:type="gramStart"/>
      <w:r w:rsidRPr="00BE7C6D">
        <w:t>Projected</w:t>
      </w:r>
      <w:proofErr w:type="gramEnd"/>
      <w:r w:rsidRPr="00BE7C6D">
        <w:t xml:space="preserve"> costs of generating electricity, IEA, Paris,</w:t>
      </w:r>
    </w:p>
    <w:sectPr w:rsidR="00BE7C6D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INPro">
    <w:altName w:val="DIN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1A"/>
    <w:rsid w:val="00244D9C"/>
    <w:rsid w:val="002533DB"/>
    <w:rsid w:val="00291E47"/>
    <w:rsid w:val="003A7FB0"/>
    <w:rsid w:val="007D146F"/>
    <w:rsid w:val="008252F9"/>
    <w:rsid w:val="009C594A"/>
    <w:rsid w:val="009F5898"/>
    <w:rsid w:val="00A04E6B"/>
    <w:rsid w:val="00A63383"/>
    <w:rsid w:val="00AF19FE"/>
    <w:rsid w:val="00B065B3"/>
    <w:rsid w:val="00B444F6"/>
    <w:rsid w:val="00BE7C6D"/>
    <w:rsid w:val="00C12D39"/>
    <w:rsid w:val="00D2523E"/>
    <w:rsid w:val="00D56BBF"/>
    <w:rsid w:val="00DB0326"/>
    <w:rsid w:val="00DE371A"/>
    <w:rsid w:val="00F5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5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8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5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8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C1770-8654-4F22-95FF-8A2E2FFB5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Anon</cp:lastModifiedBy>
  <cp:revision>7</cp:revision>
  <cp:lastPrinted>2016-01-15T01:50:00Z</cp:lastPrinted>
  <dcterms:created xsi:type="dcterms:W3CDTF">2018-01-11T23:25:00Z</dcterms:created>
  <dcterms:modified xsi:type="dcterms:W3CDTF">2018-01-16T00:16:00Z</dcterms:modified>
</cp:coreProperties>
</file>